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r w:rsidRPr="00F253CE">
        <w:rPr>
          <w:rFonts w:ascii="Times New Roman" w:eastAsia="Times New Roman" w:hAnsi="Times New Roman" w:cs="Times New Roman"/>
          <w:noProof/>
          <w:sz w:val="24"/>
          <w:szCs w:val="24"/>
          <w:lang w:eastAsia="lv-LV"/>
        </w:rPr>
        <w:drawing>
          <wp:inline distT="0" distB="0" distL="0" distR="0">
            <wp:extent cx="5760085" cy="684121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6841215"/>
                    </a:xfrm>
                    <a:prstGeom prst="rect">
                      <a:avLst/>
                    </a:prstGeom>
                    <a:noFill/>
                    <a:ln>
                      <a:noFill/>
                    </a:ln>
                  </pic:spPr>
                </pic:pic>
              </a:graphicData>
            </a:graphic>
          </wp:inline>
        </w:drawing>
      </w: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r w:rsidRPr="000E2D02">
        <w:rPr>
          <w:noProof/>
          <w:sz w:val="24"/>
          <w:szCs w:val="24"/>
          <w:lang w:eastAsia="lv-LV"/>
        </w:rPr>
        <w:drawing>
          <wp:inline distT="0" distB="0" distL="0" distR="0">
            <wp:extent cx="2987675" cy="436245"/>
            <wp:effectExtent l="0" t="0" r="3175"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675" cy="436245"/>
                    </a:xfrm>
                    <a:prstGeom prst="rect">
                      <a:avLst/>
                    </a:prstGeom>
                    <a:noFill/>
                    <a:ln>
                      <a:noFill/>
                    </a:ln>
                  </pic:spPr>
                </pic:pic>
              </a:graphicData>
            </a:graphic>
          </wp:inline>
        </w:drawing>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Drošības un sadarbības organizācija</w:t>
      </w:r>
    </w:p>
    <w:p w:rsidR="006B796E" w:rsidRDefault="006B796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ISBN: 978-3-903128-17-0</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Publicējis EDSO Cilvēku tirdzniecības apkarošanas īpašā pārstāvja un koordinatora birojs</w:t>
      </w:r>
    </w:p>
    <w:p w:rsidR="006B796E" w:rsidRDefault="006B796E"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Wallnerstr.</w:t>
      </w:r>
      <w:r w:rsidRPr="006B796E">
        <w:rPr>
          <w:rFonts w:ascii="Times New Roman" w:eastAsia="Times New Roman" w:hAnsi="Times New Roman" w:cs="Times New Roman"/>
          <w:sz w:val="24"/>
          <w:szCs w:val="24"/>
          <w:lang w:eastAsia="lv-LV"/>
        </w:rPr>
        <w:t xml:space="preserve"> 6, 1010 </w:t>
      </w:r>
      <w:r w:rsidRPr="006B796E">
        <w:rPr>
          <w:rFonts w:ascii="Times New Roman" w:eastAsia="Times New Roman" w:hAnsi="Times New Roman" w:cs="Times New Roman"/>
          <w:i/>
          <w:iCs/>
          <w:sz w:val="24"/>
          <w:szCs w:val="24"/>
          <w:lang w:eastAsia="lv-LV"/>
        </w:rPr>
        <w:t>Vienna, Austria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Tālr.: + 43 1 51436 6664</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Fakss: + 43 1 51436 6299</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e-pasts: info-cthb@osce.org</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2018 EDSO/Cilvēku tirdzniecības apkarošanas īpašā pārstāvja un koordinatora birojs</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Autortiesības: “Visas tiesības aizsargātas. Šīs publikācijas saturu var brīvi izmantot un kopēt mācību un citiem nekomerciāliem mērķiem, ja pārpublicētajam materiālam pievienots apliecinājums, ka tā avots ir EDSO/Cilvēku tirdzniecības apkarošanas īpašā pārstāvja un koordinatora birojs.”</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Noformējums: </w:t>
      </w:r>
      <w:r w:rsidRPr="006B796E">
        <w:rPr>
          <w:rFonts w:ascii="Times New Roman" w:eastAsia="Times New Roman" w:hAnsi="Times New Roman" w:cs="Times New Roman"/>
          <w:i/>
          <w:iCs/>
          <w:sz w:val="24"/>
          <w:szCs w:val="24"/>
          <w:lang w:eastAsia="lv-LV"/>
        </w:rPr>
        <w:t>Tina Feiertag</w:t>
      </w:r>
      <w:r w:rsidRPr="006B796E">
        <w:rPr>
          <w:rFonts w:ascii="Times New Roman" w:eastAsia="Times New Roman" w:hAnsi="Times New Roman" w:cs="Times New Roman"/>
          <w:sz w:val="24"/>
          <w:szCs w:val="24"/>
          <w:lang w:eastAsia="lv-LV"/>
        </w:rPr>
        <w:t>, Vīne</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Ilustrācijas: </w:t>
      </w:r>
      <w:r w:rsidRPr="006B796E">
        <w:rPr>
          <w:rFonts w:ascii="Times New Roman" w:eastAsia="Times New Roman" w:hAnsi="Times New Roman" w:cs="Times New Roman"/>
          <w:i/>
          <w:iCs/>
          <w:sz w:val="24"/>
          <w:szCs w:val="24"/>
          <w:lang w:eastAsia="lv-LV"/>
        </w:rPr>
        <w:t>shutterstock</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Fotoattēli: </w:t>
      </w:r>
      <w:r w:rsidRPr="006B796E">
        <w:rPr>
          <w:rFonts w:ascii="Times New Roman" w:eastAsia="Times New Roman" w:hAnsi="Times New Roman" w:cs="Times New Roman"/>
          <w:i/>
          <w:iCs/>
          <w:sz w:val="24"/>
          <w:szCs w:val="24"/>
          <w:lang w:eastAsia="lv-LV"/>
        </w:rPr>
        <w:t>Michael Rodgers, Blanca Tapia</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Citēt: EDSO Cilvēku tirdzniecības apkarošanas īpašā pārstāvja un koordinatora biroja Speciālais pētījums Nr. 9: Bērnu tirdzniecība un bērnu aizsardzība. Nodrošināt, ka bērnu aizsardzības mehānismi aizsargā bērnu, kas ir cilvēku tirdzniecības upuri, tiesības un nodrošina viņu vajadzības</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Drošības un sadarbības organizācija (EDSO) ir Eiropas drošības struktūra, kurā ietilpst 57 dalībvalstis, kas aptver ģeogrāfisko telpu no Vankūveras līdz Vladivostokai. Saskaņā ar ANO Statūtu VIII nodaļu EDSO ir reģionālais nolīgums, kas ir primārais agrīnās brīdināšanas, konfliktu novēršanas, krīžu vadības un pēckonfliktu rehabilitācijas instruments šajā telpā. Tā pieeja drošības jautājumos ir unikāla, jo ir gan visaptveroša, gan uz sadarbību vērsta; visaptveroša tā ir tādā ziņā, ka tiek risinātas trīs drošības dimensijas – cilvēks, politiski militārā dimensija un ekonomikas/vides dimensija. Tāpēc tiek risināts plašs ar drošību saistīto problēmu loks, tostarp cilvēktiesības, ieroču kontrole, uzticības un drošības veidošanas pasākumi, valstu mazākumtautības, demokratizācija, politikas veidošanas stratēģijas, terorisma novēršana un darbības ekonomikas un vides jomā.</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DALĪBVALSTIS: Albānija | Amerikas Savienotās Valstis | Andora | Apvienotā Karaliste | Armēnija | Austrija | Azerbaidžāna | Baltkrievija | Beļģija | Bosnija un Hercegovina | Bulgārija| Čehijas Republika | Dānija | Francija | Grieķija | Gruzija | Horvātija | Igaunija | Islande | Itālija | Īrija | Kanāda | Kazahstāna | Kipra | Kirgizstāna | Krievijas Federācija | Latvija | Lietuva | Lihtenšteina | Luksemburga | Malta | Melnkalne | Moldova | Monako | Mongolija | Nīderlande | Norvēģija | Polija | Portugāle | Rumānija | Sanmarīno | Serbija | Slovākija | Slovēnija | Somija | Spānija | Svētais Krēsls | Šveice | Tadžikistāna | Turcija | Turkmenistāna | Ukraina | Ungārija | Uzbekistāna | Vācija | Ziemeļmaķedonija | Zviedrija</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ĀZIJAS REĢIONA PARTNERVALSTIS: Afganistāna | Austrālija | Japāna | Korejas Republika | Taizeme VIDUSJŪRAS REĢIONA PARTNERVALSTIS: Alžīrija | Ēģipte | Izraēla | Jordānija | Maroka | Tunisija</w:t>
      </w:r>
    </w:p>
    <w:p w:rsidR="006B796E" w:rsidRDefault="006B796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Šeit publicētie materiāli ir paredzēti tikai vispārējas informācijas nolūkos, tie ir sniegti “tādi, kā ir”, nesniedzot nekāda veida garantijas, tostarp nepielāgojot kādiem konkrētiem nolūkiem. Proti, EDSO nesniedz nekādas garantijas attiecībā uz šajā publikācijā sniegtās informācijas precizitāti un pilnīgumu.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Šajā pētījumā ir sniegti autoru viedokļi, konstatētie fakti, interpretācijas un secinājumi, un tie var neatbilst EDSO un/vai tās dalībvalstu oficiālajai nostājai. Likumā noteiktajā kārtībā EDSO neuzņemas atbildību par gūtajiem zaudējumiem, kaitējumu, saistībām vai izdevumiem, kas varētu rasties saistībā ar šajā publikācijā ietvertās informācijas izmantošanu vai tās izmantošanas rezultātā.</w:t>
      </w:r>
    </w:p>
    <w:p w:rsidR="0034577A" w:rsidRDefault="0034577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Cilvēku tirdzniecības apkarošanas īpašā pārstāvja un koordinatora birojs</w:t>
      </w:r>
    </w:p>
    <w:p w:rsidR="0034577A" w:rsidRDefault="0034577A" w:rsidP="006B796E">
      <w:pPr>
        <w:widowControl w:val="0"/>
        <w:spacing w:after="0" w:line="240" w:lineRule="auto"/>
        <w:jc w:val="both"/>
        <w:rPr>
          <w:rFonts w:ascii="Times New Roman" w:eastAsia="Times New Roman" w:hAnsi="Times New Roman" w:cs="Times New Roman"/>
          <w:b/>
          <w:bCs/>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b/>
          <w:bCs/>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b/>
          <w:bCs/>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b/>
          <w:bCs/>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b/>
          <w:bCs/>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b/>
          <w:bCs/>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b/>
          <w:bCs/>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b/>
          <w:bCs/>
          <w:sz w:val="24"/>
          <w:szCs w:val="24"/>
          <w:lang w:eastAsia="lv-LV"/>
        </w:rPr>
      </w:pPr>
    </w:p>
    <w:p w:rsidR="0034577A" w:rsidRDefault="0034577A"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F253CE" w:rsidRDefault="00D6592D" w:rsidP="006B796E">
      <w:pPr>
        <w:widowControl w:val="0"/>
        <w:spacing w:after="0" w:line="240" w:lineRule="auto"/>
        <w:jc w:val="both"/>
        <w:rPr>
          <w:rFonts w:ascii="Times New Roman" w:eastAsia="Times New Roman" w:hAnsi="Times New Roman" w:cs="Times New Roman"/>
          <w:b/>
          <w:bCs/>
          <w:sz w:val="36"/>
          <w:szCs w:val="24"/>
          <w:lang w:eastAsia="lv-LV"/>
        </w:rPr>
      </w:pPr>
      <w:r w:rsidRPr="00F253CE">
        <w:rPr>
          <w:rFonts w:ascii="Times New Roman" w:eastAsia="Times New Roman" w:hAnsi="Times New Roman" w:cs="Times New Roman"/>
          <w:b/>
          <w:bCs/>
          <w:sz w:val="36"/>
          <w:szCs w:val="24"/>
          <w:lang w:eastAsia="lv-LV"/>
        </w:rPr>
        <w:t>BĒRNU TIRDZNIECĪBA UN BĒRNU AIZSARDZĪBA.</w:t>
      </w:r>
    </w:p>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F253CE" w:rsidRDefault="00D6592D" w:rsidP="006B796E">
      <w:pPr>
        <w:widowControl w:val="0"/>
        <w:spacing w:after="0" w:line="240" w:lineRule="auto"/>
        <w:jc w:val="both"/>
        <w:rPr>
          <w:rFonts w:ascii="Times New Roman" w:eastAsia="Times New Roman" w:hAnsi="Times New Roman" w:cs="Times New Roman"/>
          <w:sz w:val="28"/>
          <w:szCs w:val="24"/>
          <w:lang w:eastAsia="lv-LV"/>
        </w:rPr>
      </w:pPr>
      <w:r w:rsidRPr="00F253CE">
        <w:rPr>
          <w:rFonts w:ascii="Times New Roman" w:eastAsia="Times New Roman" w:hAnsi="Times New Roman" w:cs="Times New Roman"/>
          <w:sz w:val="28"/>
          <w:szCs w:val="24"/>
          <w:lang w:eastAsia="lv-LV"/>
        </w:rPr>
        <w:t>Nodrošināt, ka bērnu aizsardzības mehānismi aizsargā bērnu, kas ir cilvēku tirdzniecības upuri, tiesības un nodrošina viņu vajadzības</w:t>
      </w:r>
    </w:p>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p>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p>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r w:rsidRPr="000E2D02">
        <w:rPr>
          <w:noProof/>
          <w:sz w:val="24"/>
          <w:szCs w:val="24"/>
          <w:lang w:eastAsia="lv-LV"/>
        </w:rPr>
        <w:drawing>
          <wp:inline distT="0" distB="0" distL="0" distR="0">
            <wp:extent cx="2987675" cy="436245"/>
            <wp:effectExtent l="0" t="0" r="3175" b="190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675" cy="436245"/>
                    </a:xfrm>
                    <a:prstGeom prst="rect">
                      <a:avLst/>
                    </a:prstGeom>
                    <a:noFill/>
                    <a:ln>
                      <a:noFill/>
                    </a:ln>
                  </pic:spPr>
                </pic:pic>
              </a:graphicData>
            </a:graphic>
          </wp:inline>
        </w:drawing>
      </w:r>
    </w:p>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Drošības un sadarbības organizācija</w:t>
      </w:r>
    </w:p>
    <w:p w:rsidR="0034577A" w:rsidRDefault="0034577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F253CE" w:rsidRDefault="00D6592D" w:rsidP="006B796E">
      <w:pPr>
        <w:widowControl w:val="0"/>
        <w:spacing w:after="0" w:line="240" w:lineRule="auto"/>
        <w:jc w:val="both"/>
        <w:rPr>
          <w:rFonts w:ascii="Times New Roman" w:eastAsia="Times New Roman" w:hAnsi="Times New Roman" w:cs="Times New Roman"/>
          <w:sz w:val="28"/>
          <w:szCs w:val="24"/>
          <w:lang w:eastAsia="lv-LV"/>
        </w:rPr>
      </w:pPr>
      <w:r w:rsidRPr="00F253CE">
        <w:rPr>
          <w:rFonts w:ascii="Times New Roman" w:eastAsia="Times New Roman" w:hAnsi="Times New Roman" w:cs="Times New Roman"/>
          <w:sz w:val="28"/>
          <w:szCs w:val="24"/>
          <w:lang w:eastAsia="lv-LV"/>
        </w:rPr>
        <w:t>Saturs</w:t>
      </w:r>
    </w:p>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03"/>
        <w:gridCol w:w="3434"/>
        <w:gridCol w:w="3434"/>
      </w:tblGrid>
      <w:tr w:rsidR="0034577A" w:rsidRPr="002F1BEE" w:rsidTr="0034577A">
        <w:tc>
          <w:tcPr>
            <w:tcW w:w="1214" w:type="pct"/>
          </w:tcPr>
          <w:p w:rsidR="0034577A" w:rsidRPr="002F1BEE" w:rsidRDefault="0034577A" w:rsidP="0034577A">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Akronīmu un saīsinājumu saraksts</w:t>
            </w:r>
          </w:p>
          <w:p w:rsidR="0034577A" w:rsidRPr="002F1BEE" w:rsidRDefault="002F1BEE" w:rsidP="0034577A">
            <w:pPr>
              <w:widowControl w:val="0"/>
              <w:spacing w:after="0" w:line="240" w:lineRule="auto"/>
              <w:jc w:val="both"/>
              <w:rPr>
                <w:rFonts w:ascii="Times New Roman" w:eastAsia="Times New Roman" w:hAnsi="Times New Roman" w:cs="Times New Roman"/>
                <w:bCs/>
                <w:sz w:val="20"/>
                <w:szCs w:val="20"/>
                <w:lang w:eastAsia="lv-LV"/>
              </w:rPr>
            </w:pPr>
            <w:r w:rsidRPr="002F1BEE">
              <w:rPr>
                <w:rFonts w:ascii="Times New Roman" w:eastAsia="Times New Roman" w:hAnsi="Times New Roman" w:cs="Times New Roman"/>
                <w:bCs/>
                <w:sz w:val="20"/>
                <w:szCs w:val="20"/>
                <w:lang w:eastAsia="lv-LV"/>
              </w:rPr>
              <w:t>7. lappuse</w:t>
            </w:r>
          </w:p>
          <w:p w:rsidR="002F1BEE" w:rsidRPr="002F1BEE" w:rsidRDefault="002F1BEE" w:rsidP="0034577A">
            <w:pPr>
              <w:widowControl w:val="0"/>
              <w:spacing w:after="0" w:line="240" w:lineRule="auto"/>
              <w:jc w:val="both"/>
              <w:rPr>
                <w:rFonts w:ascii="Times New Roman" w:eastAsia="Times New Roman" w:hAnsi="Times New Roman" w:cs="Times New Roman"/>
                <w:b/>
                <w:bCs/>
                <w:sz w:val="20"/>
                <w:szCs w:val="20"/>
                <w:lang w:eastAsia="lv-LV"/>
              </w:rPr>
            </w:pPr>
          </w:p>
          <w:p w:rsidR="0034577A" w:rsidRPr="002F1BEE" w:rsidRDefault="0034577A" w:rsidP="0034577A">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Glosārijs</w:t>
            </w:r>
          </w:p>
          <w:p w:rsidR="0034577A" w:rsidRPr="002F1BEE" w:rsidRDefault="002F1BEE" w:rsidP="0034577A">
            <w:pPr>
              <w:widowControl w:val="0"/>
              <w:spacing w:after="0" w:line="240" w:lineRule="auto"/>
              <w:jc w:val="both"/>
              <w:rPr>
                <w:rFonts w:ascii="Times New Roman" w:eastAsia="Times New Roman" w:hAnsi="Times New Roman" w:cs="Times New Roman"/>
                <w:bCs/>
                <w:sz w:val="20"/>
                <w:szCs w:val="20"/>
                <w:lang w:eastAsia="lv-LV"/>
              </w:rPr>
            </w:pPr>
            <w:r w:rsidRPr="002F1BEE">
              <w:rPr>
                <w:rFonts w:ascii="Times New Roman" w:eastAsia="Times New Roman" w:hAnsi="Times New Roman" w:cs="Times New Roman"/>
                <w:bCs/>
                <w:sz w:val="20"/>
                <w:szCs w:val="20"/>
                <w:lang w:eastAsia="lv-LV"/>
              </w:rPr>
              <w:t>8. lappuse</w:t>
            </w:r>
          </w:p>
          <w:p w:rsidR="002F1BEE" w:rsidRPr="002F1BEE" w:rsidRDefault="002F1BEE" w:rsidP="0034577A">
            <w:pPr>
              <w:widowControl w:val="0"/>
              <w:spacing w:after="0" w:line="240" w:lineRule="auto"/>
              <w:jc w:val="both"/>
              <w:rPr>
                <w:rFonts w:ascii="Times New Roman" w:eastAsia="Times New Roman" w:hAnsi="Times New Roman" w:cs="Times New Roman"/>
                <w:b/>
                <w:bCs/>
                <w:sz w:val="20"/>
                <w:szCs w:val="20"/>
                <w:lang w:eastAsia="lv-LV"/>
              </w:rPr>
            </w:pPr>
          </w:p>
          <w:p w:rsidR="0034577A" w:rsidRPr="002F1BEE" w:rsidRDefault="0034577A" w:rsidP="0034577A">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Priekšvārds</w:t>
            </w:r>
          </w:p>
          <w:p w:rsidR="0034577A" w:rsidRPr="002F1BEE" w:rsidRDefault="002F1BEE" w:rsidP="0034577A">
            <w:pPr>
              <w:widowControl w:val="0"/>
              <w:spacing w:after="0" w:line="240" w:lineRule="auto"/>
              <w:jc w:val="both"/>
              <w:rPr>
                <w:rFonts w:ascii="Times New Roman" w:eastAsia="Times New Roman" w:hAnsi="Times New Roman" w:cs="Times New Roman"/>
                <w:bCs/>
                <w:sz w:val="20"/>
                <w:szCs w:val="20"/>
                <w:lang w:eastAsia="lv-LV"/>
              </w:rPr>
            </w:pPr>
            <w:r w:rsidRPr="002F1BEE">
              <w:rPr>
                <w:rFonts w:ascii="Times New Roman" w:eastAsia="Times New Roman" w:hAnsi="Times New Roman" w:cs="Times New Roman"/>
                <w:bCs/>
                <w:sz w:val="20"/>
                <w:szCs w:val="20"/>
                <w:lang w:eastAsia="lv-LV"/>
              </w:rPr>
              <w:t>15. lappuse</w:t>
            </w:r>
          </w:p>
          <w:p w:rsidR="002F1BEE" w:rsidRPr="002F1BEE" w:rsidRDefault="002F1BEE" w:rsidP="0034577A">
            <w:pPr>
              <w:widowControl w:val="0"/>
              <w:spacing w:after="0" w:line="240" w:lineRule="auto"/>
              <w:jc w:val="both"/>
              <w:rPr>
                <w:rFonts w:ascii="Times New Roman" w:eastAsia="Times New Roman" w:hAnsi="Times New Roman" w:cs="Times New Roman"/>
                <w:b/>
                <w:bCs/>
                <w:sz w:val="20"/>
                <w:szCs w:val="20"/>
                <w:lang w:eastAsia="lv-LV"/>
              </w:rPr>
            </w:pPr>
          </w:p>
          <w:p w:rsidR="0034577A" w:rsidRPr="002F1BEE" w:rsidRDefault="0034577A" w:rsidP="0034577A">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Pateicība</w:t>
            </w:r>
          </w:p>
          <w:p w:rsidR="002F1BEE" w:rsidRPr="002F1BEE" w:rsidRDefault="002F1BEE" w:rsidP="0034577A">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Cs/>
                <w:sz w:val="20"/>
                <w:szCs w:val="20"/>
                <w:lang w:eastAsia="lv-LV"/>
              </w:rPr>
              <w:t>17. lappuse</w:t>
            </w:r>
          </w:p>
          <w:p w:rsidR="002F1BEE" w:rsidRPr="002F1BEE" w:rsidRDefault="002F1BEE" w:rsidP="0034577A">
            <w:pPr>
              <w:widowControl w:val="0"/>
              <w:spacing w:after="0" w:line="240" w:lineRule="auto"/>
              <w:jc w:val="both"/>
              <w:rPr>
                <w:rFonts w:ascii="Times New Roman" w:eastAsia="Times New Roman" w:hAnsi="Times New Roman" w:cs="Times New Roman"/>
                <w:b/>
                <w:bCs/>
                <w:sz w:val="20"/>
                <w:szCs w:val="20"/>
                <w:lang w:eastAsia="lv-LV"/>
              </w:rPr>
            </w:pPr>
          </w:p>
          <w:p w:rsidR="0034577A" w:rsidRPr="002F1BEE" w:rsidRDefault="0034577A" w:rsidP="0034577A">
            <w:pPr>
              <w:pStyle w:val="Pamatteksts"/>
              <w:widowControl/>
              <w:kinsoku w:val="0"/>
              <w:overflowPunct w:val="0"/>
              <w:ind w:left="0"/>
              <w:jc w:val="both"/>
              <w:rPr>
                <w:b/>
                <w:bCs/>
                <w:sz w:val="20"/>
                <w:szCs w:val="20"/>
              </w:rPr>
            </w:pPr>
            <w:r w:rsidRPr="002F1BEE">
              <w:rPr>
                <w:b/>
                <w:bCs/>
                <w:sz w:val="20"/>
                <w:szCs w:val="20"/>
              </w:rPr>
              <w:t>Kopsavilkums</w:t>
            </w:r>
          </w:p>
          <w:p w:rsidR="002F1BEE" w:rsidRPr="002F1BEE" w:rsidRDefault="002F1BEE" w:rsidP="0034577A">
            <w:pPr>
              <w:pStyle w:val="Pamatteksts"/>
              <w:widowControl/>
              <w:kinsoku w:val="0"/>
              <w:overflowPunct w:val="0"/>
              <w:ind w:left="0"/>
              <w:jc w:val="both"/>
              <w:rPr>
                <w:noProof/>
                <w:sz w:val="20"/>
                <w:szCs w:val="20"/>
                <w:lang w:val="en-US"/>
              </w:rPr>
            </w:pPr>
            <w:r w:rsidRPr="002F1BEE">
              <w:rPr>
                <w:bCs/>
                <w:sz w:val="20"/>
                <w:szCs w:val="20"/>
              </w:rPr>
              <w:t>18. lappuse</w:t>
            </w:r>
          </w:p>
        </w:tc>
        <w:tc>
          <w:tcPr>
            <w:tcW w:w="1893" w:type="pct"/>
          </w:tcPr>
          <w:p w:rsidR="0034577A" w:rsidRPr="002F1BEE" w:rsidRDefault="0034577A" w:rsidP="00B7131B">
            <w:pPr>
              <w:pStyle w:val="Pamatteksts"/>
              <w:widowControl/>
              <w:kinsoku w:val="0"/>
              <w:overflowPunct w:val="0"/>
              <w:ind w:left="0"/>
              <w:jc w:val="center"/>
              <w:rPr>
                <w:noProof/>
                <w:sz w:val="20"/>
                <w:szCs w:val="20"/>
                <w:lang w:val="en-US"/>
              </w:rPr>
            </w:pPr>
            <w:r w:rsidRPr="002F1BEE">
              <w:rPr>
                <w:noProof/>
                <w:sz w:val="20"/>
                <w:szCs w:val="20"/>
                <w:lang w:val="en-US"/>
              </w:rPr>
              <w:object w:dxaOrig="3750" w:dyaOrig="3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9.6pt;height:158.25pt" o:ole="">
                  <v:imagedata r:id="rId9" o:title=""/>
                </v:shape>
                <o:OLEObject Type="Embed" ProgID="PBrush" ShapeID="_x0000_i1029" DrawAspect="Content" ObjectID="_1624471404" r:id="rId10"/>
              </w:object>
            </w:r>
          </w:p>
        </w:tc>
        <w:tc>
          <w:tcPr>
            <w:tcW w:w="1893" w:type="pct"/>
          </w:tcPr>
          <w:p w:rsidR="0034577A" w:rsidRPr="002F1BEE" w:rsidRDefault="0034577A" w:rsidP="00B7131B">
            <w:pPr>
              <w:pStyle w:val="Pamatteksts"/>
              <w:widowControl/>
              <w:kinsoku w:val="0"/>
              <w:overflowPunct w:val="0"/>
              <w:ind w:left="0"/>
              <w:jc w:val="center"/>
              <w:rPr>
                <w:noProof/>
                <w:sz w:val="20"/>
                <w:szCs w:val="20"/>
                <w:lang w:val="en-US"/>
              </w:rPr>
            </w:pPr>
            <w:r w:rsidRPr="002F1BEE">
              <w:rPr>
                <w:noProof/>
                <w:sz w:val="20"/>
                <w:szCs w:val="20"/>
                <w:lang w:val="en-US"/>
              </w:rPr>
              <w:object w:dxaOrig="3735" w:dyaOrig="3735">
                <v:shape id="_x0000_i1030" type="#_x0000_t75" style="width:151.45pt;height:151.45pt" o:ole="">
                  <v:imagedata r:id="rId11" o:title=""/>
                </v:shape>
                <o:OLEObject Type="Embed" ProgID="PBrush" ShapeID="_x0000_i1030" DrawAspect="Content" ObjectID="_1624471405" r:id="rId12"/>
              </w:object>
            </w:r>
          </w:p>
        </w:tc>
      </w:tr>
      <w:tr w:rsidR="0034577A" w:rsidRPr="002F1BEE" w:rsidTr="002F1BEE">
        <w:tc>
          <w:tcPr>
            <w:tcW w:w="1214" w:type="pct"/>
          </w:tcPr>
          <w:p w:rsidR="0034577A" w:rsidRPr="002F1BEE" w:rsidRDefault="0034577A" w:rsidP="00B7131B">
            <w:pPr>
              <w:pStyle w:val="Virsraksts9"/>
              <w:widowControl/>
              <w:kinsoku w:val="0"/>
              <w:overflowPunct w:val="0"/>
              <w:ind w:left="0"/>
              <w:jc w:val="both"/>
              <w:rPr>
                <w:b w:val="0"/>
                <w:noProof/>
                <w:sz w:val="20"/>
                <w:szCs w:val="20"/>
                <w:lang w:val="en-US"/>
              </w:rPr>
            </w:pPr>
          </w:p>
        </w:tc>
        <w:tc>
          <w:tcPr>
            <w:tcW w:w="1893" w:type="pct"/>
          </w:tcPr>
          <w:p w:rsidR="0034577A" w:rsidRPr="002F1BEE" w:rsidRDefault="0034577A" w:rsidP="002F1BEE">
            <w:pPr>
              <w:pStyle w:val="Pamatteksts"/>
              <w:widowControl/>
              <w:kinsoku w:val="0"/>
              <w:overflowPunct w:val="0"/>
              <w:ind w:left="0"/>
              <w:rPr>
                <w:b/>
                <w:bCs/>
                <w:sz w:val="20"/>
                <w:szCs w:val="20"/>
              </w:rPr>
            </w:pPr>
            <w:r w:rsidRPr="002F1BEE">
              <w:rPr>
                <w:b/>
                <w:bCs/>
                <w:sz w:val="20"/>
                <w:szCs w:val="20"/>
              </w:rPr>
              <w:t>Ievads</w:t>
            </w:r>
          </w:p>
          <w:p w:rsidR="002F1BEE" w:rsidRPr="002F1BEE" w:rsidRDefault="002F1BEE" w:rsidP="002F1BEE">
            <w:pPr>
              <w:pStyle w:val="Pamatteksts"/>
              <w:widowControl/>
              <w:kinsoku w:val="0"/>
              <w:overflowPunct w:val="0"/>
              <w:ind w:left="0"/>
              <w:rPr>
                <w:bCs/>
                <w:noProof/>
                <w:sz w:val="20"/>
                <w:szCs w:val="20"/>
                <w:lang w:val="en-US"/>
              </w:rPr>
            </w:pPr>
            <w:r w:rsidRPr="002F1BEE">
              <w:rPr>
                <w:bCs/>
                <w:sz w:val="20"/>
                <w:szCs w:val="20"/>
              </w:rPr>
              <w:t>21. lappuse</w:t>
            </w:r>
          </w:p>
        </w:tc>
        <w:tc>
          <w:tcPr>
            <w:tcW w:w="1893" w:type="pct"/>
          </w:tcPr>
          <w:p w:rsidR="0034577A" w:rsidRPr="002F1BEE" w:rsidRDefault="0034577A" w:rsidP="002F1BEE">
            <w:pPr>
              <w:pStyle w:val="Virsraksts9"/>
              <w:widowControl/>
              <w:kinsoku w:val="0"/>
              <w:overflowPunct w:val="0"/>
              <w:ind w:left="0"/>
              <w:rPr>
                <w:rFonts w:ascii="Times New Roman" w:hAnsi="Times New Roman" w:cs="Times New Roman"/>
                <w:bCs w:val="0"/>
                <w:sz w:val="20"/>
                <w:szCs w:val="20"/>
              </w:rPr>
            </w:pPr>
            <w:r w:rsidRPr="002F1BEE">
              <w:rPr>
                <w:rFonts w:ascii="Times New Roman" w:hAnsi="Times New Roman" w:cs="Times New Roman"/>
                <w:bCs w:val="0"/>
                <w:sz w:val="20"/>
                <w:szCs w:val="20"/>
              </w:rPr>
              <w:t>Bērnu, kas ir cilvēku tirdzniecības upuri, aizsardzības principi</w:t>
            </w:r>
          </w:p>
          <w:p w:rsidR="002F1BEE" w:rsidRPr="002F1BEE" w:rsidRDefault="002F1BEE" w:rsidP="002F1BEE">
            <w:pPr>
              <w:rPr>
                <w:rFonts w:ascii="Times New Roman" w:hAnsi="Times New Roman" w:cs="Times New Roman"/>
                <w:sz w:val="20"/>
                <w:szCs w:val="20"/>
                <w:lang w:eastAsia="lv-LV"/>
              </w:rPr>
            </w:pPr>
            <w:r w:rsidRPr="002F1BEE">
              <w:rPr>
                <w:rFonts w:ascii="Times New Roman" w:hAnsi="Times New Roman" w:cs="Times New Roman"/>
                <w:sz w:val="20"/>
                <w:szCs w:val="20"/>
                <w:lang w:eastAsia="lv-LV"/>
              </w:rPr>
              <w:t>28. lappuse</w:t>
            </w:r>
          </w:p>
        </w:tc>
      </w:tr>
      <w:tr w:rsidR="0034577A" w:rsidRPr="002F1BEE" w:rsidTr="0034577A">
        <w:tc>
          <w:tcPr>
            <w:tcW w:w="1214" w:type="pct"/>
          </w:tcPr>
          <w:p w:rsidR="0034577A" w:rsidRPr="002F1BEE" w:rsidRDefault="0034577A" w:rsidP="00B7131B">
            <w:pPr>
              <w:pStyle w:val="Virsraksts9"/>
              <w:widowControl/>
              <w:kinsoku w:val="0"/>
              <w:overflowPunct w:val="0"/>
              <w:ind w:left="0"/>
              <w:jc w:val="both"/>
              <w:rPr>
                <w:b w:val="0"/>
                <w:noProof/>
                <w:sz w:val="20"/>
                <w:szCs w:val="20"/>
                <w:lang w:val="en-US"/>
              </w:rPr>
            </w:pPr>
          </w:p>
        </w:tc>
        <w:tc>
          <w:tcPr>
            <w:tcW w:w="1893" w:type="pct"/>
          </w:tcPr>
          <w:p w:rsidR="0034577A" w:rsidRPr="002F1BEE" w:rsidRDefault="0034577A" w:rsidP="00B7131B">
            <w:pPr>
              <w:pStyle w:val="Pamatteksts"/>
              <w:widowControl/>
              <w:kinsoku w:val="0"/>
              <w:overflowPunct w:val="0"/>
              <w:ind w:left="0"/>
              <w:jc w:val="center"/>
              <w:rPr>
                <w:noProof/>
                <w:sz w:val="20"/>
                <w:szCs w:val="20"/>
                <w:lang w:val="en-US"/>
              </w:rPr>
            </w:pPr>
            <w:r w:rsidRPr="002F1BEE">
              <w:rPr>
                <w:noProof/>
                <w:sz w:val="20"/>
                <w:szCs w:val="20"/>
                <w:lang w:val="en-US"/>
              </w:rPr>
              <w:object w:dxaOrig="3765" w:dyaOrig="3735">
                <v:shape id="_x0000_i1031" type="#_x0000_t75" style="width:156.25pt;height:154.85pt" o:ole="">
                  <v:imagedata r:id="rId13" o:title=""/>
                </v:shape>
                <o:OLEObject Type="Embed" ProgID="PBrush" ShapeID="_x0000_i1031" DrawAspect="Content" ObjectID="_1624471406" r:id="rId14"/>
              </w:object>
            </w:r>
          </w:p>
        </w:tc>
        <w:tc>
          <w:tcPr>
            <w:tcW w:w="1893" w:type="pct"/>
          </w:tcPr>
          <w:p w:rsidR="0034577A" w:rsidRPr="002F1BEE" w:rsidRDefault="0034577A" w:rsidP="00B7131B">
            <w:pPr>
              <w:pStyle w:val="Pamatteksts"/>
              <w:widowControl/>
              <w:kinsoku w:val="0"/>
              <w:overflowPunct w:val="0"/>
              <w:ind w:left="0"/>
              <w:jc w:val="center"/>
              <w:rPr>
                <w:noProof/>
                <w:sz w:val="20"/>
                <w:szCs w:val="20"/>
                <w:lang w:val="en-US"/>
              </w:rPr>
            </w:pPr>
            <w:r w:rsidRPr="002F1BEE">
              <w:rPr>
                <w:noProof/>
                <w:sz w:val="20"/>
                <w:szCs w:val="20"/>
                <w:lang w:val="en-US"/>
              </w:rPr>
              <w:object w:dxaOrig="3825" w:dyaOrig="3690">
                <v:shape id="_x0000_i1032" type="#_x0000_t75" style="width:152.85pt;height:147.4pt" o:ole="">
                  <v:imagedata r:id="rId15" o:title=""/>
                </v:shape>
                <o:OLEObject Type="Embed" ProgID="PBrush" ShapeID="_x0000_i1032" DrawAspect="Content" ObjectID="_1624471407" r:id="rId16"/>
              </w:object>
            </w:r>
          </w:p>
        </w:tc>
      </w:tr>
      <w:tr w:rsidR="0034577A" w:rsidRPr="002F1BEE" w:rsidTr="0034577A">
        <w:tc>
          <w:tcPr>
            <w:tcW w:w="1214" w:type="pct"/>
          </w:tcPr>
          <w:p w:rsidR="0034577A" w:rsidRPr="00D74C59" w:rsidRDefault="0034577A" w:rsidP="00B7131B">
            <w:pPr>
              <w:pStyle w:val="Virsraksts9"/>
              <w:widowControl/>
              <w:kinsoku w:val="0"/>
              <w:overflowPunct w:val="0"/>
              <w:ind w:left="0"/>
              <w:jc w:val="both"/>
              <w:rPr>
                <w:rFonts w:ascii="Times New Roman" w:hAnsi="Times New Roman" w:cs="Times New Roman"/>
                <w:b w:val="0"/>
                <w:bCs w:val="0"/>
                <w:noProof/>
                <w:sz w:val="20"/>
                <w:szCs w:val="20"/>
                <w:lang w:val="en-US"/>
              </w:rPr>
            </w:pPr>
          </w:p>
        </w:tc>
        <w:tc>
          <w:tcPr>
            <w:tcW w:w="1893" w:type="pct"/>
          </w:tcPr>
          <w:p w:rsidR="0034577A" w:rsidRPr="00D74C59" w:rsidRDefault="004D1DD4" w:rsidP="00B7131B">
            <w:pPr>
              <w:pStyle w:val="Virsraksts9"/>
              <w:widowControl/>
              <w:kinsoku w:val="0"/>
              <w:overflowPunct w:val="0"/>
              <w:ind w:left="0"/>
              <w:jc w:val="both"/>
              <w:rPr>
                <w:rFonts w:ascii="Times New Roman" w:hAnsi="Times New Roman" w:cs="Times New Roman"/>
                <w:bCs w:val="0"/>
                <w:sz w:val="20"/>
                <w:szCs w:val="20"/>
              </w:rPr>
            </w:pPr>
            <w:r w:rsidRPr="00D74C59">
              <w:rPr>
                <w:rFonts w:ascii="Times New Roman" w:hAnsi="Times New Roman" w:cs="Times New Roman"/>
                <w:bCs w:val="0"/>
                <w:sz w:val="20"/>
                <w:szCs w:val="20"/>
              </w:rPr>
              <w:t>Lēmumu pieņemšanas process</w:t>
            </w:r>
          </w:p>
          <w:p w:rsidR="00D74C59" w:rsidRPr="00D74C59" w:rsidRDefault="00D74C59" w:rsidP="00D74C59">
            <w:pPr>
              <w:rPr>
                <w:rFonts w:ascii="Times New Roman" w:hAnsi="Times New Roman" w:cs="Times New Roman"/>
                <w:sz w:val="20"/>
                <w:szCs w:val="20"/>
                <w:lang w:eastAsia="lv-LV"/>
              </w:rPr>
            </w:pPr>
            <w:r w:rsidRPr="00D74C59">
              <w:rPr>
                <w:rFonts w:ascii="Times New Roman" w:hAnsi="Times New Roman" w:cs="Times New Roman"/>
                <w:sz w:val="20"/>
                <w:szCs w:val="20"/>
                <w:lang w:eastAsia="lv-LV"/>
              </w:rPr>
              <w:t>66. lappuse</w:t>
            </w:r>
          </w:p>
        </w:tc>
        <w:tc>
          <w:tcPr>
            <w:tcW w:w="1893" w:type="pct"/>
          </w:tcPr>
          <w:p w:rsidR="00D74C59" w:rsidRDefault="00D74C59"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Lēmumu īstenošana, lai veicinātu bērna atlabšanu</w:t>
            </w:r>
          </w:p>
          <w:p w:rsidR="0034577A" w:rsidRPr="00D74C59" w:rsidRDefault="00D74C59" w:rsidP="004D1DD4">
            <w:pPr>
              <w:widowControl w:val="0"/>
              <w:spacing w:after="0" w:line="240" w:lineRule="auto"/>
              <w:jc w:val="both"/>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74. lappuse</w:t>
            </w:r>
          </w:p>
        </w:tc>
      </w:tr>
    </w:tbl>
    <w:p w:rsidR="00D74C59" w:rsidRDefault="00D74C59" w:rsidP="006B796E">
      <w:pPr>
        <w:widowControl w:val="0"/>
        <w:spacing w:after="0" w:line="240" w:lineRule="auto"/>
        <w:jc w:val="both"/>
        <w:rPr>
          <w:rFonts w:ascii="Times New Roman" w:eastAsia="Times New Roman" w:hAnsi="Times New Roman" w:cs="Times New Roman"/>
          <w:sz w:val="24"/>
          <w:szCs w:val="24"/>
          <w:lang w:eastAsia="lv-LV"/>
        </w:rPr>
      </w:pPr>
    </w:p>
    <w:p w:rsidR="00D74C59" w:rsidRDefault="00D74C5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74C59" w:rsidRDefault="00D74C59" w:rsidP="006B796E">
      <w:pPr>
        <w:widowControl w:val="0"/>
        <w:spacing w:after="0" w:line="240" w:lineRule="auto"/>
        <w:jc w:val="both"/>
        <w:rPr>
          <w:rFonts w:ascii="Times New Roman" w:eastAsia="Times New Roman" w:hAnsi="Times New Roman" w:cs="Times New Roman"/>
          <w:sz w:val="24"/>
          <w:szCs w:val="24"/>
          <w:lang w:eastAsia="lv-LV"/>
        </w:rPr>
      </w:pPr>
    </w:p>
    <w:tbl>
      <w:tblPr>
        <w:tblW w:w="5000" w:type="pct"/>
        <w:tblLook w:val="04A0" w:firstRow="1" w:lastRow="0" w:firstColumn="1" w:lastColumn="0" w:noHBand="0" w:noVBand="1"/>
      </w:tblPr>
      <w:tblGrid>
        <w:gridCol w:w="3099"/>
        <w:gridCol w:w="3022"/>
        <w:gridCol w:w="2950"/>
      </w:tblGrid>
      <w:tr w:rsidR="0034577A" w:rsidRPr="002F1BEE" w:rsidTr="00B7131B">
        <w:tc>
          <w:tcPr>
            <w:tcW w:w="1708" w:type="pct"/>
          </w:tcPr>
          <w:p w:rsidR="0034577A" w:rsidRPr="002F1BEE" w:rsidRDefault="0034577A" w:rsidP="00B7131B">
            <w:pPr>
              <w:pStyle w:val="Virsraksts9"/>
              <w:widowControl/>
              <w:kinsoku w:val="0"/>
              <w:overflowPunct w:val="0"/>
              <w:ind w:left="0"/>
              <w:jc w:val="center"/>
              <w:rPr>
                <w:rFonts w:ascii="Times New Roman" w:hAnsi="Times New Roman" w:cs="Times New Roman"/>
                <w:b w:val="0"/>
                <w:noProof/>
                <w:sz w:val="20"/>
                <w:szCs w:val="20"/>
                <w:lang w:val="en-US"/>
              </w:rPr>
            </w:pPr>
            <w:r w:rsidRPr="002F1BEE">
              <w:rPr>
                <w:rFonts w:ascii="Times New Roman" w:hAnsi="Times New Roman" w:cs="Times New Roman"/>
                <w:noProof/>
                <w:sz w:val="20"/>
                <w:szCs w:val="20"/>
                <w:lang w:val="en-US"/>
              </w:rPr>
              <w:object w:dxaOrig="3750" w:dyaOrig="3720">
                <v:shape id="_x0000_i1037" type="#_x0000_t75" style="width:137.2pt;height:135.85pt" o:ole="">
                  <v:imagedata r:id="rId17" o:title=""/>
                </v:shape>
                <o:OLEObject Type="Embed" ProgID="PBrush" ShapeID="_x0000_i1037" DrawAspect="Content" ObjectID="_1624471408" r:id="rId18"/>
              </w:object>
            </w:r>
          </w:p>
        </w:tc>
        <w:tc>
          <w:tcPr>
            <w:tcW w:w="1666" w:type="pct"/>
          </w:tcPr>
          <w:p w:rsidR="0034577A" w:rsidRPr="002F1BEE" w:rsidRDefault="0034577A" w:rsidP="00B7131B">
            <w:pPr>
              <w:pStyle w:val="Pamatteksts"/>
              <w:widowControl/>
              <w:kinsoku w:val="0"/>
              <w:overflowPunct w:val="0"/>
              <w:ind w:left="0"/>
              <w:jc w:val="center"/>
              <w:rPr>
                <w:noProof/>
                <w:sz w:val="20"/>
                <w:szCs w:val="20"/>
                <w:lang w:val="en-US"/>
              </w:rPr>
            </w:pPr>
            <w:r w:rsidRPr="002F1BEE">
              <w:rPr>
                <w:noProof/>
                <w:sz w:val="20"/>
                <w:szCs w:val="20"/>
                <w:lang w:val="en-US"/>
              </w:rPr>
              <w:object w:dxaOrig="3735" w:dyaOrig="3705">
                <v:shape id="_x0000_i1038" type="#_x0000_t75" style="width:134.5pt;height:133.15pt" o:ole="">
                  <v:imagedata r:id="rId19" o:title=""/>
                </v:shape>
                <o:OLEObject Type="Embed" ProgID="PBrush" ShapeID="_x0000_i1038" DrawAspect="Content" ObjectID="_1624471409" r:id="rId20"/>
              </w:object>
            </w:r>
          </w:p>
        </w:tc>
        <w:tc>
          <w:tcPr>
            <w:tcW w:w="1626" w:type="pct"/>
          </w:tcPr>
          <w:p w:rsidR="0034577A" w:rsidRPr="002F1BEE" w:rsidRDefault="0034577A" w:rsidP="00B7131B">
            <w:pPr>
              <w:pStyle w:val="Pamatteksts"/>
              <w:widowControl/>
              <w:kinsoku w:val="0"/>
              <w:overflowPunct w:val="0"/>
              <w:ind w:left="0"/>
              <w:jc w:val="center"/>
              <w:rPr>
                <w:noProof/>
                <w:sz w:val="20"/>
                <w:szCs w:val="20"/>
                <w:lang w:val="en-US"/>
              </w:rPr>
            </w:pPr>
          </w:p>
        </w:tc>
      </w:tr>
      <w:tr w:rsidR="0034577A" w:rsidRPr="002F1BEE" w:rsidTr="00D74C59">
        <w:trPr>
          <w:trHeight w:val="1134"/>
        </w:trPr>
        <w:tc>
          <w:tcPr>
            <w:tcW w:w="1708" w:type="pct"/>
          </w:tcPr>
          <w:p w:rsidR="0034577A"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Kādi lēmumi ir jāpieņem attiecībā uz bērniem, kas ir cilvēku tirdzniecības upuri</w:t>
            </w:r>
          </w:p>
          <w:p w:rsidR="00D74C59" w:rsidRPr="00D74C59" w:rsidRDefault="00D74C59" w:rsidP="004D1DD4">
            <w:pPr>
              <w:widowControl w:val="0"/>
              <w:spacing w:after="0" w:line="240" w:lineRule="auto"/>
              <w:jc w:val="both"/>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43. lappuse</w:t>
            </w:r>
          </w:p>
        </w:tc>
        <w:tc>
          <w:tcPr>
            <w:tcW w:w="1666" w:type="pct"/>
          </w:tcPr>
          <w:p w:rsidR="0034577A"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Priekšnosacījumi, lai pieņemtu galvenos lēmumus par bērniem, kas ir cilvēku tirdzniecības upuri</w:t>
            </w:r>
          </w:p>
          <w:p w:rsidR="00D74C59" w:rsidRPr="00D74C59" w:rsidRDefault="00D74C59" w:rsidP="004D1DD4">
            <w:pPr>
              <w:widowControl w:val="0"/>
              <w:spacing w:after="0" w:line="240" w:lineRule="auto"/>
              <w:jc w:val="both"/>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48. lappuse</w:t>
            </w:r>
          </w:p>
        </w:tc>
        <w:tc>
          <w:tcPr>
            <w:tcW w:w="1626" w:type="pct"/>
          </w:tcPr>
          <w:p w:rsidR="0034577A" w:rsidRPr="002F1BEE" w:rsidRDefault="0034577A" w:rsidP="00B7131B">
            <w:pPr>
              <w:pStyle w:val="Pamatteksts"/>
              <w:widowControl/>
              <w:kinsoku w:val="0"/>
              <w:overflowPunct w:val="0"/>
              <w:ind w:left="0"/>
              <w:jc w:val="both"/>
              <w:rPr>
                <w:noProof/>
                <w:sz w:val="20"/>
                <w:szCs w:val="20"/>
                <w:lang w:val="en-US"/>
              </w:rPr>
            </w:pPr>
          </w:p>
        </w:tc>
      </w:tr>
      <w:tr w:rsidR="0034577A" w:rsidRPr="002F1BEE" w:rsidTr="00B7131B">
        <w:tc>
          <w:tcPr>
            <w:tcW w:w="1708" w:type="pct"/>
          </w:tcPr>
          <w:p w:rsidR="0034577A" w:rsidRPr="002F1BEE" w:rsidRDefault="0034577A" w:rsidP="00B7131B">
            <w:pPr>
              <w:pStyle w:val="Pamatteksts"/>
              <w:widowControl/>
              <w:kinsoku w:val="0"/>
              <w:overflowPunct w:val="0"/>
              <w:ind w:left="0"/>
              <w:jc w:val="center"/>
              <w:rPr>
                <w:noProof/>
                <w:sz w:val="20"/>
                <w:szCs w:val="20"/>
                <w:lang w:val="en-US"/>
              </w:rPr>
            </w:pPr>
            <w:r w:rsidRPr="002F1BEE">
              <w:rPr>
                <w:noProof/>
                <w:sz w:val="20"/>
                <w:szCs w:val="20"/>
                <w:lang w:val="en-US"/>
              </w:rPr>
              <w:object w:dxaOrig="3780" w:dyaOrig="3675">
                <v:shape id="_x0000_i1039" type="#_x0000_t75" style="width:141.95pt;height:137.9pt" o:ole="">
                  <v:imagedata r:id="rId21" o:title=""/>
                </v:shape>
                <o:OLEObject Type="Embed" ProgID="PBrush" ShapeID="_x0000_i1039" DrawAspect="Content" ObjectID="_1624471410" r:id="rId22"/>
              </w:object>
            </w:r>
          </w:p>
        </w:tc>
        <w:tc>
          <w:tcPr>
            <w:tcW w:w="1666" w:type="pct"/>
          </w:tcPr>
          <w:p w:rsidR="0034577A" w:rsidRPr="002F1BEE" w:rsidRDefault="0034577A" w:rsidP="00B7131B">
            <w:pPr>
              <w:pStyle w:val="Pamatteksts"/>
              <w:widowControl/>
              <w:kinsoku w:val="0"/>
              <w:overflowPunct w:val="0"/>
              <w:ind w:left="0"/>
              <w:jc w:val="center"/>
              <w:rPr>
                <w:noProof/>
                <w:sz w:val="20"/>
                <w:szCs w:val="20"/>
                <w:lang w:val="en-US"/>
              </w:rPr>
            </w:pPr>
            <w:r w:rsidRPr="002F1BEE">
              <w:rPr>
                <w:noProof/>
                <w:sz w:val="20"/>
                <w:szCs w:val="20"/>
                <w:lang w:val="en-US"/>
              </w:rPr>
              <w:object w:dxaOrig="3750" w:dyaOrig="3660">
                <v:shape id="_x0000_i1040" type="#_x0000_t75" style="width:137.2pt;height:133.8pt" o:ole="">
                  <v:imagedata r:id="rId23" o:title=""/>
                </v:shape>
                <o:OLEObject Type="Embed" ProgID="PBrush" ShapeID="_x0000_i1040" DrawAspect="Content" ObjectID="_1624471411" r:id="rId24"/>
              </w:object>
            </w:r>
          </w:p>
        </w:tc>
        <w:tc>
          <w:tcPr>
            <w:tcW w:w="1626" w:type="pct"/>
          </w:tcPr>
          <w:p w:rsidR="0034577A" w:rsidRPr="002F1BEE" w:rsidRDefault="0034577A" w:rsidP="00B7131B">
            <w:pPr>
              <w:pStyle w:val="Pamatteksts"/>
              <w:widowControl/>
              <w:kinsoku w:val="0"/>
              <w:overflowPunct w:val="0"/>
              <w:ind w:left="0"/>
              <w:jc w:val="center"/>
              <w:rPr>
                <w:noProof/>
                <w:sz w:val="20"/>
                <w:szCs w:val="20"/>
                <w:lang w:val="en-US"/>
              </w:rPr>
            </w:pPr>
            <w:r w:rsidRPr="002F1BEE">
              <w:rPr>
                <w:noProof/>
                <w:sz w:val="20"/>
                <w:szCs w:val="20"/>
                <w:lang w:val="en-US"/>
              </w:rPr>
              <w:object w:dxaOrig="3780" w:dyaOrig="3690">
                <v:shape id="_x0000_i1041" type="#_x0000_t75" style="width:134.5pt;height:131.1pt" o:ole="">
                  <v:imagedata r:id="rId25" o:title=""/>
                </v:shape>
                <o:OLEObject Type="Embed" ProgID="PBrush" ShapeID="_x0000_i1041" DrawAspect="Content" ObjectID="_1624471412" r:id="rId26"/>
              </w:object>
            </w:r>
          </w:p>
        </w:tc>
      </w:tr>
      <w:tr w:rsidR="0034577A" w:rsidRPr="002F1BEE" w:rsidTr="00B7131B">
        <w:tc>
          <w:tcPr>
            <w:tcW w:w="1708" w:type="pct"/>
          </w:tcPr>
          <w:p w:rsidR="0034577A"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Lēmumu īstenošana par bērnu, kas ir cilvēku tirdzniecības upuri, atpakaļnosūtīšanu uz viņu izcelsmes vietu</w:t>
            </w:r>
          </w:p>
          <w:p w:rsidR="00644116" w:rsidRPr="00644116" w:rsidRDefault="00644116" w:rsidP="004D1DD4">
            <w:pPr>
              <w:widowControl w:val="0"/>
              <w:spacing w:after="0" w:line="240" w:lineRule="auto"/>
              <w:jc w:val="both"/>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82. lappuse</w:t>
            </w:r>
          </w:p>
        </w:tc>
        <w:tc>
          <w:tcPr>
            <w:tcW w:w="1666" w:type="pct"/>
          </w:tcPr>
          <w:p w:rsidR="0034577A"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Secinājumi un ieteikumi</w:t>
            </w:r>
          </w:p>
          <w:p w:rsidR="00644116" w:rsidRPr="00644116" w:rsidRDefault="00644116" w:rsidP="004D1DD4">
            <w:pPr>
              <w:widowControl w:val="0"/>
              <w:spacing w:after="0" w:line="240" w:lineRule="auto"/>
              <w:jc w:val="both"/>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91. lappuse</w:t>
            </w:r>
          </w:p>
        </w:tc>
        <w:tc>
          <w:tcPr>
            <w:tcW w:w="1626" w:type="pct"/>
          </w:tcPr>
          <w:p w:rsidR="004D1DD4" w:rsidRPr="002F1BEE"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1. pielikums</w:t>
            </w:r>
          </w:p>
          <w:p w:rsidR="004D1DD4"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32. pants divu līguma izpildes uzraudzības struktūru Kopīgajam vispārējam komentāram (2017) par bērnu cilvēktiesību vispārējiem principiem saistībā ar starptautisko migrāciju</w:t>
            </w:r>
          </w:p>
          <w:p w:rsidR="00644116" w:rsidRPr="00644116" w:rsidRDefault="00644116" w:rsidP="004D1DD4">
            <w:pPr>
              <w:widowControl w:val="0"/>
              <w:spacing w:after="0" w:line="240" w:lineRule="auto"/>
              <w:jc w:val="both"/>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95. lappuse</w:t>
            </w:r>
          </w:p>
          <w:p w:rsidR="004D1DD4" w:rsidRPr="002F1BEE"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p>
          <w:p w:rsidR="004D1DD4" w:rsidRPr="002F1BEE"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2. pielikums</w:t>
            </w:r>
          </w:p>
          <w:p w:rsidR="004D1DD4"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i/>
                <w:iCs/>
                <w:sz w:val="20"/>
                <w:szCs w:val="20"/>
                <w:lang w:eastAsia="lv-LV"/>
              </w:rPr>
              <w:t>UNICEF</w:t>
            </w:r>
            <w:r w:rsidRPr="002F1BEE">
              <w:rPr>
                <w:rFonts w:ascii="Times New Roman" w:eastAsia="Times New Roman" w:hAnsi="Times New Roman" w:cs="Times New Roman"/>
                <w:b/>
                <w:bCs/>
                <w:sz w:val="20"/>
                <w:szCs w:val="20"/>
                <w:lang w:eastAsia="lv-LV"/>
              </w:rPr>
              <w:t xml:space="preserve"> tipveida divpusējais nolīgums par sadarbību un savstarpēju juridisko palīdzību, nodrošinot bērnu aizsardzību pret pārrobežu cilvēku tirdzniecību</w:t>
            </w:r>
          </w:p>
          <w:p w:rsidR="00644116" w:rsidRPr="00644116" w:rsidRDefault="00644116" w:rsidP="004D1DD4">
            <w:pPr>
              <w:widowControl w:val="0"/>
              <w:spacing w:after="0" w:line="240" w:lineRule="auto"/>
              <w:jc w:val="both"/>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97. lappuse</w:t>
            </w:r>
          </w:p>
          <w:p w:rsidR="004D1DD4" w:rsidRPr="002F1BEE"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p>
          <w:p w:rsidR="004D1DD4" w:rsidRPr="002F1BEE" w:rsidRDefault="004D1DD4" w:rsidP="004D1DD4">
            <w:pPr>
              <w:widowControl w:val="0"/>
              <w:spacing w:after="0" w:line="240" w:lineRule="auto"/>
              <w:jc w:val="both"/>
              <w:rPr>
                <w:rFonts w:ascii="Times New Roman" w:eastAsia="Times New Roman" w:hAnsi="Times New Roman" w:cs="Times New Roman"/>
                <w:b/>
                <w:bCs/>
                <w:sz w:val="20"/>
                <w:szCs w:val="20"/>
                <w:lang w:eastAsia="lv-LV"/>
              </w:rPr>
            </w:pPr>
            <w:r w:rsidRPr="002F1BEE">
              <w:rPr>
                <w:rFonts w:ascii="Times New Roman" w:eastAsia="Times New Roman" w:hAnsi="Times New Roman" w:cs="Times New Roman"/>
                <w:b/>
                <w:bCs/>
                <w:sz w:val="20"/>
                <w:szCs w:val="20"/>
                <w:lang w:eastAsia="lv-LV"/>
              </w:rPr>
              <w:t>Atsauces</w:t>
            </w:r>
          </w:p>
          <w:p w:rsidR="0034577A" w:rsidRPr="002F1BEE" w:rsidRDefault="00644116" w:rsidP="00B7131B">
            <w:pPr>
              <w:pStyle w:val="Pamatteksts"/>
              <w:widowControl/>
              <w:kinsoku w:val="0"/>
              <w:overflowPunct w:val="0"/>
              <w:ind w:left="0"/>
              <w:jc w:val="both"/>
              <w:rPr>
                <w:noProof/>
                <w:sz w:val="20"/>
                <w:szCs w:val="20"/>
                <w:lang w:val="en-US"/>
              </w:rPr>
            </w:pPr>
            <w:r>
              <w:rPr>
                <w:noProof/>
                <w:sz w:val="20"/>
                <w:szCs w:val="20"/>
                <w:lang w:val="en-US"/>
              </w:rPr>
              <w:t>98. lappuse</w:t>
            </w:r>
          </w:p>
        </w:tc>
      </w:tr>
    </w:tbl>
    <w:p w:rsidR="0034577A" w:rsidRDefault="0034577A" w:rsidP="006B796E">
      <w:pPr>
        <w:widowControl w:val="0"/>
        <w:spacing w:after="0" w:line="240" w:lineRule="auto"/>
        <w:jc w:val="both"/>
        <w:rPr>
          <w:rFonts w:ascii="Times New Roman" w:eastAsia="Times New Roman" w:hAnsi="Times New Roman" w:cs="Times New Roman"/>
          <w:sz w:val="24"/>
          <w:szCs w:val="24"/>
          <w:lang w:eastAsia="lv-LV"/>
        </w:rPr>
      </w:pPr>
    </w:p>
    <w:p w:rsidR="0034577A" w:rsidRDefault="0034577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F253CE" w:rsidRDefault="00D6592D" w:rsidP="006B796E">
      <w:pPr>
        <w:widowControl w:val="0"/>
        <w:spacing w:after="0" w:line="240" w:lineRule="auto"/>
        <w:jc w:val="both"/>
        <w:rPr>
          <w:rFonts w:ascii="Times New Roman" w:eastAsia="Times New Roman" w:hAnsi="Times New Roman" w:cs="Times New Roman"/>
          <w:sz w:val="28"/>
          <w:szCs w:val="24"/>
          <w:lang w:eastAsia="lv-LV"/>
        </w:rPr>
      </w:pPr>
      <w:r w:rsidRPr="00F253CE">
        <w:rPr>
          <w:rFonts w:ascii="Times New Roman" w:eastAsia="Times New Roman" w:hAnsi="Times New Roman" w:cs="Times New Roman"/>
          <w:sz w:val="28"/>
          <w:szCs w:val="24"/>
          <w:lang w:eastAsia="lv-LV"/>
        </w:rPr>
        <w:lastRenderedPageBreak/>
        <w:t>Akronīmu saraksts</w:t>
      </w:r>
    </w:p>
    <w:p w:rsidR="00FB3EA0" w:rsidRDefault="00FB3EA0" w:rsidP="006B796E">
      <w:pPr>
        <w:widowControl w:val="0"/>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60"/>
        <w:gridCol w:w="7401"/>
      </w:tblGrid>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sz w:val="24"/>
                <w:szCs w:val="24"/>
              </w:rPr>
              <w:t>AK</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Lielbritānijas un Ziemeļīrijas Apvienotā Karaliste</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sz w:val="24"/>
                <w:szCs w:val="24"/>
              </w:rPr>
              <w:t>ANO</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Apvienoto Nāciju Organizācija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sz w:val="24"/>
                <w:szCs w:val="24"/>
              </w:rPr>
              <w:t>ASV</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Amerikas Savienotās Valstis</w:t>
            </w:r>
          </w:p>
        </w:tc>
      </w:tr>
      <w:tr w:rsidR="003A543D" w:rsidRPr="000E2D02" w:rsidTr="00FB3EA0">
        <w:tc>
          <w:tcPr>
            <w:tcW w:w="916" w:type="pct"/>
          </w:tcPr>
          <w:p w:rsidR="003A543D" w:rsidRPr="00FB3EA0" w:rsidRDefault="003A543D" w:rsidP="00B7131B">
            <w:pPr>
              <w:pStyle w:val="Pamatteksts"/>
              <w:widowControl/>
              <w:kinsoku w:val="0"/>
              <w:overflowPunct w:val="0"/>
              <w:ind w:left="0"/>
              <w:jc w:val="both"/>
              <w:rPr>
                <w:b/>
                <w:i/>
                <w:noProof/>
                <w:sz w:val="24"/>
                <w:szCs w:val="24"/>
                <w:lang w:val="en-US"/>
              </w:rPr>
            </w:pPr>
            <w:r w:rsidRPr="00FB3EA0">
              <w:rPr>
                <w:b/>
                <w:i/>
                <w:noProof/>
                <w:sz w:val="24"/>
                <w:szCs w:val="24"/>
                <w:lang w:val="en-US"/>
              </w:rPr>
              <w:t>BIA</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Interešu novērtējums</w:t>
            </w:r>
          </w:p>
        </w:tc>
      </w:tr>
      <w:tr w:rsidR="003A543D" w:rsidRPr="000E2D02" w:rsidTr="00FB3EA0">
        <w:tc>
          <w:tcPr>
            <w:tcW w:w="916" w:type="pct"/>
          </w:tcPr>
          <w:p w:rsidR="003A543D" w:rsidRPr="00FB3EA0" w:rsidRDefault="003A543D" w:rsidP="00B7131B">
            <w:pPr>
              <w:pStyle w:val="Pamatteksts"/>
              <w:widowControl/>
              <w:kinsoku w:val="0"/>
              <w:overflowPunct w:val="0"/>
              <w:ind w:left="0"/>
              <w:jc w:val="both"/>
              <w:rPr>
                <w:b/>
                <w:i/>
                <w:noProof/>
                <w:sz w:val="24"/>
                <w:szCs w:val="24"/>
                <w:lang w:val="en-US"/>
              </w:rPr>
            </w:pPr>
            <w:r w:rsidRPr="00FB3EA0">
              <w:rPr>
                <w:b/>
                <w:i/>
                <w:noProof/>
                <w:sz w:val="24"/>
                <w:szCs w:val="24"/>
                <w:lang w:val="en-US"/>
              </w:rPr>
              <w:t>BID</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Interešu noteikšana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noProof/>
                <w:sz w:val="24"/>
                <w:szCs w:val="24"/>
                <w:lang w:val="en-US"/>
              </w:rPr>
            </w:pPr>
            <w:r w:rsidRPr="006B796E">
              <w:rPr>
                <w:b/>
                <w:bCs/>
                <w:sz w:val="24"/>
                <w:szCs w:val="24"/>
              </w:rPr>
              <w:t>BTK</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ANO Bērnu tiesību konvencija (1989)</w:t>
            </w:r>
          </w:p>
        </w:tc>
      </w:tr>
      <w:tr w:rsidR="003A543D" w:rsidRPr="000E2D02" w:rsidTr="00FB3EA0">
        <w:tc>
          <w:tcPr>
            <w:tcW w:w="916" w:type="pct"/>
          </w:tcPr>
          <w:p w:rsidR="003A543D" w:rsidRPr="00FB3EA0" w:rsidRDefault="003A543D" w:rsidP="00B7131B">
            <w:pPr>
              <w:pStyle w:val="Pamatteksts"/>
              <w:widowControl/>
              <w:kinsoku w:val="0"/>
              <w:overflowPunct w:val="0"/>
              <w:ind w:left="0"/>
              <w:jc w:val="both"/>
              <w:rPr>
                <w:b/>
                <w:i/>
                <w:noProof/>
                <w:sz w:val="24"/>
                <w:szCs w:val="24"/>
                <w:lang w:val="en-US"/>
              </w:rPr>
            </w:pPr>
            <w:r w:rsidRPr="00FB3EA0">
              <w:rPr>
                <w:b/>
                <w:i/>
                <w:noProof/>
                <w:sz w:val="24"/>
                <w:szCs w:val="24"/>
                <w:lang w:val="en-US"/>
              </w:rPr>
              <w:t>CPU</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Bērnu aizsardzības vienība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sz w:val="24"/>
                <w:szCs w:val="24"/>
              </w:rPr>
              <w:t>CT</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Cilvēku tirdzniecība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sz w:val="24"/>
                <w:szCs w:val="24"/>
              </w:rPr>
              <w:t>EDSO</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Eiropas Drošības un sadarbības organizācija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noProof/>
                <w:sz w:val="24"/>
                <w:szCs w:val="24"/>
                <w:lang w:val="en-US"/>
              </w:rPr>
            </w:pPr>
            <w:r w:rsidRPr="006B796E">
              <w:rPr>
                <w:b/>
                <w:bCs/>
                <w:sz w:val="24"/>
                <w:szCs w:val="24"/>
              </w:rPr>
              <w:t>ES</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Eiropas Savienība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noProof/>
                <w:sz w:val="24"/>
                <w:szCs w:val="24"/>
                <w:lang w:val="en-US"/>
              </w:rPr>
            </w:pPr>
            <w:r w:rsidRPr="006B796E">
              <w:rPr>
                <w:b/>
                <w:bCs/>
                <w:i/>
                <w:iCs/>
                <w:sz w:val="24"/>
                <w:szCs w:val="24"/>
              </w:rPr>
              <w:t>GRETA</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Eiropas Padomes Ekspertu darbības grupa pret cilvēku tirdzniecību (līguma izpildes uzraudzības struktūra)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noProof/>
                <w:sz w:val="24"/>
                <w:szCs w:val="24"/>
                <w:lang w:val="en-US"/>
              </w:rPr>
            </w:pPr>
            <w:r w:rsidRPr="006B796E">
              <w:rPr>
                <w:b/>
                <w:bCs/>
                <w:i/>
                <w:iCs/>
                <w:sz w:val="24"/>
                <w:szCs w:val="24"/>
              </w:rPr>
              <w:t>ICMPD</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Starptautiskais Migrācijas politikas attīstības centrs</w:t>
            </w:r>
          </w:p>
        </w:tc>
      </w:tr>
      <w:tr w:rsidR="003A543D" w:rsidRPr="000E2D02" w:rsidTr="00FB3EA0">
        <w:tc>
          <w:tcPr>
            <w:tcW w:w="916" w:type="pct"/>
          </w:tcPr>
          <w:p w:rsidR="003A543D" w:rsidRPr="00FB3EA0" w:rsidRDefault="003A543D" w:rsidP="00B7131B">
            <w:pPr>
              <w:pStyle w:val="Pamatteksts"/>
              <w:widowControl/>
              <w:kinsoku w:val="0"/>
              <w:overflowPunct w:val="0"/>
              <w:ind w:left="0"/>
              <w:jc w:val="both"/>
              <w:rPr>
                <w:b/>
                <w:i/>
                <w:noProof/>
                <w:sz w:val="24"/>
                <w:szCs w:val="24"/>
                <w:lang w:val="en-US"/>
              </w:rPr>
            </w:pPr>
            <w:r w:rsidRPr="00FB3EA0">
              <w:rPr>
                <w:b/>
                <w:i/>
                <w:noProof/>
                <w:sz w:val="24"/>
                <w:szCs w:val="24"/>
                <w:lang w:val="en-US"/>
              </w:rPr>
              <w:t>ILO</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Starptautiskā Darba organizācija (un Starptautiskais Darba birojs)</w:t>
            </w:r>
          </w:p>
        </w:tc>
      </w:tr>
      <w:tr w:rsidR="003A543D" w:rsidRPr="000E2D02" w:rsidTr="00FB3EA0">
        <w:tc>
          <w:tcPr>
            <w:tcW w:w="916" w:type="pct"/>
          </w:tcPr>
          <w:p w:rsidR="003A543D" w:rsidRPr="00FB3EA0" w:rsidRDefault="003A543D" w:rsidP="00B7131B">
            <w:pPr>
              <w:pStyle w:val="Virsraksts9"/>
              <w:widowControl/>
              <w:kinsoku w:val="0"/>
              <w:overflowPunct w:val="0"/>
              <w:ind w:left="0"/>
              <w:jc w:val="both"/>
              <w:rPr>
                <w:rFonts w:ascii="Times New Roman" w:hAnsi="Times New Roman" w:cs="Times New Roman"/>
                <w:i/>
                <w:noProof/>
                <w:sz w:val="24"/>
                <w:szCs w:val="24"/>
                <w:lang w:val="en-US"/>
              </w:rPr>
            </w:pPr>
            <w:r w:rsidRPr="00FB3EA0">
              <w:rPr>
                <w:rFonts w:ascii="Times New Roman" w:hAnsi="Times New Roman" w:cs="Times New Roman"/>
                <w:i/>
                <w:noProof/>
                <w:sz w:val="24"/>
                <w:szCs w:val="24"/>
                <w:lang w:val="en-US"/>
              </w:rPr>
              <w:t>IOM</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Starptautiskā Migrācijas organizācija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sz w:val="24"/>
                <w:szCs w:val="24"/>
              </w:rPr>
              <w:t>Lansarotes konvencija</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Eiropas Padomes Konvencija par bērnu aizsardzību pret seksuālu izmantošanu un seksuālu vardarbību</w:t>
            </w:r>
          </w:p>
        </w:tc>
      </w:tr>
      <w:tr w:rsidR="003A543D" w:rsidRPr="000E2D02" w:rsidTr="00FB3EA0">
        <w:tc>
          <w:tcPr>
            <w:tcW w:w="916" w:type="pct"/>
          </w:tcPr>
          <w:p w:rsidR="003A543D" w:rsidRPr="00FB3EA0" w:rsidRDefault="003A543D" w:rsidP="00B7131B">
            <w:pPr>
              <w:pStyle w:val="Pamatteksts"/>
              <w:widowControl/>
              <w:kinsoku w:val="0"/>
              <w:overflowPunct w:val="0"/>
              <w:ind w:left="0"/>
              <w:jc w:val="both"/>
              <w:rPr>
                <w:b/>
                <w:bCs/>
                <w:i/>
                <w:noProof/>
                <w:sz w:val="24"/>
                <w:szCs w:val="24"/>
                <w:lang w:val="en-US"/>
              </w:rPr>
            </w:pPr>
            <w:r w:rsidRPr="00FB3EA0">
              <w:rPr>
                <w:b/>
                <w:bCs/>
                <w:i/>
                <w:noProof/>
                <w:sz w:val="24"/>
                <w:szCs w:val="24"/>
                <w:lang w:val="en-US"/>
              </w:rPr>
              <w:t>NRM</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Nacionālais mehānisms cietušo nosūtīšanai</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sz w:val="24"/>
                <w:szCs w:val="24"/>
              </w:rPr>
              <w:t>NVO</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Nevalstiska organizācija</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noProof/>
                <w:sz w:val="24"/>
                <w:szCs w:val="24"/>
                <w:lang w:val="en-US"/>
              </w:rPr>
            </w:pPr>
            <w:r w:rsidRPr="006B796E">
              <w:rPr>
                <w:b/>
                <w:bCs/>
                <w:sz w:val="24"/>
                <w:szCs w:val="24"/>
              </w:rPr>
              <w:t>NVS</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Neatkarīgo Valstu Sadraudzība</w:t>
            </w:r>
          </w:p>
        </w:tc>
      </w:tr>
      <w:tr w:rsidR="003A543D" w:rsidRPr="000E2D02" w:rsidTr="00FB3EA0">
        <w:tc>
          <w:tcPr>
            <w:tcW w:w="916" w:type="pct"/>
          </w:tcPr>
          <w:p w:rsidR="003A543D" w:rsidRPr="00FB3EA0" w:rsidRDefault="003A543D" w:rsidP="00B7131B">
            <w:pPr>
              <w:pStyle w:val="Pamatteksts"/>
              <w:widowControl/>
              <w:kinsoku w:val="0"/>
              <w:overflowPunct w:val="0"/>
              <w:ind w:left="0"/>
              <w:jc w:val="both"/>
              <w:rPr>
                <w:b/>
                <w:bCs/>
                <w:i/>
                <w:noProof/>
                <w:sz w:val="24"/>
                <w:szCs w:val="24"/>
                <w:lang w:val="en-US"/>
              </w:rPr>
            </w:pPr>
            <w:r w:rsidRPr="00FB3EA0">
              <w:rPr>
                <w:b/>
                <w:bCs/>
                <w:i/>
                <w:noProof/>
                <w:sz w:val="24"/>
                <w:szCs w:val="24"/>
                <w:lang w:val="en-US"/>
              </w:rPr>
              <w:t>ODIHR</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EDSO Demokrātisku iestāžu un cilvēktiesību birojs</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i/>
                <w:iCs/>
                <w:sz w:val="24"/>
                <w:szCs w:val="24"/>
              </w:rPr>
              <w:t>OSR/CTHB</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EDSO Cilvēku tirdzniecības apkarošanas īpašā pārstāvja un koordinatora birojs</w:t>
            </w:r>
          </w:p>
        </w:tc>
      </w:tr>
      <w:tr w:rsidR="003A543D" w:rsidRPr="000E2D02" w:rsidTr="00FB3EA0">
        <w:tc>
          <w:tcPr>
            <w:tcW w:w="916" w:type="pct"/>
          </w:tcPr>
          <w:p w:rsidR="003A543D" w:rsidRPr="00FB3EA0" w:rsidRDefault="003A543D" w:rsidP="00B7131B">
            <w:pPr>
              <w:pStyle w:val="Pamatteksts"/>
              <w:widowControl/>
              <w:kinsoku w:val="0"/>
              <w:overflowPunct w:val="0"/>
              <w:ind w:left="0"/>
              <w:jc w:val="both"/>
              <w:rPr>
                <w:b/>
                <w:bCs/>
                <w:i/>
                <w:noProof/>
                <w:sz w:val="24"/>
                <w:szCs w:val="24"/>
                <w:lang w:val="en-US"/>
              </w:rPr>
            </w:pPr>
            <w:r w:rsidRPr="00FB3EA0">
              <w:rPr>
                <w:b/>
                <w:bCs/>
                <w:i/>
                <w:noProof/>
                <w:sz w:val="24"/>
                <w:szCs w:val="24"/>
                <w:lang w:val="en-US"/>
              </w:rPr>
              <w:t>RCM</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Reģionālā konference migrācijas jautājumos</w:t>
            </w:r>
          </w:p>
        </w:tc>
      </w:tr>
      <w:tr w:rsidR="003A543D" w:rsidRPr="000E2D02" w:rsidTr="00FB3EA0">
        <w:tc>
          <w:tcPr>
            <w:tcW w:w="916" w:type="pct"/>
          </w:tcPr>
          <w:p w:rsidR="003A543D" w:rsidRPr="00FB3EA0" w:rsidRDefault="003A543D" w:rsidP="00B7131B">
            <w:pPr>
              <w:pStyle w:val="Pamatteksts"/>
              <w:widowControl/>
              <w:kinsoku w:val="0"/>
              <w:overflowPunct w:val="0"/>
              <w:ind w:left="0"/>
              <w:jc w:val="both"/>
              <w:rPr>
                <w:b/>
                <w:bCs/>
                <w:i/>
                <w:noProof/>
                <w:sz w:val="24"/>
                <w:szCs w:val="24"/>
                <w:lang w:val="en-US"/>
              </w:rPr>
            </w:pPr>
            <w:r w:rsidRPr="006B796E">
              <w:rPr>
                <w:b/>
                <w:bCs/>
                <w:i/>
                <w:iCs/>
                <w:sz w:val="24"/>
                <w:szCs w:val="24"/>
              </w:rPr>
              <w:t>SR/CTHB</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EDSO Cilvēku tirdzniecības apkarošanas īpašais pārstāvis un koordinators</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i/>
                <w:iCs/>
                <w:sz w:val="24"/>
                <w:szCs w:val="24"/>
              </w:rPr>
              <w:t>UNHCR</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ANO augstais komisārs bēgļu jautājumos</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i/>
                <w:iCs/>
                <w:sz w:val="24"/>
                <w:szCs w:val="24"/>
              </w:rPr>
              <w:t>UNICEF</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ANO Bērnu fonds</w:t>
            </w:r>
          </w:p>
        </w:tc>
      </w:tr>
      <w:tr w:rsidR="003A543D" w:rsidRPr="000E2D02" w:rsidTr="00FB3EA0">
        <w:tc>
          <w:tcPr>
            <w:tcW w:w="916" w:type="pct"/>
          </w:tcPr>
          <w:p w:rsidR="003A543D" w:rsidRPr="000E2D02" w:rsidRDefault="003A543D" w:rsidP="00B7131B">
            <w:pPr>
              <w:pStyle w:val="Pamatteksts"/>
              <w:widowControl/>
              <w:kinsoku w:val="0"/>
              <w:overflowPunct w:val="0"/>
              <w:ind w:left="0"/>
              <w:jc w:val="both"/>
              <w:rPr>
                <w:b/>
                <w:bCs/>
                <w:noProof/>
                <w:sz w:val="24"/>
                <w:szCs w:val="24"/>
                <w:lang w:val="en-US"/>
              </w:rPr>
            </w:pPr>
            <w:r w:rsidRPr="006B796E">
              <w:rPr>
                <w:b/>
                <w:bCs/>
                <w:sz w:val="24"/>
                <w:szCs w:val="24"/>
              </w:rPr>
              <w:t>Varšavas konvencija</w:t>
            </w:r>
          </w:p>
        </w:tc>
        <w:tc>
          <w:tcPr>
            <w:tcW w:w="4084" w:type="pct"/>
          </w:tcPr>
          <w:p w:rsidR="003A543D" w:rsidRPr="000E2D02" w:rsidRDefault="003A543D" w:rsidP="00B7131B">
            <w:pPr>
              <w:pStyle w:val="Pamatteksts"/>
              <w:widowControl/>
              <w:kinsoku w:val="0"/>
              <w:overflowPunct w:val="0"/>
              <w:ind w:left="0"/>
              <w:jc w:val="both"/>
              <w:rPr>
                <w:noProof/>
                <w:sz w:val="24"/>
                <w:szCs w:val="24"/>
                <w:lang w:val="en-US"/>
              </w:rPr>
            </w:pPr>
            <w:r w:rsidRPr="006B796E">
              <w:rPr>
                <w:sz w:val="24"/>
                <w:szCs w:val="24"/>
              </w:rPr>
              <w:t>Eiropas Padomes Konvencija par cīņu pret cilvēku tirdzniecību</w:t>
            </w:r>
          </w:p>
        </w:tc>
      </w:tr>
    </w:tbl>
    <w:p w:rsidR="00FB3EA0" w:rsidRDefault="00FB3EA0" w:rsidP="006B796E">
      <w:pPr>
        <w:widowControl w:val="0"/>
        <w:spacing w:after="0" w:line="240" w:lineRule="auto"/>
        <w:jc w:val="both"/>
        <w:rPr>
          <w:rFonts w:ascii="Times New Roman" w:eastAsia="Times New Roman" w:hAnsi="Times New Roman" w:cs="Times New Roman"/>
          <w:sz w:val="24"/>
          <w:szCs w:val="24"/>
          <w:lang w:eastAsia="lv-LV"/>
        </w:rPr>
      </w:pPr>
    </w:p>
    <w:p w:rsidR="003A543D" w:rsidRDefault="003A543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F253CE" w:rsidRDefault="00D6592D" w:rsidP="006B796E">
      <w:pPr>
        <w:widowControl w:val="0"/>
        <w:spacing w:after="0" w:line="240" w:lineRule="auto"/>
        <w:jc w:val="both"/>
        <w:rPr>
          <w:rFonts w:ascii="Times New Roman" w:eastAsia="Times New Roman" w:hAnsi="Times New Roman" w:cs="Times New Roman"/>
          <w:sz w:val="28"/>
          <w:szCs w:val="24"/>
          <w:lang w:eastAsia="lv-LV"/>
        </w:rPr>
      </w:pPr>
      <w:r w:rsidRPr="00F253CE">
        <w:rPr>
          <w:rFonts w:ascii="Times New Roman" w:eastAsia="Times New Roman" w:hAnsi="Times New Roman" w:cs="Times New Roman"/>
          <w:sz w:val="28"/>
          <w:szCs w:val="24"/>
          <w:lang w:eastAsia="lv-LV"/>
        </w:rPr>
        <w:lastRenderedPageBreak/>
        <w:t>Glosārijs</w:t>
      </w:r>
    </w:p>
    <w:p w:rsidR="003A543D" w:rsidRDefault="003A543D" w:rsidP="006B796E">
      <w:pPr>
        <w:widowControl w:val="0"/>
        <w:spacing w:after="0" w:line="240" w:lineRule="auto"/>
        <w:jc w:val="both"/>
        <w:rPr>
          <w:rFonts w:ascii="Times New Roman" w:eastAsia="Times New Roman" w:hAnsi="Times New Roman" w:cs="Times New Roman"/>
          <w:sz w:val="24"/>
          <w:szCs w:val="24"/>
          <w:lang w:eastAsia="lv-LV"/>
        </w:rPr>
      </w:pPr>
    </w:p>
    <w:tbl>
      <w:tblPr>
        <w:tblW w:w="0" w:type="auto"/>
        <w:tblCellMar>
          <w:top w:w="28" w:type="dxa"/>
          <w:left w:w="28" w:type="dxa"/>
          <w:bottom w:w="28" w:type="dxa"/>
          <w:right w:w="28" w:type="dxa"/>
        </w:tblCellMar>
        <w:tblLook w:val="04A0" w:firstRow="1" w:lastRow="0" w:firstColumn="1" w:lastColumn="0" w:noHBand="0" w:noVBand="1"/>
      </w:tblPr>
      <w:tblGrid>
        <w:gridCol w:w="2785"/>
        <w:gridCol w:w="6286"/>
      </w:tblGrid>
      <w:tr w:rsidR="004B7F17" w:rsidRPr="004B7F17" w:rsidTr="00B7131B">
        <w:tc>
          <w:tcPr>
            <w:tcW w:w="2802" w:type="dxa"/>
          </w:tcPr>
          <w:p w:rsidR="004B7F17" w:rsidRPr="004B7F17" w:rsidRDefault="004B7F17" w:rsidP="00B7131B">
            <w:pPr>
              <w:pStyle w:val="Virsraksts9"/>
              <w:widowControl/>
              <w:kinsoku w:val="0"/>
              <w:overflowPunct w:val="0"/>
              <w:ind w:left="0"/>
              <w:jc w:val="both"/>
              <w:rPr>
                <w:rFonts w:ascii="Times New Roman" w:hAnsi="Times New Roman" w:cs="Times New Roman"/>
                <w:noProof/>
                <w:sz w:val="24"/>
                <w:szCs w:val="24"/>
                <w:lang w:val="en-US"/>
              </w:rPr>
            </w:pPr>
            <w:r w:rsidRPr="004B7F17">
              <w:rPr>
                <w:rFonts w:ascii="Times New Roman" w:hAnsi="Times New Roman" w:cs="Times New Roman"/>
                <w:bCs w:val="0"/>
                <w:sz w:val="24"/>
                <w:szCs w:val="24"/>
              </w:rPr>
              <w:t>Vardarbība (pret bērnu)</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Apzināta vai nejauša darbība vai bezdarbība, kuras rezultātā ir nodarīts vai varētu būt nodarīts būtisks kaitējums bērna labklājībai vai attīstībai. Ir četras vardarbības pamatkategorijas – fiziskā, seksuālā, emocionālā (dažkārt saukta psiholoģiskā) vardarbība un nolaidība. Sk. ANO Civilizāciju alianses (</w:t>
            </w:r>
            <w:r w:rsidRPr="004B7F17">
              <w:rPr>
                <w:rFonts w:ascii="Times New Roman" w:eastAsia="Times New Roman" w:hAnsi="Times New Roman" w:cs="Times New Roman"/>
                <w:i/>
                <w:iCs/>
                <w:sz w:val="24"/>
                <w:szCs w:val="24"/>
                <w:lang w:eastAsia="lv-LV"/>
              </w:rPr>
              <w:t>UNAOC</w:t>
            </w:r>
            <w:r w:rsidRPr="004B7F17">
              <w:rPr>
                <w:rFonts w:ascii="Times New Roman" w:eastAsia="Times New Roman" w:hAnsi="Times New Roman" w:cs="Times New Roman"/>
                <w:sz w:val="24"/>
                <w:szCs w:val="24"/>
                <w:lang w:eastAsia="lv-LV"/>
              </w:rPr>
              <w:t xml:space="preserve">) un </w:t>
            </w:r>
            <w:r w:rsidRPr="004B7F17">
              <w:rPr>
                <w:rFonts w:ascii="Times New Roman" w:eastAsia="Times New Roman" w:hAnsi="Times New Roman" w:cs="Times New Roman"/>
                <w:i/>
                <w:iCs/>
                <w:sz w:val="24"/>
                <w:szCs w:val="24"/>
                <w:lang w:eastAsia="lv-LV"/>
              </w:rPr>
              <w:t>Panos Europe</w:t>
            </w:r>
            <w:r w:rsidRPr="004B7F17">
              <w:rPr>
                <w:rFonts w:ascii="Times New Roman" w:eastAsia="Times New Roman" w:hAnsi="Times New Roman" w:cs="Times New Roman"/>
                <w:sz w:val="24"/>
                <w:szCs w:val="24"/>
                <w:lang w:eastAsia="lv-LV"/>
              </w:rPr>
              <w:t xml:space="preserve"> bukletu “Medijiem draudzīgs glosārijs par migrāciju” [</w:t>
            </w:r>
            <w:r w:rsidRPr="004B7F17">
              <w:rPr>
                <w:rFonts w:ascii="Times New Roman" w:eastAsia="Times New Roman" w:hAnsi="Times New Roman" w:cs="Times New Roman"/>
                <w:i/>
                <w:iCs/>
                <w:sz w:val="24"/>
                <w:szCs w:val="24"/>
                <w:lang w:eastAsia="lv-LV"/>
              </w:rPr>
              <w:t>Media-Friendly Glossary on Migration</w:t>
            </w:r>
            <w:r w:rsidRPr="004B7F17">
              <w:rPr>
                <w:rFonts w:ascii="Times New Roman" w:eastAsia="Times New Roman" w:hAnsi="Times New Roman" w:cs="Times New Roman"/>
                <w:sz w:val="24"/>
                <w:szCs w:val="24"/>
                <w:lang w:eastAsia="lv-LV"/>
              </w:rPr>
              <w:t>] (2014).</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Aizsardzība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Visas darbības, kuru mērķis ir panākt, ka tiek pilnībā ievērotas personas tiesības saskaņā ar attiecīgo tiesību aktu burtu un garu (t. i., saskaņā ar starptautiskajām cilvēktiesībām, starptautiskajām humanitārajām tiesībām, [un] starptautiskajām bēgļu tiesībām). Sk. Starpaģentūru pastāvīgās komitejas dokumentu “Aizsardzības politika humānās palīdzības darbībās” [</w:t>
            </w:r>
            <w:r w:rsidRPr="004B7F17">
              <w:rPr>
                <w:rFonts w:ascii="Times New Roman" w:eastAsia="Times New Roman" w:hAnsi="Times New Roman" w:cs="Times New Roman"/>
                <w:i/>
                <w:iCs/>
                <w:sz w:val="24"/>
                <w:szCs w:val="24"/>
                <w:lang w:eastAsia="lv-LV"/>
              </w:rPr>
              <w:t>Policy on Protection in Humanitarian Action</w:t>
            </w:r>
            <w:r w:rsidRPr="004B7F17">
              <w:rPr>
                <w:rFonts w:ascii="Times New Roman" w:eastAsia="Times New Roman" w:hAnsi="Times New Roman" w:cs="Times New Roman"/>
                <w:sz w:val="24"/>
                <w:szCs w:val="24"/>
                <w:lang w:eastAsia="lv-LV"/>
              </w:rPr>
              <w:t>] (2016). Kādu aizsargāt nozīmē atzīt, ka personai ir tiesības un ka iestādēm, kas īsteno varu attiecībā uz šo personu, ir pienākumi, kas ir saistības. Sk. arī “bērnu aizsardzība”.</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Atpakaļnosūtīšana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Saistībā ar cilvēku tirdzniecību šis termins attiecas uz cilvēku tirdzniecības upuru atpakaļnosūtīšanu no valsts, kurā tie tika identificēti par cilvēku tirdzniecībā cietušajiem, uz savu izcelsmes valsti. Šis process var būt brīvprātīgs, piespiedu kārtā ar atbalsta sniegšanu un pat piespiedu kārtā bez atbalsta sniegšanas. Sk. </w:t>
            </w:r>
            <w:r w:rsidRPr="004B7F17">
              <w:rPr>
                <w:rFonts w:ascii="Times New Roman" w:eastAsia="Times New Roman" w:hAnsi="Times New Roman" w:cs="Times New Roman"/>
                <w:i/>
                <w:iCs/>
                <w:sz w:val="24"/>
                <w:szCs w:val="24"/>
                <w:lang w:eastAsia="lv-LV"/>
              </w:rPr>
              <w:t>ODIHR</w:t>
            </w:r>
            <w:r w:rsidRPr="004B7F17">
              <w:rPr>
                <w:rFonts w:ascii="Times New Roman" w:eastAsia="Times New Roman" w:hAnsi="Times New Roman" w:cs="Times New Roman"/>
                <w:sz w:val="24"/>
                <w:szCs w:val="24"/>
                <w:lang w:eastAsia="lv-LV"/>
              </w:rPr>
              <w:t>, Cilvēktiesību pamatprincipi attiecībā uz cilvēku tirdzniecības upuru atpakaļnosūtīšanu [</w:t>
            </w:r>
            <w:r w:rsidRPr="004B7F17">
              <w:rPr>
                <w:rFonts w:ascii="Times New Roman" w:eastAsia="Times New Roman" w:hAnsi="Times New Roman" w:cs="Times New Roman"/>
                <w:i/>
                <w:iCs/>
                <w:sz w:val="24"/>
                <w:szCs w:val="24"/>
                <w:lang w:eastAsia="lv-LV"/>
              </w:rPr>
              <w:t>ODIHR, Guiding Principles on Human Rights in the Return of Trafficked Persons</w:t>
            </w:r>
            <w:r w:rsidRPr="004B7F17">
              <w:rPr>
                <w:rFonts w:ascii="Times New Roman" w:eastAsia="Times New Roman" w:hAnsi="Times New Roman" w:cs="Times New Roman"/>
                <w:sz w:val="24"/>
                <w:szCs w:val="24"/>
                <w:lang w:eastAsia="lv-LV"/>
              </w:rPr>
              <w:t>] (2014).</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Bažas par bērnu drošību</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Pamatots iemesls aizdomām, ka bērnam tiek nodarīts vai varētu būt nodarīts nopietns kaitējums.</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eastAsia="Times New Roman" w:hAnsi="Times New Roman" w:cs="Times New Roman"/>
                <w:b/>
                <w:bCs/>
                <w:sz w:val="24"/>
                <w:szCs w:val="24"/>
                <w:lang w:eastAsia="lv-LV"/>
              </w:rPr>
              <w:t>Be</w:t>
            </w:r>
            <w:r w:rsidRPr="004B7F17">
              <w:rPr>
                <w:rFonts w:ascii="Times New Roman" w:hAnsi="Times New Roman" w:cs="Times New Roman"/>
                <w:b/>
                <w:bCs/>
                <w:sz w:val="24"/>
                <w:szCs w:val="24"/>
              </w:rPr>
              <w:t>z vecāku gādības palikuši bērni</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Bērni, par kuriem visu diennakti negādā vismaz viens no vecākiem vai likumīgais aizbildnis neatkarīgi no situācijas iemesla un apstākļiem. Bērnus, kas nav vecāku gādībā un atrodas ārpus savas pastāvīgās dzīvesvietas valsts vai ir ārkārtas situāciju upuri, parasti definē kā “nepavadītus bērnus” vai “nošķirtus bērnus”. Sk. ANO Pamatnostādnes par bērnu alternatīvo aprūpi (2010).</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Bēglis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Persona ārpus savas izcelsmes valsts, kas nevar atgriezties šajā valstī, jo tai ir pamatotas bailes par vajāšanu, vai arī tā nespēj vai nevēlas atgriezties, ņemot vērā nopietnu un neselektīvu dzīvības, fiziskās neaizskaramības vai brīvības apdraudējumu, ko rada vispārēja vardarbība vai notikumi, kas būtiski traucē sabiedrisko kārtību. Termina “bēglis” definīcija ir sniegta ANO Konvencijas </w:t>
            </w:r>
            <w:r w:rsidRPr="004B7F17">
              <w:rPr>
                <w:rFonts w:ascii="Times New Roman" w:eastAsia="Times New Roman" w:hAnsi="Times New Roman" w:cs="Times New Roman"/>
                <w:sz w:val="24"/>
                <w:szCs w:val="24"/>
                <w:lang w:eastAsia="lv-LV"/>
              </w:rPr>
              <w:lastRenderedPageBreak/>
              <w:t>par bēgļa statusu (1951) 1. panta A iedaļas 2) punktā.</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lastRenderedPageBreak/>
              <w:t>Bērns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Ikviena persona līdz 18 gadu vecumam (Apvienoto Nāciju Bērnu tiesību konvencija, 1989). Vārds “bērns” tādējādi attiecināms uz zēniem, meitenēm, pusaudžiem un jauniešiem līdz 18 gadu vecumam.</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Bērnu aizsardzība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To bērnu aizsardzība, kas cieš no vardarbības, ekspluatācijas vai nevērības jebkādā izpausmē vai ir pakļauti šādam riskam. ANO Bērnu tiesību konvencijā ir noteikts, ka valstīm (valdībām) ir jāveic pasākumi, lai ikvienu bērnu aizsargātu “pret fizisku vai psiholoģisku vardarbību, miesas bojājumiem vai nežēlīgu, nevērīgu vai nolaidīgu izturēšanos, sliktu izturēšanos vai ekspluatāciju, tostarp pret seksuālu vardarbību, kamēr viņš ir vecāku, aizbildņu vai jebkuras citas par bērnu atbildīgas personas aprūpē” (19. pants).</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Bērnu aizsardzības sistēma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Bērnu aizsardzības sistēmas ir tiesību aktu, politisko nostādņu, noteikumu un pakalpojumu kopums, kas nepieciešams visās sociālās aizsardzības nozarēs, jo īpaši sociālās labklājības, izglītības, veselības, aizsardzības un tiesu nozarē, lai novērstu ar aizsardzību saistītos riskus un reaģētu uz tiem. Šīs sistēmas ir sociālās aizsardzības daļa un iziet arī ārpus tās ietvariem. Novēršanas līmenī to mērķis ir atbalstīt un stiprināt ģimenes, lai mazinātu sociālo atstumtību un nošķiršanas, vardarbības un ekspluatācijas riskus. Pienākumi bieži vien ir sadalīti starp valdības iestādēm, un pakalpojumus sniedz vietējās pašvaldības iestādes, nevalstiskie pakalpojumu sniedzēji un kopienas grupas, savstarpēji koordinējot nozares un līmeņus, tostarp parastās nosūtīšanas sistēmas, kas ir bērnu efektīvu aizsardzības sistēmu nepieciešams komponents. Sk. </w:t>
            </w:r>
            <w:r w:rsidRPr="004B7F17">
              <w:rPr>
                <w:rFonts w:ascii="Times New Roman" w:eastAsia="Times New Roman" w:hAnsi="Times New Roman" w:cs="Times New Roman"/>
                <w:i/>
                <w:iCs/>
                <w:sz w:val="24"/>
                <w:szCs w:val="24"/>
                <w:lang w:eastAsia="lv-LV"/>
              </w:rPr>
              <w:t>UNICEF</w:t>
            </w:r>
            <w:r w:rsidRPr="004B7F17">
              <w:rPr>
                <w:rFonts w:ascii="Times New Roman" w:eastAsia="Times New Roman" w:hAnsi="Times New Roman" w:cs="Times New Roman"/>
                <w:sz w:val="24"/>
                <w:szCs w:val="24"/>
                <w:lang w:eastAsia="lv-LV"/>
              </w:rPr>
              <w:t xml:space="preserve"> Bērnu aizsardzības stratēģiju [</w:t>
            </w:r>
            <w:r w:rsidRPr="004B7F17">
              <w:rPr>
                <w:rFonts w:ascii="Times New Roman" w:eastAsia="Times New Roman" w:hAnsi="Times New Roman" w:cs="Times New Roman"/>
                <w:i/>
                <w:iCs/>
                <w:sz w:val="24"/>
                <w:szCs w:val="24"/>
                <w:lang w:eastAsia="lv-LV"/>
              </w:rPr>
              <w:t>UNICEF, Child Protection Strategy</w:t>
            </w:r>
            <w:r w:rsidRPr="004B7F17">
              <w:rPr>
                <w:rFonts w:ascii="Times New Roman" w:eastAsia="Times New Roman" w:hAnsi="Times New Roman" w:cs="Times New Roman"/>
                <w:sz w:val="24"/>
                <w:szCs w:val="24"/>
                <w:lang w:eastAsia="lv-LV"/>
              </w:rPr>
              <w:t>], ANO dok. E/ICEF/2008/5/Rev. 1 (2008. gada 20. maijs).</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Cilvēku tirdzniecība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ANO Protokolā cilvēku, īpaši sieviešu un bērnu, tirdzniecības novēršanai, apspiešanai un sodīšanai, kas pievienots Apvienoto Nāciju Organizācijas Konvencijai pret transnacionālo organizēto noziedzību (2000) (ko sauc arī par “Palermo protokolu”), 3. pantā ir noteikts: “Šajā protokolā:</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a) “cilvēku tirdzniecība” nozīmē ekspluatācijas nolūkos izdarītu cilvēku savervēšanu, pārvadāšanu, nodošanu, slēpšanu vai saņemšanu, izmantojot spēka pielietošanas draudus vai pielietošanu, vai arī citas piespiešanas, aizvešanas ar varu, krāpšanas, maldināšanas vai viltus formas, izmantojot varas pozīcijas vai arī cilvēku neaizsargātību, vai arī dodot vai saņemot maksājumus vai labumus, lai panāktu kādas tādas personas piekrišanu, kurai ir vara pār citu personu. Ekspluatācija kā minimums ietver citu personu prostitūciju vai citas seksuālās </w:t>
            </w:r>
            <w:r w:rsidRPr="004B7F17">
              <w:rPr>
                <w:rFonts w:ascii="Times New Roman" w:eastAsia="Times New Roman" w:hAnsi="Times New Roman" w:cs="Times New Roman"/>
                <w:sz w:val="24"/>
                <w:szCs w:val="24"/>
                <w:lang w:eastAsia="lv-LV"/>
              </w:rPr>
              <w:lastRenderedPageBreak/>
              <w:t>ekspluatācijas formas, piespiedu darbu vai pakalpojumus, verdzību vai verdzībai līdzīgas formas, kalpību vai orgānu izņemšanu;</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b) cilvēku tirdzniecības upuru piekrišana paredzētajai ekspluatācijai, kas minēta šī panta a) apakšpunktā, netiek ņemta vērā, ja ir ticis pielietots jebkurš no a) apakšpunktā minētajiem līdzekļiem;</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c) bērna vervēšana, pārvadāšana, nodošana, slēpšana vai saņemšana ekspluatācijas nolūkos tiek uzskatīta par “cilvēku tirdzniecību” arī tad, ja tā nav saistīta ar jebkuru šī panta a) apakšpunktā minēto līdzekļu izmantošanu;</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d) “bērns” ir jebkura persona, kas jaunāka par astoņpadsmit gadiem.”</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eastAsia="Times New Roman" w:hAnsi="Times New Roman" w:cs="Times New Roman"/>
                <w:b/>
                <w:bCs/>
                <w:sz w:val="24"/>
                <w:szCs w:val="24"/>
                <w:lang w:eastAsia="lv-LV"/>
              </w:rPr>
              <w:lastRenderedPageBreak/>
              <w:t>Cilvēku t</w:t>
            </w:r>
            <w:r w:rsidRPr="004B7F17">
              <w:rPr>
                <w:rFonts w:ascii="Times New Roman" w:hAnsi="Times New Roman" w:cs="Times New Roman"/>
                <w:b/>
                <w:bCs/>
                <w:sz w:val="24"/>
                <w:szCs w:val="24"/>
              </w:rPr>
              <w:t>irdzniecības iespējamais upuris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Persona, attiecībā uz kuru ir pamatots iemesls uzskatīt, ka viņš vai viņa, visticamāk, ir cilvēku tirdzniecības upuris, taču iestādes oficiāli (vēl) nav identificējušas šo faktu vai arī pati persona ir noliegusi, ka tiek oficiāli identificēta par cilvēku tirdzniecības upuri. Tā kā cilvēku tirdzniecības upuri bieži vien izvairās identificēt sevi kā cietušos un oficiālā identifikācija aizņem laiku, terminu “cilvēku tirdzniecības iespējamais upuris” izmanto, lai raksturotu personas, kuras, visticamāk, ir cilvēku tirdzniecības upuri un uz kurām tāpēc jāattiecina cilvēku tirdzniecības novēršanas programmu un pakalpojumu vispārējais tvērums. Sk. </w:t>
            </w:r>
            <w:r w:rsidRPr="004B7F17">
              <w:rPr>
                <w:rFonts w:ascii="Times New Roman" w:eastAsia="Times New Roman" w:hAnsi="Times New Roman" w:cs="Times New Roman"/>
                <w:i/>
                <w:iCs/>
                <w:sz w:val="24"/>
                <w:szCs w:val="24"/>
                <w:lang w:eastAsia="lv-LV"/>
              </w:rPr>
              <w:t>ODIHR</w:t>
            </w:r>
            <w:r w:rsidRPr="004B7F17">
              <w:rPr>
                <w:rFonts w:ascii="Times New Roman" w:eastAsia="Times New Roman" w:hAnsi="Times New Roman" w:cs="Times New Roman"/>
                <w:sz w:val="24"/>
                <w:szCs w:val="24"/>
                <w:lang w:eastAsia="lv-LV"/>
              </w:rPr>
              <w:t>, Rokasgrāmata par nacionālo mehānismu cietušo nosūtīšanai [</w:t>
            </w:r>
            <w:r w:rsidRPr="004B7F17">
              <w:rPr>
                <w:rFonts w:ascii="Times New Roman" w:eastAsia="Times New Roman" w:hAnsi="Times New Roman" w:cs="Times New Roman"/>
                <w:i/>
                <w:iCs/>
                <w:sz w:val="24"/>
                <w:szCs w:val="24"/>
                <w:lang w:eastAsia="lv-LV"/>
              </w:rPr>
              <w:t>ODIHR, National Referral Mechanisms Handbook</w:t>
            </w:r>
            <w:r w:rsidRPr="004B7F17">
              <w:rPr>
                <w:rFonts w:ascii="Times New Roman" w:eastAsia="Times New Roman" w:hAnsi="Times New Roman" w:cs="Times New Roman"/>
                <w:sz w:val="24"/>
                <w:szCs w:val="24"/>
                <w:lang w:eastAsia="lv-LV"/>
              </w:rPr>
              <w:t>] (2004).</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Iekšējā cilvēku tirdzniecība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Kad visi cilvēku tirdzniecības posmi (tostarp, iespējams, ekspluatācija) notiek vienā valstī.</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eastAsia="Times New Roman" w:hAnsi="Times New Roman" w:cs="Times New Roman"/>
                <w:b/>
                <w:bCs/>
                <w:sz w:val="24"/>
                <w:szCs w:val="24"/>
                <w:lang w:eastAsia="lv-LV"/>
              </w:rPr>
              <w:t>Izraidīšana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Bēgļa izraidīšana vai atpakaļnosūtīšana uz tādas teritorijas robežu, kur tā dzīvība vai brīvība varētu būt apdraudēta viņa rases, reliģijas, tautības, piederības kādai konkrētai sociālai grupai vai politisko uzskatu dēļ. Saskaņā ar neizraidīšanas principu (sākotnēji starptautiskajās bēgļu tiesībās izmantots jēdziens) valstis nedrīkst izraidīt vai atpakaļnosūtīt ([no franču val.] “refouler”) bēgļus, kuriem ir pamatotas bailes, ka tie pēc atgriešanās tiks vajāti. Šis princips ir starptautisko paražu tiesību daļa un tiek uzskatīts par saistošu visām valstīm neatkarīgi no tā, vai tās ir vai nav ANO Konvencijas par bēgļu statusu (1951) dalībvalstis. Sk. </w:t>
            </w:r>
            <w:r w:rsidRPr="004B7F17">
              <w:rPr>
                <w:rFonts w:ascii="Times New Roman" w:eastAsia="Times New Roman" w:hAnsi="Times New Roman" w:cs="Times New Roman"/>
                <w:i/>
                <w:iCs/>
                <w:sz w:val="24"/>
                <w:szCs w:val="24"/>
                <w:lang w:eastAsia="lv-LV"/>
              </w:rPr>
              <w:t>UNHCR</w:t>
            </w:r>
            <w:r w:rsidRPr="004B7F17">
              <w:rPr>
                <w:rFonts w:ascii="Times New Roman" w:eastAsia="Times New Roman" w:hAnsi="Times New Roman" w:cs="Times New Roman"/>
                <w:sz w:val="24"/>
                <w:szCs w:val="24"/>
                <w:lang w:eastAsia="lv-LV"/>
              </w:rPr>
              <w:t>, Neizraidīšanas princips kā starptautisko paražu tiesību norma [</w:t>
            </w:r>
            <w:r w:rsidRPr="004B7F17">
              <w:rPr>
                <w:rFonts w:ascii="Times New Roman" w:eastAsia="Times New Roman" w:hAnsi="Times New Roman" w:cs="Times New Roman"/>
                <w:i/>
                <w:iCs/>
                <w:sz w:val="24"/>
                <w:szCs w:val="24"/>
                <w:lang w:eastAsia="lv-LV"/>
              </w:rPr>
              <w:t>UNHCR</w:t>
            </w:r>
            <w:r w:rsidRPr="004B7F17">
              <w:rPr>
                <w:rFonts w:ascii="Times New Roman" w:eastAsia="Times New Roman" w:hAnsi="Times New Roman" w:cs="Times New Roman"/>
                <w:sz w:val="24"/>
                <w:szCs w:val="24"/>
                <w:lang w:eastAsia="lv-LV"/>
              </w:rPr>
              <w:t xml:space="preserve">, </w:t>
            </w:r>
            <w:r w:rsidRPr="004B7F17">
              <w:rPr>
                <w:rFonts w:ascii="Times New Roman" w:eastAsia="Times New Roman" w:hAnsi="Times New Roman" w:cs="Times New Roman"/>
                <w:i/>
                <w:iCs/>
                <w:sz w:val="24"/>
                <w:szCs w:val="24"/>
                <w:lang w:eastAsia="lv-LV"/>
              </w:rPr>
              <w:t>The Principle of Non-Refoulement as a Norm of Customary International Law</w:t>
            </w:r>
            <w:r w:rsidRPr="004B7F17">
              <w:rPr>
                <w:rFonts w:ascii="Times New Roman" w:eastAsia="Times New Roman" w:hAnsi="Times New Roman" w:cs="Times New Roman"/>
                <w:sz w:val="24"/>
                <w:szCs w:val="24"/>
                <w:lang w:eastAsia="lv-LV"/>
              </w:rPr>
              <w:t xml:space="preserve">]. Atbilde uz jautājumiem, ko Vācijas Federatīvās Republikas Federālā konstitucionālā tiesa uzdeva </w:t>
            </w:r>
            <w:r w:rsidRPr="004B7F17">
              <w:rPr>
                <w:rFonts w:ascii="Times New Roman" w:eastAsia="Times New Roman" w:hAnsi="Times New Roman" w:cs="Times New Roman"/>
                <w:i/>
                <w:iCs/>
                <w:sz w:val="24"/>
                <w:szCs w:val="24"/>
                <w:lang w:eastAsia="lv-LV"/>
              </w:rPr>
              <w:t>UNHCR</w:t>
            </w:r>
            <w:r w:rsidRPr="004B7F17">
              <w:rPr>
                <w:rFonts w:ascii="Times New Roman" w:eastAsia="Times New Roman" w:hAnsi="Times New Roman" w:cs="Times New Roman"/>
                <w:sz w:val="24"/>
                <w:szCs w:val="24"/>
                <w:lang w:eastAsia="lv-LV"/>
              </w:rPr>
              <w:t xml:space="preserve"> lietās 2 BvR 1938/93, 2 BvR 1953/93, 2 BvR 1954/93, 1994. gada 31. </w:t>
            </w:r>
            <w:r w:rsidRPr="004B7F17">
              <w:rPr>
                <w:rFonts w:ascii="Times New Roman" w:eastAsia="Times New Roman" w:hAnsi="Times New Roman" w:cs="Times New Roman"/>
                <w:sz w:val="24"/>
                <w:szCs w:val="24"/>
                <w:lang w:eastAsia="lv-LV"/>
              </w:rPr>
              <w:lastRenderedPageBreak/>
              <w:t>janvāris.</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lastRenderedPageBreak/>
              <w:t>Jaunatne</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Attiecas uz 15, 16 un 17 gadus veciem bērniem, kā arī uz jauniešiem, kas ir vecumā no 18 līdz 24 gadiem.</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Sk. terminu “jaunietis”, kā arī </w:t>
            </w:r>
            <w:r w:rsidRPr="004B7F17">
              <w:rPr>
                <w:rFonts w:ascii="Times New Roman" w:eastAsia="Times New Roman" w:hAnsi="Times New Roman" w:cs="Times New Roman"/>
                <w:i/>
                <w:iCs/>
                <w:sz w:val="24"/>
                <w:szCs w:val="24"/>
                <w:lang w:eastAsia="lv-LV"/>
              </w:rPr>
              <w:t>UNESCO</w:t>
            </w:r>
            <w:r w:rsidRPr="004B7F17">
              <w:rPr>
                <w:rFonts w:ascii="Times New Roman" w:eastAsia="Times New Roman" w:hAnsi="Times New Roman" w:cs="Times New Roman"/>
                <w:sz w:val="24"/>
                <w:szCs w:val="24"/>
                <w:lang w:eastAsia="lv-LV"/>
              </w:rPr>
              <w:t xml:space="preserve"> materiālu “</w:t>
            </w:r>
            <w:r w:rsidRPr="004B7F17">
              <w:rPr>
                <w:rFonts w:ascii="Times New Roman" w:eastAsia="Times New Roman" w:hAnsi="Times New Roman" w:cs="Times New Roman"/>
                <w:i/>
                <w:iCs/>
                <w:sz w:val="24"/>
                <w:szCs w:val="24"/>
                <w:lang w:eastAsia="lv-LV"/>
              </w:rPr>
              <w:t>What do we mean by “youth”?</w:t>
            </w:r>
            <w:r w:rsidRPr="004B7F17">
              <w:rPr>
                <w:rFonts w:ascii="Times New Roman" w:eastAsia="Times New Roman" w:hAnsi="Times New Roman" w:cs="Times New Roman"/>
                <w:sz w:val="24"/>
                <w:szCs w:val="24"/>
                <w:lang w:eastAsia="lv-LV"/>
              </w:rPr>
              <w:t>” tīmekļa vietnē http://www.unesco.org/new/en/social-and-human-sciences/themes/youth/youth-definition/</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Jaunietis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Attiecas gan uz bērniem (kas jaunāki par 18 gadiem), gan jauniešiem, kas ir vecumā no 18 līdz 24 gadiem.</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Sk. </w:t>
            </w:r>
            <w:r w:rsidRPr="004B7F17">
              <w:rPr>
                <w:rFonts w:ascii="Times New Roman" w:eastAsia="Times New Roman" w:hAnsi="Times New Roman" w:cs="Times New Roman"/>
                <w:i/>
                <w:iCs/>
                <w:sz w:val="24"/>
                <w:szCs w:val="24"/>
                <w:lang w:eastAsia="lv-LV"/>
              </w:rPr>
              <w:t>UNICEF</w:t>
            </w:r>
            <w:r w:rsidRPr="004B7F17">
              <w:rPr>
                <w:rFonts w:ascii="Times New Roman" w:eastAsia="Times New Roman" w:hAnsi="Times New Roman" w:cs="Times New Roman"/>
                <w:sz w:val="24"/>
                <w:szCs w:val="24"/>
                <w:lang w:eastAsia="lv-LV"/>
              </w:rPr>
              <w:t xml:space="preserve"> Rokasgrāmatu par bērnu – cilvēku tirdzniecības upuru – tiesību aizsardzību Eiropā [</w:t>
            </w:r>
            <w:r w:rsidRPr="004B7F17">
              <w:rPr>
                <w:rFonts w:ascii="Times New Roman" w:eastAsia="Times New Roman" w:hAnsi="Times New Roman" w:cs="Times New Roman"/>
                <w:i/>
                <w:iCs/>
                <w:sz w:val="24"/>
                <w:szCs w:val="24"/>
                <w:lang w:eastAsia="lv-LV"/>
              </w:rPr>
              <w:t>UNICEF Reference Guide on Protecting the Rights of Child Victims of Trafficking in Europe</w:t>
            </w:r>
            <w:r w:rsidRPr="004B7F17">
              <w:rPr>
                <w:rFonts w:ascii="Times New Roman" w:eastAsia="Times New Roman" w:hAnsi="Times New Roman" w:cs="Times New Roman"/>
                <w:sz w:val="24"/>
                <w:szCs w:val="24"/>
                <w:lang w:eastAsia="lv-LV"/>
              </w:rPr>
              <w:t>] (2006).</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Lietu pārvaldība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Pārvaldības sistēma palīdzības sniegšanai fiziskām personām (piemēram, bērniem, kas ir cilvēku tirdzniecības upuri), ar kuras starpniecību tām (bērniem vai pieaugušajiem) tiek sistemātiski sakārtota šādas palīdzības sniegšana no tās sākuma līdz beigām, tostarp attiecīgās fiziskās personas uzraudzība. “Lietu pārvaldība” ir vispārējs termins, kam nav vienotas definīcijas. Amerikas Lietu pārvaldības savienība [</w:t>
            </w:r>
            <w:r w:rsidRPr="004B7F17">
              <w:rPr>
                <w:rFonts w:ascii="Times New Roman" w:eastAsia="Times New Roman" w:hAnsi="Times New Roman" w:cs="Times New Roman"/>
                <w:i/>
                <w:iCs/>
                <w:sz w:val="24"/>
                <w:szCs w:val="24"/>
                <w:lang w:eastAsia="lv-LV"/>
              </w:rPr>
              <w:t>Case Management Society of America</w:t>
            </w:r>
            <w:r w:rsidRPr="004B7F17">
              <w:rPr>
                <w:rFonts w:ascii="Times New Roman" w:eastAsia="Times New Roman" w:hAnsi="Times New Roman" w:cs="Times New Roman"/>
                <w:sz w:val="24"/>
                <w:szCs w:val="24"/>
                <w:lang w:eastAsia="lv-LV"/>
              </w:rPr>
              <w:t xml:space="preserve"> (</w:t>
            </w:r>
            <w:r w:rsidRPr="004B7F17">
              <w:rPr>
                <w:rFonts w:ascii="Times New Roman" w:eastAsia="Times New Roman" w:hAnsi="Times New Roman" w:cs="Times New Roman"/>
                <w:i/>
                <w:iCs/>
                <w:sz w:val="24"/>
                <w:szCs w:val="24"/>
                <w:lang w:eastAsia="lv-LV"/>
              </w:rPr>
              <w:t>CMSA</w:t>
            </w:r>
            <w:r w:rsidRPr="004B7F17">
              <w:rPr>
                <w:rFonts w:ascii="Times New Roman" w:eastAsia="Times New Roman" w:hAnsi="Times New Roman" w:cs="Times New Roman"/>
                <w:sz w:val="24"/>
                <w:szCs w:val="24"/>
                <w:lang w:eastAsia="lv-LV"/>
              </w:rPr>
              <w:t>)] šo terminu definē šādi: “Vērtēšanas, plānošanas, veicināšanas, aprūpes koordinēšanas, novērtēšanas un konsultāciju par iespējām un pakalpojumiem sniegšanas process, ko īsteno līdzdarbīgā veidā, lai visaptveroši apmierinātu personas un ģimenes ar veselību saistītās vajadzības, izmantojot saziņu un pieejamos resursus kvalitatīva, izmaksu ziņā lietderīga rezultāta veicināšanai” (</w:t>
            </w:r>
            <w:r w:rsidRPr="004B7F17">
              <w:rPr>
                <w:rFonts w:ascii="Times New Roman" w:eastAsia="Times New Roman" w:hAnsi="Times New Roman" w:cs="Times New Roman"/>
                <w:i/>
                <w:iCs/>
                <w:sz w:val="24"/>
                <w:szCs w:val="24"/>
                <w:lang w:eastAsia="lv-LV"/>
              </w:rPr>
              <w:t>CMSA</w:t>
            </w:r>
            <w:r w:rsidRPr="004B7F17">
              <w:rPr>
                <w:rFonts w:ascii="Times New Roman" w:eastAsia="Times New Roman" w:hAnsi="Times New Roman" w:cs="Times New Roman"/>
                <w:sz w:val="24"/>
                <w:szCs w:val="24"/>
                <w:lang w:eastAsia="lv-LV"/>
              </w:rPr>
              <w:t xml:space="preserve"> tīmekļa vietne). Sk. </w:t>
            </w:r>
            <w:r w:rsidRPr="004B7F17">
              <w:rPr>
                <w:rFonts w:ascii="Times New Roman" w:eastAsia="Times New Roman" w:hAnsi="Times New Roman" w:cs="Times New Roman"/>
                <w:i/>
                <w:iCs/>
                <w:sz w:val="24"/>
                <w:szCs w:val="24"/>
                <w:lang w:eastAsia="lv-LV"/>
              </w:rPr>
              <w:t>Ross et al., Case management</w:t>
            </w:r>
            <w:r w:rsidRPr="004B7F17">
              <w:rPr>
                <w:rFonts w:ascii="Times New Roman" w:eastAsia="Times New Roman" w:hAnsi="Times New Roman" w:cs="Times New Roman"/>
                <w:sz w:val="24"/>
                <w:szCs w:val="24"/>
                <w:lang w:eastAsia="lv-LV"/>
              </w:rPr>
              <w:t>. </w:t>
            </w:r>
            <w:r w:rsidRPr="004B7F17">
              <w:rPr>
                <w:rFonts w:ascii="Times New Roman" w:eastAsia="Times New Roman" w:hAnsi="Times New Roman" w:cs="Times New Roman"/>
                <w:i/>
                <w:iCs/>
                <w:sz w:val="24"/>
                <w:szCs w:val="24"/>
                <w:lang w:eastAsia="lv-LV"/>
              </w:rPr>
              <w:t>What it is and how it can best be implemented, King’s Fund</w:t>
            </w:r>
            <w:r w:rsidRPr="004B7F17">
              <w:rPr>
                <w:rFonts w:ascii="Times New Roman" w:eastAsia="Times New Roman" w:hAnsi="Times New Roman" w:cs="Times New Roman"/>
                <w:sz w:val="24"/>
                <w:szCs w:val="24"/>
                <w:lang w:eastAsia="lv-LV"/>
              </w:rPr>
              <w:t xml:space="preserve"> (2011). Lai pārvaldītu lietu un nodotu cietušo dažādiem dienestiem, kas viņam varētu būt nepieciešami vai kuru palīdzību viņš ir tiesīgs saņemt, vispirms izvērtē cietušā vajadzības.</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noProof/>
                <w:sz w:val="24"/>
                <w:szCs w:val="24"/>
                <w:lang w:val="en-US"/>
              </w:rPr>
              <w:t>N</w:t>
            </w:r>
            <w:r w:rsidRPr="004B7F17">
              <w:rPr>
                <w:rFonts w:ascii="Times New Roman" w:hAnsi="Times New Roman" w:cs="Times New Roman"/>
                <w:b/>
                <w:bCs/>
                <w:sz w:val="24"/>
                <w:szCs w:val="24"/>
              </w:rPr>
              <w:t xml:space="preserve"> </w:t>
            </w:r>
            <w:r w:rsidRPr="004B7F17">
              <w:rPr>
                <w:rFonts w:ascii="Times New Roman" w:eastAsia="Times New Roman" w:hAnsi="Times New Roman" w:cs="Times New Roman"/>
                <w:b/>
                <w:bCs/>
                <w:sz w:val="24"/>
                <w:szCs w:val="24"/>
                <w:lang w:eastAsia="lv-LV"/>
              </w:rPr>
              <w:t>Nacionālais mehānisms cietušo nosūtīšanai (</w:t>
            </w:r>
            <w:r w:rsidRPr="004B7F17">
              <w:rPr>
                <w:rFonts w:ascii="Times New Roman" w:eastAsia="Times New Roman" w:hAnsi="Times New Roman" w:cs="Times New Roman"/>
                <w:b/>
                <w:bCs/>
                <w:i/>
                <w:iCs/>
                <w:sz w:val="24"/>
                <w:szCs w:val="24"/>
                <w:lang w:eastAsia="lv-LV"/>
              </w:rPr>
              <w:t>NRM</w:t>
            </w:r>
            <w:r w:rsidRPr="004B7F17">
              <w:rPr>
                <w:rFonts w:ascii="Times New Roman" w:hAnsi="Times New Roman" w:cs="Times New Roman"/>
                <w:b/>
                <w:bCs/>
                <w:sz w:val="24"/>
                <w:szCs w:val="24"/>
              </w:rPr>
              <w:t>)</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Nacionālais mehānisms cietušo nosūtīšanai (</w:t>
            </w:r>
            <w:r w:rsidRPr="004B7F17">
              <w:rPr>
                <w:rFonts w:ascii="Times New Roman" w:eastAsia="Times New Roman" w:hAnsi="Times New Roman" w:cs="Times New Roman"/>
                <w:i/>
                <w:iCs/>
                <w:sz w:val="24"/>
                <w:szCs w:val="24"/>
                <w:lang w:eastAsia="lv-LV"/>
              </w:rPr>
              <w:t>NRM</w:t>
            </w:r>
            <w:r w:rsidRPr="004B7F17">
              <w:rPr>
                <w:rFonts w:ascii="Times New Roman" w:eastAsia="Times New Roman" w:hAnsi="Times New Roman" w:cs="Times New Roman"/>
                <w:sz w:val="24"/>
                <w:szCs w:val="24"/>
                <w:lang w:eastAsia="lv-LV"/>
              </w:rPr>
              <w:t>) ir sadarbības kopums, ar kura starpniecību valsts rīcībspēki izpilda savas saistības aizsargāt un veicināt cilvēku tirdzniecības upuru cilvēktiesības, koordinējot savus centienus stratēģiskās partnerattiecībās ar pilsonisko sabiedrību. </w:t>
            </w:r>
            <w:r w:rsidRPr="004B7F17">
              <w:rPr>
                <w:rFonts w:ascii="Times New Roman" w:eastAsia="Times New Roman" w:hAnsi="Times New Roman" w:cs="Times New Roman"/>
                <w:i/>
                <w:iCs/>
                <w:sz w:val="24"/>
                <w:szCs w:val="24"/>
                <w:lang w:eastAsia="lv-LV"/>
              </w:rPr>
              <w:t>NRM</w:t>
            </w:r>
            <w:r w:rsidRPr="004B7F17">
              <w:rPr>
                <w:rFonts w:ascii="Times New Roman" w:eastAsia="Times New Roman" w:hAnsi="Times New Roman" w:cs="Times New Roman"/>
                <w:sz w:val="24"/>
                <w:szCs w:val="24"/>
                <w:lang w:eastAsia="lv-LV"/>
              </w:rPr>
              <w:t xml:space="preserve"> pamatmērķi ir nodrošināt, ka tiek ievērotas cilvēku tirdzniecības upuru cilvēktiesības, un nodrošināt efektīvu veidu, kā nodot cilvēku tirdzniecības upurus dienestiem. Sk. </w:t>
            </w:r>
            <w:r w:rsidRPr="004B7F17">
              <w:rPr>
                <w:rFonts w:ascii="Times New Roman" w:eastAsia="Times New Roman" w:hAnsi="Times New Roman" w:cs="Times New Roman"/>
                <w:i/>
                <w:iCs/>
                <w:sz w:val="24"/>
                <w:szCs w:val="24"/>
                <w:lang w:eastAsia="lv-LV"/>
              </w:rPr>
              <w:t>ODIHR</w:t>
            </w:r>
            <w:r w:rsidRPr="004B7F17">
              <w:rPr>
                <w:rFonts w:ascii="Times New Roman" w:eastAsia="Times New Roman" w:hAnsi="Times New Roman" w:cs="Times New Roman"/>
                <w:sz w:val="24"/>
                <w:szCs w:val="24"/>
                <w:lang w:eastAsia="lv-LV"/>
              </w:rPr>
              <w:t>, Rokasgrāmata par nacionālo mehānismu cietušo nosūtīšanai [</w:t>
            </w:r>
            <w:r w:rsidRPr="004B7F17">
              <w:rPr>
                <w:rFonts w:ascii="Times New Roman" w:eastAsia="Times New Roman" w:hAnsi="Times New Roman" w:cs="Times New Roman"/>
                <w:i/>
                <w:iCs/>
                <w:sz w:val="24"/>
                <w:szCs w:val="24"/>
                <w:lang w:eastAsia="lv-LV"/>
              </w:rPr>
              <w:t>ODIHR, National Referral Mechanisms Handbook</w:t>
            </w:r>
            <w:r w:rsidRPr="004B7F17">
              <w:rPr>
                <w:rFonts w:ascii="Times New Roman" w:eastAsia="Times New Roman" w:hAnsi="Times New Roman" w:cs="Times New Roman"/>
                <w:sz w:val="24"/>
                <w:szCs w:val="24"/>
                <w:lang w:eastAsia="lv-LV"/>
              </w:rPr>
              <w:t>] (2004).</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Nepavadīts bērns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Nepavadīti bērni (dažkārt dēvēti arī par “nepavadītiem nepilngadīgajiem”) ir bērni bez vecāku gādības, kas atrodas ārpus </w:t>
            </w:r>
            <w:r w:rsidRPr="004B7F17">
              <w:rPr>
                <w:rFonts w:ascii="Times New Roman" w:eastAsia="Times New Roman" w:hAnsi="Times New Roman" w:cs="Times New Roman"/>
                <w:sz w:val="24"/>
                <w:szCs w:val="24"/>
                <w:lang w:eastAsia="lv-LV"/>
              </w:rPr>
              <w:lastRenderedPageBreak/>
              <w:t>savas pastāvīgās mītnes valsts, vai ārkārtas situāciju upuri, kas ir nošķirti no abiem vecākiem un citiem radiniekiem un ko neaprūpē neviens pieaugušais, kuram saskaņā ar likumu vai paražām ir pienākums to darīt.</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Sk. Bērnu tiesību komitejas Vispārējo komentāru Nr. 6 (2005) “Rīcība attiecībā uz nepavadītiem un nošķirtiem bērniem ārpus viņu izcelsmes valsts” (2005).</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lastRenderedPageBreak/>
              <w:t>Nogaidīšanas/atlabšanas periods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Laika posms, kas tiek piešķirts cilvēku tirdzniecības upuriem, lai viņi varētu atlabt un izkļūt no noziedzīgas darbības veicēju ietekmes un lai dotu viņiem iespēju pieņemt izsvērtu lēmumu par sadarbošanos ar kompetentajām iestādēm. Sk. </w:t>
            </w:r>
            <w:r w:rsidRPr="004B7F17">
              <w:rPr>
                <w:rFonts w:ascii="Times New Roman" w:eastAsia="Times New Roman" w:hAnsi="Times New Roman" w:cs="Times New Roman"/>
                <w:i/>
                <w:iCs/>
                <w:sz w:val="24"/>
                <w:szCs w:val="24"/>
                <w:lang w:eastAsia="lv-LV"/>
              </w:rPr>
              <w:t>ODIHR</w:t>
            </w:r>
            <w:r w:rsidRPr="004B7F17">
              <w:rPr>
                <w:rFonts w:ascii="Times New Roman" w:eastAsia="Times New Roman" w:hAnsi="Times New Roman" w:cs="Times New Roman"/>
                <w:sz w:val="24"/>
                <w:szCs w:val="24"/>
                <w:lang w:eastAsia="lv-LV"/>
              </w:rPr>
              <w:t>, Cilvēktiesību pamatprincipi attiecībā uz cilvēku tirdzniecības upuru atpakaļnosūtīšanu [</w:t>
            </w:r>
            <w:r w:rsidRPr="004B7F17">
              <w:rPr>
                <w:rFonts w:ascii="Times New Roman" w:eastAsia="Times New Roman" w:hAnsi="Times New Roman" w:cs="Times New Roman"/>
                <w:i/>
                <w:iCs/>
                <w:sz w:val="24"/>
                <w:szCs w:val="24"/>
                <w:lang w:eastAsia="lv-LV"/>
              </w:rPr>
              <w:t>ODIHR, Guiding Principles on Human Rights in the Return of Trafficked Persons</w:t>
            </w:r>
            <w:r w:rsidRPr="004B7F17">
              <w:rPr>
                <w:rFonts w:ascii="Times New Roman" w:eastAsia="Times New Roman" w:hAnsi="Times New Roman" w:cs="Times New Roman"/>
                <w:sz w:val="24"/>
                <w:szCs w:val="24"/>
                <w:lang w:eastAsia="lv-LV"/>
              </w:rPr>
              <w:t>] (2014).</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Nošķirts bērns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Nošķirti bērni ir bērni bez vecāku gādības, kas atrodas ārpus savas ierastās mītnes valsts, vai ārkārtas situāciju upuri, kas kļuvuši nošķirti no abiem vecākiem vai no sava iepriekšējā juridiskā vai ierastā galvenā aprūpētāja, bet ne obligāti no citiem saviem radiniekiem. Šis termins var attiekties arī uz bērniem, kurus pavada citi pieauguši ģimenes locekļi. Sk. Bērnu tiesību komitejas Vispārējo komentāru Nr. 6 (2005) “Rīcība attiecībā uz nepavadītiem un nošķirtiem bērniem ārpus viņu izcelsmes valsts” (2005).</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Pastāvīgs risinājums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Ilgtermiņa pasākumi, kas veikti attiecībā uz bērnu, kurš kļuvis par cilvēku tirdzniecības upuri. Sk. terminu “risinājums”, kā arī </w:t>
            </w:r>
            <w:r w:rsidRPr="004B7F17">
              <w:rPr>
                <w:rFonts w:ascii="Times New Roman" w:eastAsia="Times New Roman" w:hAnsi="Times New Roman" w:cs="Times New Roman"/>
                <w:i/>
                <w:iCs/>
                <w:sz w:val="24"/>
                <w:szCs w:val="24"/>
                <w:lang w:eastAsia="lv-LV"/>
              </w:rPr>
              <w:t>UNICEF</w:t>
            </w:r>
            <w:r w:rsidRPr="004B7F17">
              <w:rPr>
                <w:rFonts w:ascii="Times New Roman" w:eastAsia="Times New Roman" w:hAnsi="Times New Roman" w:cs="Times New Roman"/>
                <w:sz w:val="24"/>
                <w:szCs w:val="24"/>
                <w:lang w:eastAsia="lv-LV"/>
              </w:rPr>
              <w:t xml:space="preserve"> Rokasgrāmatu par bērnu – cilvēku tirdzniecības upuru – tiesību aizsardzību Eiropā [</w:t>
            </w:r>
            <w:r w:rsidRPr="004B7F17">
              <w:rPr>
                <w:rFonts w:ascii="Times New Roman" w:eastAsia="Times New Roman" w:hAnsi="Times New Roman" w:cs="Times New Roman"/>
                <w:i/>
                <w:iCs/>
                <w:sz w:val="24"/>
                <w:szCs w:val="24"/>
                <w:lang w:eastAsia="lv-LV"/>
              </w:rPr>
              <w:t>UNICEF Reference Guide on Protecting the Rights of Child Victims of Trafficking in Europe</w:t>
            </w:r>
            <w:r w:rsidRPr="004B7F17">
              <w:rPr>
                <w:rFonts w:ascii="Times New Roman" w:eastAsia="Times New Roman" w:hAnsi="Times New Roman" w:cs="Times New Roman"/>
                <w:sz w:val="24"/>
                <w:szCs w:val="24"/>
                <w:lang w:eastAsia="lv-LV"/>
              </w:rPr>
              <w:t>] (2006).</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Pusaudzis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Persona vecumā no 10 līdz 19 gadiem. Sk. </w:t>
            </w:r>
            <w:r w:rsidRPr="004B7F17">
              <w:rPr>
                <w:rFonts w:ascii="Times New Roman" w:eastAsia="Times New Roman" w:hAnsi="Times New Roman" w:cs="Times New Roman"/>
                <w:i/>
                <w:iCs/>
                <w:sz w:val="24"/>
                <w:szCs w:val="24"/>
                <w:lang w:eastAsia="lv-LV"/>
              </w:rPr>
              <w:t>UNICEF</w:t>
            </w:r>
            <w:r w:rsidRPr="004B7F17">
              <w:rPr>
                <w:rFonts w:ascii="Times New Roman" w:eastAsia="Times New Roman" w:hAnsi="Times New Roman" w:cs="Times New Roman"/>
                <w:sz w:val="24"/>
                <w:szCs w:val="24"/>
                <w:lang w:eastAsia="lv-LV"/>
              </w:rPr>
              <w:t xml:space="preserve"> Rokasgrāmatu par bērnu – cilvēku tirdzniecības upuru – tiesību aizsardzību Eiropā [</w:t>
            </w:r>
            <w:r w:rsidRPr="004B7F17">
              <w:rPr>
                <w:rFonts w:ascii="Times New Roman" w:eastAsia="Times New Roman" w:hAnsi="Times New Roman" w:cs="Times New Roman"/>
                <w:i/>
                <w:iCs/>
                <w:sz w:val="24"/>
                <w:szCs w:val="24"/>
                <w:lang w:eastAsia="lv-LV"/>
              </w:rPr>
              <w:t>UNICEF Reference Guide on Protecting the Rights of Child Victims of Trafficking in Europe</w:t>
            </w:r>
            <w:r w:rsidRPr="004B7F17">
              <w:rPr>
                <w:rFonts w:ascii="Times New Roman" w:eastAsia="Times New Roman" w:hAnsi="Times New Roman" w:cs="Times New Roman"/>
                <w:sz w:val="24"/>
                <w:szCs w:val="24"/>
                <w:lang w:eastAsia="lv-LV"/>
              </w:rPr>
              <w:t>] (2006).</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Repatriācija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Sk. “atpakaļnosūtīšana”.</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widowControl w:val="0"/>
              <w:spacing w:after="0" w:line="240" w:lineRule="auto"/>
              <w:jc w:val="both"/>
              <w:rPr>
                <w:rFonts w:ascii="Times New Roman" w:eastAsia="Times New Roman" w:hAnsi="Times New Roman" w:cs="Times New Roman"/>
                <w:b/>
                <w:bCs/>
                <w:sz w:val="24"/>
                <w:szCs w:val="24"/>
                <w:lang w:eastAsia="lv-LV"/>
              </w:rPr>
            </w:pPr>
            <w:r w:rsidRPr="004B7F17">
              <w:rPr>
                <w:rFonts w:ascii="Times New Roman" w:eastAsia="Times New Roman" w:hAnsi="Times New Roman" w:cs="Times New Roman"/>
                <w:b/>
                <w:bCs/>
                <w:sz w:val="24"/>
                <w:szCs w:val="24"/>
                <w:lang w:eastAsia="lv-LV"/>
              </w:rPr>
              <w:t>Risinājums</w:t>
            </w:r>
          </w:p>
          <w:p w:rsidR="004B7F17" w:rsidRPr="004B7F17" w:rsidRDefault="004B7F17" w:rsidP="00B7131B">
            <w:pPr>
              <w:jc w:val="both"/>
              <w:rPr>
                <w:rFonts w:ascii="Times New Roman" w:hAnsi="Times New Roman" w:cs="Times New Roman"/>
                <w:b/>
                <w:bCs/>
                <w:sz w:val="24"/>
                <w:szCs w:val="24"/>
              </w:rPr>
            </w:pPr>
            <w:r w:rsidRPr="004B7F17">
              <w:rPr>
                <w:rFonts w:ascii="Times New Roman" w:eastAsia="Times New Roman" w:hAnsi="Times New Roman" w:cs="Times New Roman"/>
                <w:b/>
                <w:bCs/>
                <w:sz w:val="24"/>
                <w:szCs w:val="24"/>
                <w:lang w:eastAsia="lv-LV"/>
              </w:rPr>
              <w:t>(attiecībā uz bērnu, kas i</w:t>
            </w:r>
            <w:r w:rsidRPr="004B7F17">
              <w:rPr>
                <w:rFonts w:ascii="Times New Roman" w:hAnsi="Times New Roman" w:cs="Times New Roman"/>
                <w:b/>
                <w:bCs/>
                <w:sz w:val="24"/>
                <w:szCs w:val="24"/>
              </w:rPr>
              <w:t>r cilvēku tirdzniecības upuris)</w:t>
            </w:r>
          </w:p>
        </w:tc>
        <w:tc>
          <w:tcPr>
            <w:tcW w:w="6486" w:type="dxa"/>
          </w:tcPr>
          <w:p w:rsidR="004B7F17" w:rsidRPr="004B7F17" w:rsidRDefault="004B7F17" w:rsidP="00B7131B">
            <w:pPr>
              <w:jc w:val="both"/>
              <w:rPr>
                <w:rFonts w:ascii="Times New Roman" w:hAnsi="Times New Roman" w:cs="Times New Roman"/>
                <w:sz w:val="24"/>
                <w:szCs w:val="24"/>
              </w:rPr>
            </w:pPr>
            <w:r w:rsidRPr="004B7F17">
              <w:rPr>
                <w:rFonts w:ascii="Times New Roman" w:eastAsia="Times New Roman" w:hAnsi="Times New Roman" w:cs="Times New Roman"/>
                <w:sz w:val="24"/>
                <w:szCs w:val="24"/>
                <w:lang w:eastAsia="lv-LV"/>
              </w:rPr>
              <w:t>Visaptverošs, drošs un ilgtspējīgs risinājums attiecībā uz cilvēku tirdzniecībā cietušo bērnu ir tāds risinājums, kas iespējami lielākā apmērā un ilgtermiņā nodrošina bērna intereses un labklājību un ir no šāda viedokļa ilgtspējīgs un drošs. Risinājuma rezultātam jābūt tādam, lai nodrošinātu, ka bērns spēj pieaugt vidē, kas atbilst viņa vajadzībām, un tiek ievērotas viņa tiesības, kas noteiktas Konvencijā par bērnu tiesībām.</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p>
          <w:p w:rsidR="004B7F17" w:rsidRPr="004B7F17" w:rsidRDefault="004B7F17" w:rsidP="00B7131B">
            <w:pPr>
              <w:jc w:val="both"/>
              <w:rPr>
                <w:rFonts w:ascii="Times New Roman" w:hAnsi="Times New Roman" w:cs="Times New Roman"/>
                <w:sz w:val="24"/>
                <w:szCs w:val="24"/>
              </w:rPr>
            </w:pPr>
            <w:r w:rsidRPr="004B7F17">
              <w:rPr>
                <w:rFonts w:ascii="Times New Roman" w:eastAsia="Times New Roman" w:hAnsi="Times New Roman" w:cs="Times New Roman"/>
                <w:sz w:val="24"/>
                <w:szCs w:val="24"/>
                <w:lang w:eastAsia="lv-LV"/>
              </w:rPr>
              <w:lastRenderedPageBreak/>
              <w:t xml:space="preserve">Attiecībā uz šādiem risinājumiem, kas paredzēti cilvēku tirdzniecībā cietušiem bērniem, 2003.–2007. gadā parasti tika izmantots termins “pastāvīgs risinājums” (sk. “Pastāvīga risinājuma īstenošana” </w:t>
            </w:r>
            <w:r w:rsidRPr="004B7F17">
              <w:rPr>
                <w:rFonts w:ascii="Times New Roman" w:eastAsia="Times New Roman" w:hAnsi="Times New Roman" w:cs="Times New Roman"/>
                <w:i/>
                <w:iCs/>
                <w:sz w:val="24"/>
                <w:szCs w:val="24"/>
                <w:lang w:eastAsia="lv-LV"/>
              </w:rPr>
              <w:t>UNICEF</w:t>
            </w:r>
            <w:r w:rsidRPr="004B7F17">
              <w:rPr>
                <w:rFonts w:ascii="Times New Roman" w:eastAsia="Times New Roman" w:hAnsi="Times New Roman" w:cs="Times New Roman"/>
                <w:sz w:val="24"/>
                <w:szCs w:val="24"/>
                <w:lang w:eastAsia="lv-LV"/>
              </w:rPr>
              <w:t xml:space="preserve"> dokumentā “Vadlīnijas par bērnu – cilvēku tirdzniecības upuru – aizsardzību” (2006)). Sākotnēji šis termins tika izstrādāts saistībā ar risinājumiem, kas paredzēti nepavadītiem bērniem bēgļiem.</w:t>
            </w: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p>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Bērniem, kas ir cilvēku tirdzniecības upuri un kas ir ar vai bez pavadoņa, ir pieejamas dažādas iespējas. Pamatprincips ir tāds, ka tām jābūt pielāgotām, lai atbilstu katram konkrētajam bērnam, un ka bērnam, ja vien viņš nav pārāk mazs, jābūt iespējai izteikties, kad tiek lemts par izvēlēto iespēju. Attiecībā uz dažiem risinājumiem iespējas ir ierobežotas saskaņā ar starptautiskajām tiesībām (kas, piemēram, aizliedz izraidīšanu).</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lastRenderedPageBreak/>
              <w:t>Riska novērtējums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Konkrēta bērna, kas ir cilvēku tirdzniecības upuris, risku novērtējums, ko parasti veic, lai palīdzētu izlemt, kāda pasākumu gaita būtu vispiemērotākā šim bērnam. Novērtējot riskus attiecībā uz cilvēku tirdzniecībā cietušiem bērniem, kas ir gādībā, izpēta, kādos mājas un kopienas apstākļos bērns, visticamāk, atgriezīsies, lai novērtētu, vai tur atgriezties ir bērna interesēs. Parasti to veic par bērna labklājību atbildīgais sociālais dienests vai iestāde bērna atrašanās vietā, un tam ir nepieciešama informācija no bērna izcelsmes valsts iestādes, kas pazīst bērna ģimeni vai tās personas mājvietu, kas gatavojas uzņemties atbildību par šo bērnu (vai iestādi, kas gatavojas to darīt), kā arī apkārtējo kopienu. Riska novērtējums tādējādi atšķiras no parasti policijas veiktā drošības novērtējuma (un to papildina). Sk. Bērnu tiesību komitejas Vispārējo komentāru Nr. 6 (2005) “Rīcība attiecībā uz nepavadītiem un nošķirtiem bērniem ārpus viņu izcelsmes valsts” (2005).</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Rūpības pienākums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Humānās palīdzības organizācijām ir rūpības pienākums pret saņēmējiem un pienākums nodrošināt, ka pret saņēmējiem izturas ar cieņu un godu un ka tiek ievērots noteikts uzvedības standartu minimums. Sk. Starpaģentūru pastāvīgās komitejas darba grupas Ziņojumu par aizsardzību pret seksuālo izmantošanu un vardarbību humāno krīžu laikā [</w:t>
            </w:r>
            <w:r w:rsidRPr="004B7F17">
              <w:rPr>
                <w:rFonts w:ascii="Times New Roman" w:eastAsia="Times New Roman" w:hAnsi="Times New Roman" w:cs="Times New Roman"/>
                <w:i/>
                <w:iCs/>
                <w:sz w:val="24"/>
                <w:szCs w:val="24"/>
                <w:lang w:eastAsia="lv-LV"/>
              </w:rPr>
              <w:t>Report of the Inter-Agency Standing Committee Task Force on Protection of Sexual Exploitation and Abuse in Humanitarian Crises</w:t>
            </w:r>
            <w:r w:rsidRPr="004B7F17">
              <w:rPr>
                <w:rFonts w:ascii="Times New Roman" w:eastAsia="Times New Roman" w:hAnsi="Times New Roman" w:cs="Times New Roman"/>
                <w:sz w:val="24"/>
                <w:szCs w:val="24"/>
                <w:lang w:eastAsia="lv-LV"/>
              </w:rPr>
              <w:t>] (2002). Mērķis ir radīt vidi, kurā humānās krīzes laikā nebūtu seksuālas izmantošanas un vardarbības, integrējot seksuālas izmantošanas un vardarbības novēršanas un reaģēšanas pasākumus visu humānajā jomā strādājošo aizsardzības un palīdzības sniegšanas funkcijās.</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lastRenderedPageBreak/>
              <w:t>Sociālā lietas apstākļu izpēte</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“Riska novērtējuma” daļa attiecībā uz bērnu, kas ir cilvēku tirdzniecības upuris. Tas ir ziņojums, ko sagatavojis bērna aizsardzības vai cits sociālais darbinieks par konkrētās ģimenes apstākļiem (piemēram, bērna vecākiem, aizbildni vai ierasto aprūpētāju) vai citas izmitināšanas vienības (piemēram, aprūpes nama) apstākļiem, lai novērtētu, vai bērnam būtu piemēroti un droši atgriezties atpakaļ vai dzīvot tur.</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eastAsia="Times New Roman" w:hAnsi="Times New Roman" w:cs="Times New Roman"/>
                <w:b/>
                <w:bCs/>
                <w:sz w:val="24"/>
                <w:szCs w:val="24"/>
                <w:lang w:eastAsia="lv-LV"/>
              </w:rPr>
              <w:t>Star</w:t>
            </w:r>
            <w:r w:rsidRPr="004B7F17">
              <w:rPr>
                <w:rFonts w:ascii="Times New Roman" w:hAnsi="Times New Roman" w:cs="Times New Roman"/>
                <w:b/>
                <w:bCs/>
                <w:sz w:val="24"/>
                <w:szCs w:val="24"/>
              </w:rPr>
              <w:t>ptautiskā aizsardzība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Starptautiskās sabiedrības īstenotie pasākumi, kuru mērķis, pamatojoties uz starptautiskajām tiesībām, ir aizsargāt to noteiktas kategorijas personu pamattiesības, kuras atrodas ārpus savas izcelsmes valsts un kurām trūkst savas valsts aizsardzības. Sk. </w:t>
            </w:r>
            <w:r w:rsidRPr="004B7F17">
              <w:rPr>
                <w:rFonts w:ascii="Times New Roman" w:eastAsia="Times New Roman" w:hAnsi="Times New Roman" w:cs="Times New Roman"/>
                <w:i/>
                <w:iCs/>
                <w:sz w:val="24"/>
                <w:szCs w:val="24"/>
                <w:lang w:eastAsia="lv-LV"/>
              </w:rPr>
              <w:t>ODIHR</w:t>
            </w:r>
            <w:r w:rsidRPr="004B7F17">
              <w:rPr>
                <w:rFonts w:ascii="Times New Roman" w:eastAsia="Times New Roman" w:hAnsi="Times New Roman" w:cs="Times New Roman"/>
                <w:sz w:val="24"/>
                <w:szCs w:val="24"/>
                <w:lang w:eastAsia="lv-LV"/>
              </w:rPr>
              <w:t>, Cilvēktiesību pamatprincipi attiecībā uz cilvēku tirdzniecības upuru atpakaļnosūtīšanu [</w:t>
            </w:r>
            <w:r w:rsidRPr="004B7F17">
              <w:rPr>
                <w:rFonts w:ascii="Times New Roman" w:eastAsia="Times New Roman" w:hAnsi="Times New Roman" w:cs="Times New Roman"/>
                <w:i/>
                <w:iCs/>
                <w:sz w:val="24"/>
                <w:szCs w:val="24"/>
                <w:lang w:eastAsia="lv-LV"/>
              </w:rPr>
              <w:t>ODIHR, Guiding Principles on Human Rights in the Return of Trafficked Persons</w:t>
            </w:r>
            <w:r w:rsidRPr="004B7F17">
              <w:rPr>
                <w:rFonts w:ascii="Times New Roman" w:eastAsia="Times New Roman" w:hAnsi="Times New Roman" w:cs="Times New Roman"/>
                <w:sz w:val="24"/>
                <w:szCs w:val="24"/>
                <w:lang w:eastAsia="lv-LV"/>
              </w:rPr>
              <w:t>] (2014).</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eastAsia="Times New Roman" w:hAnsi="Times New Roman" w:cs="Times New Roman"/>
                <w:b/>
                <w:bCs/>
                <w:sz w:val="24"/>
                <w:szCs w:val="24"/>
                <w:lang w:eastAsia="lv-LV"/>
              </w:rPr>
              <w:t>Transna</w:t>
            </w:r>
            <w:r w:rsidRPr="004B7F17">
              <w:rPr>
                <w:rFonts w:ascii="Times New Roman" w:hAnsi="Times New Roman" w:cs="Times New Roman"/>
                <w:b/>
                <w:bCs/>
                <w:sz w:val="24"/>
                <w:szCs w:val="24"/>
              </w:rPr>
              <w:t>cionālais nosūtīšanas mehānisms</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 xml:space="preserve">Sadarbības nolīgumā par pārrobežu visaptverošu palīdzību identificētiem vai iespējamiem cilvēku tirdzniecības upuriem (bērniem vai pieaugušajiem) un/vai viņu nodošanu ietverts jēdziens, izmantojot kuru dažādu valstu iesaistītie rīcībspēki pilda savas saistības veicināt un aizsargāt cilvēku tirdzniecībā cietušo personu cilvēktiesības. Sk. </w:t>
            </w:r>
            <w:r w:rsidRPr="004B7F17">
              <w:rPr>
                <w:rFonts w:ascii="Times New Roman" w:eastAsia="Times New Roman" w:hAnsi="Times New Roman" w:cs="Times New Roman"/>
                <w:i/>
                <w:iCs/>
                <w:sz w:val="24"/>
                <w:szCs w:val="24"/>
                <w:lang w:eastAsia="lv-LV"/>
              </w:rPr>
              <w:t>ICMPD</w:t>
            </w:r>
            <w:r w:rsidRPr="004B7F17">
              <w:rPr>
                <w:rFonts w:ascii="Times New Roman" w:eastAsia="Times New Roman" w:hAnsi="Times New Roman" w:cs="Times New Roman"/>
                <w:sz w:val="24"/>
                <w:szCs w:val="24"/>
                <w:lang w:eastAsia="lv-LV"/>
              </w:rPr>
              <w:t xml:space="preserve"> Vadlīnijas par cilvēku tirdzniecībā cietušu personu transnacionālā nosūtīšanas mehānisma izstrādi [</w:t>
            </w:r>
            <w:r w:rsidRPr="004B7F17">
              <w:rPr>
                <w:rFonts w:ascii="Times New Roman" w:eastAsia="Times New Roman" w:hAnsi="Times New Roman" w:cs="Times New Roman"/>
                <w:i/>
                <w:iCs/>
                <w:sz w:val="24"/>
                <w:szCs w:val="24"/>
                <w:lang w:eastAsia="lv-LV"/>
              </w:rPr>
              <w:t>Guidelines for the Development of a Transnational Referral Mechanism for Trafficked Persons in Europe</w:t>
            </w:r>
            <w:r w:rsidRPr="004B7F17">
              <w:rPr>
                <w:rFonts w:ascii="Times New Roman" w:eastAsia="Times New Roman" w:hAnsi="Times New Roman" w:cs="Times New Roman"/>
                <w:sz w:val="24"/>
                <w:szCs w:val="24"/>
                <w:lang w:eastAsia="lv-LV"/>
              </w:rPr>
              <w:t>] (2009).</w:t>
            </w:r>
          </w:p>
          <w:p w:rsidR="004B7F17" w:rsidRPr="004B7F17" w:rsidRDefault="004B7F17" w:rsidP="00B7131B">
            <w:pPr>
              <w:pStyle w:val="Pamatteksts"/>
              <w:widowControl/>
              <w:kinsoku w:val="0"/>
              <w:overflowPunct w:val="0"/>
              <w:ind w:left="0"/>
              <w:jc w:val="both"/>
              <w:rPr>
                <w:noProof/>
                <w:sz w:val="24"/>
                <w:szCs w:val="24"/>
                <w:lang w:val="en-US"/>
              </w:rPr>
            </w:pPr>
          </w:p>
        </w:tc>
      </w:tr>
      <w:tr w:rsidR="004B7F17" w:rsidRPr="004B7F17" w:rsidTr="00B7131B">
        <w:tc>
          <w:tcPr>
            <w:tcW w:w="2802" w:type="dxa"/>
          </w:tcPr>
          <w:p w:rsidR="004B7F17" w:rsidRPr="004B7F17" w:rsidRDefault="004B7F17" w:rsidP="00B7131B">
            <w:pPr>
              <w:jc w:val="both"/>
              <w:rPr>
                <w:rFonts w:ascii="Times New Roman" w:hAnsi="Times New Roman" w:cs="Times New Roman"/>
                <w:b/>
                <w:bCs/>
                <w:sz w:val="24"/>
                <w:szCs w:val="24"/>
              </w:rPr>
            </w:pPr>
            <w:r w:rsidRPr="004B7F17">
              <w:rPr>
                <w:rFonts w:ascii="Times New Roman" w:hAnsi="Times New Roman" w:cs="Times New Roman"/>
                <w:b/>
                <w:bCs/>
                <w:sz w:val="24"/>
                <w:szCs w:val="24"/>
              </w:rPr>
              <w:t>Vērtēšana</w:t>
            </w:r>
          </w:p>
        </w:tc>
        <w:tc>
          <w:tcPr>
            <w:tcW w:w="6486" w:type="dxa"/>
          </w:tcPr>
          <w:p w:rsidR="004B7F17" w:rsidRPr="004B7F17" w:rsidRDefault="004B7F17" w:rsidP="00B7131B">
            <w:pPr>
              <w:widowControl w:val="0"/>
              <w:spacing w:after="0" w:line="240" w:lineRule="auto"/>
              <w:jc w:val="both"/>
              <w:rPr>
                <w:rFonts w:ascii="Times New Roman" w:eastAsia="Times New Roman" w:hAnsi="Times New Roman" w:cs="Times New Roman"/>
                <w:sz w:val="24"/>
                <w:szCs w:val="24"/>
                <w:lang w:eastAsia="lv-LV"/>
              </w:rPr>
            </w:pPr>
            <w:r w:rsidRPr="004B7F17">
              <w:rPr>
                <w:rFonts w:ascii="Times New Roman" w:eastAsia="Times New Roman" w:hAnsi="Times New Roman" w:cs="Times New Roman"/>
                <w:sz w:val="24"/>
                <w:szCs w:val="24"/>
                <w:lang w:eastAsia="lv-LV"/>
              </w:rPr>
              <w:t>Informācijas vākšanas process un tās apzināšana (jo īpaši, lai izstrādātu bērnu vajadzību nodrošināšanas plānu).</w:t>
            </w:r>
          </w:p>
          <w:p w:rsidR="004B7F17" w:rsidRPr="004B7F17" w:rsidRDefault="004B7F17" w:rsidP="00B7131B">
            <w:pPr>
              <w:pStyle w:val="Pamatteksts"/>
              <w:widowControl/>
              <w:kinsoku w:val="0"/>
              <w:overflowPunct w:val="0"/>
              <w:ind w:left="0"/>
              <w:jc w:val="both"/>
              <w:rPr>
                <w:noProof/>
                <w:sz w:val="24"/>
                <w:szCs w:val="24"/>
                <w:lang w:val="en-US"/>
              </w:rPr>
            </w:pPr>
          </w:p>
        </w:tc>
      </w:tr>
    </w:tbl>
    <w:p w:rsidR="003A543D" w:rsidRDefault="003A543D" w:rsidP="006B796E">
      <w:pPr>
        <w:widowControl w:val="0"/>
        <w:spacing w:after="0" w:line="240" w:lineRule="auto"/>
        <w:jc w:val="both"/>
        <w:rPr>
          <w:rFonts w:ascii="Times New Roman" w:eastAsia="Times New Roman" w:hAnsi="Times New Roman" w:cs="Times New Roman"/>
          <w:sz w:val="24"/>
          <w:szCs w:val="24"/>
          <w:lang w:eastAsia="lv-LV"/>
        </w:rPr>
      </w:pPr>
    </w:p>
    <w:p w:rsidR="004B7F17" w:rsidRDefault="004B7F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3A543D" w:rsidRDefault="003A543D" w:rsidP="006B796E">
      <w:pPr>
        <w:widowControl w:val="0"/>
        <w:spacing w:after="0" w:line="240" w:lineRule="auto"/>
        <w:jc w:val="both"/>
        <w:rPr>
          <w:rFonts w:ascii="Times New Roman" w:eastAsia="Times New Roman" w:hAnsi="Times New Roman" w:cs="Times New Roman"/>
          <w:sz w:val="24"/>
          <w:szCs w:val="24"/>
          <w:lang w:eastAsia="lv-LV"/>
        </w:rPr>
      </w:pPr>
    </w:p>
    <w:p w:rsidR="003A543D" w:rsidRDefault="004B7F17" w:rsidP="006B796E">
      <w:pPr>
        <w:widowControl w:val="0"/>
        <w:spacing w:after="0" w:line="240" w:lineRule="auto"/>
        <w:jc w:val="both"/>
        <w:rPr>
          <w:rFonts w:ascii="Times New Roman" w:eastAsia="Times New Roman" w:hAnsi="Times New Roman" w:cs="Times New Roman"/>
          <w:sz w:val="24"/>
          <w:szCs w:val="24"/>
          <w:lang w:eastAsia="lv-LV"/>
        </w:rPr>
      </w:pPr>
      <w:r w:rsidRPr="000E2D02">
        <w:rPr>
          <w:noProof/>
          <w:sz w:val="24"/>
          <w:szCs w:val="24"/>
          <w:lang w:eastAsia="lv-LV"/>
        </w:rPr>
        <w:drawing>
          <wp:inline distT="0" distB="0" distL="0" distR="0">
            <wp:extent cx="5720080" cy="141414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0080" cy="1414145"/>
                    </a:xfrm>
                    <a:prstGeom prst="rect">
                      <a:avLst/>
                    </a:prstGeom>
                    <a:noFill/>
                    <a:ln>
                      <a:noFill/>
                    </a:ln>
                  </pic:spPr>
                </pic:pic>
              </a:graphicData>
            </a:graphic>
          </wp:inline>
        </w:drawing>
      </w:r>
    </w:p>
    <w:p w:rsidR="004B7F17" w:rsidRDefault="004B7F17" w:rsidP="006B796E">
      <w:pPr>
        <w:widowControl w:val="0"/>
        <w:spacing w:after="0" w:line="240" w:lineRule="auto"/>
        <w:jc w:val="both"/>
        <w:rPr>
          <w:rFonts w:ascii="Times New Roman" w:eastAsia="Times New Roman" w:hAnsi="Times New Roman" w:cs="Times New Roman"/>
          <w:color w:val="231F20"/>
          <w:sz w:val="24"/>
          <w:szCs w:val="20"/>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color w:val="231F20"/>
          <w:sz w:val="24"/>
          <w:szCs w:val="20"/>
          <w:lang w:eastAsia="lv-LV"/>
        </w:rPr>
      </w:pPr>
      <w:r w:rsidRPr="006B796E">
        <w:rPr>
          <w:rFonts w:ascii="Times New Roman" w:eastAsia="Times New Roman" w:hAnsi="Times New Roman" w:cs="Times New Roman"/>
          <w:color w:val="231F20"/>
          <w:sz w:val="24"/>
          <w:szCs w:val="20"/>
          <w:lang w:eastAsia="lv-LV"/>
        </w:rPr>
        <w:t>EDSO/Maikls Rodžerss [</w:t>
      </w:r>
      <w:r w:rsidRPr="006B796E">
        <w:rPr>
          <w:rFonts w:ascii="Times New Roman" w:eastAsia="Times New Roman" w:hAnsi="Times New Roman" w:cs="Times New Roman"/>
          <w:i/>
          <w:iCs/>
          <w:color w:val="231F20"/>
          <w:sz w:val="24"/>
          <w:szCs w:val="20"/>
          <w:lang w:eastAsia="lv-LV"/>
        </w:rPr>
        <w:t>Michael Rodgers</w:t>
      </w:r>
      <w:r w:rsidRPr="006B796E">
        <w:rPr>
          <w:rFonts w:ascii="Times New Roman" w:eastAsia="Times New Roman" w:hAnsi="Times New Roman" w:cs="Times New Roman"/>
          <w:color w:val="231F20"/>
          <w:sz w:val="24"/>
          <w:szCs w:val="20"/>
          <w:lang w:eastAsia="lv-LV"/>
        </w:rPr>
        <w:t>]</w:t>
      </w:r>
    </w:p>
    <w:p w:rsidR="00D6592D" w:rsidRDefault="00D6592D" w:rsidP="006B796E">
      <w:pPr>
        <w:widowControl w:val="0"/>
        <w:spacing w:after="0" w:line="240" w:lineRule="auto"/>
        <w:jc w:val="both"/>
        <w:rPr>
          <w:rFonts w:ascii="Times New Roman" w:eastAsia="Times New Roman" w:hAnsi="Times New Roman" w:cs="Times New Roman"/>
          <w:color w:val="231F20"/>
          <w:sz w:val="24"/>
          <w:szCs w:val="20"/>
          <w:lang w:eastAsia="lv-LV"/>
        </w:rPr>
      </w:pPr>
      <w:r w:rsidRPr="006B796E">
        <w:rPr>
          <w:rFonts w:ascii="Times New Roman" w:eastAsia="Times New Roman" w:hAnsi="Times New Roman" w:cs="Times New Roman"/>
          <w:color w:val="231F20"/>
          <w:sz w:val="24"/>
          <w:szCs w:val="20"/>
          <w:lang w:eastAsia="lv-LV"/>
        </w:rPr>
        <w:t>EDSO/Blanka Tapija [</w:t>
      </w:r>
      <w:r w:rsidRPr="006B796E">
        <w:rPr>
          <w:rFonts w:ascii="Times New Roman" w:eastAsia="Times New Roman" w:hAnsi="Times New Roman" w:cs="Times New Roman"/>
          <w:i/>
          <w:iCs/>
          <w:color w:val="231F20"/>
          <w:sz w:val="24"/>
          <w:szCs w:val="20"/>
          <w:lang w:eastAsia="lv-LV"/>
        </w:rPr>
        <w:t>Blanca Tapia</w:t>
      </w:r>
      <w:r w:rsidRPr="006B796E">
        <w:rPr>
          <w:rFonts w:ascii="Times New Roman" w:eastAsia="Times New Roman" w:hAnsi="Times New Roman" w:cs="Times New Roman"/>
          <w:color w:val="231F20"/>
          <w:sz w:val="24"/>
          <w:szCs w:val="20"/>
          <w:lang w:eastAsia="lv-LV"/>
        </w:rPr>
        <w:t>]</w:t>
      </w:r>
    </w:p>
    <w:p w:rsidR="004B7F17" w:rsidRDefault="004B7F17" w:rsidP="006B796E">
      <w:pPr>
        <w:widowControl w:val="0"/>
        <w:spacing w:after="0" w:line="240" w:lineRule="auto"/>
        <w:jc w:val="both"/>
        <w:rPr>
          <w:rFonts w:ascii="Times New Roman" w:eastAsia="Times New Roman" w:hAnsi="Times New Roman" w:cs="Times New Roman"/>
          <w:color w:val="231F20"/>
          <w:sz w:val="24"/>
          <w:szCs w:val="20"/>
          <w:lang w:eastAsia="lv-LV"/>
        </w:rPr>
      </w:pPr>
    </w:p>
    <w:p w:rsidR="004B7F17" w:rsidRPr="006B796E" w:rsidRDefault="004B7F17" w:rsidP="006B796E">
      <w:pPr>
        <w:widowControl w:val="0"/>
        <w:spacing w:after="0" w:line="240" w:lineRule="auto"/>
        <w:jc w:val="both"/>
        <w:rPr>
          <w:rFonts w:ascii="Times New Roman" w:eastAsia="Times New Roman" w:hAnsi="Times New Roman" w:cs="Times New Roman"/>
          <w:color w:val="231F20"/>
          <w:sz w:val="24"/>
          <w:szCs w:val="20"/>
          <w:lang w:eastAsia="lv-LV"/>
        </w:rPr>
      </w:pPr>
    </w:p>
    <w:p w:rsidR="00D6592D" w:rsidRPr="00F253CE" w:rsidRDefault="00D6592D" w:rsidP="006B796E">
      <w:pPr>
        <w:widowControl w:val="0"/>
        <w:spacing w:after="0" w:line="240" w:lineRule="auto"/>
        <w:jc w:val="both"/>
        <w:rPr>
          <w:rFonts w:ascii="Times New Roman" w:eastAsia="Times New Roman" w:hAnsi="Times New Roman" w:cs="Times New Roman"/>
          <w:b/>
          <w:bCs/>
          <w:sz w:val="28"/>
          <w:szCs w:val="24"/>
          <w:lang w:eastAsia="lv-LV"/>
        </w:rPr>
      </w:pPr>
      <w:r w:rsidRPr="00F253CE">
        <w:rPr>
          <w:rFonts w:ascii="Times New Roman" w:eastAsia="Times New Roman" w:hAnsi="Times New Roman" w:cs="Times New Roman"/>
          <w:b/>
          <w:bCs/>
          <w:sz w:val="28"/>
          <w:szCs w:val="24"/>
          <w:lang w:eastAsia="lv-LV"/>
        </w:rPr>
        <w:t>Priekšvārds</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Ņemot vērā bērnu paaugstināto neaizsargātību, EDSO daudzus gadus savā cilvēku tirdzniecības programmā priekšplānā ir izvirzījusi bērnu tirdzniecības apkarošanu. Kopš 2003. gadā ir pieņemts EDSO Rīcības plāns cilvēku tirdzniecības apkarošanai un tā turpmākais papildinājums “Par bērnu, kas ir cilvēku tirdzniecības upuri, īpašajām vajadzībām tikt pasargātiem un saņemt palīdzību” [</w:t>
      </w:r>
      <w:r w:rsidRPr="006B796E">
        <w:rPr>
          <w:rFonts w:ascii="Times New Roman" w:eastAsia="Times New Roman" w:hAnsi="Times New Roman" w:cs="Times New Roman"/>
          <w:i/>
          <w:iCs/>
          <w:sz w:val="24"/>
          <w:szCs w:val="24"/>
          <w:lang w:eastAsia="lv-LV"/>
        </w:rPr>
        <w:t>Addendum on Addressing the Special Needs of Child Victims of Trafficking for Protection and Assistance</w:t>
      </w:r>
      <w:r w:rsidRPr="006B796E">
        <w:rPr>
          <w:rFonts w:ascii="Times New Roman" w:eastAsia="Times New Roman" w:hAnsi="Times New Roman" w:cs="Times New Roman"/>
          <w:sz w:val="24"/>
          <w:szCs w:val="24"/>
          <w:lang w:eastAsia="lv-LV"/>
        </w:rPr>
        <w:t>], ir panākts būtisks progress, kā tiek pienācīgi un efektīvi reaģēts uz bērnu tirdzniecību EDSO telpā. Tomēr cilvēku tirdzniecības apkarošanā iesaistītās puses joprojām saskaras ar būtiskiem izaicinājumiem, kā praktiski īstenot savus valsts tiesību aktus un politiskās nostādnes. Joprojām nav sasniegta pilnīga saskaņošana ar EDSO centieniem cilvēku tirdzniecības apkarošanas jomā, jo īpaši attiecībā uz bērniem.</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EDSO Alianses pret cilvēku tirdzniecību 17. konferencē tika uzsvērta vajadzība labāk koordinēt valdību centienus bērnu aizsardzības jomā. Efektīvas un funkcionālas bērnu aizsardzības sistēmas var būtiski mazināt cilvēku tirdzniecības riskus un radīt labvēlīgus nosacījumus cilvēku tirdzniecībā cietušo bērnu identificēšanai un palīdzības sniegšanai. Vairākas attiecīgās iesaistītās personas ir uzsvērušas, ka ir jāpievērš vienāda uzmanība visiem “četriem pīlāriem”, proti, novēršanai, aizsardzībai, kriminālvajāšanai un partnerattiecībām, lai nodrošinātu, ka cilvēku tirdzniecības noziegumi tiek risināti visaptverošā un ilgtspējīgā veidā. Lai uzlabotu sadarbību un veicinātu proaktīvus un bērniem piemērotus reaģēšanas pasākumus, mums ir jānodrošina visu cilvēku tirdzniecības apkarošanā iesaistīto pušu savstarpēja saziņa un informācijas apmaiņa. Tam jāattiecas arī uz bērnu aizsardzības dienestiem un pilsoniskās sabiedrības organizācijām izcelsmes, tranzīta un galamērķa valstīs.</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Šajā speciālajā pētījumā tiek piedāvāts konkrētu ieteikumu kopums, kuru mērķis ir palīdzēt dalībvalstīm izpildīt savas saistības attiecībā uz cilvēku tirdzniecībā cietušiem bērniem. Pieņemot lēmumus par bērnu pienācīgu aprūpi, izmitināšanu, drošību, repatriāciju un reintegrāciju, primārajam apsvērumam vienmēr jābūt bērnu interešu garantēšanai. Šajā publikācijā galvenā uzmanība pievērsta tam, kā valsts vadītām bērnu aizsardzības iestādēm nodrošināt to bērnu aizsardzību, kas ir cilvēku tirdzniecības upuri. Apkopojot 2017. gada Alianses konferencē konstatētos faktus, šajā pētījumā uzmanība pievērsta lēmumu pieņemšanas procesiem valsts iestādēs. Uzmanība veltīta tam, kā šīs iestādes cenšas nodrošināt visaptverošus, drošus un ilgtspējīgus risinājumus, kas īpaši izstrādāti, lai pasargātu cilvēku tirdzniecībā cietuša bērna intereses.</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Apzinoties, ka izklāstīto ieteikumu ieviešanai būs nepieciešama politiskā griba, laiks un resursu mobilizēšana, daudznozaru un iekļaujošas pieejas pieņemšana cīņai pret bērnu tirdzniecību tieši un pozitīvi ietekmēs bērnu drošību un labklājību EDSO reģionā. EDSO var būt nozīmīga loma, lai tas notiktu.</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tbl>
      <w:tblPr>
        <w:tblW w:w="0" w:type="auto"/>
        <w:tblCellMar>
          <w:top w:w="28" w:type="dxa"/>
          <w:left w:w="28" w:type="dxa"/>
          <w:bottom w:w="28" w:type="dxa"/>
          <w:right w:w="28" w:type="dxa"/>
        </w:tblCellMar>
        <w:tblLook w:val="04A0" w:firstRow="1" w:lastRow="0" w:firstColumn="1" w:lastColumn="0" w:noHBand="0" w:noVBand="1"/>
      </w:tblPr>
      <w:tblGrid>
        <w:gridCol w:w="9071"/>
      </w:tblGrid>
      <w:tr w:rsidR="004B7F17" w:rsidRPr="000E2D02" w:rsidTr="004B7F17">
        <w:tc>
          <w:tcPr>
            <w:tcW w:w="9288" w:type="dxa"/>
          </w:tcPr>
          <w:p w:rsidR="004B7F17" w:rsidRPr="000E2D02" w:rsidRDefault="004B7F17" w:rsidP="00B7131B">
            <w:pPr>
              <w:pStyle w:val="Pamatteksts"/>
              <w:widowControl/>
              <w:kinsoku w:val="0"/>
              <w:overflowPunct w:val="0"/>
              <w:ind w:left="0"/>
              <w:jc w:val="both"/>
              <w:rPr>
                <w:noProof/>
                <w:sz w:val="24"/>
                <w:szCs w:val="24"/>
                <w:lang w:val="en-US"/>
              </w:rPr>
            </w:pPr>
            <w:r w:rsidRPr="000E2D02">
              <w:rPr>
                <w:noProof/>
                <w:lang w:val="en-US"/>
              </w:rPr>
              <w:object w:dxaOrig="2220" w:dyaOrig="765">
                <v:shape id="_x0000_i1057" type="#_x0000_t75" style="width:110.7pt;height:38.05pt" o:ole="">
                  <v:imagedata r:id="rId28" o:title=""/>
                </v:shape>
                <o:OLEObject Type="Embed" ProgID="PBrush" ShapeID="_x0000_i1057" DrawAspect="Content" ObjectID="_1624471413" r:id="rId29"/>
              </w:object>
            </w:r>
          </w:p>
        </w:tc>
      </w:tr>
      <w:tr w:rsidR="004B7F17" w:rsidRPr="000E2D02" w:rsidTr="004B7F17">
        <w:tc>
          <w:tcPr>
            <w:tcW w:w="9288" w:type="dxa"/>
          </w:tcPr>
          <w:p w:rsidR="004B7F17" w:rsidRPr="006B796E" w:rsidRDefault="004B7F17" w:rsidP="004B7F17">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Tomass Gremingers [</w:t>
            </w:r>
            <w:r w:rsidRPr="006B796E">
              <w:rPr>
                <w:rFonts w:ascii="Times New Roman" w:eastAsia="Times New Roman" w:hAnsi="Times New Roman" w:cs="Times New Roman"/>
                <w:b/>
                <w:bCs/>
                <w:i/>
                <w:iCs/>
                <w:sz w:val="24"/>
                <w:szCs w:val="24"/>
                <w:lang w:eastAsia="lv-LV"/>
              </w:rPr>
              <w:t>Thomas Greminger</w:t>
            </w:r>
            <w:r w:rsidRPr="006B796E">
              <w:rPr>
                <w:rFonts w:ascii="Times New Roman" w:eastAsia="Times New Roman" w:hAnsi="Times New Roman" w:cs="Times New Roman"/>
                <w:b/>
                <w:bCs/>
                <w:sz w:val="24"/>
                <w:szCs w:val="24"/>
                <w:lang w:eastAsia="lv-LV"/>
              </w:rPr>
              <w:t>]</w:t>
            </w:r>
          </w:p>
          <w:p w:rsidR="004B7F17" w:rsidRPr="004B7F17" w:rsidRDefault="004B7F17" w:rsidP="004B7F17">
            <w:pPr>
              <w:pStyle w:val="Virsraksts9"/>
              <w:widowControl/>
              <w:kinsoku w:val="0"/>
              <w:overflowPunct w:val="0"/>
              <w:ind w:left="0"/>
              <w:jc w:val="both"/>
              <w:rPr>
                <w:rFonts w:ascii="Times New Roman" w:hAnsi="Times New Roman" w:cs="Times New Roman"/>
                <w:noProof/>
                <w:sz w:val="24"/>
                <w:szCs w:val="24"/>
                <w:lang w:val="en-US"/>
              </w:rPr>
            </w:pPr>
            <w:r w:rsidRPr="004B7F17">
              <w:rPr>
                <w:rFonts w:ascii="Times New Roman" w:hAnsi="Times New Roman" w:cs="Times New Roman"/>
                <w:bCs w:val="0"/>
                <w:sz w:val="24"/>
                <w:szCs w:val="24"/>
              </w:rPr>
              <w:t>EDSO ģenerālsekretārs</w:t>
            </w:r>
          </w:p>
        </w:tc>
      </w:tr>
    </w:tbl>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4B7F17" w:rsidRDefault="004B7F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F253CE" w:rsidRDefault="00D6592D" w:rsidP="006B796E">
      <w:pPr>
        <w:widowControl w:val="0"/>
        <w:spacing w:after="0" w:line="240" w:lineRule="auto"/>
        <w:jc w:val="both"/>
        <w:rPr>
          <w:rFonts w:ascii="Times New Roman" w:eastAsia="Times New Roman" w:hAnsi="Times New Roman" w:cs="Times New Roman"/>
          <w:sz w:val="28"/>
          <w:szCs w:val="24"/>
          <w:lang w:eastAsia="lv-LV"/>
        </w:rPr>
      </w:pPr>
      <w:r w:rsidRPr="00F253CE">
        <w:rPr>
          <w:rFonts w:ascii="Times New Roman" w:eastAsia="Times New Roman" w:hAnsi="Times New Roman" w:cs="Times New Roman"/>
          <w:sz w:val="28"/>
          <w:szCs w:val="24"/>
          <w:lang w:eastAsia="lv-LV"/>
        </w:rPr>
        <w:lastRenderedPageBreak/>
        <w:t>Pateicība</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Pirmkārt un galvenokārt EDSO Cilvēku tirdzniecības apkarošanas īpašā pārstāvja un koordinatora birojs vēlētos sirsnīgi pateikties visu EDSO dalībvalstu un sadarbības partneru delegācijām par atbalstu, ko tās sniegušas biroja darbā, un izteikt atzinību to valdībām par centieniem risināt cilvēku tirdzniecības noziegumus iespējami efektīvākā un visaptverošākā veidā, tostarp pievēršot īpašu uzmanību bērnu tirdzniecības postam.</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Saistībā ar šo publikāciju izsakām ļoti īpašu pateicību šā pētījuma galvenajam izstrādātājam Maikam Dotridžam [</w:t>
      </w:r>
      <w:r w:rsidRPr="006B796E">
        <w:rPr>
          <w:rFonts w:ascii="Times New Roman" w:eastAsia="Times New Roman" w:hAnsi="Times New Roman" w:cs="Times New Roman"/>
          <w:i/>
          <w:iCs/>
          <w:sz w:val="24"/>
          <w:szCs w:val="24"/>
          <w:lang w:eastAsia="lv-LV"/>
        </w:rPr>
        <w:t>Mike Dottridge</w:t>
      </w:r>
      <w:r w:rsidRPr="006B796E">
        <w:rPr>
          <w:rFonts w:ascii="Times New Roman" w:eastAsia="Times New Roman" w:hAnsi="Times New Roman" w:cs="Times New Roman"/>
          <w:sz w:val="24"/>
          <w:szCs w:val="24"/>
          <w:lang w:eastAsia="lv-LV"/>
        </w:rPr>
        <w:t>], kurš kopā ar Alinu Brasoveanu [</w:t>
      </w:r>
      <w:r w:rsidRPr="006B796E">
        <w:rPr>
          <w:rFonts w:ascii="Times New Roman" w:eastAsia="Times New Roman" w:hAnsi="Times New Roman" w:cs="Times New Roman"/>
          <w:i/>
          <w:iCs/>
          <w:sz w:val="24"/>
          <w:szCs w:val="24"/>
          <w:lang w:eastAsia="lv-LV"/>
        </w:rPr>
        <w:t>Alina Brasoveanu</w:t>
      </w:r>
      <w:r w:rsidRPr="006B796E">
        <w:rPr>
          <w:rFonts w:ascii="Times New Roman" w:eastAsia="Times New Roman" w:hAnsi="Times New Roman" w:cs="Times New Roman"/>
          <w:sz w:val="24"/>
          <w:szCs w:val="24"/>
          <w:lang w:eastAsia="lv-LV"/>
        </w:rPr>
        <w:t>] veicis iespaidīgu darbu, sīki izanalizējot pašreizējās problēmas bērnu aizsardzības jomā un cerīgas prakses attiecībā pret esošajiem starptautiskajiem juridiskajiem instrumentiem un citiem attiecīgajiem mehānismiem, kuru mērķis ir atbalstīt pamatprincipu – bērna labāko interešu nodrošināšanu – visā bērna aizsardzības pasākuma īstenošanas procesā.</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Birojs vēlētos pateikties arī EDSO kolēģiem – Tetjanai Rudenko [</w:t>
      </w:r>
      <w:r w:rsidRPr="006B796E">
        <w:rPr>
          <w:rFonts w:ascii="Times New Roman" w:eastAsia="Times New Roman" w:hAnsi="Times New Roman" w:cs="Times New Roman"/>
          <w:i/>
          <w:iCs/>
          <w:sz w:val="24"/>
          <w:szCs w:val="24"/>
          <w:lang w:eastAsia="lv-LV"/>
        </w:rPr>
        <w:t>Tetiana Rudenko</w:t>
      </w:r>
      <w:r w:rsidRPr="006B796E">
        <w:rPr>
          <w:rFonts w:ascii="Times New Roman" w:eastAsia="Times New Roman" w:hAnsi="Times New Roman" w:cs="Times New Roman"/>
          <w:sz w:val="24"/>
          <w:szCs w:val="24"/>
          <w:lang w:eastAsia="lv-LV"/>
        </w:rPr>
        <w:t>], Žoržīnai Vazai Kabralai [</w:t>
      </w:r>
      <w:r w:rsidRPr="006B796E">
        <w:rPr>
          <w:rFonts w:ascii="Times New Roman" w:eastAsia="Times New Roman" w:hAnsi="Times New Roman" w:cs="Times New Roman"/>
          <w:i/>
          <w:iCs/>
          <w:sz w:val="24"/>
          <w:szCs w:val="24"/>
          <w:lang w:eastAsia="lv-LV"/>
        </w:rPr>
        <w:t>Georgina Vaz Cabral</w:t>
      </w:r>
      <w:r w:rsidRPr="006B796E">
        <w:rPr>
          <w:rFonts w:ascii="Times New Roman" w:eastAsia="Times New Roman" w:hAnsi="Times New Roman" w:cs="Times New Roman"/>
          <w:sz w:val="24"/>
          <w:szCs w:val="24"/>
          <w:lang w:eastAsia="lv-LV"/>
        </w:rPr>
        <w:t>] un Oleksandram Kiriļenko [</w:t>
      </w:r>
      <w:r w:rsidRPr="006B796E">
        <w:rPr>
          <w:rFonts w:ascii="Times New Roman" w:eastAsia="Times New Roman" w:hAnsi="Times New Roman" w:cs="Times New Roman"/>
          <w:i/>
          <w:iCs/>
          <w:sz w:val="24"/>
          <w:szCs w:val="24"/>
          <w:lang w:eastAsia="lv-LV"/>
        </w:rPr>
        <w:t>Oleksandr Kyrylenko</w:t>
      </w:r>
      <w:r w:rsidRPr="006B796E">
        <w:rPr>
          <w:rFonts w:ascii="Times New Roman" w:eastAsia="Times New Roman" w:hAnsi="Times New Roman" w:cs="Times New Roman"/>
          <w:sz w:val="24"/>
          <w:szCs w:val="24"/>
          <w:lang w:eastAsia="lv-LV"/>
        </w:rPr>
        <w:t>], kas vadīja šo izdevumu un nodrošināja nepārtrauktu mūsu koncentrēšanos uz bērnu tirdzniecības apkarošanu, kā arī Sintijai Pekai-Kubačekai [</w:t>
      </w:r>
      <w:r w:rsidRPr="006B796E">
        <w:rPr>
          <w:rFonts w:ascii="Times New Roman" w:eastAsia="Times New Roman" w:hAnsi="Times New Roman" w:cs="Times New Roman"/>
          <w:i/>
          <w:iCs/>
          <w:sz w:val="24"/>
          <w:szCs w:val="24"/>
          <w:lang w:eastAsia="lv-LV"/>
        </w:rPr>
        <w:t>Cynthia Peck-Kubaczek</w:t>
      </w:r>
      <w:r w:rsidRPr="006B796E">
        <w:rPr>
          <w:rFonts w:ascii="Times New Roman" w:eastAsia="Times New Roman" w:hAnsi="Times New Roman" w:cs="Times New Roman"/>
          <w:sz w:val="24"/>
          <w:szCs w:val="24"/>
          <w:lang w:eastAsia="lv-LV"/>
        </w:rPr>
        <w:t>] par teksta rūpīgu rediģēšanu un pārlasīšanu.</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Visbeidzot ar milzīgu prieku pateicamies arī visiem ekspertiem un partneriem, kas sniedza ieguldījumu mūsu 2017. gada Alianses pret cilvēku tirdzniecību konferencē par bērnu tirdzniecību un bērna labākām interesēm, bez kuru kompetences un nodošanās šim darbam šā pētījuma publikācija nesaņemtu pietiekamu impulsu. Šis pētījums ir veltīts neskaitāmiem bērniem, kuriem nepieciešama mūsu gādība un atbalsts.</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4B7F17">
      <w:pPr>
        <w:widowControl w:val="0"/>
        <w:spacing w:after="0" w:line="240" w:lineRule="auto"/>
        <w:jc w:val="center"/>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“Šis pētījums ir veltīts neskaitāmiem bērniem, kuriem nepieciešama mūsu gādība un atbalsts.”</w:t>
      </w:r>
    </w:p>
    <w:p w:rsidR="004B7F17" w:rsidRDefault="004B7F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F253CE" w:rsidRDefault="00D6592D" w:rsidP="006B796E">
      <w:pPr>
        <w:widowControl w:val="0"/>
        <w:spacing w:after="0" w:line="240" w:lineRule="auto"/>
        <w:jc w:val="both"/>
        <w:rPr>
          <w:rFonts w:ascii="Times New Roman" w:eastAsia="Times New Roman" w:hAnsi="Times New Roman" w:cs="Times New Roman"/>
          <w:sz w:val="28"/>
          <w:szCs w:val="24"/>
          <w:lang w:eastAsia="lv-LV"/>
        </w:rPr>
      </w:pPr>
      <w:r w:rsidRPr="00F253CE">
        <w:rPr>
          <w:rFonts w:ascii="Times New Roman" w:eastAsia="Times New Roman" w:hAnsi="Times New Roman" w:cs="Times New Roman"/>
          <w:sz w:val="28"/>
          <w:szCs w:val="24"/>
          <w:lang w:eastAsia="lv-LV"/>
        </w:rPr>
        <w:lastRenderedPageBreak/>
        <w:t>Kopsavilkums</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Šajā speciālajā pētījumā galvenā uzmanība pievērsta tam, kā valsts vadītām bērnu aizsardzības iestādēm nodrošināt cilvēku tirdzniecībā cietušo bērnu aizsardzību. Tajā nav pārskatīti visi pasākumi, kas nepieciešami visos bērna, kas ir cilvēku tirdzniecības upuris, aizsardzības un palīdzības sniegšanas posmos, bet galvenā uzmanība pievērsta turpmāk minētajiem rīcības posmiem:</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 Lēmumu pieņemšanas process, kurā izvēlas visaptverošu, drošu un ilgtspējīgu risinājumu bērna interesēs (t. i., risinājumus, kurus dažkārt dēvē par “pastāvīgiem risinājumiem”) attiecībā uz:</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 bērniem, kuri ir ārpus savas izcelsmes valsts (nepavadīti, nošķirti vai pavadībā), tostarp attiecībā uz šāda bērna imigrācijas statusa sakārtošanu;</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ii) bērniem, kas nav atstājuši savu valsti;</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 Šādu risinājumu īstenošana;</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3. Vidēja termiņa un ilgtermiņa palīdzības sniegšana, lai nodrošinātu ikviena bērna pienācīgu atlabšanu (“re/integrāciju”) bērna izcelsmes valstī vai vietā, vai kur citur.</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Šā pētījuma 2. nodaļā ir noteikti bērna tiesību principi, pamatojoties uz kuriem tiek īstenota cilvēku tirdzniecībā cietušo bērnu aizsardzība. Pirmais un galvenais princips ir tāds, ka visās darbībās, kas skar bērnus (viss, kas tiek darīts, lai aizsargātu cilvēku tirdzniecībā cietušos bērnus vai apkarotu bērnu tirdzniecību), primārajam apsvērumam jābūt bērna interesēm.</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Pētījuma 3. nodaļā ir skaidrots, kādi lēmumi kopumā jāpieņem attiecībā uz bērniem, kas ir cilvēku tirdzniecības upuri, un kurā aizsardzības procesa brīdī tie notiek. Tajā uzsvērts, ka bērnu aizsardzības speciālistiem iespēju robežās jāuzņemas vadošā lēmumu pieņemšanas loma, un ir sniegta atsauce uz Zviedrijas Rokasgrāmatu par nacionālo mehānismu cietušo nosūtīšanai, kurā uzsvērti rīcības punkti, kas nepieciešami attiecībā uz bērniem un jauniešiem. Šajā nodaļā ir izvērtēts arī bērnu pajumtes (</w:t>
      </w:r>
      <w:r w:rsidRPr="006B796E">
        <w:rPr>
          <w:rFonts w:ascii="Times New Roman" w:eastAsia="Times New Roman" w:hAnsi="Times New Roman" w:cs="Times New Roman"/>
          <w:i/>
          <w:iCs/>
          <w:sz w:val="24"/>
          <w:szCs w:val="24"/>
          <w:lang w:eastAsia="lv-LV"/>
        </w:rPr>
        <w:t>Barnahus</w:t>
      </w:r>
      <w:r w:rsidRPr="006B796E">
        <w:rPr>
          <w:rFonts w:ascii="Times New Roman" w:eastAsia="Times New Roman" w:hAnsi="Times New Roman" w:cs="Times New Roman"/>
          <w:sz w:val="24"/>
          <w:szCs w:val="24"/>
          <w:lang w:eastAsia="lv-LV"/>
        </w:rPr>
        <w:t>) modelis, ko izmanto, lai censtos nodrošināt, ka cietušie bērni netiek pakļauti atkārtotām iztaujāšanām par tiem pašiem jautājumiem.</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Savukārt 4. nodaļā ir sīkāk aprakstīts bērna, kas ir cilvēku tirdzniecības upuris, pagaidu aprūpes posms, proti, periods, kurā bērnu aizsardzības iestādes gatavo galvenos lēmumus, kas ietekmē bērnu. Tiek izvērtēts, vai bērnam, kas ir cilvēku tirdzniecības upuris, jāpiemēro alternatīva aprūpe, un raksturoti ANO Pamatnostādnēs par bērnu alternatīvo aprūpi ieteiktie novērtējuma veidi. Ja attiecībā uz nepavadītiem (vai šķietami nepavadītiem) bērniem tiek konstatēts, ka viņi varētu būt cilvēku tirdzniecības upuri, ANO Pamatnostādnēs noteiktais “obligātuma princips” nozīmē, ka bērnam ir nekavējoties jānodrošina alternatīvā aprūpe. Šādos gadījumos par lēmuma pieņemšanu atbildīgajai iestādei ir jānovērtē riski, ar kuriem saskaras bērns, un tas, kā tie ietekmē šā bērna ievietošanu, reģistrējot visus faktorus, kas ņemti vērā, kad tika lemts par to, kur izvietot bērnu un kādi pasākumi nepieciešami, lai pasargātu viņu no visiem identificētajiem riskiem. Tiek uzsvērts, cik svarīgi ir nepieļaut bērnu, kas iespējami ir cilvēku tirdzniecības upuri, ievietošanu jebkāda veida ieslodzījuma vietā vai cita veida aizturēšanas situāciju. Tiek apspriests arī risks, ka cietušais bērns var tikt pakļauts turpmākai ļaunprātīgai rīcībai patvēruma vietā vai aprūpes namā, kā arī aplūkoti daži pasākumi, kas ir būtiski, lai to novērstu.</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Pētījuma 5. nodaļā ir izvērtētas bērna intereses un tas, kā izpratni par to, ko tas nozīmē, var īstenot lēmumu pieņemšanas procesā ne tikai valstīs, kur nepavadīti bērni ir identificēti, bet arī bērnu izcelsmes valstīs.</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Pētījuma 6. nodaļā ir aplūkota attiecībā uz bērniem, kas ir cilvēku tirdzniecības upuri, pieņemto lēmumu īstenošanas pieredze, īpaši pievēršot uzmanību lietu pārvaldībai un aprūpes plāniem, kas veicina bērnu pienācīgu reintegrāciju. Tajā ir aprakstītas dažas priekšrocības, ko sniedz cilvēku tirdzniecībā cietušā bērna “dzīves plāna” sagatavošana. Ir aplūkoti arī atbilstoši pasākumi, kas veicami, lai mazinātu varbūtību, ka alternatīvās aprūpes iestādē ievietotais bērns, kas ir cilvēku tirdzniecības upuris, varētu no tās aiziet un “pazust”.</w:t>
      </w:r>
    </w:p>
    <w:p w:rsidR="004B7F17" w:rsidRDefault="004B7F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r w:rsidRPr="000E2D02">
        <w:rPr>
          <w:noProof/>
          <w:sz w:val="24"/>
          <w:szCs w:val="24"/>
          <w:lang w:eastAsia="lv-LV"/>
        </w:rPr>
        <w:lastRenderedPageBreak/>
        <w:drawing>
          <wp:inline distT="0" distB="0" distL="0" distR="0">
            <wp:extent cx="5720080" cy="223266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0080" cy="2232660"/>
                    </a:xfrm>
                    <a:prstGeom prst="rect">
                      <a:avLst/>
                    </a:prstGeom>
                    <a:noFill/>
                    <a:ln>
                      <a:noFill/>
                    </a:ln>
                  </pic:spPr>
                </pic:pic>
              </a:graphicData>
            </a:graphic>
          </wp:inline>
        </w:drawing>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Alianses pret cilvēku tirdzniecību konference par bērnu tirdzniecību un bērna interesēm, 2017. gads</w:t>
      </w: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4B7F17"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Pētījuma 7. nodaļā apkopoti principi, kas attiecas uz cilvēku tirdzniecībā cietušā bērna iespējamo atpakaļnosūtīšanu uz viņa izcelsmes valsti, uzsverot tiesiskās garantijas, kas ir būtiskas. Tajā ir aplūkoti divpusējie un daudzpusējie pamata noteikumi, kas reglamentē nepavadītu bērnu atpakaļnosūtīšanu, un apspriesti gadījumi, kuros bērniem, kas ir cilvēku tirdzniecības upuri, pēc viņu atgriešanās izcelsmes valstī ir piemēroti ierobežojumi.</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Visbeidzot 8. nodaļā ir sniegti vairāki ieteikumi EDSO dalībvalstīm, atzīmējot, ka tie ir paredzēti, lai papildinātu, nevis aizstātu dalībvalstīm jau iepriekš ieteiktos pasākumus. Šo ieteikumu būtība ir tāda, ka bērnu tirdzniecība jārisina kā bērna aizsardzības jautājums saskaņā ar bērnu aizsardzības pamata noteikumiem, kur bērnu aizsardzības speciālistiem ir vadošā loma visās lēmumu pieņemšanas procedūrās, kas varētu būtiski ietekmēt bērnu, kas ir cilvēku tirdzniecības upuris.</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Šim speciālajam pētījumam ir divi pielikumi – pirmajā ir citēts Kopīgais vispārējais komentārs, ko 2017. gadā izdeva divas līguma izpildes uzraudzības ANO struktūras, un otrajā ir apkopoti punkti no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tipveida divpusējā nolīguma, kas attiecas uz cilvēku tirdzniecībā cietušiem bērniem.</w:t>
      </w:r>
    </w:p>
    <w:p w:rsidR="004B7F17" w:rsidRDefault="004B7F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F253CE" w:rsidRDefault="00F253CE" w:rsidP="006B796E">
      <w:pPr>
        <w:widowControl w:val="0"/>
        <w:spacing w:after="0" w:line="240" w:lineRule="auto"/>
        <w:jc w:val="both"/>
        <w:rPr>
          <w:rFonts w:ascii="Times New Roman" w:eastAsia="Times New Roman" w:hAnsi="Times New Roman" w:cs="Times New Roman"/>
          <w:sz w:val="28"/>
          <w:szCs w:val="24"/>
          <w:lang w:eastAsia="lv-LV"/>
        </w:rPr>
      </w:pPr>
      <w:r w:rsidRPr="00F253CE">
        <w:rPr>
          <w:rFonts w:ascii="Times New Roman" w:eastAsia="Times New Roman" w:hAnsi="Times New Roman" w:cs="Times New Roman"/>
          <w:noProof/>
          <w:sz w:val="28"/>
          <w:szCs w:val="24"/>
          <w:lang w:eastAsia="lv-LV"/>
        </w:rPr>
        <w:lastRenderedPageBreak/>
        <w:drawing>
          <wp:inline distT="0" distB="0" distL="0" distR="0">
            <wp:extent cx="5760085" cy="7693556"/>
            <wp:effectExtent l="0" t="0" r="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7693556"/>
                    </a:xfrm>
                    <a:prstGeom prst="rect">
                      <a:avLst/>
                    </a:prstGeom>
                    <a:noFill/>
                    <a:ln>
                      <a:noFill/>
                    </a:ln>
                  </pic:spPr>
                </pic:pic>
              </a:graphicData>
            </a:graphic>
          </wp:inline>
        </w:drawing>
      </w:r>
    </w:p>
    <w:p w:rsidR="00F253CE" w:rsidRDefault="00F253CE" w:rsidP="006B796E">
      <w:pPr>
        <w:widowControl w:val="0"/>
        <w:spacing w:after="0" w:line="240" w:lineRule="auto"/>
        <w:jc w:val="both"/>
        <w:rPr>
          <w:rFonts w:ascii="Times New Roman" w:eastAsia="Times New Roman" w:hAnsi="Times New Roman" w:cs="Times New Roman"/>
          <w:sz w:val="28"/>
          <w:szCs w:val="24"/>
          <w:lang w:eastAsia="lv-LV"/>
        </w:rPr>
      </w:pPr>
    </w:p>
    <w:p w:rsidR="004B7F17" w:rsidRDefault="004B7F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Šajā speciālajā pētījumā galvenā uzmanība ir pievērsta cilvēku tirdzniecībā cietušo bērnu aizsardzībai</w:t>
      </w:r>
      <w:r w:rsidR="00173D80">
        <w:rPr>
          <w:rStyle w:val="Vresatsauce"/>
          <w:rFonts w:ascii="Times New Roman" w:eastAsia="Times New Roman" w:hAnsi="Times New Roman" w:cs="Times New Roman"/>
          <w:sz w:val="24"/>
          <w:szCs w:val="24"/>
          <w:lang w:eastAsia="lv-LV"/>
        </w:rPr>
        <w:footnoteReference w:id="1"/>
      </w:r>
      <w:r w:rsidRPr="006B796E">
        <w:rPr>
          <w:rFonts w:ascii="Times New Roman" w:eastAsia="Times New Roman" w:hAnsi="Times New Roman" w:cs="Times New Roman"/>
          <w:sz w:val="24"/>
          <w:szCs w:val="24"/>
          <w:lang w:eastAsia="lv-LV"/>
        </w:rPr>
        <w:t>,</w:t>
      </w:r>
      <w:r w:rsidRPr="006B796E">
        <w:rPr>
          <w:rFonts w:ascii="Times New Roman" w:eastAsia="Times New Roman" w:hAnsi="Times New Roman" w:cs="Times New Roman"/>
          <w:sz w:val="24"/>
          <w:szCs w:val="24"/>
          <w:vertAlign w:val="superscript"/>
          <w:lang w:eastAsia="lv-LV"/>
        </w:rPr>
        <w:t> </w:t>
      </w:r>
      <w:r w:rsidRPr="006B796E">
        <w:rPr>
          <w:rFonts w:ascii="Times New Roman" w:eastAsia="Times New Roman" w:hAnsi="Times New Roman" w:cs="Times New Roman"/>
          <w:sz w:val="24"/>
          <w:szCs w:val="24"/>
          <w:lang w:eastAsia="lv-LV"/>
        </w:rPr>
        <w:t>ko nodrošina bērnu aizsardzības valsts iestādes, jo īpaši saistībā ar valsts iestāžu (vai “likumā noteikto” iestāžu) lēmumu pieņemšanu attiecībā uz visaptverošiem, drošiem un ilgtspējīgiem risinājumiem</w:t>
      </w:r>
      <w:r w:rsidR="00173D80">
        <w:rPr>
          <w:rStyle w:val="Vresatsauce"/>
          <w:rFonts w:ascii="Times New Roman" w:eastAsia="Times New Roman" w:hAnsi="Times New Roman" w:cs="Times New Roman"/>
          <w:sz w:val="24"/>
          <w:szCs w:val="24"/>
          <w:lang w:eastAsia="lv-LV"/>
        </w:rPr>
        <w:footnoteReference w:id="2"/>
      </w:r>
      <w:r w:rsidRPr="006B796E">
        <w:rPr>
          <w:rFonts w:ascii="Times New Roman" w:eastAsia="Times New Roman" w:hAnsi="Times New Roman" w:cs="Times New Roman"/>
          <w:sz w:val="24"/>
          <w:szCs w:val="24"/>
          <w:lang w:eastAsia="lv-LV"/>
        </w:rPr>
        <w:t>,</w:t>
      </w:r>
      <w:r w:rsidRPr="006B796E">
        <w:rPr>
          <w:rFonts w:ascii="Times New Roman" w:eastAsia="Times New Roman" w:hAnsi="Times New Roman" w:cs="Times New Roman"/>
          <w:sz w:val="24"/>
          <w:szCs w:val="24"/>
          <w:vertAlign w:val="superscript"/>
          <w:lang w:eastAsia="lv-LV"/>
        </w:rPr>
        <w:t> </w:t>
      </w:r>
      <w:r w:rsidRPr="006B796E">
        <w:rPr>
          <w:rFonts w:ascii="Times New Roman" w:eastAsia="Times New Roman" w:hAnsi="Times New Roman" w:cs="Times New Roman"/>
          <w:sz w:val="24"/>
          <w:szCs w:val="24"/>
          <w:lang w:eastAsia="lv-LV"/>
        </w:rPr>
        <w:t>kas ir to bērnu interesēs, kuri ir cilvēku tirdzniecības upuri.</w:t>
      </w:r>
    </w:p>
    <w:p w:rsidR="004B7F17" w:rsidRPr="006B796E" w:rsidRDefault="004B7F17"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Tajā ir aplūkota valsts bērnu aizsardzības sistēmu loma, lai panāktu, ka bērni, kas ir cilvēku tirdzniecības upuri, varētu atlabt un atsākt dzīvot savu dzīvi. Pētījumā tostarp ir sniegts pārskats par to, kādus pasākumus dalībvalstis ir veikušas un var veikt, lai īstenotu ieteikumu, kas ietverts EDSO 2016. gada ziņojumā par apsekojumu attiecībā uz EDSO Rīcības plāna cilvēku tirdzniecības apkarošanai īstenošanu, proti,</w:t>
      </w:r>
    </w:p>
    <w:p w:rsidR="00173D80" w:rsidRPr="006B796E" w:rsidRDefault="00173D8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“nodrošināt, ka centieni novērst bērnu tirdzniecību un reaģēt uz to ir iekļauti plašākā bērnu aizsardzības satvarā. Tieši valstīm jānodrošina, ka tiesības, kas garantētas ANO Bērnu tiesību konvencijā (BTK), tostarp attiecībā uz bērna interešu noteikšanu, bērnam tiek garantētas neatkarīgi no tā, vai viņam ir piešķirts cilvēku tirdzniecības upura statuss.”</w:t>
      </w:r>
      <w:r w:rsidR="002561F2">
        <w:rPr>
          <w:rStyle w:val="Vresatsauce"/>
          <w:rFonts w:ascii="Times New Roman" w:eastAsia="Times New Roman" w:hAnsi="Times New Roman" w:cs="Times New Roman"/>
          <w:sz w:val="24"/>
          <w:szCs w:val="24"/>
          <w:lang w:eastAsia="lv-LV"/>
        </w:rPr>
        <w:footnoteReference w:id="3"/>
      </w:r>
    </w:p>
    <w:p w:rsidR="00173D80" w:rsidRDefault="00173D8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Alianses pret cilvēku tirdzniecību 17. konferencē “Bērnu tirdzniecība un bērna intereses”, kas notika Vīnē 2017. gada 3.–4. aprīlī, tika apliecināts, ka EDSO ir jāturpina pievērsties tādām tēmām kā apdraudējums bērniem krīzes situācijās, faktori, kas paaugstina bērna neaizsargātību, bērnu aizsardzības esošo sistēmu atbilstība un politiskās nostādnes un pasākumi, kas nodrošina, ka visās darbībās, kas skar bērnus, primārais apsvērums ir bērna intereses.</w:t>
      </w:r>
    </w:p>
    <w:p w:rsidR="002561F2" w:rsidRPr="006B796E"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Šajā speciālajā pētījumā īpaša uzmanība ir pievērsta konkrētiem rīcības posmiem, kas veicami, lai nodrošinātu cilvēku tirdzniecībā cietušo bērnu (kā arī jaunu pieaugušo, kas kļuvuši par tirdzniecības upuriem, būdami bērni) aizsardzību un sniegtu viņiem palīdzību, proti:</w:t>
      </w:r>
    </w:p>
    <w:p w:rsidR="002561F2" w:rsidRPr="006B796E"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 Lēmumu pieņemšanas process pēc identifikācijas, kurā izvēlas visaptverošu, drošu un ilgtspējīgu risinājumu bērna interesēs (t. i., risinājumu, kuru agrāk dēvēja par “pastāvīgu risinājumu”) attiecībā uz:</w:t>
      </w:r>
    </w:p>
    <w:p w:rsidR="002561F2" w:rsidRPr="006B796E"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 bērniem, kuri ir ārpus savas izcelsmes valsts (nepavadīti, nošķirti vai pavadībā), tostarp attiecībā uz šādu bērnu imigrācijas statusa sakārtošanu;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ii) bērniem, kas nav atstājuši savu valsti;</w:t>
      </w:r>
    </w:p>
    <w:p w:rsidR="002561F2"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 Šādu risinājumu īstenošana;</w:t>
      </w:r>
    </w:p>
    <w:p w:rsidR="002561F2"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3. Vidēja termiņa un ilgtermiņa palīdzības sniegšana, lai nodrošinātu ikviena bērna pienācīgu atlabšanu (“re/integrāciju”) bērna izcelsmes valstī vai vietā, vai kur citur.</w:t>
      </w:r>
    </w:p>
    <w:p w:rsidR="002561F2"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Tas nozīmē, ka šajā speciālajā pētījumā netiek tieši risināta bērnu, kas ir cilvēku tirdzniecības upuri, aizsardzība agrīnajos posmos, proti, bērnu identifikācija, viņu atbrīvošana no cilvēku tirgotāju kontroles un viņu iesaistīšana krimināltiesību sistēmā nozieguma upuru vai nozieguma liecinieku statusā, tostarp, lai pēdējiem no minētajiem nodrošinātu tiesas pieejamību tiesiskās aizsardzības līdzekļu saņemšanai, kā arī lai nodrošinātu viņu tiesības netikt sodītiem par nelikumīgu iekļūšanu vai dzīvošanu tranzīta un galamērķa valstīs vai par viņu iesaistīšanos nelikumīgās darbībās, ciktāl šī iesaistīšanās ir bijusi cilvēku tirdzniecības tiešas sekas.</w:t>
      </w:r>
      <w:r w:rsidR="002561F2">
        <w:rPr>
          <w:rStyle w:val="Vresatsauce"/>
          <w:rFonts w:ascii="Times New Roman" w:eastAsia="Times New Roman" w:hAnsi="Times New Roman" w:cs="Times New Roman"/>
          <w:sz w:val="24"/>
          <w:szCs w:val="24"/>
          <w:lang w:eastAsia="lv-LV"/>
        </w:rPr>
        <w:footnoteReference w:id="4"/>
      </w:r>
    </w:p>
    <w:p w:rsidR="002561F2" w:rsidRPr="006B796E"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Visbeidzot, īpaši aplūkojot to, kādā veidā valsts bērnu aizsardzības sistēmas var pienācīgi aprīkot, lai pilnībā risinātu bērnu, kas ir cilvēku tirdzniecības upuri, vajadzības, šis pētījums var būt noderīgs, veidojot pamatu cietušo nosūtīšanas mehānismu un bērna labklājībā iesaistīto pušu lielākai sinerģijai. Tam jānodrošina aizsardzības pasākumu savstarpēja papildināmība.</w:t>
      </w:r>
      <w:r w:rsidR="002561F2">
        <w:rPr>
          <w:rStyle w:val="Vresatsauce"/>
          <w:rFonts w:ascii="Times New Roman" w:eastAsia="Times New Roman" w:hAnsi="Times New Roman" w:cs="Times New Roman"/>
          <w:sz w:val="24"/>
          <w:szCs w:val="24"/>
          <w:lang w:eastAsia="lv-LV"/>
        </w:rPr>
        <w:footnoteReference w:id="5"/>
      </w:r>
    </w:p>
    <w:p w:rsidR="002561F2" w:rsidRDefault="002561F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1.1. Kas ir “bērnu aizsardzība”?</w:t>
      </w:r>
    </w:p>
    <w:p w:rsidR="002561F2"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Apzīmējums “aizsardzība” ietver visus īpašos pasākumus, ko veic, lai nodrošinātu, ka riskam pakļautās personas izmanto tām saskaņā ar starptautiskām konvencijām paredzētās tiesības un palīdzību. Kādu aizsargāt nozīmē, ka tiek atzīts, ka šīm personām ir tiesības un ka iestādēm, kurām ir vara pār šīm personām, ir saistību pienākumi, kā arī tiek nodrošināts, ka šīs saistības tiek pienācīgi un efektīvi īstenotas. ANO Bērnu tiesību konvencijā (1989) ir noteikts, ka valstīm ir jāveic pasākumi, lai ikvienu bērnu aizsargātu “pret jebkāda veida fizisku vai psiholoģisku vardarbību, miesas bojājumiem vai nežēlīgu, nevērīgu vai nolaidīgu izturēšanos, sliktu izturēšanos vai ekspluatāciju, tostarp pret seksuālu vardarbību, kamēr viņš ir vecāku, aizbildņu vai jebkuras citas par bērnu atbildīgas personas aprūpē” (19. pants). ANO Bērnu fonds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izmanto terminu “bērnu aizsardzība”, apzīmējot novēršanas un reaģēšanas pasākumus attiecībā uz vardarbību pret bērniem, kā arī attiecībā uz viņu ekspluatāciju un pret viņiem īstenotu ļaunprātīgu rīcību, tostarp komerciālu seksuālu izmantošanu, bērnu tirdzniecību, bērnu darbu un kaitīgām tradicionālām ieražām, piemēram, bērnu laulību.</w:t>
      </w:r>
      <w:r w:rsidR="002561F2">
        <w:rPr>
          <w:rStyle w:val="Vresatsauce"/>
          <w:rFonts w:ascii="Times New Roman" w:eastAsia="Times New Roman" w:hAnsi="Times New Roman" w:cs="Times New Roman"/>
          <w:sz w:val="24"/>
          <w:szCs w:val="24"/>
          <w:lang w:eastAsia="lv-LV"/>
        </w:rPr>
        <w:footnoteReference w:id="6"/>
      </w:r>
      <w:r w:rsidRPr="006B796E">
        <w:rPr>
          <w:rFonts w:ascii="Times New Roman" w:eastAsia="Times New Roman" w:hAnsi="Times New Roman" w:cs="Times New Roman"/>
          <w:sz w:val="24"/>
          <w:szCs w:val="24"/>
          <w:lang w:eastAsia="lv-LV"/>
        </w:rPr>
        <w:t>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uzsver, cik nozīmīgi ir saprast pamatcēloņus un risināt tos kopā, nevis atsevišķi, lai valsts bērnu aizsardzības sistēmas varētu risināt visu riska faktoru spektru bērnu dzīvē un viņu ģimenēs.</w:t>
      </w:r>
      <w:r w:rsidR="002561F2">
        <w:rPr>
          <w:rStyle w:val="Vresatsauce"/>
          <w:rFonts w:ascii="Times New Roman" w:eastAsia="Times New Roman" w:hAnsi="Times New Roman" w:cs="Times New Roman"/>
          <w:sz w:val="24"/>
          <w:szCs w:val="24"/>
          <w:lang w:eastAsia="lv-LV"/>
        </w:rPr>
        <w:footnoteReference w:id="7"/>
      </w:r>
    </w:p>
    <w:p w:rsidR="002561F2"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Terminiem “aizsardzība” un “bērnu aizsardzība” tādējādi ir daudz plašāka nozīme, nekā tā ir konkrēti saistībā ar centieniem apturēt cilvēku tirdzniecību, kur termins “aizsardzība” primāri attiecas uz darbībām, kas tiek veiktas, lai sniegtu labumu personai, kuru kontrolē cilvēku tirgotājs vai kura ir kļuvusi par cilvēku tirdzniecības upuri, vai par kuru ir aizdomas, ka tā ir tirdzniecības upuris (EDSO izmanto terminu “domājamais upuris”, kad ir kādas norādes par bērna vai pieaugušā tirdzniecību, bet neapgāžami pierādījumi vēl nav pieejami</w:t>
      </w:r>
      <w:r w:rsidR="002561F2">
        <w:rPr>
          <w:rStyle w:val="Vresatsauce"/>
          <w:rFonts w:ascii="Times New Roman" w:eastAsia="Times New Roman" w:hAnsi="Times New Roman" w:cs="Times New Roman"/>
          <w:sz w:val="24"/>
          <w:szCs w:val="24"/>
          <w:lang w:eastAsia="lv-LV"/>
        </w:rPr>
        <w:footnoteReference w:id="8"/>
      </w:r>
      <w:r w:rsidRPr="006B796E">
        <w:rPr>
          <w:rFonts w:ascii="Times New Roman" w:eastAsia="Times New Roman" w:hAnsi="Times New Roman" w:cs="Times New Roman"/>
          <w:sz w:val="24"/>
          <w:szCs w:val="24"/>
          <w:lang w:eastAsia="lv-LV"/>
        </w:rPr>
        <w:t>). Šajā cilvēku tirdzniecības kontekstā aizsardzība ir pieaugušo vai bērnu aizsardzība no turpmāka kaitējuma nodarīšanas (sākot ar brīdi, kad persona tiek atbrīvota no cilvēku tirgotājiem), atbilstošas palīdzības sniegšana, lai viņi varētu atlabt no nodarītā kaitējuma un atsākt savu dzīvi, un piekļuves nodrošināšana atbilstīgiem tiesību aizsardzības līdzekļiem vai nu ar tiesas starpniecību, vai kā citādi.</w:t>
      </w:r>
    </w:p>
    <w:p w:rsidR="002561F2" w:rsidRPr="006B796E"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Šajā speciālajā pētījumā tiek analizēts, kā valsts bērnu aizsardzības sistēmas var nodrošināt cilvēku tirdzniecībā cietušo bērnu pilnīgu atlabšanu. Lielākā daļa valsts bērnu aizsardzības sistēmu ir izveidotas, lai primāri aizsargātu bērnus, kas ir attiecīgās valsts valstspiederīgie. Tomēr tām ir pienākums aizsargāt visus bērnus, lai arī no kurienes tie būtu, tostarp nepavadītus un nošķirtus bērnus no citām valstīm, vai tie būtu bēgļi, nelegālie migranti vai personas, kas ieradušās valstī, ievērojot visas prasītās procedūras. Dažās valstīs ir izveidotas bērnu aizsardzības aģentūras, savukārt citās izmanto oficiālas tiesībsargājošo iestāžu amatpersonas vai valsts algotus sociālos darbiniekus, kas nodarbojas ar bērnu un pieaugušo aizsardzību. Neatkarīgi no tā, kādas struktūras ir izveidotas, valsts pārvaldei ir pienākums </w:t>
      </w:r>
      <w:r w:rsidRPr="006B796E">
        <w:rPr>
          <w:rFonts w:ascii="Times New Roman" w:eastAsia="Times New Roman" w:hAnsi="Times New Roman" w:cs="Times New Roman"/>
          <w:sz w:val="24"/>
          <w:szCs w:val="24"/>
          <w:lang w:eastAsia="lv-LV"/>
        </w:rPr>
        <w:lastRenderedPageBreak/>
        <w:t>nodrošināt, ka aģentūrām, kas nonāk saskarē ar bērniem vai atbild par bērnus ietekmējošu lēmumu pieņemšanu, ir atbilstoša kompetence un resursi. Šajā pētījumā ir aplūkota to loma un procedūras, kas tām jāievēro.</w:t>
      </w:r>
    </w:p>
    <w:p w:rsidR="002561F2" w:rsidRPr="006B796E"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1.2. Kas ir bērni – cilvēku tirdzniecības upuri? Šo bērnu nošķiršana no citiem bērniem, kas ir cietuši no nozieguma, un no nepavadītiem bērniem, kuri ir grūtos apstākļos</w:t>
      </w:r>
    </w:p>
    <w:p w:rsidR="002561F2"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Kad ANO 2000. gadā pieņēma Protokolu par cilvēku tirdzniecības, jo sevišķi tirdzniecības ar sievietēm un bērniem, novēršanu, apkarošanu un sodīšanu par to (“ANO Protokols par cilvēku tirdzniecību”), kas ir papildinājums ANO Konvencijai pret transnacionālo organizēto noziedzību (2000), viens no trim noteiktajiem mērķiem (2. pants) bija “aizsargāt šīs tirdzniecības upurus un palīdzēt viņiem, pilnībā ievērojot viņu cilvēktiesības”. Divi pārējie mērķi ir novērst un apkarot cilvēku tirdzniecību un veicināt sadarbību starp Dalībvalstīm, lai sasniegtu šos Protokola mērķus.</w:t>
      </w:r>
    </w:p>
    <w:p w:rsidR="002561F2" w:rsidRPr="006B796E"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ANO Protokola par cilvēku tirdzniecību 3. pantā ir ietverta cilvēku tirdzniecības definīcija.</w:t>
      </w:r>
      <w:r w:rsidR="000877F0">
        <w:rPr>
          <w:rStyle w:val="Vresatsauce"/>
          <w:rFonts w:ascii="Times New Roman" w:eastAsia="Times New Roman" w:hAnsi="Times New Roman" w:cs="Times New Roman"/>
          <w:sz w:val="24"/>
          <w:szCs w:val="24"/>
          <w:lang w:eastAsia="lv-LV"/>
        </w:rPr>
        <w:footnoteReference w:id="9"/>
      </w:r>
      <w:r w:rsidRPr="006B796E">
        <w:rPr>
          <w:rFonts w:ascii="Times New Roman" w:eastAsia="Times New Roman" w:hAnsi="Times New Roman" w:cs="Times New Roman"/>
          <w:sz w:val="24"/>
          <w:szCs w:val="24"/>
          <w:lang w:eastAsia="lv-LV"/>
        </w:rPr>
        <w:t> Lai arī ANO Protokols par cilvēku tirdzniecību un saistītā Konvencija pret transnacionālo organizēto noziedzību paredz risināt transnacionālo noziedzību, kurā iesaistītas divas vai vairākas valstis, cilvēku tirdzniecības definīcija attiecas arī uz iekšējo (jeb “iekšzemes”) cilvēku tirdzniecību, kurā bērna vai pieaugušā tirdzniecība notiek, nešķērsojot robežas (piemēram, pašu valstī).</w:t>
      </w:r>
    </w:p>
    <w:p w:rsidR="002561F2" w:rsidRDefault="002561F2"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ANO Protokolā par cilvēku tirdzniecību ir uzskaitītas ekspluatācijas formas, kuras saistībā ar cilvēku tirdzniecību ietver, “kā minimums citu personu prostitūcijas ekspluatāciju vai citas seksuālās ekspluatācijas formas, piespiedu darbu vai pakalpojumus, verdzību vai verdzībai līdzīgas formas, kalpību vai orgānu izņemšanu”. Daži no šiem terminiem bija definēti ANO konvencijās vai starptautiskajos līgumos pirms ANO Protokola par cilvēku tirdzniecību pieņemšanas, savukārt citi termini nebija definēti. ANO Protokolā par cilvēku tirdzniecību ir identificēti trīs elementi, kas raksturo vismaz 18 gadu vecumu sasniegušu pieaugušo cilvēku tirdzniecību:</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savervēšana (vai “pārvadāšana, nodošana, slēpšana vai saņemšana”), ko veic starpnieks;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vardarbīgi kontroles līdzekļi, ko īsteno starpnieks – “izmantojot spēka pielietošanas draudus vai pielietošanu, vai arī citas piespiešanas, aizvešanas ar varu, krāpšanas, maldināšanas vai viltus formas, izmantojot varas pozīcijas vai arī cilvēku neaizsargātību, vai arī dodot vai saņemot maksājumus vai labumus, lai panāktu kādas tādas personas piekrišanu, kurai ir vara pār citu personu, ekspluatācijas nolūkos” – cilvēku savervēšanas, pārvadāšanas, nodošanas, slēpšanas vai saņemšanas procesā;</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turpmāka ekspluatācija vai nodoms ekspluatēt kādā no uzskaitītajiem veidiem, proti, citu personu prostitūcijas ekspluatācija vai citas seksuālās ekspluatācijas formas, piespiedu darbs vai pakalpojumi, verdzība vai verdzībai līdzīgas formas, kalpība vai orgānu izņemšana.</w:t>
      </w:r>
      <w:r w:rsidR="000877F0">
        <w:rPr>
          <w:rStyle w:val="Vresatsauce"/>
          <w:rFonts w:ascii="Times New Roman" w:eastAsia="Times New Roman" w:hAnsi="Times New Roman" w:cs="Times New Roman"/>
          <w:sz w:val="24"/>
          <w:szCs w:val="24"/>
          <w:lang w:eastAsia="lv-LV"/>
        </w:rPr>
        <w:footnoteReference w:id="10"/>
      </w:r>
    </w:p>
    <w:p w:rsidR="000877F0" w:rsidRDefault="000877F0"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Attiecībā uz bērniem, ja bērna savervēšanā vai pārvadāšanā tiek izmantoti jebkādi vardarbīgi līdzekļi, kas tiek izmantoti pieaugušo tirdzniecībā (piemēram, draudi, vardarbība, aizvešana ar varu vai maldināšana), uzskatāms, ka tas ir cilvēku tirdzniecības gadījums.</w:t>
      </w:r>
      <w:r w:rsidR="000877F0">
        <w:rPr>
          <w:rStyle w:val="Vresatsauce"/>
          <w:rFonts w:ascii="Times New Roman" w:eastAsia="Times New Roman" w:hAnsi="Times New Roman" w:cs="Times New Roman"/>
          <w:sz w:val="24"/>
          <w:szCs w:val="24"/>
          <w:lang w:eastAsia="lv-LV"/>
        </w:rPr>
        <w:footnoteReference w:id="11"/>
      </w:r>
      <w:r w:rsidRPr="006B796E">
        <w:rPr>
          <w:rFonts w:ascii="Times New Roman" w:eastAsia="Times New Roman" w:hAnsi="Times New Roman" w:cs="Times New Roman"/>
          <w:sz w:val="24"/>
          <w:szCs w:val="24"/>
          <w:lang w:eastAsia="lv-LV"/>
        </w:rPr>
        <w:t xml:space="preserve"> Savukārt ANO </w:t>
      </w:r>
      <w:r w:rsidRPr="006B796E">
        <w:rPr>
          <w:rFonts w:ascii="Times New Roman" w:eastAsia="Times New Roman" w:hAnsi="Times New Roman" w:cs="Times New Roman"/>
          <w:sz w:val="24"/>
          <w:szCs w:val="24"/>
          <w:lang w:eastAsia="lv-LV"/>
        </w:rPr>
        <w:lastRenderedPageBreak/>
        <w:t>Protokolā par cilvēku tirdzniecību ir noteikts, ka arī tad, ja pret bērnu nav piemēroti vardarbīgi līdzekļi, uzskatāms, ka tas ir cilvēku tirdzniecības gadījums. Ja jaunietis, kas ir jaunāks par 18 gadiem, ir savervēts konkrēti ekspluatēšanai (neatkarīgi no tā, vai ir vai nav pārvests uz citu vietu), tas ir pietiekami, lai uzskatītu, ka viņš ir cilvēku tirdzniecības upuris. No otras puses, ja bērna savervēšana vai pārvešana nav bijusi ar mērķi pakļaut viņu kādai no uzskaitītajām ekspluatācijas formām, uzskatāms, ka attiecīgais bērns nav cilvēku tirdzniecības upuris. Tādējādi tiek uzskatīts, ka individuāli bērni migranti, kas dodas ceļā dzīves meklējumos (un, ceļojot vai meklējot darbu, meklē dažādu starpnieku pakalpojumus), nav cilvēku tirdzniecības upuri, ja vien kāda persona nav nodomājusi izmantot šos bērnus ekspluatācijai.</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1.3. Šā ziņojuma gatavošanā izmantotās metodes</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Gatavojot šo ziņojumu, īpašajam pārstāvim palīdzību sniedza divi konsultanti. Viņiem tika lūgts pievērsties darbībām, kas veicina bērnu tirdzniecības apkarošanu, kā arī politikai un pasākumiem, kas vērsti uz bērnu interešu stiprināšanu, tostarp uz darbībām, kas stiprina bērnu aizsardzības mehānismus, lai novērstu bērnu tirdzniecību un reaģētu uz to. Jo īpaši viņi tika lūgti apkopot pierādījumus par:</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lēmumu pieņemšanas procesiem, kuru rezultātā tiek izstrādāti ilgtspējīgi risinājumi bērnu interesēs, tiklīdz tiek pabeigta bērna, kas ir cilvēku tirdzniecības upuris, sākotnējā identifikācija, pievēršot uzmanību gan bērniem, kas identificēti ārpus savas izcelsmes valsts (nepavadīti vai nošķirti bērni vai bērni ar pavadoni), gan bērniem, kas nav atstājuši savu valsti, un</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ilgtspējīgu risinājumu īstenošanu, tostarp par vidēja termiņa un ilgtermiņa palīdzību, lai nodrošinātu bērna pienācīgu atlabšanu un (re)integrāciju bērna izcelsmes valstī vai citviet.</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Šis speciālais pētījums ir izstrādāts, lielākoties pamatojoties uz (angļu, franču, krievu, moldāvu, rumāņu un spāņu valodā) publicētas informācijas pārskatiem un uz internetā pieejamo informāciju par bērniem, kas cietuši cilvēku tirdzniecībā. Daļa informācijas tika sniegta EDSO Alianses pret cilvēku tirdzniecību 17. konferencē “Bērnu tirdzniecība un bērna labākās intereses”, kas notika Vīnē 2017. gada aprīlī. Papildus pieejamajai publicētajai informācijai EDSO Cilvēku tirdzniecības apkarošanas īpašā pārstāvja un koordinatora birojs sniedza savas vadlīnijas un informāciju.</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Gatavojot šo pētījumu, tika aplūkoti dažādi publiskoti avoti. Tie ir šādi:</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EDSO publikācijas un pētījumi, jo īpaši ziņojumi par EDSO īpašā pārstāvja valstu vizītēm un EDSO 2016. gada ziņojums par apsekojumu, kas veikts saistībā ar EDSO Rīcības plānu cilvēku tirdzniecības apkarošanai;</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ziņojumi, ko sniegušas starptautiskās un reģionālās līguma izpildes uzraudzības struktūras, piemēram, saskaņā ar Bērnu tiesību konvenciju (BTK) izveidotā Bērnu tiesību komiteja un saskaņā ar Eiropas Padomes Konvenciju par cīņu pret cilvēku tirdzniecību (2005) izveidotā Ekspertu darbības grupa pret cilvēku tirdzniecību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citi attiecīgie ziņojumi, ko izdevušas reģionālās starpvaldību organizācijas, piemēram, Neatkarīgo Valstu Sadraudzība;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ziņojumi, ko sagatavojuši ANO īpašie referenti, jo īpaši tie, kuriem piešķirtas pilnvaras gatavot ziņojumus saistībā ar cilvēku tirdzniecību (īpaši sieviešu un bērnu tirdzniecību), bērnu pārdošanu, bērnu prostitūciju un bērnu pornogrāfiju, mūsdienu verdzības veidiem un migrantu cilvēktiesībām;</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lastRenderedPageBreak/>
        <w:t xml:space="preserve">&gt; </w:t>
      </w:r>
      <w:r w:rsidRPr="006B796E">
        <w:rPr>
          <w:rFonts w:ascii="Times New Roman" w:eastAsia="Times New Roman" w:hAnsi="Times New Roman" w:cs="Times New Roman"/>
          <w:sz w:val="24"/>
          <w:szCs w:val="24"/>
          <w:lang w:eastAsia="lv-LV"/>
        </w:rPr>
        <w:t>ziņojumi par Eiropas Komisijas izdoto cilvēku tirdzniecības novēršanas pasākumu īstenošanu;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EDSO dalībvalstu valsts un vietējo pašvaldības iestāžu publicētie noteikumi par savām nosūtīšanas sistēmām, jo īpaši tām, kurās uzmanība ir pievērsta bērniem;</w:t>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ziņojumi, ko sagatavojušas nevalstiskās organizācijas (NVO), akadēmiskās aprindas un citi speciālisti, kas iesaistīti bērnu aizsardzības sistēmu pārraudzībā vai cilvēku tirdzniecības novēršanas pasākumos.</w:t>
      </w:r>
    </w:p>
    <w:p w:rsidR="000877F0" w:rsidRDefault="000877F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0877F0" w:rsidRDefault="00F253CE" w:rsidP="00F253CE">
      <w:pPr>
        <w:widowControl w:val="0"/>
        <w:spacing w:after="0" w:line="240" w:lineRule="auto"/>
        <w:jc w:val="center"/>
        <w:rPr>
          <w:rFonts w:ascii="Times New Roman" w:eastAsia="Times New Roman" w:hAnsi="Times New Roman" w:cs="Times New Roman"/>
          <w:sz w:val="24"/>
          <w:szCs w:val="24"/>
          <w:lang w:eastAsia="lv-LV"/>
        </w:rPr>
      </w:pPr>
      <w:r w:rsidRPr="00F253CE">
        <w:rPr>
          <w:rFonts w:ascii="Times New Roman" w:eastAsia="Times New Roman" w:hAnsi="Times New Roman" w:cs="Times New Roman"/>
          <w:noProof/>
          <w:sz w:val="24"/>
          <w:szCs w:val="24"/>
          <w:lang w:eastAsia="lv-LV"/>
        </w:rPr>
        <w:lastRenderedPageBreak/>
        <w:drawing>
          <wp:inline distT="0" distB="0" distL="0" distR="0">
            <wp:extent cx="5760085" cy="7717177"/>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7717177"/>
                    </a:xfrm>
                    <a:prstGeom prst="rect">
                      <a:avLst/>
                    </a:prstGeom>
                    <a:noFill/>
                    <a:ln>
                      <a:noFill/>
                    </a:ln>
                  </pic:spPr>
                </pic:pic>
              </a:graphicData>
            </a:graphic>
          </wp:inline>
        </w:drawing>
      </w: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0877F0" w:rsidRDefault="000877F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2.1. Bērnu tiesību principi, pamatojoties uz kuriem tiek īstenotas bērnu, kas ir cilvēku tirdzniecības upuri, aizsardzības darbības</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tostarp to bērnu, kas ir cilvēku tirdzniecības upuri, aizsardzības pasākumi jāīsteno, pamatojoties uz principiem, kas ietverti ANO 1989. gada pieņemtajā Bērnu tiesību konvencijā (BTK), kuru ir ratificējušas visas EDSO dalībvalstis, izņemot vienu dalībvalsti. Pirmais un galvenais princips ir tāds, ka visās darbībās, kas ietekmē bērnus (viss, kas tiek darīts, lai aizsargātu cilvēku tirdzniecībā cietušos bērnus vai apkarotu bērnu tirdzniecību), primārajam apsvērumam ir jābūt bērna interesēm (Konvencijas 3. panta 1. punkts). Tas nenozīmē, ka bērna intereses ir vienīgais vērā ņemamais faktors, bet gan to, ka atbildīgajām iestādēm primāri jāizvērtē bērna intereses (nevis lielāka prioritāte jāpiešķir sekundāriem apsvērumiem).</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Lai arī, ņemot vērā, ka BTK ir ratificēta gandrīz visā pasaulē, šo principu neviens neapstrīd, daudzās valstīs attiecībā uz cilvēku tirdzniecību izstrādātajās politiskajās nostādnēs un praksē prioritāte tiek piešķirta nozieguma (cilvēku tirdzniecības vai bērnu tirdzniecības) apspiešanai, nepiešķirot tādu pašu prioritāti arī tirdzniecības upuru tiesību un interešu nodrošināšanai. Attiecībā uz bērniem – viņu intereses var izvērtēt tiesībsargājošo iestāžu amatpersonas, kuru mērķis ir atklāt, apsūdzēt un sodīt noziedzniekus, taču, ja bērna intereses nav primārais apsvērums, šo amatpersonu lēmumi un darbības var neatbilst BTK prasībām.</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Otrais princips ir tāds, ka bērniem ir tiesības īstenot savas tiesības bez jebkādas diskriminācijas, jo īpaši bez diskriminācijas, pamatojoties uz bērna valstspiederību, tautību vai sociālo izcelsmi. Tas nozīmē, ka bērni, kas nelegāli pārvesti no vienas valsts uz citu, ir tiesīgi īstenot savas tiesības valstī, kuras valstspiederīgie viņi nav.</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Trešais princips attiecas uz bērna tiesībām paust savu viedokli un to, ka tas tiek ņemts vērā, jo īpaši, kad valsts iestādes un nevalstiskās organizācijas (NVO) pieņem lēmumus vai nu bērna izcelsmes valstī, vai kādā citā valstī, kurā vai uz kuru bērns ir nelegāli pārvests.</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Ceturtais BTK pamatprincips ir tāds, ka bērniem ir tiesības uz dzīvību un valstīm ir pienākums nodrošināt ikviena bērna izdzīvošanu un attīstību (BTK 6. pants). Bērniem ir tiesības arī uz vārda brīvību un biedrošanos, kā arī tiesības pilnībā piedalīties kultūras un mākslas dzīvē (to garantē Konvencijas 13., 15. un 31. pants). Kopā ar 12. pantu šīs tiesības tiek interpretētas tādējādi, ka bērniem ir tiesības līdzdarboties centienos nodrošināt, ka viņu tiesības tiek ievērotas, tostarp tiek pilnveidota bērnu tirdzniecības apturēšanas un šajā tirdzniecībā cietušo aizsardzības politika.</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Bērnu tiesību principi</w:t>
      </w:r>
    </w:p>
    <w:p w:rsidR="000877F0" w:rsidRDefault="000877F0" w:rsidP="006B796E">
      <w:pPr>
        <w:widowControl w:val="0"/>
        <w:spacing w:after="0" w:line="240" w:lineRule="auto"/>
        <w:jc w:val="both"/>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0877F0" w:rsidRPr="000E2D02" w:rsidTr="000877F0">
        <w:tc>
          <w:tcPr>
            <w:tcW w:w="9288" w:type="dxa"/>
            <w:shd w:val="clear" w:color="auto" w:fill="A6A6A6"/>
          </w:tcPr>
          <w:p w:rsidR="000877F0" w:rsidRPr="000E2D02" w:rsidRDefault="000877F0" w:rsidP="00B7131B">
            <w:pPr>
              <w:pStyle w:val="Pamatteksts"/>
              <w:kinsoku w:val="0"/>
              <w:overflowPunct w:val="0"/>
              <w:ind w:left="0"/>
              <w:jc w:val="both"/>
              <w:rPr>
                <w:b/>
                <w:bCs/>
                <w:noProof/>
                <w:sz w:val="24"/>
                <w:szCs w:val="24"/>
                <w:lang w:val="en-US"/>
              </w:rPr>
            </w:pPr>
            <w:r w:rsidRPr="006B796E">
              <w:rPr>
                <w:b/>
                <w:bCs/>
                <w:sz w:val="24"/>
                <w:szCs w:val="24"/>
              </w:rPr>
              <w:t>1. Bērna intereses</w:t>
            </w:r>
          </w:p>
        </w:tc>
      </w:tr>
      <w:tr w:rsidR="000877F0" w:rsidRPr="000E2D02" w:rsidTr="000877F0">
        <w:tc>
          <w:tcPr>
            <w:tcW w:w="9288" w:type="dxa"/>
            <w:shd w:val="clear" w:color="auto" w:fill="D9D9D9"/>
          </w:tcPr>
          <w:p w:rsidR="000877F0" w:rsidRPr="000E2D02" w:rsidRDefault="000877F0" w:rsidP="00B7131B">
            <w:pPr>
              <w:pStyle w:val="Pamatteksts"/>
              <w:kinsoku w:val="0"/>
              <w:overflowPunct w:val="0"/>
              <w:ind w:left="0"/>
              <w:jc w:val="both"/>
              <w:rPr>
                <w:noProof/>
                <w:color w:val="231F20"/>
                <w:sz w:val="24"/>
                <w:szCs w:val="24"/>
                <w:lang w:val="en-US"/>
              </w:rPr>
            </w:pPr>
            <w:r w:rsidRPr="006B796E">
              <w:rPr>
                <w:color w:val="231F20"/>
                <w:sz w:val="24"/>
                <w:szCs w:val="24"/>
              </w:rPr>
              <w:t>“Visās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 (BTK 3. panta 1. punkts).</w:t>
            </w:r>
          </w:p>
        </w:tc>
      </w:tr>
    </w:tbl>
    <w:p w:rsidR="000877F0" w:rsidRDefault="000877F0" w:rsidP="006B796E">
      <w:pPr>
        <w:widowControl w:val="0"/>
        <w:spacing w:after="0" w:line="240" w:lineRule="auto"/>
        <w:jc w:val="both"/>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0877F0" w:rsidRPr="000E2D02" w:rsidTr="000877F0">
        <w:tc>
          <w:tcPr>
            <w:tcW w:w="9288" w:type="dxa"/>
            <w:shd w:val="clear" w:color="auto" w:fill="A6A6A6"/>
          </w:tcPr>
          <w:p w:rsidR="000877F0" w:rsidRPr="000E2D02" w:rsidRDefault="000877F0" w:rsidP="00B7131B">
            <w:pPr>
              <w:pStyle w:val="Pamatteksts"/>
              <w:kinsoku w:val="0"/>
              <w:overflowPunct w:val="0"/>
              <w:ind w:left="0"/>
              <w:jc w:val="both"/>
              <w:rPr>
                <w:b/>
                <w:bCs/>
                <w:noProof/>
                <w:sz w:val="24"/>
                <w:szCs w:val="24"/>
                <w:lang w:val="en-US"/>
              </w:rPr>
            </w:pPr>
            <w:r w:rsidRPr="006B796E">
              <w:rPr>
                <w:b/>
                <w:bCs/>
                <w:sz w:val="24"/>
                <w:szCs w:val="24"/>
              </w:rPr>
              <w:t>2. Nediskriminācija</w:t>
            </w:r>
          </w:p>
        </w:tc>
      </w:tr>
      <w:tr w:rsidR="000877F0" w:rsidRPr="000E2D02" w:rsidTr="000877F0">
        <w:tc>
          <w:tcPr>
            <w:tcW w:w="9288" w:type="dxa"/>
            <w:shd w:val="clear" w:color="auto" w:fill="D9D9D9"/>
          </w:tcPr>
          <w:p w:rsidR="000877F0" w:rsidRPr="006B796E" w:rsidRDefault="000877F0" w:rsidP="00B7131B">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w:t>
            </w:r>
            <w:r w:rsidRPr="006B796E">
              <w:rPr>
                <w:rFonts w:ascii="Times New Roman" w:eastAsia="Times New Roman" w:hAnsi="Times New Roman" w:cs="Times New Roman"/>
                <w:sz w:val="24"/>
                <w:szCs w:val="24"/>
                <w:lang w:eastAsia="lv-LV"/>
              </w:rPr>
              <w:lastRenderedPageBreak/>
              <w:t>veselības stāvokļa un dzimšanas apstākļiem vai jebkādiem citiem apstākļiem”</w:t>
            </w:r>
          </w:p>
          <w:p w:rsidR="000877F0" w:rsidRPr="000E2D02" w:rsidRDefault="000877F0" w:rsidP="00B7131B">
            <w:pPr>
              <w:pStyle w:val="Pamatteksts"/>
              <w:kinsoku w:val="0"/>
              <w:overflowPunct w:val="0"/>
              <w:ind w:left="0"/>
              <w:jc w:val="both"/>
              <w:rPr>
                <w:noProof/>
                <w:sz w:val="24"/>
                <w:szCs w:val="24"/>
                <w:lang w:val="en-US"/>
              </w:rPr>
            </w:pPr>
            <w:r w:rsidRPr="006B796E">
              <w:rPr>
                <w:sz w:val="24"/>
                <w:szCs w:val="24"/>
              </w:rPr>
              <w:t>(BTK 2. pants).</w:t>
            </w:r>
          </w:p>
        </w:tc>
      </w:tr>
    </w:tbl>
    <w:p w:rsidR="000877F0" w:rsidRDefault="000877F0" w:rsidP="006B796E">
      <w:pPr>
        <w:widowControl w:val="0"/>
        <w:spacing w:after="0" w:line="240" w:lineRule="auto"/>
        <w:jc w:val="both"/>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0877F0" w:rsidRPr="000E2D02" w:rsidTr="000877F0">
        <w:tc>
          <w:tcPr>
            <w:tcW w:w="9288" w:type="dxa"/>
            <w:shd w:val="clear" w:color="auto" w:fill="A6A6A6"/>
          </w:tcPr>
          <w:p w:rsidR="000877F0" w:rsidRPr="006B796E" w:rsidRDefault="000877F0" w:rsidP="00B7131B">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3. Bērna viedokļa cienīšana –</w:t>
            </w:r>
          </w:p>
          <w:p w:rsidR="000877F0" w:rsidRPr="000E2D02" w:rsidRDefault="000877F0" w:rsidP="00B7131B">
            <w:pPr>
              <w:pStyle w:val="Pamatteksts"/>
              <w:kinsoku w:val="0"/>
              <w:overflowPunct w:val="0"/>
              <w:ind w:left="0"/>
              <w:jc w:val="both"/>
              <w:rPr>
                <w:b/>
                <w:bCs/>
                <w:noProof/>
                <w:sz w:val="24"/>
                <w:szCs w:val="24"/>
                <w:lang w:val="en-US"/>
              </w:rPr>
            </w:pPr>
            <w:r w:rsidRPr="006B796E">
              <w:rPr>
                <w:b/>
                <w:bCs/>
                <w:sz w:val="24"/>
                <w:szCs w:val="24"/>
              </w:rPr>
              <w:t>ikvienam bērnam ir tiesības tikt uzklausītam, un viņa viedoklis ir jāņem vērā visos jautājumos, kas viņu skar</w:t>
            </w:r>
          </w:p>
        </w:tc>
      </w:tr>
      <w:tr w:rsidR="000877F0" w:rsidRPr="000E2D02" w:rsidTr="000877F0">
        <w:tc>
          <w:tcPr>
            <w:tcW w:w="9288" w:type="dxa"/>
            <w:shd w:val="clear" w:color="auto" w:fill="D9D9D9"/>
          </w:tcPr>
          <w:p w:rsidR="000877F0" w:rsidRPr="006B796E" w:rsidRDefault="000877F0" w:rsidP="00B7131B">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“Dalībvalstis nodrošina, lai ikvienam bērnam, kas ir spējīgs formulēt savu viedokli, būtu tiesības brīvi to paust visos jautājumos, kas viņu skar, turklāt bērna viedoklim jāpievērš pienācīga uzmanība atbilstoši bērna vecumam un brieduma pakāpei”</w:t>
            </w:r>
          </w:p>
          <w:p w:rsidR="000877F0" w:rsidRPr="000E2D02" w:rsidRDefault="000877F0" w:rsidP="00B7131B">
            <w:pPr>
              <w:pStyle w:val="Pamatteksts"/>
              <w:kinsoku w:val="0"/>
              <w:overflowPunct w:val="0"/>
              <w:ind w:left="0"/>
              <w:jc w:val="both"/>
              <w:rPr>
                <w:noProof/>
                <w:sz w:val="24"/>
                <w:szCs w:val="24"/>
                <w:lang w:val="en-US"/>
              </w:rPr>
            </w:pPr>
            <w:r w:rsidRPr="006B796E">
              <w:rPr>
                <w:sz w:val="24"/>
                <w:szCs w:val="24"/>
              </w:rPr>
              <w:t>(BTK 12. pants).</w:t>
            </w:r>
          </w:p>
        </w:tc>
      </w:tr>
    </w:tbl>
    <w:p w:rsidR="000877F0" w:rsidRDefault="000877F0" w:rsidP="006B796E">
      <w:pPr>
        <w:widowControl w:val="0"/>
        <w:spacing w:after="0" w:line="240" w:lineRule="auto"/>
        <w:jc w:val="both"/>
        <w:rPr>
          <w:rFonts w:ascii="Times New Roman" w:eastAsia="Times New Roman" w:hAnsi="Times New Roman" w:cs="Times New Roman"/>
          <w:b/>
          <w:bCs/>
          <w:sz w:val="24"/>
          <w:szCs w:val="24"/>
          <w:lang w:eastAsia="lv-LV"/>
        </w:rPr>
      </w:pPr>
    </w:p>
    <w:p w:rsidR="000877F0" w:rsidRDefault="000877F0">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2.1.1. Bērnu papildtiesības, kas jāņem vērā, aizsargājot bērnus, kas ir cilvēku tirdzniecības upuri</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BTK noteikts, ka dalībvalstis “veic visus piemērotos pasākumus valsts, divpusējā un daudzpusējā līmenī, lai novērstu bērnu nolaupīšanu, tirdzniecību vai kontrabandu ar bērniem jebkādos nolūkos un jebkurā formā” (BTK 35. pants), un turklāt saskaņā ar iepriekšējo pantu (34. pantu) dalībvalstis apņemas “aizsargāt bērnus pret jebkādu seksuālu izmantošanu un seksuālu vardarbību” un veic visus pasākumus, lai nepieļautu, ka “bērni tiek izmantoti prostitūcijā vai citās nelikumīgās seksuālās darbībās”, kā arī “pornogrāfiskos priekšnesumos un materiālos”. Konvencija nosaka valstu atbildību, ja tiek konstatēta bērnu tirdzniecība, ekspluatācija, spīdzināšana, pret viņiem vērsta vardarbība vai nolaidība.</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0877F0" w:rsidRPr="000E2D02" w:rsidTr="000877F0">
        <w:tc>
          <w:tcPr>
            <w:tcW w:w="5000" w:type="pct"/>
            <w:shd w:val="clear" w:color="auto" w:fill="A6A6A6"/>
          </w:tcPr>
          <w:p w:rsidR="000877F0" w:rsidRPr="000E2D02" w:rsidRDefault="000877F0" w:rsidP="00B7131B">
            <w:pPr>
              <w:pStyle w:val="Pamatteksts"/>
              <w:kinsoku w:val="0"/>
              <w:overflowPunct w:val="0"/>
              <w:ind w:left="0"/>
              <w:jc w:val="both"/>
              <w:rPr>
                <w:rFonts w:cs="Arial"/>
                <w:b/>
                <w:bCs/>
                <w:noProof/>
                <w:sz w:val="24"/>
                <w:lang w:val="en-US"/>
              </w:rPr>
            </w:pPr>
            <w:r w:rsidRPr="006B796E">
              <w:rPr>
                <w:b/>
                <w:bCs/>
                <w:sz w:val="24"/>
                <w:szCs w:val="24"/>
              </w:rPr>
              <w:t>Bērnu, kas ir cilvēku tirdzniecības upuri, tiesības saņemt valsts atbalstu, lai atlabtu un atsāktu savu dzīvi</w:t>
            </w:r>
          </w:p>
        </w:tc>
      </w:tr>
      <w:tr w:rsidR="000877F0" w:rsidRPr="000E2D02" w:rsidTr="000877F0">
        <w:tc>
          <w:tcPr>
            <w:tcW w:w="5000" w:type="pct"/>
            <w:shd w:val="clear" w:color="auto" w:fill="D9D9D9"/>
          </w:tcPr>
          <w:p w:rsidR="000877F0" w:rsidRPr="000E2D02" w:rsidRDefault="000877F0" w:rsidP="00B7131B">
            <w:pPr>
              <w:pStyle w:val="Pamatteksts"/>
              <w:kinsoku w:val="0"/>
              <w:overflowPunct w:val="0"/>
              <w:ind w:left="0"/>
              <w:jc w:val="both"/>
              <w:rPr>
                <w:rFonts w:cs="Arial"/>
                <w:noProof/>
                <w:sz w:val="24"/>
                <w:lang w:val="en-US"/>
              </w:rPr>
            </w:pPr>
            <w:r w:rsidRPr="006B796E">
              <w:rPr>
                <w:sz w:val="24"/>
                <w:szCs w:val="24"/>
              </w:rPr>
              <w:t>“Dalībvalstis veic visus attiecīgos pasākumus, lai veicinātu to bērnu fizisko un psihisko atlabšanu un sociālo reintegrāciju, kuri ir kļuvuši par upuri jebkādām necieņas, ekspluatācijas vai vardarbības izpausmēm, spīdzināšanai vai citām nežēlīgas, necilvēcīgas vai pazemojošas izturēšanās vai soda formām vai bijuši bruņotu konfliktu upuris. Šādai atlabšanai un reintegrācijai jānotiek vidē, kas nāk par labu bērna veselībai un kurā viņš tiek respektēts un cienīts” (BTK 39. pants).</w:t>
            </w:r>
          </w:p>
        </w:tc>
      </w:tr>
    </w:tbl>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BTK Fakultatīvajā protokolā par bērnu tirdzniecību, bērnu prostitūciju un bērnu pornogrāfiju (2000) arī ir noteikts, ka valstīm ir jāveic pasākumi, lai nodrošinātu “visu atbilstošo palīdzību” bērniem, kas ir cilvēku tirdzniecības upuri, “tostarp viņu pilnīgu sociālo reintegrāciju un pilnīgu fizisko un psiholoģisko atlabšanu” (9. panta 3. punkts). Tajā (8. pantā) ir uzskaitītas aizsardzības formas, ko cietušie bērni un šā nozieguma liecinieki ir tiesīgi saņemt, “atzīstot cietušo bērnu neaizsargātību un piemērojot procedūras viņu īpašo vajadzību, tostarp viņu kā liecinieku īpašo vajadzību, atzīšanai”. Līdzīgs noteikums, kas ietverts BTK Fakultatīvajā protokolā par bērnu iesaistīšanu bruņotos konfliktos (2000), attiecas uz atbalsta sniegšanu jauniešiem, kas kā bērni savervēti bruņotos grupējumos, proti, viņiem būtu jāsaņem “visa pienācīgā palīdzība viņu fiziskai un psiholoģiskai atveseļošanai un viņu sociālai reintegrācijai” (Fakultatīvā protokola 6. panta 3. punkts).</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Lai atlabšana būtu iespējama, papildus tiesībām saņemt palīdzību atveseļošanai izšķirīgi svarīgas ir vēl vairākas tiesības. Pirmkārt, bērnam, kas ir cilvēku tirdzniecības upuris, ir tiesības saņemt precīzu un pieejamu informāciju par savu stāvokli un izredzēm, tostarp par aizsardzības mehānismiem, bērnam pieejamajiem pakalpojumiem, visaptveroša, droša un ilgtspējīga risinājuma lemšanas procesu un ģimenes uzraudzības un apvienošanās un/vai repatriācijas procesiem. Informācija ir konsekventi jāsniedz bērnam saprotamā valodā, kas nozīmē, ka jānodrošina piemēroti, apmācīti tulki un, iespējams, arī kultūras starpnieki, ja cietušo bērnu iztaujā vai nopratina tiesībaizsardzības iestāžu vai citas amatpersonas vai ja tas tiek prasīts.</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Otrkārt, aizsargāt bērnus, kas ir cilvēku tirdzniecības upuri, nozīmē arī to, ka ir jāpievērš uzmanība bērna tiesībām uz privātās dzīves neaizskaramību.</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0877F0" w:rsidRPr="000E2D02" w:rsidTr="000877F0">
        <w:tc>
          <w:tcPr>
            <w:tcW w:w="9288" w:type="dxa"/>
            <w:shd w:val="clear" w:color="auto" w:fill="A6A6A6"/>
          </w:tcPr>
          <w:p w:rsidR="000877F0" w:rsidRPr="000E2D02" w:rsidRDefault="000877F0" w:rsidP="00B7131B">
            <w:pPr>
              <w:pStyle w:val="Pamatteksts"/>
              <w:kinsoku w:val="0"/>
              <w:overflowPunct w:val="0"/>
              <w:ind w:left="0"/>
              <w:jc w:val="both"/>
              <w:rPr>
                <w:rFonts w:cs="Arial"/>
                <w:b/>
                <w:bCs/>
                <w:noProof/>
                <w:sz w:val="24"/>
                <w:lang w:val="en-US"/>
              </w:rPr>
            </w:pPr>
            <w:r w:rsidRPr="006B796E">
              <w:rPr>
                <w:b/>
                <w:bCs/>
                <w:sz w:val="24"/>
                <w:szCs w:val="24"/>
              </w:rPr>
              <w:t>Bērna tiesības uz privātās dzīves neaizskaramību</w:t>
            </w:r>
          </w:p>
        </w:tc>
      </w:tr>
      <w:tr w:rsidR="000877F0" w:rsidRPr="000E2D02" w:rsidTr="000877F0">
        <w:tc>
          <w:tcPr>
            <w:tcW w:w="9288" w:type="dxa"/>
            <w:shd w:val="clear" w:color="auto" w:fill="D9D9D9"/>
          </w:tcPr>
          <w:p w:rsidR="000877F0" w:rsidRPr="000E2D02" w:rsidRDefault="000877F0" w:rsidP="00B7131B">
            <w:pPr>
              <w:pStyle w:val="Pamatteksts"/>
              <w:kinsoku w:val="0"/>
              <w:overflowPunct w:val="0"/>
              <w:ind w:left="0"/>
              <w:jc w:val="both"/>
              <w:rPr>
                <w:rFonts w:cs="Arial"/>
                <w:noProof/>
                <w:sz w:val="24"/>
                <w:lang w:val="en-US"/>
              </w:rPr>
            </w:pPr>
            <w:r w:rsidRPr="006B796E">
              <w:rPr>
                <w:sz w:val="24"/>
                <w:szCs w:val="24"/>
              </w:rPr>
              <w:t>“Nav pieļaujams, ka patvaļīgi vai nelikumīgi tiek pārkāpta bērna privātās dzīves, ģimenes, mājokļa vai korespondences neaizskaramība vai tiek aizskarts viņa(-as) gods un reputācija” (BTK 16. pants).</w:t>
            </w:r>
          </w:p>
        </w:tc>
      </w:tr>
    </w:tbl>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Tas nozīmē, ka ir būtiski aizsargāt bērnu, kas ir cilvēku tirdzniecības upuri, privāto dzīvi un identitāti un veikt pasākumus, lai novērstu tādas informācijas izplatīšanu, kas ļautu cilvēku tirgotājiem, žurnālistiem vai plašas sabiedrības locekļiem viņus identificēt, jo īpaši personas datus par bērnu, kas, domājams, ir cilvēku tirdzniecības upuris vai kas saņēmis kāda veida aprūpi vai ārstēšanu, kad šie dati tiek nodoti citai iestādei, kas atrodas vai nu tajā pašā valstī, vai citā valstī, piemēram, bērna izcelsmes valstī. Tas savukārt nozīmē, ka dažādām iestādēm, kas sadarbojas bērnu aizsardzības jomā un kam ir jāapmainās ar bērnu personas datiem, ir jāpieņem un jāievēro kopīgie personas datu aizsardzības minimālie standarti.</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2.2. Bērnu tiesību komitejas komentāri</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tiesību komiteja (izveidota saskaņā ar BTK) ir izdevusi vairākus vispārējus komentārus par nepavadītiem vai nošķirtiem bērniem</w:t>
      </w:r>
      <w:r w:rsidR="000877F0">
        <w:rPr>
          <w:rStyle w:val="Vresatsauce"/>
          <w:rFonts w:ascii="Times New Roman" w:eastAsia="Times New Roman" w:hAnsi="Times New Roman" w:cs="Times New Roman"/>
          <w:sz w:val="24"/>
          <w:szCs w:val="24"/>
          <w:lang w:eastAsia="lv-LV"/>
        </w:rPr>
        <w:footnoteReference w:id="12"/>
      </w:r>
      <w:r w:rsidRPr="006B796E">
        <w:rPr>
          <w:rFonts w:ascii="Times New Roman" w:eastAsia="Times New Roman" w:hAnsi="Times New Roman" w:cs="Times New Roman"/>
          <w:sz w:val="24"/>
          <w:szCs w:val="24"/>
          <w:lang w:eastAsia="lv-LV"/>
        </w:rPr>
        <w:t xml:space="preserve"> un bērniem saistībā ar starptautisko migrāciju</w:t>
      </w:r>
      <w:r w:rsidR="000877F0">
        <w:rPr>
          <w:rStyle w:val="Vresatsauce"/>
          <w:rFonts w:ascii="Times New Roman" w:eastAsia="Times New Roman" w:hAnsi="Times New Roman" w:cs="Times New Roman"/>
          <w:sz w:val="24"/>
          <w:szCs w:val="24"/>
          <w:lang w:eastAsia="lv-LV"/>
        </w:rPr>
        <w:footnoteReference w:id="13"/>
      </w:r>
      <w:r w:rsidRPr="006B796E">
        <w:rPr>
          <w:rFonts w:ascii="Times New Roman" w:eastAsia="Times New Roman" w:hAnsi="Times New Roman" w:cs="Times New Roman"/>
          <w:sz w:val="24"/>
          <w:szCs w:val="24"/>
          <w:lang w:eastAsia="lv-LV"/>
        </w:rPr>
        <w:t>, kā arī vienu vispārējo komentāru par bērnu tiesībām uz to, lai primārais apsvērums būtu viņu intereses (Nr. 14)</w:t>
      </w:r>
      <w:r w:rsidR="000877F0">
        <w:rPr>
          <w:rStyle w:val="Vresatsauce"/>
          <w:rFonts w:ascii="Times New Roman" w:eastAsia="Times New Roman" w:hAnsi="Times New Roman" w:cs="Times New Roman"/>
          <w:sz w:val="24"/>
          <w:szCs w:val="24"/>
          <w:lang w:eastAsia="lv-LV"/>
        </w:rPr>
        <w:footnoteReference w:id="14"/>
      </w:r>
      <w:r w:rsidRPr="006B796E">
        <w:rPr>
          <w:rFonts w:ascii="Times New Roman" w:eastAsia="Times New Roman" w:hAnsi="Times New Roman" w:cs="Times New Roman"/>
          <w:sz w:val="24"/>
          <w:szCs w:val="24"/>
          <w:lang w:eastAsia="lv-LV"/>
        </w:rPr>
        <w:t>, un vienu – par bērnu tiesībām tikt uzklausītiem (un lai viņu viedoklis tiktu ņemts vērā – Nr. 12</w:t>
      </w:r>
      <w:r w:rsidR="000877F0">
        <w:rPr>
          <w:rStyle w:val="Vresatsauce"/>
          <w:rFonts w:ascii="Times New Roman" w:eastAsia="Times New Roman" w:hAnsi="Times New Roman" w:cs="Times New Roman"/>
          <w:sz w:val="24"/>
          <w:szCs w:val="24"/>
          <w:lang w:eastAsia="lv-LV"/>
        </w:rPr>
        <w:footnoteReference w:id="15"/>
      </w:r>
      <w:r w:rsidRPr="006B796E">
        <w:rPr>
          <w:rFonts w:ascii="Times New Roman" w:eastAsia="Times New Roman" w:hAnsi="Times New Roman" w:cs="Times New Roman"/>
          <w:sz w:val="24"/>
          <w:szCs w:val="24"/>
          <w:lang w:eastAsia="lv-LV"/>
        </w:rPr>
        <w:t>). Kopumā vadlīnijas jo īpaši attiecas uz procedūrām, kas jāievēro attiecībā uz bērniem, kuri identificēti kā cilvēku tirdzniecības upuri, jo īpaši tiem, kuri identificēti kā nepavadīti bērni valstī, kas nav viņu pašu valsts, kā arī attiecībā uz bērniem, kas ir cilvēku tirdzniecības upuri un ir identificēti tālu prom no mājām pašu valstī.</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tiesību komiteja (kopā ar Visu migrējošo darba ņēmēju un viņu ģimenes locekļu tiesību aizsardzības komiteju) 2017. gadā ir izdevusi divus kopīgi izstrādātos vispārējos komentārus par bērniem saistībā ar starptautisko migrāciju. Šīs divas ANO līguma izpildes uzraudzības struktūras sniedza komentārus par pasākumiem, kas valstīm ir jāveic attiecībā uz bērniem, kas, iespējams, ir cilvēku tirdzniecības upuri. Piemēram, saistībā ar identifikāciju un palīdzību tās atzīmēja:</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“Attiecībā uz migrējošiem bērniem, par kuriem ir cilvēku tirdzniecības, pārdošanas vai citu seksuālas ekspluatācijas formu pazīmes vai kuri var būt pakļauti šādu darbību riskam vai bērnu laulībai, valstīm jāpieņem turpmāk minētie pasākumi: jāizstrādā agrīnas identifikācijas pasākumi, lai atklātu cilvēku tirdzniecības, pārdošanas un vardarbības upurus, kā arī nosūtīšanas mehānismi, turklāt šajā saistībā obligāti jāapmāca sociālie darbinieki, robežpolicija, medicīnas speciālisti un visi citi darbinieki, kas nonāk saskarē ar bērniem (..).”</w:t>
      </w:r>
      <w:r w:rsidR="000877F0">
        <w:rPr>
          <w:rStyle w:val="Vresatsauce"/>
          <w:rFonts w:ascii="Times New Roman" w:eastAsia="Times New Roman" w:hAnsi="Times New Roman" w:cs="Times New Roman"/>
          <w:sz w:val="24"/>
          <w:szCs w:val="24"/>
          <w:lang w:eastAsia="lv-LV"/>
        </w:rPr>
        <w:footnoteReference w:id="16"/>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Komitejas arī piebilda, ka valstīm “jānodrošina vispusīga aizsardzība, atbalsta pakalpojumi un efektīvu kaitējuma atlīdzināšanas mehānismu pieejamība, tostarp psihosociālā palīdzība un informācija par šiem kaitējuma atlīdzināšanas mehānismiem, migrējošiem bērniem un viņu ģimenēm, kas ziņo par vardarbības, ļaunprātīgas izmantošanas vai ekspluatācijas gadījumiem policijai vai citām attiecīgajām iestādēm, neatkarīgi no viņu migrācijas statusa; bērniem un vecākiem kā upuriem un lieciniekiem ir jāspēj droši ziņot policijai vai citām iestādēm, nepakļaujot sevi izrietošiem imigrācijas izpildes riskiem”.</w:t>
      </w:r>
      <w:r w:rsidR="000877F0">
        <w:rPr>
          <w:rStyle w:val="Vresatsauce"/>
          <w:rFonts w:ascii="Times New Roman" w:eastAsia="Times New Roman" w:hAnsi="Times New Roman" w:cs="Times New Roman"/>
          <w:sz w:val="24"/>
          <w:szCs w:val="24"/>
          <w:lang w:eastAsia="lv-LV"/>
        </w:rPr>
        <w:footnoteReference w:id="17"/>
      </w:r>
    </w:p>
    <w:p w:rsidR="000877F0" w:rsidRDefault="000877F0"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2.3. Esošais EDSO satvars attiecībā uz to bērnu aizsardzību, kas ir cilvēku tirdzniecības upuri</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EDSO Ministru padome ir pieņēmusi vairākus lēmumus par cilvēku tirdzniecību, kas ietver noteikumus attiecībā uz to bērnu aizsardzību, kas ir cilvēku tirdzniecības upuri.</w:t>
      </w:r>
      <w:r w:rsidR="000877F0">
        <w:rPr>
          <w:rStyle w:val="Vresatsauce"/>
          <w:rFonts w:ascii="Times New Roman" w:eastAsia="Times New Roman" w:hAnsi="Times New Roman" w:cs="Times New Roman"/>
          <w:sz w:val="24"/>
          <w:szCs w:val="24"/>
          <w:lang w:eastAsia="lv-LV"/>
        </w:rPr>
        <w:footnoteReference w:id="18"/>
      </w:r>
      <w:r w:rsidRPr="006B796E">
        <w:rPr>
          <w:rFonts w:ascii="Times New Roman" w:eastAsia="Times New Roman" w:hAnsi="Times New Roman" w:cs="Times New Roman"/>
          <w:sz w:val="24"/>
          <w:szCs w:val="24"/>
          <w:lang w:eastAsia="lv-LV"/>
        </w:rPr>
        <w:t> Divus gadus pēc EDSO Rīcības plāna cilvēku tirdzniecības apkarošanai (Pastāvīgās padomes Lēmums Nr. 557/Rev.1, 2003. gada 24. jūlijs) pieņemšanas EDSO 2005. gadā ir pieņēmusi īpašu Rīcības plāna papildinājumu, lai risinātu “to bērnu īpašās vajadzības, kas ir cilvēku tirdzniecības upuri”.</w:t>
      </w:r>
      <w:r w:rsidR="000877F0">
        <w:rPr>
          <w:rStyle w:val="Vresatsauce"/>
          <w:rFonts w:ascii="Times New Roman" w:eastAsia="Times New Roman" w:hAnsi="Times New Roman" w:cs="Times New Roman"/>
          <w:sz w:val="24"/>
          <w:szCs w:val="24"/>
          <w:lang w:eastAsia="lv-LV"/>
        </w:rPr>
        <w:footnoteReference w:id="19"/>
      </w:r>
      <w:r w:rsidRPr="006B796E">
        <w:rPr>
          <w:rFonts w:ascii="Times New Roman" w:eastAsia="Times New Roman" w:hAnsi="Times New Roman" w:cs="Times New Roman"/>
          <w:sz w:val="24"/>
          <w:szCs w:val="24"/>
          <w:lang w:eastAsia="lv-LV"/>
        </w:rPr>
        <w:t> Tajā ietverta ieteikumu kopa rīcībai valsts līmenī, tostarp turpmāk minētie seši ieteikumi attiecībā uz cietušo bērnu aizsardzību.</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 Ja nepieciešams, izstrādāt nacionālos koordinēšanas un nosūtīšanas mehānismus, lai īpaši risinātu aizsardzības un palīdzības pasākumus, kas vērsti uz bērnu, kuri ir cilvēku tirdzniecības upuri, īpašajām vajadzībām, un nodrošināt, ka cietušie bērni ātri tiek nosūtīti uz attiecīgajiem dienestiem. Veidot partnerības ar pilsonisko sabiedrību, lai izstrādātu vispusīgu pieeju aizsardzības un palīdzības sniegšanai bērniem, kas ir cilvēku tirdzniecības upuri.</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 Ja nepieciešams, pēc identifikācijas bērniem, kas ir cilvēku tirdzniecības upuri, nodrošināt aizbildni un/vai juridisko pārstāvi visos palīdzības, (re)integrācijas un/vai atpakaļnosūtīšanas posmos un nodrošināt bērnu cilvēktiesību aizsardzību.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3. Attiecīgos gadījumos bērnu tirdzniecības iespējamajiem upuriem, kas nav tās valsts valstspiederīgie vai pastāvīgie iedzīvotāji, kurā viņi ir identificēti, nodrošināt pienācīgu statusu, kas dod tiesības viņiem uzturēties šajā valstī vismaz kādu laiku un saņemt tūlītēju palīdzību, </w:t>
      </w:r>
      <w:r w:rsidRPr="006B796E">
        <w:rPr>
          <w:rFonts w:ascii="Times New Roman" w:eastAsia="Times New Roman" w:hAnsi="Times New Roman" w:cs="Times New Roman"/>
          <w:sz w:val="24"/>
          <w:szCs w:val="24"/>
          <w:lang w:eastAsia="lv-LV"/>
        </w:rPr>
        <w:lastRenderedPageBreak/>
        <w:t>kas ietver drošu patvērumu, medicīnisko un psiholoģisko aprūpi, juridisko palīdzību, sociālos pakalpojumus un izglītību.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4. Katru bērnu tirdzniecības gadījumu apstrādāt atsevišķi un darīt visu iespējamo, lai rastu pastāvīgu risinājumu, kas sniegs vienu no šādiem iespējamiem rezultātiem: a) atpakaļnosūtīšana un reintegrācija izcelsmes valstī; b) lokāla integrācija valstī, kur bērns ir identificēts, un c) pārvietošana uz trešo valsti.</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5. Nodrošināt īpašas palīdzības un aizsardzības pieejamību, kad tas ir bērna interesēs, lai atpakaļnosūtītu bērnu uz viņa izcelsmes valsti, pienācīgi gādājot par viņu atpakaļnosūtīšanas procesā un sniedzot atbalstu iestādēm izcelsmes valstī, kas uzrauga bērna labklājību pēc atgriešanās.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6. Stiprināt struktūras, lai veicinātu cilvēku tirdzniecībā cietušo bērnu sociālo iekļaušanu un (re)integrāciju izcelsmes un galamērķa valstīs, ņemot vērā bērnu īpašās vajadzības.</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EDSO Pastāvīgā padome 2013. gada beigās pieņēma papildinājumu EDSO Rīcības plānam cilvēku tirdzniecības apkarošanai – Pēc desmit gadiem (Pastāvīgās padomes Lēmums Nr. 1107). Lai arī tas nav vērsts konkrēti uz bērniem, tajā attiecībā uz bērniem ir ietverts valsts līmenī īstenojams ieteikums novēršanas jomā un četri ieteikumi, kas tieši saistīti ar aizsardzību un palīdzību. Tie ir minēti turpmāk.</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(Novēršana) 1.3. Nodrošināt, ka visiem bērniem, kas ir cilvēku tirdzniecības upuri, tiek nodrošināta tiesas un tiesiskās aizsardzības līdzekļu pieejamība, tostarp iespēja saņemt kompensāciju, nodrošināt bērnu tiesību aizsardzību, veicināt izglītības un veselības aprūpes pieejamību mazaizsargātiem bērniem un izstrādāt un īstenot atbilstīgas programmas un pasākumus, kuros ir ņemtas vērā bērna intereses.</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(Aizsardzība) 1.1. Attiecīgajām valsts iestādēm tiek ieteikts identificēt personas kā cilvēku tirdzniecības upurus, kas cietušas no cilvēktiesību pārkāpumiem, tiklīdz ir pamatots iemesls uzskatīt, ka šīs personas ir cilvēku tirdzniecības upuri, un saskaņā ar valsts tiesību aktiem nodrošināt, ka šiem cilvēku tirdzniecības upuriem tiek sniegta palīdzība vēl pirms izmeklēšanas sākšanas; nodrošināt, ka šī palīdzība tiek sniegta neatkarīgi no upura gribas piedalīties tiesvedībā, neskarot valsts noteikumus par cietušā pastāvīgās uzturēšanās nosacījumiem valsts teritorijā;</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2.3. Atzīt, ka cilvēku tirdzniecības upuriem ir nepieciešams pietiekams laiks, lai atgūtos no traumas, un nodrošināt saskaņā ar valsts tiesību aktiem un starptautiskajām saistībām nogaidīšanas periodu, piešķirot cilvēku tirdzniecības upuriem pagaidu vai, ja nepieciešams, pastāvīgas uzturēšanās atļauju (..);</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2.5. Nodrošināt, ka tiek sniegta nepieciešamā palīdzība drošas atpakaļnosūtīšanas procesā, kā arī bijušo cilvēku tirdzniecības upuru integrācijā, iespēju robežās sadarbojoties attiecīgi ar izcelsmes valsts iestādēm, sociālajiem dienestiem vai NVO;</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2.6. Veikt atbilstošus pasākumus, lai nodrošinātu, ka attiecīgā gadījumā identificētie cilvēku tirdzniecības upuri netiek sodīti par savu iesaisti nelikumīgās darbībās, ciktāl viņi ir bijuši piespiesti to darīt.</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 xml:space="preserve">2.3.1. </w:t>
      </w:r>
      <w:r w:rsidRPr="006B796E">
        <w:rPr>
          <w:rFonts w:ascii="Times New Roman" w:eastAsia="Times New Roman" w:hAnsi="Times New Roman" w:cs="Times New Roman"/>
          <w:b/>
          <w:bCs/>
          <w:i/>
          <w:iCs/>
          <w:sz w:val="24"/>
          <w:szCs w:val="24"/>
          <w:lang w:eastAsia="lv-LV"/>
        </w:rPr>
        <w:t>ODIHR</w:t>
      </w:r>
      <w:r w:rsidRPr="006B796E">
        <w:rPr>
          <w:rFonts w:ascii="Times New Roman" w:eastAsia="Times New Roman" w:hAnsi="Times New Roman" w:cs="Times New Roman"/>
          <w:b/>
          <w:bCs/>
          <w:sz w:val="24"/>
          <w:szCs w:val="24"/>
          <w:lang w:eastAsia="lv-LV"/>
        </w:rPr>
        <w:t xml:space="preserve"> atpakaļsūtīšanas pamatprincipi</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EDSO Demokrātisko institūciju un cilvēktiesību birojs (</w:t>
      </w:r>
      <w:r w:rsidRPr="006B796E">
        <w:rPr>
          <w:rFonts w:ascii="Times New Roman" w:eastAsia="Times New Roman" w:hAnsi="Times New Roman" w:cs="Times New Roman"/>
          <w:i/>
          <w:iCs/>
          <w:sz w:val="24"/>
          <w:szCs w:val="24"/>
          <w:lang w:eastAsia="lv-LV"/>
        </w:rPr>
        <w:t>ODIHR</w:t>
      </w:r>
      <w:r w:rsidRPr="006B796E">
        <w:rPr>
          <w:rFonts w:ascii="Times New Roman" w:eastAsia="Times New Roman" w:hAnsi="Times New Roman" w:cs="Times New Roman"/>
          <w:sz w:val="24"/>
          <w:szCs w:val="24"/>
          <w:lang w:eastAsia="lv-LV"/>
        </w:rPr>
        <w:t xml:space="preserve">) 2014. gadā ir publicējis dokumentu “Cilvēktiesību pamatprincipi, kas jāievēro, atpakaļnosūtot cilvēku tirdzniecības upurus”. Tajā ir noteikti minimālie standarti attiecībā uz septiņiem jautājumiem, kas attiecas uz </w:t>
      </w:r>
      <w:r w:rsidRPr="006B796E">
        <w:rPr>
          <w:rFonts w:ascii="Times New Roman" w:eastAsia="Times New Roman" w:hAnsi="Times New Roman" w:cs="Times New Roman"/>
          <w:sz w:val="24"/>
          <w:szCs w:val="24"/>
          <w:lang w:eastAsia="lv-LV"/>
        </w:rPr>
        <w:lastRenderedPageBreak/>
        <w:t>visām EDSO dalībvalstīm, par cilvēku tirdzniecībā cietušo pieaugušo un bērnu iespējamo atpakaļnosūtīšanu. </w:t>
      </w:r>
      <w:r w:rsidRPr="006B796E">
        <w:rPr>
          <w:rFonts w:ascii="Times New Roman" w:eastAsia="Times New Roman" w:hAnsi="Times New Roman" w:cs="Times New Roman"/>
          <w:i/>
          <w:iCs/>
          <w:sz w:val="24"/>
          <w:szCs w:val="24"/>
          <w:lang w:eastAsia="lv-LV"/>
        </w:rPr>
        <w:t>ODIHR</w:t>
      </w:r>
      <w:r w:rsidRPr="006B796E">
        <w:rPr>
          <w:rFonts w:ascii="Times New Roman" w:eastAsia="Times New Roman" w:hAnsi="Times New Roman" w:cs="Times New Roman"/>
          <w:sz w:val="24"/>
          <w:szCs w:val="24"/>
          <w:lang w:eastAsia="lv-LV"/>
        </w:rPr>
        <w:t xml:space="preserve"> 4. princips attiecas tieši uz bērniem, kas ir cilvēku tirdzniecības upuri. Tajā ir norādīts, ka “visi lēmumi attiecībā uz cietušo bērnu, neatkarīgi no tā, vai bērns ir ar vai bez pavadoņa, ir jāpieņem, primāri izvērtējot bērna intereses,” un “pastāvīga risinājuma meklēšana jāsāk ar to, ka analizē ģimenes atkalapvienošanās iespēju”. Attiecībā uz bērniem, kas identificēti valstī, kas nav bērna izcelsmes valsts, tajā ir norādīts, ka “galamērķa valstīm jānodrošina, ka cietušiem bērniem, kas nav šīs valsts valstspiederīgie vai pastāvīgie iedzīvotāji, tiek automātiski piešķirta pagaidu uzturēšanās atļauja, kas dod tiesības legāli atrasties šajā valstī, līdz tiek pabeigts bērna interešu izvērtējums un atrasts ilgtermiņa risinājums,” un “galamērķa valstīm jāieceļ bērnam, kas ir cilvēku tirdzniecības upuris, likumīgais aizbildnis un pirms jebkādu procedūru vai tiesvedības uzsākšanas bērnam jānodrošina nepieciešamā juridiskā palīdzība. Bērnam jānodrošina likumīgais aizbildnis, kad viņam tiek sniegta tūlītēja vai ilgtermiņa palīdzība, tostarp laikā, kad notiek bērna integrēšana galamērķa valstī vai kad viņš tiek nosūtīts atpakaļ un tiek integrēts izcelsmes valstī vai trešajā valstī.”</w:t>
      </w:r>
    </w:p>
    <w:p w:rsidR="000877F0" w:rsidRDefault="000877F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2.4. Citas tiesību normas un ieteikumi, kas jāņem vērā EDSO dalībvalstīm</w:t>
      </w:r>
    </w:p>
    <w:p w:rsidR="000877F0" w:rsidRDefault="000877F0"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2.4.1. ANO Protokola par cilvēku tirdzniecību noteikumi par aizsardzību un palīdzību</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ANO Protokola par cilvēku tirdzniecību 6. pants attiecas uz cietušo pieaugušo un bērnu aizsardzību. Tajā ir ietverti vispārēji noteikumi par to, kādā veidā cietušie bērni jāaizsargā. Dalībvalstīm saistošajā noteikumā (6. panta 6. punktā) noteikts, ka “katra dalībvalsts nodrošina, lai tās iekšējā tiesību sistēma ietvertu pasākumus, kas cilvēku tirdzniecības upuriem dotu iespēju saņemt kompensāciju par viņiem nodarīto kaitējumu”. Citos noteikumos piedāvātas nesaistošas vadlīnijas (t. i., tiek prasīts, lai dalībvalstis “izskata tādu pasākumu īstenošanas iespējas”). Attiecībā uz bērniem tomēr minētie pasākumi kopumā ir tādi, ka saskaņā ar starptautisko tiesību instrumentiem tie jau ir obligāti, ja bērns ir cilvēku tirdzniecības vai ekspluatācijas upuris (sk. iepriekš tekstā atsauces uz BTK 39. pantu). Piemēram, ANO Protokola par cilvēku tirdzniecību 6. panta 3. punktā ir prasīts, lai “katra dalībvalsts izskata tādu pasākumu īstenošanas iespējas, kas nodrošinātu cilvēku tirdzniecības upuru fizisko, psiholoģisko un sociālo rehabilitāciju, tostarp, kad nepieciešams, sadarbojoties ar nevalstiskajām organizācijām, citām atbilstošām organizācijām un citiem pilsoniskās sabiedrības elementiem, tai skaitā nodrošinot:</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 piemērotu dzīvesvietu;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 konsultatīvo palīdzību un informāciju, jo sevišķi par viņu tiesībām, tādā valodā, kuru cilvēku t</w:t>
      </w:r>
      <w:r w:rsidR="000877F0">
        <w:rPr>
          <w:rFonts w:ascii="Times New Roman" w:eastAsia="Times New Roman" w:hAnsi="Times New Roman" w:cs="Times New Roman"/>
          <w:sz w:val="24"/>
          <w:szCs w:val="24"/>
          <w:lang w:eastAsia="lv-LV"/>
        </w:rPr>
        <w:t>irdzniecības upuri var saprast;</w:t>
      </w:r>
      <w:r w:rsidR="000877F0" w:rsidRPr="000877F0">
        <w:rPr>
          <w:rStyle w:val="Vresatsauce"/>
          <w:rFonts w:ascii="Times New Roman" w:eastAsia="Times New Roman" w:hAnsi="Times New Roman" w:cs="Times New Roman"/>
          <w:sz w:val="24"/>
          <w:szCs w:val="24"/>
          <w:lang w:eastAsia="lv-LV"/>
        </w:rPr>
        <w:footnoteReference w:customMarkFollows="1" w:id="20"/>
        <w:sym w:font="Symbol" w:char="F02A"/>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 medicīnisko, psiholoģisko un materiālo palīdzību, kā arī</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 darba, izglītības un mācību iespējas.”</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Cilvēku tirdzniecības protokolā prasīts, ka katra dalībvalsts, piemērojot šī panta noteikumus, ņem vērā “cilvēku tirdzniecības upuru vecumu, dzimumu un īpašās vajadzības, jo sevišķi bērnu īpašās vajadzības, ieskaitot piemērotu dzīvesvietu, izglītību un aprūpi” (6. panta 4. punkts, izcēlums pievienots). Tajā ir arī prasīts, ka katra dalībvalsts “cenšas nodrošināt cilvēku tirdzniecības upuru fizisko drošību laikā, kad viņi atrodas tās teritorijas robežās” (6. panta 5. punkts).</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2.4.2. </w:t>
      </w:r>
      <w:r w:rsidRPr="006B796E">
        <w:rPr>
          <w:rFonts w:ascii="Times New Roman" w:eastAsia="Times New Roman" w:hAnsi="Times New Roman" w:cs="Times New Roman"/>
          <w:b/>
          <w:bCs/>
          <w:i/>
          <w:iCs/>
          <w:sz w:val="24"/>
          <w:szCs w:val="24"/>
          <w:lang w:eastAsia="lv-LV"/>
        </w:rPr>
        <w:t>UNICEF</w:t>
      </w:r>
      <w:r w:rsidRPr="006B796E">
        <w:rPr>
          <w:rFonts w:ascii="Times New Roman" w:eastAsia="Times New Roman" w:hAnsi="Times New Roman" w:cs="Times New Roman"/>
          <w:b/>
          <w:bCs/>
          <w:sz w:val="24"/>
          <w:szCs w:val="24"/>
          <w:lang w:eastAsia="lv-LV"/>
        </w:rPr>
        <w:t xml:space="preserve"> ieteiktie aizsardzības pasākumi, lai aizsargātu bērnus, kas ir cilvēku tirdzniecības upuri</w:t>
      </w:r>
    </w:p>
    <w:p w:rsidR="000877F0" w:rsidRDefault="000877F0"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2003. gadā izstrādāja vairākas vadlīnijas cilvēku tirdzniecībā cietušo bērnu tiesību aizsardzībai Dienvidaustrumeiropā. Dienvidaustrumeiropas Stabilitātes pakta Darba grupa cilvēku tirdzniecības novēršanai uzdeva parakstītājiem pieņemt īpašas nosūtīšanas procedūras, lai palīdzētu un aizsargātu bērnus, kas ir cilvēku tirdzniecības upuri, iesaistot visas attiecīgās institūcijas, aģentūras un iestādes, un “izstrādāt un pieņemt minimālos standartus rīcībai ar bērniem, kas ir cilvēku tirdzniecības upuri, pamatojoties uz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izstrādātajām vadlīnijām”.</w:t>
      </w:r>
      <w:r w:rsidR="000877F0">
        <w:rPr>
          <w:rStyle w:val="Vresatsauce"/>
          <w:rFonts w:ascii="Times New Roman" w:eastAsia="Times New Roman" w:hAnsi="Times New Roman" w:cs="Times New Roman"/>
          <w:sz w:val="24"/>
          <w:szCs w:val="24"/>
          <w:lang w:eastAsia="lv-LV"/>
        </w:rPr>
        <w:footnoteReference w:customMarkFollows="1" w:id="21"/>
        <w:t>20</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2006. gadā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pārskatīja šīs vadlīnijas un izdeva tās kā “Tehniskās piezīmes” </w:t>
      </w:r>
      <w:r w:rsidRPr="006B796E">
        <w:rPr>
          <w:rFonts w:ascii="Times New Roman" w:eastAsia="Times New Roman" w:hAnsi="Times New Roman" w:cs="Times New Roman"/>
          <w:sz w:val="24"/>
          <w:szCs w:val="24"/>
          <w:lang w:eastAsia="lv-LV"/>
        </w:rPr>
        <w:lastRenderedPageBreak/>
        <w:t>izmantošanai visā pasaulē.</w:t>
      </w:r>
      <w:r w:rsidR="000877F0">
        <w:rPr>
          <w:rStyle w:val="Vresatsauce"/>
          <w:rFonts w:ascii="Times New Roman" w:eastAsia="Times New Roman" w:hAnsi="Times New Roman" w:cs="Times New Roman"/>
          <w:sz w:val="24"/>
          <w:szCs w:val="24"/>
          <w:lang w:eastAsia="lv-LV"/>
        </w:rPr>
        <w:footnoteReference w:customMarkFollows="1" w:id="22"/>
        <w:t>21</w:t>
      </w:r>
      <w:r w:rsidRPr="006B796E">
        <w:rPr>
          <w:rFonts w:ascii="Times New Roman" w:eastAsia="Times New Roman" w:hAnsi="Times New Roman" w:cs="Times New Roman"/>
          <w:sz w:val="24"/>
          <w:szCs w:val="24"/>
          <w:lang w:eastAsia="lv-LV"/>
        </w:rPr>
        <w:t> Vadlīnijās ir sniegta bērnu tirdzniecības definīcija un aplūkoti deviņi jautājumi par to, kā bērni, kas ir cilvēku tirdzniecības upuri, jāaizsargā un kā viņiem jāpalīdz. Tie ir šādi:</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 bērnu, kas ir cilvēku tirdzniecības upuri, identificēšana;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 aizbildņa iecelšana katram bērnam, kas ir cilvēku tirdzniecības upuris;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3. reģistrēšana un dokumentēšana (tostarp iztaujāšanas, ko veic tiesībsargājošo iestāžu amatpersonas);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4. bērna imigrācijas statusa noformēšana valstī, kas nav bērna izcelsmes valsts;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5. pagaidu aprūpe un aizsardzība;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6. katra atsevišķa gadījuma novērtēšana un “pastāvīga risinājuma”</w:t>
      </w:r>
      <w:r w:rsidR="000877F0">
        <w:rPr>
          <w:rStyle w:val="Vresatsauce"/>
          <w:rFonts w:ascii="Times New Roman" w:eastAsia="Times New Roman" w:hAnsi="Times New Roman" w:cs="Times New Roman"/>
          <w:sz w:val="24"/>
          <w:szCs w:val="24"/>
          <w:lang w:eastAsia="lv-LV"/>
        </w:rPr>
        <w:footnoteReference w:customMarkFollows="1" w:id="23"/>
        <w:t>22</w:t>
      </w:r>
      <w:r w:rsidRPr="006B796E">
        <w:rPr>
          <w:rFonts w:ascii="Times New Roman" w:eastAsia="Times New Roman" w:hAnsi="Times New Roman" w:cs="Times New Roman"/>
          <w:sz w:val="24"/>
          <w:szCs w:val="24"/>
          <w:lang w:eastAsia="lv-LV"/>
        </w:rPr>
        <w:t xml:space="preserve"> noteikšana;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7. pastāvīga risinājuma īstenošana, tostarp bērna iespējamā nosūtīšana atpakaļ uz izcelsmes valsti;</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8. tiesas pieejamība bērniem (tostarp</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cietušo un/vai liecinieku statusā esošo bērnu aizsardzība tiesas procesa laikā);</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9. tiesvedības, finansiālās palīdzības, atlīdzināšanas un kompensācijas izmaksu vadība.</w:t>
      </w:r>
    </w:p>
    <w:p w:rsidR="000877F0" w:rsidRDefault="000877F0"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2.4.3. ANO Vispārējā rīcības plānā noteiktie pasākumi</w:t>
      </w:r>
    </w:p>
    <w:p w:rsidR="000877F0"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2010. gadā ANO Ģenerālā asambleja pieņēma Vispārējo rīcības plānu cilvēku tirdzniecības apkarošanai. Tajā noteikts, ka ANO dalībvalstis “bērniem, kas ir cilvēku tirdzniecības upuri, nodrošina pienācīgu palīdzību un aizsardzību bērna interesēs”</w:t>
      </w:r>
      <w:r w:rsidR="00F05F26">
        <w:rPr>
          <w:rStyle w:val="Vresatsauce"/>
          <w:rFonts w:ascii="Times New Roman" w:eastAsia="Times New Roman" w:hAnsi="Times New Roman" w:cs="Times New Roman"/>
          <w:sz w:val="24"/>
          <w:szCs w:val="24"/>
          <w:lang w:eastAsia="lv-LV"/>
        </w:rPr>
        <w:footnoteReference w:customMarkFollows="1" w:id="24"/>
        <w:t>23</w:t>
      </w:r>
      <w:r w:rsidRPr="006B796E">
        <w:rPr>
          <w:rFonts w:ascii="Times New Roman" w:eastAsia="Times New Roman" w:hAnsi="Times New Roman" w:cs="Times New Roman"/>
          <w:sz w:val="24"/>
          <w:szCs w:val="24"/>
          <w:lang w:eastAsia="lv-LV"/>
        </w:rPr>
        <w:t>, un tas aicina koordinēt esošās bērnu aizsardzības sistēmas, sniedzot pakalpojumus un īstenojot pasākumus cietušo bērnu labklājības un viņu izglītības, rehabilitācijas un integrācijas nodrošināšanai.</w:t>
      </w:r>
    </w:p>
    <w:p w:rsidR="000877F0" w:rsidRPr="006B796E" w:rsidRDefault="000877F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Politiskajā paziņojumā par ANO Vispārējā rīcības plāna cilvēku tirdzniecības apkarošanai īstenošanu, kas sakrīt ar ANO Ģenerālās asamblejas 2017. gada septembrī pārskatīto Vispārējo plānu, ANO dalībvalstis ir aicinātas “izstrādāt visaptverošas politiskās nostādnes, programmas un citus pasākumus, lai aizsargātu cilvēku tirdzniecībā cietušas sievietes un bērnus no atkārtotas viktimizācijas, un sniegt atbilstīgu palīdzību un aizsardzību bērna [</w:t>
      </w:r>
      <w:r w:rsidRPr="006B796E">
        <w:rPr>
          <w:rFonts w:ascii="Times New Roman" w:eastAsia="Times New Roman" w:hAnsi="Times New Roman" w:cs="Times New Roman"/>
          <w:i/>
          <w:iCs/>
          <w:sz w:val="24"/>
          <w:szCs w:val="24"/>
          <w:lang w:eastAsia="lv-LV"/>
        </w:rPr>
        <w:t>sic</w:t>
      </w:r>
      <w:r w:rsidRPr="006B796E">
        <w:rPr>
          <w:rFonts w:ascii="Times New Roman" w:eastAsia="Times New Roman" w:hAnsi="Times New Roman" w:cs="Times New Roman"/>
          <w:sz w:val="24"/>
          <w:szCs w:val="24"/>
          <w:lang w:eastAsia="lv-LV"/>
        </w:rPr>
        <w:t>] interesēs” (19. punkts).</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2.4.4. ANO Pamatnostādnes par bērnu alternatīvo aprūpi</w:t>
      </w:r>
    </w:p>
    <w:p w:rsidR="00F05F26"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ANO Pamatnostādnes par bērnu alternatīvo aprūpi</w:t>
      </w:r>
      <w:r w:rsidR="00F05F26">
        <w:rPr>
          <w:rStyle w:val="Vresatsauce"/>
          <w:rFonts w:ascii="Times New Roman" w:eastAsia="Times New Roman" w:hAnsi="Times New Roman" w:cs="Times New Roman"/>
          <w:sz w:val="24"/>
          <w:szCs w:val="24"/>
          <w:lang w:eastAsia="lv-LV"/>
        </w:rPr>
        <w:footnoteReference w:customMarkFollows="1" w:id="25"/>
        <w:t>24</w:t>
      </w:r>
      <w:r w:rsidRPr="006B796E">
        <w:rPr>
          <w:rFonts w:ascii="Times New Roman" w:eastAsia="Times New Roman" w:hAnsi="Times New Roman" w:cs="Times New Roman"/>
          <w:sz w:val="24"/>
          <w:szCs w:val="24"/>
          <w:lang w:eastAsia="lv-LV"/>
        </w:rPr>
        <w:t xml:space="preserve"> (2009) ir izstrādātas, lai tiktu ievērota BTK un būtiski noteikumi citos starptautiskos dokumentos par aizsardzības un labklājības nodrošināšanu bērniem, kam liegta vecāku gādība vai draud tās zaudēšana. Tās piemēro attiecībā uz nepavadītiem vai nošķirtiem bērniem, kas, iespējams, ir cilvēku tirdzniecības upuri (jo parasti viņiem ir nepieciešama alternatīvā aprūpe uzreiz pēc viņu atbrīvošanas no cilvēku tirgotāja vai ekspluatētāja kontroles), lai nodrošinātu, ka, kamēr tiek īstenoti centieni nodot bērnu atpakaļ viņa ģimenes gādībā vai atrast citus viņam piemērotus ilgtermiņa risinājumus, viņam tiktu noteikti un nodrošināti piemērotākie alternatīvās aprūpes veidi apstākļos, kas </w:t>
      </w:r>
      <w:r w:rsidRPr="006B796E">
        <w:rPr>
          <w:rFonts w:ascii="Times New Roman" w:eastAsia="Times New Roman" w:hAnsi="Times New Roman" w:cs="Times New Roman"/>
          <w:sz w:val="24"/>
          <w:szCs w:val="24"/>
          <w:lang w:eastAsia="lv-LV"/>
        </w:rPr>
        <w:lastRenderedPageBreak/>
        <w:t>veicina bērna pilnīgu un harmonisku attīstību (ANO Pamatnostādnes, 2. pants).</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Pamatnostādnes piemēro bērniem, kas ir cilvēku tirdzniecības upuri, arī gadījumos, ja ir aizdomas, ka bērna vecāki nodarbojas ar bērnu tirdzniecību vai ekspluatāciju, un tiek uzskatīts, ka turpināt dzīvot ar šādiem vecākiem nav bērna interesēs.</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Pamatnostādnes mudina ievērot divus bērnu alternatīvās aprūpes pamatprincipus, proti, ka šāda aprūpe patiešām ir nepieciešama (“nepieciešamības princips”) un ka gadījumā, ja aprūpe tiek nodrošināta, tā tiek nodrošina piemērotā veidā (“piemērotības princips”). Šie un citi faktori ir jāņem vērā, vērtējot, vai bērnam ir nepieciešams nodrošināt alternatīvo aprūpi (un gadījumā, ja bērns joprojām dzīvo ar kādu no saviem vecākiem vai ģimenes locekli, vai bērns jānošķir no saviem vecākiem). Tajās noteikts, jo īpaši 6. pantā, ka ar attiecīgo bērnu ir jāapspriežas vērtēšanas procesā un viņa viedoklis ir jāņem vērā:</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“Visi lēmumi, iniciatīvas un risinājumi, uz kuriem attiecas šīs pamatnostādnes, ir jāpieņem katrā gadījumā atsevišķi, tā, lai tie garantētu bērna drošību un nāktu par labu konkrētā bērna interesēm un tiesībām, ievērojot diskriminācijas aizlieguma principu un ar dzimumu saistīto aspektu. Tos pieņemot, pilnībā jāievēro, ka bērnam ir tiesības, lai viņa viedoklis tiktu uzklausīts un ņemts vērā atbilstoši viņa briedumam un lai šī viedokļa veidošanai būtu pieejama visa nepieciešamā informācija. Jādara viss iespējamais, lai nodrošinātu, ka bērna viedoklis tiek uzklausīts un informācija sniegta bērna izraudzītajā valodā.”</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2.4.5. Eiropas Padomes konvencijas</w:t>
      </w:r>
    </w:p>
    <w:p w:rsidR="00F05F26" w:rsidRDefault="00F05F26"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Eiropas Padomes Konvencija par cīņu pret cilvēku tirdzniecību (2005. gada Varšavas konvencija)</w:t>
      </w:r>
    </w:p>
    <w:p w:rsidR="00F05F26"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Saskaņā ar Eiropas Padomes Konvenciju par cīņu pret cilvēku tirdzniecību ir izveidota līguma izpildes uzraudzības struktūra, saukta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kas uzrauga, kā Konvencija tiek īstenota atsevišķās dalībvalstīs, un publicē ikgadējos ziņojumus, katru par konkrētu tēmu. Komentējot to, kāda palīdzība Konvencijas dalībvalstīm ir jāsniedz pieaugušajiem un bērniem, kas ir cilvēku tirdzniecības upuri,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2012. gada ikgadējā ziņojumā norādīja:</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“Konvencijā noteikts, ka dalībvalstīm ir jāveic pasākumi, lai sniegtu palīdzību upuriem viņu fiziskajā, psiholoģiskajā un sociālajā atlabšanā, ņemot vērā upura drošības un aizsardzības vajadzības, sadarbībā ar NVO un citām organizācijām, kas nodarbojas ar palīdzības sniegšanu upuriem. Šī palīdzība ir jāsniedz, pamatojoties uz vienprātību un kompetenci, ievērojot neaizsargātības stāvoklī esošo personu, kā arī bērnu īpašās vajadzības, un šī palīdzība upurim jāsniedz neatkarīgi no viņa gatavības būt par liecinieku. Upuriem ir jāsniedz palīdzība, kas izpaužas kā pienācīga un droša izmitināšana, psiholoģiska un materiāla palīdzība, neatliekamā medicīniskā ārstēšana, rakstiskās un mutiskās tulkošanas pakalpojumi, konsultēšana un informācija, kā arī izglītības pieejamība bērniem.”</w:t>
      </w:r>
      <w:r w:rsidR="00F05F26">
        <w:rPr>
          <w:rStyle w:val="Vresatsauce"/>
          <w:rFonts w:ascii="Times New Roman" w:eastAsia="Times New Roman" w:hAnsi="Times New Roman" w:cs="Times New Roman"/>
          <w:sz w:val="24"/>
          <w:szCs w:val="24"/>
          <w:lang w:eastAsia="lv-LV"/>
        </w:rPr>
        <w:footnoteReference w:customMarkFollows="1" w:id="26"/>
        <w:t>25</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Savā 2015. gada ikgadējā ziņojumā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uzsvēra konkrētu pasākumu nozīmi to bērnu aizsardzības nodrošināšanā, kas ir cilvēku tirdzniecības upuri. Tā ziņoja, ka “36 valstīs no 40 pirmajā novērtēšanas kārtā izvērtētajām valstīm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ir mudinājusi iestādes īstenot pasākumus, lai uzlabotu bērnu, kas ir cilvēku tirdzniecības upuri, identificēšanu un palīdzības sniegšanu viņiem, tostarp izveidojot īpašu identifikācijas un nosūtīšanas mehānismu, kas ņem </w:t>
      </w:r>
      <w:r w:rsidRPr="006B796E">
        <w:rPr>
          <w:rFonts w:ascii="Times New Roman" w:eastAsia="Times New Roman" w:hAnsi="Times New Roman" w:cs="Times New Roman"/>
          <w:sz w:val="24"/>
          <w:szCs w:val="24"/>
          <w:lang w:eastAsia="lv-LV"/>
        </w:rPr>
        <w:lastRenderedPageBreak/>
        <w:t>vērā cietušo bērnu īpašos apstākļus un vajadzības un nodrošina, ka primārais apsvērums ir bērna intereses”.</w:t>
      </w:r>
      <w:r w:rsidR="00F05F26">
        <w:rPr>
          <w:rStyle w:val="Vresatsauce"/>
          <w:rFonts w:ascii="Times New Roman" w:eastAsia="Times New Roman" w:hAnsi="Times New Roman" w:cs="Times New Roman"/>
          <w:sz w:val="24"/>
          <w:szCs w:val="24"/>
          <w:lang w:eastAsia="lv-LV"/>
        </w:rPr>
        <w:footnoteReference w:customMarkFollows="1" w:id="27"/>
        <w:t>26</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0"/>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Eiropas Padomes Konvencija par bērnu aizsardzību pret seksuālu izmantošanu un seksuālu vardarbību (2007. gada Lansarotes konvencija)</w:t>
      </w:r>
    </w:p>
    <w:p w:rsidR="00F05F26"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Šīs konvencijas uzmanības centrā ir bērnu seksuālā izmantošana, tostarp nodarījumi, kas saistīti ar bērnu prostitūciju, bērnu pornogrāfiju un bērnu piedalīšanos pornogrāfiskos priekšnesumos (saskaņā ar Konvencijas 19.–23. pantu). Tā attiecas arī uz nodarījumiem, kas var ietvert seksuālu izmantošanu, kā arī seksuālu vardarbību, piemēram, bērnu pavešanu netiklībā</w:t>
      </w:r>
      <w:r w:rsidR="00F05F26">
        <w:rPr>
          <w:rStyle w:val="Vresatsauce"/>
          <w:rFonts w:ascii="Times New Roman" w:eastAsia="Times New Roman" w:hAnsi="Times New Roman" w:cs="Times New Roman"/>
          <w:sz w:val="24"/>
          <w:szCs w:val="24"/>
          <w:lang w:eastAsia="lv-LV"/>
        </w:rPr>
        <w:footnoteReference w:customMarkFollows="1" w:id="28"/>
        <w:t>27</w:t>
      </w:r>
      <w:r w:rsidRPr="006B796E">
        <w:rPr>
          <w:rFonts w:ascii="Times New Roman" w:eastAsia="Times New Roman" w:hAnsi="Times New Roman" w:cs="Times New Roman"/>
          <w:sz w:val="24"/>
          <w:szCs w:val="24"/>
          <w:lang w:eastAsia="lv-LV"/>
        </w:rPr>
        <w:t xml:space="preserve"> un uzmākšanos bērniem seksuālos nolūkos. Tajā ir noteikti cietušo bērnu aizsardzības principi, 11. pantā atzīmējot, ka dalībvalstis “izstrādā (..) daudznozaru struktūras, lai sniegtu nepieciešamo atbalstu cietušajiem, viņu tuviniekiem un jebkurai personai, kura ir atbildīga par viņu aprūpi,” un “veic nepieciešamos normatīvos vai citus pasākumus, lai nodrošinātu to, ka situācijā, kad nevar noteikt cietušā vecumu un ir pamats aizdomām, ka cietušais ir bērns, aizsardzības un palīdzības pasākumi, kas paredzēti bērniem, viņam vai viņai tiek nodrošināti līdz viņa vai viņas vecuma noskaidrošanai.”</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Viens pants (35. pants) attiecas uz cietušo bērnu pratināšanu, un tajā ir noteikts process, kas dalībvalstīm ir jāievēro. Šis pants attiecas galvenokārt uz pratināšanām, kas skar iespējamos nodarījumus pret bērniem. Tomēr šajos noteikumos iestrādātais princips būtu piemērojams arī iztaujāšanām, kas veiktas citos nolūkos, proti, ja vien tas iespējams un ja ir attiecīga situācija, vienām un tām pašām personām jāvada visas pratināšanas; savukārt bērns jāpavada viņa vai viņas likumīgajam pārstāvim vai attiecīgā gadījumā viņa vai viņas izraudzītajam pieaugušajam,“ja vien attiecībā uz šo personu nav pieņemts pamatots pretējs lēmums”. Konvencijā ir pievērsta uzmanība arī tam, ka ir jāapmāca cilvēki, kas ir saskarē ar bērniem, attiecībā gan uz aizsardzības pasākumiem, gan uz bērnu tiesībām.</w:t>
      </w:r>
      <w:r w:rsidR="00F05F26">
        <w:rPr>
          <w:rStyle w:val="Vresatsauce"/>
          <w:rFonts w:ascii="Times New Roman" w:eastAsia="Times New Roman" w:hAnsi="Times New Roman" w:cs="Times New Roman"/>
          <w:sz w:val="24"/>
          <w:szCs w:val="24"/>
          <w:lang w:eastAsia="lv-LV"/>
        </w:rPr>
        <w:footnoteReference w:customMarkFollows="1" w:id="29"/>
        <w:t>28</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2.4.6. Neatkarīgo Valstu Sadraudzības programma</w:t>
      </w:r>
    </w:p>
    <w:p w:rsidR="00F05F26"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Neatkarīgo Valstu Sadraudzība 2013. gadā ir pieņēmusi Sadarbības programmu cīņai pret cilvēku tirdzniecību 2014.–2018. gadam.</w:t>
      </w:r>
      <w:r w:rsidR="00F05F26">
        <w:rPr>
          <w:rStyle w:val="Vresatsauce"/>
          <w:rFonts w:ascii="Times New Roman" w:eastAsia="Times New Roman" w:hAnsi="Times New Roman" w:cs="Times New Roman"/>
          <w:sz w:val="24"/>
          <w:szCs w:val="24"/>
          <w:lang w:eastAsia="lv-LV"/>
        </w:rPr>
        <w:footnoteReference w:customMarkFollows="1" w:id="30"/>
        <w:t>29</w:t>
      </w:r>
      <w:r w:rsidRPr="006B796E">
        <w:rPr>
          <w:rFonts w:ascii="Times New Roman" w:eastAsia="Times New Roman" w:hAnsi="Times New Roman" w:cs="Times New Roman"/>
          <w:sz w:val="24"/>
          <w:szCs w:val="24"/>
          <w:lang w:eastAsia="lv-LV"/>
        </w:rPr>
        <w:t xml:space="preserve"> Šīs programmas daļas (3. sadaļa) attiecas uz “organizatoriskiem un praktiskiem pasākumiem, lai sniegtu palīdzību cilvēku tirdzniecības upuriem” (lai arī tie nav vērsti konkrēti uz bērniem). Attiecībā uz cilvēku tirdzniecības upuriem, kuru identitāte noteikta ārpus viņu izcelsmes valsts, programma paredz, ka NVS dalībvalstu </w:t>
      </w:r>
      <w:r w:rsidRPr="006B796E">
        <w:rPr>
          <w:rFonts w:ascii="Times New Roman" w:eastAsia="Times New Roman" w:hAnsi="Times New Roman" w:cs="Times New Roman"/>
          <w:sz w:val="24"/>
          <w:szCs w:val="24"/>
          <w:lang w:eastAsia="lv-LV"/>
        </w:rPr>
        <w:lastRenderedPageBreak/>
        <w:t>vēstniecības un konsulāti “turpinās darbu, lai saglabātu mijiedarbību un pieredzes apmaiņu – lai identificētu un savlaicīgi noteiktu atbilstošu palīdzību cilvēku tirdzniecības upuriem ārvalstīs, nodrošinātu viņu drošību, tiesības, brīvības un likumīgās intereses un lai pēc iespējas drīzāk atgrieztu viņus atpakaļ dzimtenē” (3.4. sadaļa). Saistībā ar personām, kas identificētas par cietušajiem un kam piemērota aizturēšana un vai kādi citi ierobežojumi, šajā programmā ir paredzēts, ka vairākas struktūras sadarbosies, lai pārskatītu cilvēku tirdzniecības upuru aizturēšanas praksi imigrācijas centros vai citu ierobežojumu piemērošanu šīm personām (3.5.a sadaļa), vai cilvēku tirdzniecības upuru deportēšanu, ja viņi ir piekrituši “sadarboties ar tiesībaizsardzības iestādēm cilvēku tirgotāju apsūdzībā” (3.5.b sadaļa).</w:t>
      </w:r>
      <w:r w:rsidR="00F05F26">
        <w:rPr>
          <w:rStyle w:val="Vresatsauce"/>
          <w:rFonts w:ascii="Times New Roman" w:eastAsia="Times New Roman" w:hAnsi="Times New Roman" w:cs="Times New Roman"/>
          <w:sz w:val="24"/>
          <w:szCs w:val="24"/>
          <w:lang w:eastAsia="lv-LV"/>
        </w:rPr>
        <w:footnoteReference w:customMarkFollows="1" w:id="31"/>
        <w:t>30</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NVS Sekretariāts līdz šim nav publicējis ziņas par šo aizsardzības darbību īstenošanu (attiecībā uz pieaugušajiem un bērniem). Tomēr 2015. gadā NVS Izpildkomitejas priekšsēdētājs ziņoja, ka NVS dalībvalstis tikai 2014. gadā vien bija veikušas trīspadsmit preventīvos pasākumus un divas īpašās operācijas, kas, viņa vārdiem, ietvēra nozieguma apkarošanas darbības saistībā ar bērnu nolaupīšanu un cilvēku tirdzniecību, kā arī citiem noziegumiem, kas saistīti ar nelegālo migrāciju. Tā rezultātā apsūdzības esot izvirzītas 1600 aizdomās turētiem noziedzniekiem.</w:t>
      </w:r>
      <w:r w:rsidR="00F05F26">
        <w:rPr>
          <w:rStyle w:val="Vresatsauce"/>
          <w:rFonts w:ascii="Times New Roman" w:eastAsia="Times New Roman" w:hAnsi="Times New Roman" w:cs="Times New Roman"/>
          <w:sz w:val="24"/>
          <w:szCs w:val="24"/>
          <w:lang w:eastAsia="lv-LV"/>
        </w:rPr>
        <w:footnoteReference w:customMarkFollows="1" w:id="32"/>
        <w:t>31</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2.4.7. Eiropas Savienības Cilvēku tirdzniecības novēršanas direktīva (2011)</w:t>
      </w:r>
    </w:p>
    <w:p w:rsidR="00F05F26"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Saskaņā ar Eiropas Savienības (ES) 2011. gadā pieņemto direktīvu</w:t>
      </w:r>
      <w:r w:rsidR="00F05F26">
        <w:rPr>
          <w:rStyle w:val="Vresatsauce"/>
          <w:rFonts w:ascii="Times New Roman" w:eastAsia="Times New Roman" w:hAnsi="Times New Roman" w:cs="Times New Roman"/>
          <w:sz w:val="24"/>
          <w:szCs w:val="24"/>
          <w:lang w:eastAsia="lv-LV"/>
        </w:rPr>
        <w:footnoteReference w:customMarkFollows="1" w:id="33"/>
        <w:t>32</w:t>
      </w:r>
      <w:r w:rsidRPr="006B796E">
        <w:rPr>
          <w:rFonts w:ascii="Times New Roman" w:eastAsia="Times New Roman" w:hAnsi="Times New Roman" w:cs="Times New Roman"/>
          <w:sz w:val="24"/>
          <w:szCs w:val="24"/>
          <w:lang w:eastAsia="lv-LV"/>
        </w:rPr>
        <w:t xml:space="preserve"> ES dalībvalstīm ir jāsniedz palīdzība un atbalsts visiem cilvēku tirdzniecībā cietušajiem (11. pants) un īpaša uzmanība jāpievērš tam, lai viņiem nodrošinātu aizsardzību kriminālizmeklēšanas un tiesas procesa laikā (12. pants). Tajā četri panti attiecas uz cietušiem bērniem, vēlreiz pievēršot uzmanību nepieciešamībai aizsargāt cietušos bērnus, kas ir liecinieki izmeklēšanas un tiesvedības laikā. Direktīvā ir uzsvērts, ka pasākumi ir jāveic “pēc katra bērna, kas ir cilvēku tirdzniecības upuris, īpašo apstākļu individuālas izvērtēšanas, pienācīgi ņemot vērā bērna viedokli, vajadzības un bažas, lai bērnam rastu ilgtermiņa risinājumu” (14. panta 1. punkts).</w:t>
      </w:r>
    </w:p>
    <w:p w:rsidR="00F05F26" w:rsidRPr="006B796E"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Tajā ir arī norādīts, ka: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ja ir iemesls uzskatīt, ka cilvēku tirdzniecībā cietušais varētu būt bērns, attiecīgajai amatpersonai jāizdara pieņēmums, ka šī persona patiešām ir bērns, lai tā varētu saņemt “tūlītēju piekļuvi aizsardzības, atbalsta un palīdzības pasākumiem” (13. panta 2. punkts);</w:t>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cietušajam bērnam ir jāieceļ aizbildnis vai pārstāvis, tiklīdz ir identificēts, ka bērns ir cilvēku tirdzniecības upuris;</w:t>
      </w:r>
      <w:r w:rsidR="00B7131B">
        <w:rPr>
          <w:rStyle w:val="Vresatsauce"/>
          <w:rFonts w:ascii="Times New Roman" w:eastAsia="Times New Roman" w:hAnsi="Times New Roman" w:cs="Times New Roman"/>
          <w:sz w:val="24"/>
          <w:szCs w:val="24"/>
          <w:lang w:eastAsia="lv-LV"/>
        </w:rPr>
        <w:footnoteReference w:customMarkFollows="1" w:id="34"/>
        <w:t>33</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jānodrošina “saprātīgā laikposmā” piekļuve izglītībai bērniem, kas ir cilvēku tirdzniecības upuri (un arī cilvēku tirdzniecības upuru bērniem) (14. panta 1. punkts), un</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nepavadītiem bērniem, kas ir cilvēku tirdzniecības upuri, arī ir prioritāri jāsniedz palīdzība, atbalsts un aizsardzība (16. pants), jo īpaši, lai rastu “ilgtermiņa risinājumu, kura pamatā ir bērna interešu individuāls izvērtējums”.</w:t>
      </w:r>
    </w:p>
    <w:p w:rsidR="00F05F26" w:rsidRDefault="00F05F26"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Komisija pēc pieciem gadiem savā ziņojumā atzīmēja dažādus veidus, kā Direktīvas īstenošana ir jāuzlabo.</w:t>
      </w:r>
      <w:r w:rsidR="00B7131B">
        <w:rPr>
          <w:rStyle w:val="Vresatsauce"/>
          <w:rFonts w:ascii="Times New Roman" w:eastAsia="Times New Roman" w:hAnsi="Times New Roman" w:cs="Times New Roman"/>
          <w:sz w:val="24"/>
          <w:szCs w:val="24"/>
          <w:lang w:eastAsia="lv-LV"/>
        </w:rPr>
        <w:footnoteReference w:customMarkFollows="1" w:id="35"/>
        <w:t>34</w:t>
      </w:r>
      <w:r w:rsidRPr="006B796E">
        <w:rPr>
          <w:rFonts w:ascii="Times New Roman" w:eastAsia="Times New Roman" w:hAnsi="Times New Roman" w:cs="Times New Roman"/>
          <w:sz w:val="24"/>
          <w:szCs w:val="24"/>
          <w:lang w:eastAsia="lv-LV"/>
        </w:rPr>
        <w:t> Attiecībā uz Direktīvas 14. panta noteikumiem tā norāda, ka palīdzība ir pieejama, bet nesniedz piezīmes par ilgtermiņa risinājumu meklēšanas procedūrām un par to, kādos veidos tiek ņemts vērā bērnu viedoklis. Ziņojumā ir secināts, ka “ir grūti novērtēt, vai šī pieeja pietiekami atbilst cietušo bērnu īpašajām vajadzībām, tostarp izglītības pieejamībai cietušajiem bērniem un cietušo bērniem, un Komisija turpinās to pārbaudīt”. Attiecībā uz 16. panta noteikumiem nekas nav teikts par to, vai ES dalībvalstis, ja ir konstatēts, ka cilvēku tirdzniecībā cietušie bērni ir bez pavadoņa vai nošķirti, veic šo bērnu interešu novērtējumu. Vispārējā līmenī šajā ziņojumā ir secināts, ka “joprojām ir veicami būtiski uzlabojumi, jo īpaši attiecībā uz īpašiem bērnu aizsardzības pasākumiem, bērnības prezumpciju un bērna vecuma novērtējumu, aizsardzību pirms tiesvedības krimināllietā un tās laikā, beznosacījumu palīdzības pieejamību, kompensāciju, nesodīšanu, palīdzību un atbalstu cietušā bērna ģimenes locekļiem, kā arī prevenciju”.</w:t>
      </w:r>
    </w:p>
    <w:p w:rsidR="00B7131B" w:rsidRDefault="00B713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2012. gadā Eiropas Komisija izdeva ES Stratēģiju cilvēku tirdzniecības izskaušanai 2012.–2016. gadā. Tajā ir atzīmēts, ka tamdēļ, “lai apmierinātu dažādu bērnu grupu, tostarp cilvēku tirdzniecības upuru, dažādās vajadzības, ir nepieciešamas visaptverošas, bērniem piemērotas aizsardzības sistēmas, ar kurām nodrošina dažādu aģentūru darbības un daudznozaru koordināciju”, un ieteikts, ka “dalībvalstīm </w:t>
      </w:r>
      <w:r w:rsidRPr="006B796E">
        <w:rPr>
          <w:rFonts w:ascii="Times New Roman" w:eastAsia="Times New Roman" w:hAnsi="Times New Roman" w:cs="Times New Roman"/>
          <w:b/>
          <w:bCs/>
          <w:sz w:val="24"/>
          <w:szCs w:val="24"/>
          <w:lang w:eastAsia="lv-LV"/>
        </w:rPr>
        <w:t>jāuzlabo bērnu aizsardzības sistēmas</w:t>
      </w:r>
      <w:r w:rsidRPr="006B796E">
        <w:rPr>
          <w:rFonts w:ascii="Times New Roman" w:eastAsia="Times New Roman" w:hAnsi="Times New Roman" w:cs="Times New Roman"/>
          <w:sz w:val="24"/>
          <w:szCs w:val="24"/>
          <w:lang w:eastAsia="lv-LV"/>
        </w:rPr>
        <w:t xml:space="preserve"> attiecībā uz cilvēku tirdzniecības gadījumiem” (izcēlums oriģināltekstā).</w:t>
      </w:r>
      <w:r w:rsidR="00B7131B">
        <w:rPr>
          <w:rStyle w:val="Vresatsauce"/>
          <w:rFonts w:ascii="Times New Roman" w:eastAsia="Times New Roman" w:hAnsi="Times New Roman" w:cs="Times New Roman"/>
          <w:sz w:val="24"/>
          <w:szCs w:val="24"/>
          <w:lang w:eastAsia="lv-LV"/>
        </w:rPr>
        <w:footnoteReference w:customMarkFollows="1" w:id="36"/>
        <w:t>35</w:t>
      </w:r>
      <w:r w:rsidRPr="006B796E">
        <w:rPr>
          <w:rFonts w:ascii="Times New Roman" w:eastAsia="Times New Roman" w:hAnsi="Times New Roman" w:cs="Times New Roman"/>
          <w:sz w:val="24"/>
          <w:szCs w:val="24"/>
          <w:lang w:eastAsia="lv-LV"/>
        </w:rPr>
        <w:t> Ziņojumā par papildu pasākumiem saistībā ar šo stratēģiju, ko Eiropas Komisija izdeva 2017. gadā, ir teikts, ka tā plāno “sadarbībā ar Eiropas Savienības Pamattiesību aģentūru izstrādāt praktiskus norādījumus (..) ar mērķi (..) nodrošināt cietušo bērnu aizsardzību, rast noturīgus risinājumus un aizsargāt viņu tiesības, kas noteiktas ES un starptautiskajās tiesībās”, kā arī teikts, ka tā sadarbībā ar Eiropas Dzimumu līdztiesības institūtu varētu publicēt norādījumus dalībvalstīm par konkrētam dzimumam atbilstīgiem pasākumiem, lai sniegtu palīdzību un atbalstu cietušajiem (t. i., bērniem un pieaugušajiem).</w:t>
      </w:r>
      <w:r w:rsidR="00455234">
        <w:rPr>
          <w:rStyle w:val="Vresatsauce"/>
          <w:rFonts w:ascii="Times New Roman" w:eastAsia="Times New Roman" w:hAnsi="Times New Roman" w:cs="Times New Roman"/>
          <w:sz w:val="24"/>
          <w:szCs w:val="24"/>
          <w:lang w:eastAsia="lv-LV"/>
        </w:rPr>
        <w:footnoteReference w:customMarkFollows="1" w:id="37"/>
        <w:t>36</w:t>
      </w:r>
    </w:p>
    <w:p w:rsidR="00B7131B" w:rsidRPr="006B796E" w:rsidRDefault="00B713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2.4.8. Oslo secinājumi</w:t>
      </w:r>
    </w:p>
    <w:p w:rsidR="00455234" w:rsidRDefault="0045523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2018. gada jūnijā Baltijas jūras valstu padome publicēja dokumentu “</w:t>
      </w:r>
      <w:r w:rsidRPr="006B796E">
        <w:rPr>
          <w:rFonts w:ascii="Times New Roman" w:eastAsia="Times New Roman" w:hAnsi="Times New Roman" w:cs="Times New Roman"/>
          <w:i/>
          <w:iCs/>
          <w:sz w:val="24"/>
          <w:szCs w:val="24"/>
          <w:lang w:eastAsia="lv-LV"/>
        </w:rPr>
        <w:t>Oslo secinājumi par ekspluatācijas un cilvēku tirdzniecības riskam pakļauto bērnu identificēšanu</w:t>
      </w:r>
      <w:r w:rsidRPr="006B796E">
        <w:rPr>
          <w:rFonts w:ascii="Times New Roman" w:eastAsia="Times New Roman" w:hAnsi="Times New Roman" w:cs="Times New Roman"/>
          <w:sz w:val="24"/>
          <w:szCs w:val="24"/>
          <w:lang w:eastAsia="lv-LV"/>
        </w:rPr>
        <w:t>”</w:t>
      </w:r>
      <w:r w:rsidR="00455234">
        <w:rPr>
          <w:rStyle w:val="Vresatsauce"/>
          <w:rFonts w:ascii="Times New Roman" w:eastAsia="Times New Roman" w:hAnsi="Times New Roman" w:cs="Times New Roman"/>
          <w:sz w:val="24"/>
          <w:szCs w:val="24"/>
          <w:lang w:eastAsia="lv-LV"/>
        </w:rPr>
        <w:footnoteReference w:customMarkFollows="1" w:id="38"/>
        <w:t>37</w:t>
      </w:r>
      <w:r w:rsidRPr="006B796E">
        <w:rPr>
          <w:rFonts w:ascii="Times New Roman" w:eastAsia="Times New Roman" w:hAnsi="Times New Roman" w:cs="Times New Roman"/>
          <w:sz w:val="24"/>
          <w:szCs w:val="24"/>
          <w:lang w:eastAsia="lv-LV"/>
        </w:rPr>
        <w:t xml:space="preserve">, kurā uzmanība tika vērsta uz bērnu, kas ir cilvēku tirdzniecības upuri, sākotnējo identificēšanas procesu, kā arī uzsvērta vajadzība stiprināt bērniem piemērotu saziņu un bērnu interešu noteikšanu. Secinājumi bija sagatavoti, pamatojoties uz “Baltijas jūras reģionā un plašāk Eiropā vairākus gadus ilgušo analīzes un konsultāciju procesu”, kurā bija iesaistījušies vairāki simti amatpersonu un speciālistu bērnu labklājības un aizsardzības, sociālās un veselības aprūpes, tiesībaizsardzības un tieslietu, izglītības un imigrācijas jomā, akadēmiskās aprindas un specializētās organizācijas, kā arī bērni un jaunieši. Nozīmīgākais secinājums, kas tika gūts, pārskatot pierādījumus, bija, </w:t>
      </w:r>
      <w:r w:rsidRPr="006B796E">
        <w:rPr>
          <w:rFonts w:ascii="Times New Roman" w:eastAsia="Times New Roman" w:hAnsi="Times New Roman" w:cs="Times New Roman"/>
          <w:sz w:val="24"/>
          <w:szCs w:val="24"/>
          <w:lang w:eastAsia="lv-LV"/>
        </w:rPr>
        <w:lastRenderedPageBreak/>
        <w:t>ka palielinās varbūtība bērnus pareizi identificēt un sniegt tiem pienācīgu atbalstu un aprūpi, ja šiem bērniem tiek dota iespēja izstāstīt savu stāstu, un ka bērnu interešu noteikšana ir viņu labā.</w:t>
      </w:r>
    </w:p>
    <w:p w:rsidR="00455234" w:rsidRPr="006B796E" w:rsidRDefault="00455234"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455234">
      <w:pPr>
        <w:widowControl w:val="0"/>
        <w:spacing w:after="0" w:line="240" w:lineRule="auto"/>
        <w:jc w:val="center"/>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w:t>
      </w:r>
      <w:r w:rsidRPr="006B796E">
        <w:rPr>
          <w:rFonts w:ascii="Times New Roman" w:eastAsia="Times New Roman" w:hAnsi="Times New Roman" w:cs="Times New Roman"/>
          <w:b/>
          <w:bCs/>
          <w:sz w:val="24"/>
          <w:szCs w:val="24"/>
          <w:lang w:eastAsia="lv-LV"/>
        </w:rPr>
        <w:t>Ministru padome (..) mudina dalībvalstis, lai tās veicina sabiedrības informētību par bērnu neaizsargātību visu veidu bērnu tirdzniecības migrācijas plūsmās (..), lai dienestiem, kas pirmie veic reaģēšanas pasākumus, būtu lielākas spējas un tvērums identificēt cilvēku tirdzniecībā cietušos bērnus (..) un nodrošināt viņu aizsardzību (..).</w:t>
      </w:r>
      <w:r w:rsidRPr="006B796E">
        <w:rPr>
          <w:rFonts w:ascii="Times New Roman" w:eastAsia="Times New Roman" w:hAnsi="Times New Roman" w:cs="Times New Roman"/>
          <w:sz w:val="24"/>
          <w:szCs w:val="24"/>
          <w:lang w:eastAsia="lv-LV"/>
        </w:rPr>
        <w:t>”</w:t>
      </w:r>
    </w:p>
    <w:p w:rsidR="00455234" w:rsidRDefault="00455234" w:rsidP="00455234">
      <w:pPr>
        <w:widowControl w:val="0"/>
        <w:spacing w:after="0" w:line="240" w:lineRule="auto"/>
        <w:jc w:val="center"/>
        <w:rPr>
          <w:rFonts w:ascii="Times New Roman" w:eastAsia="Times New Roman" w:hAnsi="Times New Roman" w:cs="Times New Roman"/>
          <w:sz w:val="24"/>
          <w:szCs w:val="24"/>
          <w:lang w:eastAsia="lv-LV"/>
        </w:rPr>
      </w:pPr>
    </w:p>
    <w:p w:rsidR="00D6592D" w:rsidRDefault="00D6592D" w:rsidP="00455234">
      <w:pPr>
        <w:widowControl w:val="0"/>
        <w:spacing w:after="0" w:line="240" w:lineRule="auto"/>
        <w:jc w:val="center"/>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(MC.DEC/7/17, Visu veidu bērnu tirdzniecības, tostarp seksuālas ekspluatācijas, kā arī citu veidu bērnu seksuālas ekspluatācijas apkarošanas centienu stiprināšana [</w:t>
      </w:r>
      <w:r w:rsidRPr="006B796E">
        <w:rPr>
          <w:rFonts w:ascii="Times New Roman" w:eastAsia="Times New Roman" w:hAnsi="Times New Roman" w:cs="Times New Roman"/>
          <w:i/>
          <w:iCs/>
          <w:sz w:val="24"/>
          <w:szCs w:val="24"/>
          <w:lang w:eastAsia="lv-LV"/>
        </w:rPr>
        <w:t>Strengthening Efforts to Combat All Forms of Child Trafficking, including for Sexual Exploitation, as well as Other Forms of Sexual Exploitation of Children</w:t>
      </w:r>
      <w:r w:rsidRPr="006B796E">
        <w:rPr>
          <w:rFonts w:ascii="Times New Roman" w:eastAsia="Times New Roman" w:hAnsi="Times New Roman" w:cs="Times New Roman"/>
          <w:sz w:val="24"/>
          <w:szCs w:val="24"/>
          <w:lang w:eastAsia="lv-LV"/>
        </w:rPr>
        <w:t>])</w:t>
      </w:r>
    </w:p>
    <w:p w:rsidR="00455234" w:rsidRDefault="0045523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455234" w:rsidRDefault="002F1BEE" w:rsidP="006B796E">
      <w:pPr>
        <w:widowControl w:val="0"/>
        <w:spacing w:after="0" w:line="240" w:lineRule="auto"/>
        <w:jc w:val="both"/>
        <w:rPr>
          <w:rFonts w:ascii="Times New Roman" w:eastAsia="Times New Roman" w:hAnsi="Times New Roman" w:cs="Times New Roman"/>
          <w:sz w:val="24"/>
          <w:szCs w:val="24"/>
          <w:lang w:eastAsia="lv-LV"/>
        </w:rPr>
      </w:pPr>
      <w:r w:rsidRPr="002F1BEE">
        <w:rPr>
          <w:rFonts w:ascii="Times New Roman" w:eastAsia="Times New Roman" w:hAnsi="Times New Roman" w:cs="Times New Roman"/>
          <w:noProof/>
          <w:sz w:val="24"/>
          <w:szCs w:val="24"/>
          <w:lang w:eastAsia="lv-LV"/>
        </w:rPr>
        <w:lastRenderedPageBreak/>
        <w:drawing>
          <wp:inline distT="0" distB="0" distL="0" distR="0">
            <wp:extent cx="5760085" cy="7657033"/>
            <wp:effectExtent l="0" t="0" r="0" b="127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7657033"/>
                    </a:xfrm>
                    <a:prstGeom prst="rect">
                      <a:avLst/>
                    </a:prstGeom>
                    <a:noFill/>
                    <a:ln>
                      <a:noFill/>
                    </a:ln>
                  </pic:spPr>
                </pic:pic>
              </a:graphicData>
            </a:graphic>
          </wp:inline>
        </w:drawing>
      </w:r>
    </w:p>
    <w:p w:rsidR="002F1BEE" w:rsidRPr="006B796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455234" w:rsidRDefault="0045523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No brīža, kad bērns pirmo reizi tiek identificēts kā iespējamais cilvēku tirdzniecības upuris, iestādes un organizācijas, kas ir tiešā saskarē ar bērnu, kā arī visi tie, kas vispārīgākā veidā atbild par bērnu aizsardzību, pieņem virkni lēmumu, kas ietekmē bērnu īstermiņā, vidējā termiņā un ilgtermiņā. Daži no šiem lēmumiem rada samērā triviālas sekas, savukārt citi smagi ietekmē bērna dzīvi daudzus gadus. Īstermiņa lēmumi, jo īpaši tie, kas saistīti ar identificēšanu un izmeklēšanu, lai arī nav šā speciālā pētījuma uzmanības centrā, ir šādi:</w:t>
      </w:r>
    </w:p>
    <w:p w:rsidR="00455234" w:rsidRPr="006B796E" w:rsidRDefault="00455234"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Vai bērns jāizņem no ekspluatētāja vai vecāku kontroles (t. i., vai bērns ir pakļauts nelikumīgai ekspluatācijai vai vardarbībai tādā līmenī, ka bērna izņemšana ir attaisnojama)?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Kam jāpieskata bērns uzreiz pēc šīs darbības?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Kad un kur bērns jāiztaujā par iespējamajiem pret viņu izdarītajiem nodarījumiem?</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Vai jālūdz bērnam piedalīties tiesas procesā cietušā vai nodarījuma liecinieka statusā?</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Pēc tam tomēr ir jāpieņem vairāki nozīmīgi lēmumi par to, kam jānotiek ar bērnu ilgākā laikposmā. Šie jautājumi un tas, kā tiek pieņemti no tiem izrietošie lēmumi, ir aplūkoti nākamajās divās nodaļās:</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Kam jāuzņemas juridiskā atbildība par bērnu, ja konstatēts, ka viņš dzīvo ārpus mājas (bez vecāku gādības palicis bērns)?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Kam jāsniedz juridiskās konsultācijas šim bērnam?</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Kur bērns jāizmitina īstermiņā un ilgākā termiņā?</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Kuram jāpārbauda, kam būtu jānotiek (un kā) pēc paša bērna domām?</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Vai jānodrošina bērna atkalapvienošanās ar vecākiem vai aizbildni? Vai tas būs droši? Ja tā, kad un kā?</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Ja bērnu identificē valstī, kas nav viņa paša valsts, vai bērns jānosūta atpakaļ uz viņa izcelsmes valsti, un, ja jā, vai viņš jānosūta atpakaļ uz vecāku mājām vai viņam jādzīvo citviet?</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Kam jāpārbauda, kāds stāvoklis ir bērna mājās vai izcelsmes vietā, un kā tas jādara?</w:t>
      </w:r>
    </w:p>
    <w:p w:rsidR="00383BC5" w:rsidRDefault="00383BC5"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3.1. Kam jābūt iesaistītam lēmumu pieņemšanas procesā?</w:t>
      </w:r>
    </w:p>
    <w:p w:rsidR="00383BC5" w:rsidRDefault="00383BC5"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3.1.1. Pamatprincipi</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tiesību komiteja kopā ar vēl vienu ANO komiteju</w:t>
      </w:r>
      <w:r w:rsidR="00383BC5">
        <w:rPr>
          <w:rStyle w:val="Vresatsauce"/>
          <w:rFonts w:ascii="Times New Roman" w:eastAsia="Times New Roman" w:hAnsi="Times New Roman" w:cs="Times New Roman"/>
          <w:sz w:val="24"/>
          <w:szCs w:val="24"/>
          <w:lang w:eastAsia="lv-LV"/>
        </w:rPr>
        <w:footnoteReference w:customMarkFollows="1" w:id="39"/>
        <w:t>38</w:t>
      </w:r>
      <w:r w:rsidRPr="006B796E">
        <w:rPr>
          <w:rFonts w:ascii="Times New Roman" w:eastAsia="Times New Roman" w:hAnsi="Times New Roman" w:cs="Times New Roman"/>
          <w:sz w:val="24"/>
          <w:szCs w:val="24"/>
          <w:lang w:eastAsia="lv-LV"/>
        </w:rPr>
        <w:t xml:space="preserve"> ir mudinājusi dalībvalstis “nodrošināt, ka par bērnu tiesībām atbildīgajām iestādēm ir vadošā loma un skaidras lēmumu pieņemšanas pilnvaras attiecībā uz politiku, praksi un lēmumiem, kas ietekmē bērnu tiesības starptautiskās migrācijas kontekstā”.</w:t>
      </w:r>
      <w:r w:rsidR="00383BC5">
        <w:rPr>
          <w:rStyle w:val="Vresatsauce"/>
          <w:rFonts w:ascii="Times New Roman" w:eastAsia="Times New Roman" w:hAnsi="Times New Roman" w:cs="Times New Roman"/>
          <w:sz w:val="24"/>
          <w:szCs w:val="24"/>
          <w:lang w:eastAsia="lv-LV"/>
        </w:rPr>
        <w:footnoteReference w:customMarkFollows="1" w:id="40"/>
        <w:t>39</w:t>
      </w:r>
      <w:r w:rsidRPr="006B796E">
        <w:rPr>
          <w:rFonts w:ascii="Times New Roman" w:eastAsia="Times New Roman" w:hAnsi="Times New Roman" w:cs="Times New Roman"/>
          <w:sz w:val="24"/>
          <w:szCs w:val="24"/>
          <w:lang w:eastAsia="lv-LV"/>
        </w:rPr>
        <w:t> Tas attiecas uz visiem bērniem ārvalstniekiem, kas kļuvuši par cilvēku tirdzniecības upuriem valstī, kas nav pašu valsts, kā arī uz bērniem, kas migrējuši labprātīgi, bet pēc tam kļuvuši par cilvēku tirdzniecības upuriem. Savā nesenajā (2017) Kopīgajā vispārējā komentārā abas komitejas ir norādījušas, ka bērna interešu novērtējums iesaistītajām pusēm jāveic neatkarīgi no migrācijas iestādēm un ka tas jādara daudznozaru veidā, tostarp jēgpilni piedaloties iestādēm, kas atbild par bērnu aizsardzību un labklājību, un citām attiecīgajām iesaistītajām pusēm, piemēram, vecākiem, aizbildņiem un likumīgajiem pārstāvjiem, kā arī pašam bērnam</w:t>
      </w:r>
      <w:r w:rsidR="00383BC5">
        <w:rPr>
          <w:rStyle w:val="Vresatsauce"/>
          <w:rFonts w:ascii="Times New Roman" w:eastAsia="Times New Roman" w:hAnsi="Times New Roman" w:cs="Times New Roman"/>
          <w:sz w:val="24"/>
          <w:szCs w:val="24"/>
          <w:lang w:eastAsia="lv-LV"/>
        </w:rPr>
        <w:footnoteReference w:customMarkFollows="1" w:id="41"/>
        <w:t>40</w:t>
      </w:r>
      <w:r w:rsidRPr="006B796E">
        <w:rPr>
          <w:rFonts w:ascii="Times New Roman" w:eastAsia="Times New Roman" w:hAnsi="Times New Roman" w:cs="Times New Roman"/>
          <w:sz w:val="24"/>
          <w:szCs w:val="24"/>
          <w:lang w:eastAsia="lv-LV"/>
        </w:rPr>
        <w:t>.</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Tomēr, pat ja valstī jau ir izstrādāti atbilstīgi tiesību akti un noteikumi, lai nodrošinātu, ka bērnu aizsardzības iestādes pieņem lēmumus par cilvēku tirdzniecībā cietušajiem bērniem, kuriem vēl nav piešķirts likumīgs imigrācijas statuss, tas, ka bērnu aizsardzības sistēma ietver daudzas iesaistītās puses, var radīt problēmas. Diemžēl var gadīties, ka bērns, kurš jau ir guvis traumu, kļūstot par cilvēku tirdzniecības upuri, tiek apbērts ar dažādu amatpersonu uzdotajiem jautājumiem, kas liek viņam justies bezspēcīgam, saskaroties ar birokrātiju. Lai palīdzētu pārvarēt šo problēmu, dažas EDSO dalībvalstis ir izstrādājušas metodes, lai mazinātu bērna iztaujāšanas reižu skaitu, līdz nepieciešamajam minimumam mazinātu to amatpersonu skaitu, kas nonāk saskarē ar bērnu, un lai bērnu turētu vienā vietā. Sīkāks apraksts par šo pieeju, kas zināma kā bērnu pajumtes modelis, ir sniegts turpmāk 3.2. sadaļā.</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3.1.2. Praktiski piemēri</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Zviedrijā 2016. gadā tika publicēts trīs gadus veidotais nacionālais mehānisms cietušo nosūtīšanai.</w:t>
      </w:r>
      <w:r w:rsidR="00383BC5">
        <w:rPr>
          <w:rStyle w:val="Vresatsauce"/>
          <w:rFonts w:ascii="Times New Roman" w:eastAsia="Times New Roman" w:hAnsi="Times New Roman" w:cs="Times New Roman"/>
          <w:sz w:val="24"/>
          <w:szCs w:val="24"/>
          <w:lang w:eastAsia="lv-LV"/>
        </w:rPr>
        <w:footnoteReference w:customMarkFollows="1" w:id="42"/>
        <w:t>41</w:t>
      </w:r>
      <w:r w:rsidRPr="006B796E">
        <w:rPr>
          <w:rFonts w:ascii="Times New Roman" w:eastAsia="Times New Roman" w:hAnsi="Times New Roman" w:cs="Times New Roman"/>
          <w:sz w:val="24"/>
          <w:szCs w:val="24"/>
          <w:lang w:eastAsia="lv-LV"/>
        </w:rPr>
        <w:t xml:space="preserve"> Tā pamatā ir esošie tiesību akti, un tas tika izstrādāts, pamatojoties uz operatīvo pieredzi. Lai arī Zviedrijā nav īpaša nosūtīšanas mehānisma bērniem, par kuriem ir aizdomas, ka viņi ir cilvēku tirdzniecības upuri, katrā nosūtīšanas posmā Zviedrijas </w:t>
      </w:r>
      <w:r w:rsidRPr="006B796E">
        <w:rPr>
          <w:rFonts w:ascii="Times New Roman" w:eastAsia="Times New Roman" w:hAnsi="Times New Roman" w:cs="Times New Roman"/>
          <w:i/>
          <w:iCs/>
          <w:sz w:val="24"/>
          <w:szCs w:val="24"/>
          <w:lang w:eastAsia="lv-LV"/>
        </w:rPr>
        <w:t>NRM</w:t>
      </w:r>
      <w:r w:rsidRPr="006B796E">
        <w:rPr>
          <w:rFonts w:ascii="Times New Roman" w:eastAsia="Times New Roman" w:hAnsi="Times New Roman" w:cs="Times New Roman"/>
          <w:sz w:val="24"/>
          <w:szCs w:val="24"/>
          <w:lang w:eastAsia="lv-LV"/>
        </w:rPr>
        <w:t xml:space="preserve"> rokasgrāmatā ir atzīmēts, kurā brīdī jāveic darbības attiecībā uz bērniem un jauniešiem, kas varētu būt bērni. Proti, tajā ir atkārtoti uzsvērts, ka valsts sociālo pakalpojumu aģentūra ir kopumā atbildīga par bērnu labklājību un par bērnu tirdzniecības iespējamo upuru (dēvēti par “iespējamajiem cietušajiem”) labklājību, jo īpaši:</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“Tiklīdz tiek konstatēts, ka iespējamais cietušais ir bērns, par to ir jāinformē sociālie dienesti. Sociālajiem dienestiem ir jāseko bērnam visā procesā un cieši jāsadarbojas ar tiesībsargājošām iestādēm, Zviedrijas Migrācijas aģentūru (ja ir iesaistīts nepavadīts bērns, kas meklē patvērumu) un citām iesaistītām pusēm, līdz tiek rasts un īstenots ilgtspējīgs risinājums, kurā ir ņemtas vērā bērna intereses.”</w:t>
      </w:r>
      <w:r w:rsidR="00383BC5">
        <w:rPr>
          <w:rStyle w:val="Vresatsauce"/>
          <w:rFonts w:ascii="Times New Roman" w:eastAsia="Times New Roman" w:hAnsi="Times New Roman" w:cs="Times New Roman"/>
          <w:sz w:val="24"/>
          <w:szCs w:val="24"/>
          <w:lang w:eastAsia="lv-LV"/>
        </w:rPr>
        <w:footnoteReference w:customMarkFollows="1" w:id="43"/>
        <w:t>42</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Tas nenozīmē, ka citām iestādēm, piemēram, policijai vai imigrācijas aģentūrai, nav teikšanas lēmumu pieņemšanā, kas skar bērnu, kurš ir cilvēku tirdzniecības upuris. Drīzāk tas nozīmē, ka sociālajiem dienestiem ir vadošā loma. Piemēram:</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“Ja ir iesaistīts bērns, sociālo dienestu pienākums ir novērtēt bērna vajadzības un sniegt ieteikumus par īstermiņa un ilgtermiņa atbalstu. Turklāt sociālajiem dienestiem ir regulāri jāseko, kā tiek īstenots bērna individuālais rīcības plāns.”</w:t>
      </w:r>
      <w:r w:rsidR="00383BC5">
        <w:rPr>
          <w:rStyle w:val="Vresatsauce"/>
          <w:rFonts w:ascii="Times New Roman" w:eastAsia="Times New Roman" w:hAnsi="Times New Roman" w:cs="Times New Roman"/>
          <w:sz w:val="24"/>
          <w:szCs w:val="24"/>
          <w:lang w:eastAsia="lv-LV"/>
        </w:rPr>
        <w:footnoteReference w:customMarkFollows="1" w:id="44"/>
        <w:t>43</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3.2. “Vienas pieturas” modelis – lēmumu pieņemšana vienā vietā</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Vairākas Skandināvijas valstis ir izstrādājušas kopīgu modeli, kā reaģēt attiecībā uz bērniem, kas ir kļuvuši par vardarbības upuriem vai lieciniekiem. Viens no pasākumiem ir panākt, ka bērniem nav vairākkārtīgi jāskaidro sava pieredze. Šis modelis kopumā ir pazīstams kā </w:t>
      </w:r>
      <w:r w:rsidRPr="006B796E">
        <w:rPr>
          <w:rFonts w:ascii="Times New Roman" w:eastAsia="Times New Roman" w:hAnsi="Times New Roman" w:cs="Times New Roman"/>
          <w:i/>
          <w:iCs/>
          <w:sz w:val="24"/>
          <w:szCs w:val="24"/>
          <w:lang w:eastAsia="lv-LV"/>
        </w:rPr>
        <w:t>Barnahus</w:t>
      </w:r>
      <w:r w:rsidRPr="006B796E">
        <w:rPr>
          <w:rFonts w:ascii="Times New Roman" w:eastAsia="Times New Roman" w:hAnsi="Times New Roman" w:cs="Times New Roman"/>
          <w:sz w:val="24"/>
          <w:szCs w:val="24"/>
          <w:lang w:eastAsia="lv-LV"/>
        </w:rPr>
        <w:t xml:space="preserve"> (bērnu pajumtes) modelis, jo uzsvars tiek likts uz to, cik svarīgi attiecīgajam bērnam ir palikt vienā vietā, lai arī reaģēšanas pasākumus veic vairākas iestādes. Dažādie dienesti, kuriem jātiekas ar bērnu, nāk pie bērna, nevis bērns dodas pie tiem, lai katru reizi skaidrotu tiem savu pieredzi. Īsumā:</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w:t>
      </w:r>
      <w:r w:rsidRPr="006B796E">
        <w:rPr>
          <w:rFonts w:ascii="Times New Roman" w:eastAsia="Times New Roman" w:hAnsi="Times New Roman" w:cs="Times New Roman"/>
          <w:i/>
          <w:iCs/>
          <w:sz w:val="24"/>
          <w:szCs w:val="24"/>
          <w:lang w:eastAsia="lv-LV"/>
        </w:rPr>
        <w:t>Barnahus</w:t>
      </w:r>
      <w:r w:rsidRPr="006B796E">
        <w:rPr>
          <w:rFonts w:ascii="Times New Roman" w:eastAsia="Times New Roman" w:hAnsi="Times New Roman" w:cs="Times New Roman"/>
          <w:sz w:val="24"/>
          <w:szCs w:val="24"/>
          <w:lang w:eastAsia="lv-LV"/>
        </w:rPr>
        <w:t xml:space="preserve"> modelis ir daudznozaru un starpinstitucionāla pieeja, kas nodrošina dažādu iestāžu (tiesas, sociālo, ārstniecības iestāžu) sadarbību vienās bērniem piemērotās telpās, kurās bērnam un ģimenei zem viena jumta tiek piedāvāti visaptveroši pakalpojumi. </w:t>
      </w:r>
      <w:r w:rsidRPr="006B796E">
        <w:rPr>
          <w:rFonts w:ascii="Times New Roman" w:eastAsia="Times New Roman" w:hAnsi="Times New Roman" w:cs="Times New Roman"/>
          <w:i/>
          <w:iCs/>
          <w:sz w:val="24"/>
          <w:szCs w:val="24"/>
          <w:lang w:eastAsia="lv-LV"/>
        </w:rPr>
        <w:t>Barnahus</w:t>
      </w:r>
      <w:r w:rsidRPr="006B796E">
        <w:rPr>
          <w:rFonts w:ascii="Times New Roman" w:eastAsia="Times New Roman" w:hAnsi="Times New Roman" w:cs="Times New Roman"/>
          <w:sz w:val="24"/>
          <w:szCs w:val="24"/>
          <w:lang w:eastAsia="lv-LV"/>
        </w:rPr>
        <w:t xml:space="preserve"> modeļa pamatā ir pieņēmums, ka bērna skaidrojumi ir galvenais elements, kas nepieciešams, lai identificētu un izmeklētu vardarbību pret bērnu gan kriminālizmeklēšanas, gan aizsardzības un terapijas vajadzībām.”</w:t>
      </w:r>
      <w:r w:rsidR="00383BC5">
        <w:rPr>
          <w:rStyle w:val="Vresatsauce"/>
          <w:rFonts w:ascii="Times New Roman" w:eastAsia="Times New Roman" w:hAnsi="Times New Roman" w:cs="Times New Roman"/>
          <w:sz w:val="24"/>
          <w:szCs w:val="24"/>
          <w:lang w:eastAsia="lv-LV"/>
        </w:rPr>
        <w:footnoteReference w:customMarkFollows="1" w:id="45"/>
        <w:t>44</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Kā noprotams, modeļa galvenais nolūks ir panākt, ka pēc tam, kad bērns ir identificēts kā iespējamais cilvēku tirdzniecības upuris, tiek iegūti tiesas procesam derīgi pierādījumi, nodrošinot, ka bērns sniedz liecības vai tiesu ekspertīzes pierādījumus. Būtiski, ka tas tiek darīts tā, lai bērnam nebūtu jādodas uz tiesu, ja lieta ir nodota kriminālvajāšanai. Tā kā šā ziņojuma uzmanības centrā nav cietušo bērnu vai liecinieku loma krimināltiesību sistēmā, šis jautājums sīkāk turpmāk netiek skatīts. Tomēr daudzu citu iemeslu dēļ ir svarīgi, ka </w:t>
      </w:r>
      <w:r w:rsidRPr="006B796E">
        <w:rPr>
          <w:rFonts w:ascii="Times New Roman" w:eastAsia="Times New Roman" w:hAnsi="Times New Roman" w:cs="Times New Roman"/>
          <w:i/>
          <w:iCs/>
          <w:sz w:val="24"/>
          <w:szCs w:val="24"/>
          <w:lang w:eastAsia="lv-LV"/>
        </w:rPr>
        <w:t>Barnahus</w:t>
      </w:r>
      <w:r w:rsidRPr="006B796E">
        <w:rPr>
          <w:rFonts w:ascii="Times New Roman" w:eastAsia="Times New Roman" w:hAnsi="Times New Roman" w:cs="Times New Roman"/>
          <w:sz w:val="24"/>
          <w:szCs w:val="24"/>
          <w:lang w:eastAsia="lv-LV"/>
        </w:rPr>
        <w:t xml:space="preserve"> modelis piedāvā “vienas pieturas” pieeju, nodrošinot attiecīgo iestāžu un aģentūru, piemēram, policijas, sociālo dienestu, bērnu aizsardzības iestāžu, fiziskās un garīgās veselības aprūpes iestāžu un prokuratūras, sadarbību vienās bērniem piemērotās telpās”.</w:t>
      </w:r>
      <w:r w:rsidR="00383BC5">
        <w:rPr>
          <w:rStyle w:val="Vresatsauce"/>
          <w:rFonts w:ascii="Times New Roman" w:eastAsia="Times New Roman" w:hAnsi="Times New Roman" w:cs="Times New Roman"/>
          <w:sz w:val="24"/>
          <w:szCs w:val="24"/>
          <w:lang w:eastAsia="lv-LV"/>
        </w:rPr>
        <w:footnoteReference w:customMarkFollows="1" w:id="46"/>
        <w:t>45</w:t>
      </w:r>
    </w:p>
    <w:p w:rsidR="00383BC5" w:rsidRDefault="00383BC5"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Barnahus</w:t>
      </w:r>
      <w:r w:rsidRPr="006B796E">
        <w:rPr>
          <w:rFonts w:ascii="Times New Roman" w:eastAsia="Times New Roman" w:hAnsi="Times New Roman" w:cs="Times New Roman"/>
          <w:sz w:val="24"/>
          <w:szCs w:val="24"/>
          <w:lang w:eastAsia="lv-LV"/>
        </w:rPr>
        <w:t xml:space="preserve"> modelis pirmo reizi neformāli tika izveidots Islandē, pamatojoties uz iesaistīto iestāžu nolīgumu. Šodien Islandes Bērnu aizsardzības valsts aģentūra [</w:t>
      </w:r>
      <w:r w:rsidRPr="006B796E">
        <w:rPr>
          <w:rFonts w:ascii="Times New Roman" w:eastAsia="Times New Roman" w:hAnsi="Times New Roman" w:cs="Times New Roman"/>
          <w:i/>
          <w:iCs/>
          <w:sz w:val="24"/>
          <w:szCs w:val="24"/>
          <w:lang w:eastAsia="lv-LV"/>
        </w:rPr>
        <w:t>Barnaverndarstofa</w:t>
      </w:r>
      <w:r w:rsidRPr="006B796E">
        <w:rPr>
          <w:rFonts w:ascii="Times New Roman" w:eastAsia="Times New Roman" w:hAnsi="Times New Roman" w:cs="Times New Roman"/>
          <w:sz w:val="24"/>
          <w:szCs w:val="24"/>
          <w:lang w:eastAsia="lv-LV"/>
        </w:rPr>
        <w:t>] ir pilnvarota “vadīt speciālā dienesta centrus ar mērķi veicināt starpnozaru sadarbību un stiprināt iestāžu sadarbību, izskatot ar bērnu aizsardzību saistītas lietas”.</w:t>
      </w:r>
      <w:r w:rsidR="00383BC5">
        <w:rPr>
          <w:rStyle w:val="Vresatsauce"/>
          <w:rFonts w:ascii="Times New Roman" w:eastAsia="Times New Roman" w:hAnsi="Times New Roman" w:cs="Times New Roman"/>
          <w:sz w:val="24"/>
          <w:szCs w:val="24"/>
          <w:lang w:eastAsia="lv-LV"/>
        </w:rPr>
        <w:footnoteReference w:customMarkFollows="1" w:id="47"/>
        <w:t>46</w:t>
      </w:r>
      <w:r w:rsidRPr="006B796E">
        <w:rPr>
          <w:rFonts w:ascii="Times New Roman" w:eastAsia="Times New Roman" w:hAnsi="Times New Roman" w:cs="Times New Roman"/>
          <w:sz w:val="24"/>
          <w:szCs w:val="24"/>
          <w:lang w:eastAsia="lv-LV"/>
        </w:rPr>
        <w:t xml:space="preserve"> Sākotnēji </w:t>
      </w:r>
      <w:r w:rsidRPr="006B796E">
        <w:rPr>
          <w:rFonts w:ascii="Times New Roman" w:eastAsia="Times New Roman" w:hAnsi="Times New Roman" w:cs="Times New Roman"/>
          <w:i/>
          <w:iCs/>
          <w:sz w:val="24"/>
          <w:szCs w:val="24"/>
          <w:lang w:eastAsia="lv-LV"/>
        </w:rPr>
        <w:t>Barnahus</w:t>
      </w:r>
      <w:r w:rsidRPr="006B796E">
        <w:rPr>
          <w:rFonts w:ascii="Times New Roman" w:eastAsia="Times New Roman" w:hAnsi="Times New Roman" w:cs="Times New Roman"/>
          <w:sz w:val="24"/>
          <w:szCs w:val="24"/>
          <w:lang w:eastAsia="lv-LV"/>
        </w:rPr>
        <w:t xml:space="preserve"> modelis tika izveidots Norvēģijā bez oficiāliem reglamentējošiem noteikumiem. Ar 2017. gadu Norvēģijas Kriminālprocesa likumā un noteikumos par tiesas izmeklēšanas intervijām ir noteikts, ka policijai un prokuroriem ir obligāti jāizmanto </w:t>
      </w:r>
      <w:r w:rsidRPr="006B796E">
        <w:rPr>
          <w:rFonts w:ascii="Times New Roman" w:eastAsia="Times New Roman" w:hAnsi="Times New Roman" w:cs="Times New Roman"/>
          <w:i/>
          <w:iCs/>
          <w:sz w:val="24"/>
          <w:szCs w:val="24"/>
          <w:lang w:eastAsia="lv-LV"/>
        </w:rPr>
        <w:t>Barnahus</w:t>
      </w:r>
      <w:r w:rsidRPr="006B796E">
        <w:rPr>
          <w:rFonts w:ascii="Times New Roman" w:eastAsia="Times New Roman" w:hAnsi="Times New Roman" w:cs="Times New Roman"/>
          <w:sz w:val="24"/>
          <w:szCs w:val="24"/>
          <w:lang w:eastAsia="lv-LV"/>
        </w:rPr>
        <w:t xml:space="preserve"> modelis.</w:t>
      </w:r>
      <w:r w:rsidR="00383BC5">
        <w:rPr>
          <w:rStyle w:val="Vresatsauce"/>
          <w:rFonts w:ascii="Times New Roman" w:eastAsia="Times New Roman" w:hAnsi="Times New Roman" w:cs="Times New Roman"/>
          <w:sz w:val="24"/>
          <w:szCs w:val="24"/>
          <w:lang w:eastAsia="lv-LV"/>
        </w:rPr>
        <w:footnoteReference w:customMarkFollows="1" w:id="48"/>
        <w:t>47</w:t>
      </w:r>
      <w:r w:rsidRPr="006B796E">
        <w:rPr>
          <w:rFonts w:ascii="Times New Roman" w:eastAsia="Times New Roman" w:hAnsi="Times New Roman" w:cs="Times New Roman"/>
          <w:sz w:val="24"/>
          <w:szCs w:val="24"/>
          <w:lang w:eastAsia="lv-LV"/>
        </w:rPr>
        <w:t> Tomēr šim modelim esot arī savi ierobežojumi. Šis modelis ir ieviests arī Zviedrijā, taču 2013. gada ziņojumā, kurā tika novērtēta bērnu pajumtes modeļa darbība Zviedrijā, tika atzīmēts, ka uz bērnu pajumti tika nosūtīts maz bērnu, par kuriem ir aizdomas, ka viņi varētu būt cilvēku tirdzniecības upuri. Domājams, daļēji tas ir tāpēc, ka trešdaļai pašvaldības teritoriju valstī nav šādu iestāžu. Taču autori izteica bažas arī par to, ka cilvēku tirdzniecībā cietušie bērni varētu būt no šīs kategorijas nepamatoti izslēgti. Autori sniedza tam vairākus iespējamos skaidrojumus, proti, ar cilvēku tirdzniecību saistīti nodarījumi parasti netiek ietverti cilvēku tirdzniecības kategorijā (piemēram, aizdomās turētie tiek apsūdzēti par citu veidu nodarījumiem, piemēram, “sekss ar bērnu par maksu”), vai arī vairums uz bērnu pajumti nosūtīto bērnu ir bērni līdz 16 gadu vecumam un ir vardarbības upuri, kurā iesaistīti bērna tuvinieki vai citi tuvi radinieki, nevis noziedzīgi grupējumi.</w:t>
      </w:r>
      <w:r w:rsidR="00383BC5">
        <w:rPr>
          <w:rStyle w:val="Vresatsauce"/>
          <w:rFonts w:ascii="Times New Roman" w:eastAsia="Times New Roman" w:hAnsi="Times New Roman" w:cs="Times New Roman"/>
          <w:sz w:val="24"/>
          <w:szCs w:val="24"/>
          <w:lang w:eastAsia="lv-LV"/>
        </w:rPr>
        <w:footnoteReference w:customMarkFollows="1" w:id="49"/>
        <w:t>48</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Runājot Alianses 17. konferencē 2017. gada aprīlī, Islandes Bērnu aizsardzības valsts aģentūras ģenerāldirektors </w:t>
      </w:r>
      <w:r w:rsidRPr="006B796E">
        <w:rPr>
          <w:rFonts w:ascii="Times New Roman" w:eastAsia="Times New Roman" w:hAnsi="Times New Roman" w:cs="Times New Roman"/>
          <w:i/>
          <w:iCs/>
          <w:sz w:val="24"/>
          <w:szCs w:val="24"/>
          <w:lang w:eastAsia="lv-LV"/>
        </w:rPr>
        <w:t>Bragi Guðbrandsson</w:t>
      </w:r>
      <w:r w:rsidRPr="006B796E">
        <w:rPr>
          <w:rFonts w:ascii="Times New Roman" w:eastAsia="Times New Roman" w:hAnsi="Times New Roman" w:cs="Times New Roman"/>
          <w:sz w:val="24"/>
          <w:szCs w:val="24"/>
          <w:lang w:eastAsia="lv-LV"/>
        </w:rPr>
        <w:t xml:space="preserve"> savā ziņojumā norādījis, ka bērnu pajumtes modelis darbojas 50 vietās Dānijā, Islandē, Norvēģijā un Zviedrijā. Viņš teicis, ka Islandē daudznozaru/daudzu iestāžu pieeja nozīmē to, ka parasti kopā ar viņa pārstāvēto bērnu </w:t>
      </w:r>
      <w:r w:rsidRPr="006B796E">
        <w:rPr>
          <w:rFonts w:ascii="Times New Roman" w:eastAsia="Times New Roman" w:hAnsi="Times New Roman" w:cs="Times New Roman"/>
          <w:sz w:val="24"/>
          <w:szCs w:val="24"/>
          <w:lang w:eastAsia="lv-LV"/>
        </w:rPr>
        <w:lastRenderedPageBreak/>
        <w:t>aizsardzības aģentūru ir iesaistītas sešas citas valsts aģentūras.</w:t>
      </w:r>
      <w:r w:rsidR="00383BC5">
        <w:rPr>
          <w:rStyle w:val="Vresatsauce"/>
          <w:rFonts w:ascii="Times New Roman" w:eastAsia="Times New Roman" w:hAnsi="Times New Roman" w:cs="Times New Roman"/>
          <w:sz w:val="24"/>
          <w:szCs w:val="24"/>
          <w:lang w:eastAsia="lv-LV"/>
        </w:rPr>
        <w:footnoteReference w:customMarkFollows="1" w:id="50"/>
        <w:t>49</w:t>
      </w:r>
      <w:r w:rsidRPr="006B796E">
        <w:rPr>
          <w:rFonts w:ascii="Times New Roman" w:eastAsia="Times New Roman" w:hAnsi="Times New Roman" w:cs="Times New Roman"/>
          <w:sz w:val="24"/>
          <w:szCs w:val="24"/>
          <w:lang w:eastAsia="lv-LV"/>
        </w:rPr>
        <w:t> Attiecībā uz nepavadītiem ārvalstu bērniem, par kuriem ir aizdomas, ka viņi ir cilvēku tirdzniecības upuri, 2016. gadā Bērnu aizsardzības aģentūra un Islandes Imigrācijas direktorāts vienojās par oficiālu sadarbību; tā ietver likumīgā aizbildņa iecelšanu bērnam. Būtībā informāciju, kas iegūta no bērnu pajumtē ievietotiem bērniem, var izmantot dažādiem mērķiem – bez nepieciešamības viņus vēlreiz iztaujāt. Šie mērķi ir bērna veselības novērtējums, lēmumi par bērna aizsardzību, tostarp par bērna izmitināšanas vietu, kā arī patvēruma pieteikumi.</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383BC5" w:rsidRDefault="00383BC5" w:rsidP="00383BC5">
      <w:pPr>
        <w:widowControl w:val="0"/>
        <w:spacing w:after="0" w:line="240" w:lineRule="auto"/>
        <w:jc w:val="center"/>
        <w:rPr>
          <w:rFonts w:ascii="Times New Roman" w:eastAsia="Times New Roman" w:hAnsi="Times New Roman" w:cs="Times New Roman"/>
          <w:sz w:val="24"/>
          <w:szCs w:val="24"/>
          <w:lang w:eastAsia="lv-LV"/>
        </w:rPr>
      </w:pPr>
      <w:r w:rsidRPr="000E2D02">
        <w:rPr>
          <w:noProof/>
          <w:sz w:val="24"/>
          <w:szCs w:val="24"/>
          <w:lang w:eastAsia="lv-LV"/>
        </w:rPr>
        <w:drawing>
          <wp:inline distT="0" distB="0" distL="0" distR="0">
            <wp:extent cx="3614420" cy="2182495"/>
            <wp:effectExtent l="0" t="0" r="5080" b="825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4420" cy="2182495"/>
                    </a:xfrm>
                    <a:prstGeom prst="rect">
                      <a:avLst/>
                    </a:prstGeom>
                    <a:noFill/>
                    <a:ln>
                      <a:noFill/>
                    </a:ln>
                  </pic:spPr>
                </pic:pic>
              </a:graphicData>
            </a:graphic>
          </wp:inline>
        </w:drawing>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383BC5">
      <w:pPr>
        <w:widowControl w:val="0"/>
        <w:spacing w:after="0" w:line="240" w:lineRule="auto"/>
        <w:jc w:val="center"/>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Alianses pret cilvēku tirdzniecību</w:t>
      </w:r>
      <w:r w:rsidRPr="006B796E">
        <w:rPr>
          <w:rFonts w:ascii="Times New Roman" w:eastAsia="Times New Roman" w:hAnsi="Times New Roman" w:cs="Times New Roman"/>
          <w:sz w:val="24"/>
          <w:szCs w:val="24"/>
          <w:lang w:eastAsia="lv-LV"/>
        </w:rPr>
        <w:t xml:space="preserve"> 2017. gada konference par bērnu tirdzniecību un bērna labākajām interesēm</w:t>
      </w:r>
    </w:p>
    <w:p w:rsidR="00383BC5" w:rsidRDefault="00383BC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r w:rsidRPr="002F1BEE">
        <w:rPr>
          <w:rFonts w:ascii="Times New Roman" w:eastAsia="Times New Roman" w:hAnsi="Times New Roman" w:cs="Times New Roman"/>
          <w:b/>
          <w:bCs/>
          <w:noProof/>
          <w:sz w:val="24"/>
          <w:szCs w:val="24"/>
          <w:lang w:eastAsia="lv-LV"/>
        </w:rPr>
        <w:lastRenderedPageBreak/>
        <w:drawing>
          <wp:inline distT="0" distB="0" distL="0" distR="0">
            <wp:extent cx="5760085" cy="7709112"/>
            <wp:effectExtent l="0" t="0" r="0" b="635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85" cy="7709112"/>
                    </a:xfrm>
                    <a:prstGeom prst="rect">
                      <a:avLst/>
                    </a:prstGeom>
                    <a:noFill/>
                    <a:ln>
                      <a:noFill/>
                    </a:ln>
                  </pic:spPr>
                </pic:pic>
              </a:graphicData>
            </a:graphic>
          </wp:inline>
        </w:drawing>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p>
    <w:p w:rsidR="00383BC5" w:rsidRDefault="00383BC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Lai pieņemtu lēmumus, kuriem ir ilgstošas sekas (visaptveroši, droši un ilgtspējīgi jeb “pastāvīgi” risinājumi), iestādēm un citiem par bērnu atbildīgajiem ir nepieciešama informācija par bērna pagātni, kā arī par iespējamām sekām nākotnē, ko radīs to pieņemtie lēmumi. Papildus svarīgas informācijas vākšanai tām ir nepieciešams sniegt bērnam pamata aprūpi un drošu izmitināšanu un nodrošināt, ka cilvēku tirdzniecībā cietušajam bērnam tiek piešķirts pienācīgs juridiskais statuss.</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4.1. Tūlītēji pasākumi, lai nodrošinātu, ka bērns ir drošībā, aizsargāts un tam ir pienācīgs juridiskais statuss</w:t>
      </w:r>
    </w:p>
    <w:p w:rsidR="00383BC5" w:rsidRDefault="00383BC5"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Ikviens cilvēku tirdzniecībā cietušais var potenciāli sniegt informāciju krimināltiesību sistēmai. Tomēr prioritāte ir ārkārtas palīdzības un aprūpes sniegšana cietušajiem pieaugušajiem un bērniem. Valstu pienākums ir dot cietušajiem laiku un iespēju, lai viņi varētu atlabt no cilvēku tirdzniecībā un ekspluatācijā pieredzētā, pirms prasīt no viņiem grūtu lēmumu pieņemšanu (piemēram, vai liecināt pret noziedzniekiem un vai atgriezties mītnes valstī).</w:t>
      </w:r>
      <w:r w:rsidR="00383BC5">
        <w:rPr>
          <w:rStyle w:val="Vresatsauce"/>
          <w:rFonts w:ascii="Times New Roman" w:eastAsia="Times New Roman" w:hAnsi="Times New Roman" w:cs="Times New Roman"/>
          <w:sz w:val="24"/>
          <w:szCs w:val="24"/>
          <w:lang w:eastAsia="lv-LV"/>
        </w:rPr>
        <w:footnoteReference w:customMarkFollows="1" w:id="51"/>
        <w:t>50</w:t>
      </w:r>
      <w:r w:rsidRPr="006B796E">
        <w:rPr>
          <w:rFonts w:ascii="Times New Roman" w:eastAsia="Times New Roman" w:hAnsi="Times New Roman" w:cs="Times New Roman"/>
          <w:sz w:val="24"/>
          <w:szCs w:val="24"/>
          <w:lang w:eastAsia="lv-LV"/>
        </w:rPr>
        <w:t> Daudzas EDSO dalībvalstis ir vienojušās, ka cilvēku tirdzniecībā cietušajiem pieaugušajiem un bērniem jādod šāds “nogaidīšanas periods”.</w:t>
      </w:r>
    </w:p>
    <w:p w:rsidR="00383BC5" w:rsidRPr="006B796E" w:rsidRDefault="00383BC5" w:rsidP="006B796E">
      <w:pPr>
        <w:widowControl w:val="0"/>
        <w:spacing w:after="0" w:line="240" w:lineRule="auto"/>
        <w:jc w:val="both"/>
        <w:rPr>
          <w:rFonts w:ascii="Times New Roman" w:eastAsia="Times New Roman" w:hAnsi="Times New Roman" w:cs="Times New Roman"/>
          <w:sz w:val="24"/>
          <w:szCs w:val="20"/>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4.1.1. Nodrošināt, ka sākotnējais identificēšanas process tiek veikts rūpīgā veidā</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Lai arī šis pētījums nav vērsts uz sākotnējo identificēšanas procesu, ir skaidrs – ja jau no paša sākuma cilvēku tirdzniecībā vai ekspluatācijā cietušā bērna identificēšanas procedūra netiks veikta rūpīgi vai tā netiks ievērota, tas lielā mērā nelabvēlīgi ietekmēs bērna drošības nodrošināšanu turpmākā posmā.</w:t>
      </w:r>
      <w:r w:rsidR="00760158">
        <w:rPr>
          <w:rStyle w:val="Vresatsauce"/>
          <w:rFonts w:ascii="Times New Roman" w:eastAsia="Times New Roman" w:hAnsi="Times New Roman" w:cs="Times New Roman"/>
          <w:sz w:val="24"/>
          <w:szCs w:val="24"/>
          <w:lang w:eastAsia="lv-LV"/>
        </w:rPr>
        <w:footnoteReference w:customMarkFollows="1" w:id="52"/>
        <w:t>51</w:t>
      </w:r>
      <w:r w:rsidRPr="006B796E">
        <w:rPr>
          <w:rFonts w:ascii="Times New Roman" w:eastAsia="Times New Roman" w:hAnsi="Times New Roman" w:cs="Times New Roman"/>
          <w:sz w:val="24"/>
          <w:szCs w:val="24"/>
          <w:lang w:eastAsia="lv-LV"/>
        </w:rPr>
        <w:t> Tas jo īpaši ir gadījumā, ja noziegumā cietis bērns netiek identificēts kā nozieguma upuris. Pilnīga identifikācija nozīmē to, ka tiek konstatētas daudz sīkākas ziņas par cilvēku tirdzniecības nodarījumu, proti, bērna identitāte, no kurienes bērns ir nācis, kurš par viņu ir gādājis (ja vispār kāds to ir darījis), kur atrodas viņa vecāki (viens vai abi) vai persona, kurai ir vecāku atbildība, utt. Tas tostarp nozīmē, ka ir jāatrod, kur atrodas bērna ģimene, un, iespējams, jāsazinās ar bērna vecākiem (ja vien bērns nav bēglis un viņa vecāki nav palikuši savā izcelsmes valstī vai ja vien nepastāv iemesls aizdomām, ka vecāki varētu būt iesaistīti bērna tirdzniecībā).</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0"/>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4.1.2. Praktiski apsvērumi saistībā ar to bērnu vajadzībām, kas ir cilvēku tirdzniecības upuri</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kas ir cilvēku tirdzniecības upuri, vajadzības acīmredzami ir atkarīgas no bērna dzimuma, vecuma, brieduma, kā arī ekspluatācijā pavadītā laika, ekspluatācijas veida un bērnam nodarītā konkrētā kaitējuma.</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Lai noteiktu, kādas ir šīs vajadzības, parastā procedūra ir “vajadzību novērtēšana”, ko veic, tiklīdz tas ir reāli izdarāms pēc bērna atbrīvošanas no cilvēku tirgotāju kontroles vai pēc tam, </w:t>
      </w:r>
      <w:r w:rsidRPr="006B796E">
        <w:rPr>
          <w:rFonts w:ascii="Times New Roman" w:eastAsia="Times New Roman" w:hAnsi="Times New Roman" w:cs="Times New Roman"/>
          <w:sz w:val="24"/>
          <w:szCs w:val="24"/>
          <w:lang w:eastAsia="lv-LV"/>
        </w:rPr>
        <w:lastRenderedPageBreak/>
        <w:t>kad viņš ir identificēts kā cilvēku tirdzniecības upuris. Tas jādara vispirms, un tikai pēc tam jāpievēršas noziegumam, kas veikts pret bērnu, vai bērna iztaujāšanai, lai saņemtu informāciju, kas varētu palīdzēt identificēt un apcietināt par bērnu tirdzniecību atbildīgos noziedzniekus. Lai sāktu vadīt lietu un lai nodotu cietušo bērnu dažādiem dienestiem, kas viņam varētu būt nepieciešami vai kuru palīdzību viņš ir tiesīgs saņemt, vispirms ir jāizvērtē cietušā vajadzības. Lietu pārvaldība ir process, kurā tiek sistematizēta palīdzības sniegšana personām (pieaugušajiem vai bērniem) no palīdzības pasākumu sniegšanas sākuma līdz beigām un veikta attiecīgās personas uzraudzība. Laba prakse nosaka, ka galvenajai organizācijai, kas atbild par cilvēku tirdzniecībā cietušajiem bērniem, ir jābūt izstrādātai lietu pārvaldības sistēmai, lai personāls varētu identificēt bērnu un viņam izsekot un lai tiktu apmierinātas bērna vajadzības sniegto pakalpojumu kontekstā (un, atgādinot vēlreiz, lai tiktu nodrošināta attiecīgās personas datu konfidencialitāte un pienācīga aizsardzība).</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Izvērtējot bērnu tirdzniecības iespējamā upura vajadzības, obligāti jāizvērtē vieta, kur bērns tiks izvietots pārnakšņot, kā arī vieta, kur viņš uzturēsies vidēju un ilgāku termiņu. Ja bērns ir viens pats vai ja ir aizdomas, ka bērna vecāki ir iesaistīti cilvēku tirdzniecībā vai ekspluatācijā, jāizvērtē arī tas, vai bērnam ir nepieciešams nodrošināt alternatīvo aprūpi (sk. iepriekš 2.4.4. punktu par ANO Pamatnostādnēm par bērnu alternatīvo aprūpi).</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Vienlaikus ar vajadzību izvērtēšanu svarīgi ir nekavējoties novērtēt, kādiem riskiem ir pakļauts bērns, kas ir cilvēku tirdzniecības iespējamais upuris, lai mazinātu šos riskus. Izplatītākais risks ir bērna nonākšana atpakaļ tā paša cilvēku tirgotāja vai viņa sabiedroto kontrolē. Daži apdraudējumi ir visai tieši, piemēram, pa telefonu bērnam tiek dots norādījums iziet ārā no aprūpes iestādes un atgriezties atpakaļ pie cilvēku tirgotāja. Ir arī citi daudz netaustāmāki apdraudējumi, jo īpaši spiediens, ko izjūt jaunieši migranti parādu dēļ (ne tikai pašu parādu, bet arī savu radinieku parādu dēļ), vai arī spiediens, ko rada šķietams garīgais pienākums (piemēram, nigēriešu paraža, tā saucamā “</w:t>
      </w:r>
      <w:r w:rsidRPr="006B796E">
        <w:rPr>
          <w:rFonts w:ascii="Times New Roman" w:eastAsia="Times New Roman" w:hAnsi="Times New Roman" w:cs="Times New Roman"/>
          <w:i/>
          <w:iCs/>
          <w:sz w:val="24"/>
          <w:szCs w:val="24"/>
          <w:lang w:eastAsia="lv-LV"/>
        </w:rPr>
        <w:t>žu-žu</w:t>
      </w:r>
      <w:r w:rsidRPr="006B796E">
        <w:rPr>
          <w:rFonts w:ascii="Times New Roman" w:eastAsia="Times New Roman" w:hAnsi="Times New Roman" w:cs="Times New Roman"/>
          <w:sz w:val="24"/>
          <w:szCs w:val="24"/>
          <w:lang w:eastAsia="lv-LV"/>
        </w:rPr>
        <w:t>”, kad pusaudži un arī pieaugušie veic rituālu solījumu strādāt konkrētu personu labā vai atmaksāt tām ceļojuma izdevumus).</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Tomēr bērns, kas ir cilvēku tirdzniecības upuris, ir pakļauts arī daudziem citiem riskiem, piemēram, vardarbības vai atkārtotas traumatizācijas riskam no pašu to amatpersonu puses, kuru pienākums ir aizsargāt bērnu, jo īpaši tad, ja bērns tiek atkārtoti iztaujāts par savu traumatisko pieredzi. Bērni, kas ievietoti izmitināšanas iestādē vai nu pārnakšņošanai uzreiz pēc viņu identificēšanas, vai palikšanai uz ilgāku laiku, arī ir pakļauti vardarbības riskam no citu bērnu vai pat no personāla puses, tostarp seksuālai vardarbībai. Tāpēc riski ir jāizvērtē ikreiz, kad bērns, kas ir cilvēku tirdzniecības upuris, tiek pārvietots uz jaunu vidi. Par katru izvērtējumu un katra riska mazināšanas pasākumiem ir jāveic pieraksti.</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4.1.3. Lēmumi par bērna ievietošanu alternatīvās aprūpes iestādē</w:t>
      </w:r>
    </w:p>
    <w:p w:rsidR="00760158" w:rsidRDefault="00760158"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Pamatprincipi</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Ja pastāv aizdomas, ka bērns ir kļuvis par cilvēku tirdzniecības upuri vai tiek ekspluatēts, dzīvojot kopā ar vecākiem vai ģimenes locekļiem vai esot to pavadībā, bērnu aizsardzības amatpersonām ir jāizvērtē, vai bērna interesēs ir izņemt viņu no ģimenes mājas un ievietot alternatīvās aprūpes iestādē. Šādos gadījumos piemēro ANO Pamatnostādnēs par bērnu alternatīvo aprūpi noteiktos standartus. Tie nosaka, ka “bērna izņemšana no ģimenes jāuzskata par galēju līdzekli, un tas, ja vien iespējams, jāizmanto kā pagaidu pasākums uz visīsāko iespējamo laiku” (14. pants).</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ANO Pamatnostādnes piemēro arī tad, ja iestādes uzskata, ka bērni, kas kļuvuši par cilvēku </w:t>
      </w:r>
      <w:r w:rsidRPr="006B796E">
        <w:rPr>
          <w:rFonts w:ascii="Times New Roman" w:eastAsia="Times New Roman" w:hAnsi="Times New Roman" w:cs="Times New Roman"/>
          <w:sz w:val="24"/>
          <w:szCs w:val="24"/>
          <w:lang w:eastAsia="lv-LV"/>
        </w:rPr>
        <w:lastRenderedPageBreak/>
        <w:t>tirdzniecības upuriem ārvalstīs un ir repatriēti, pēc atgriešanās mītnes valstī ir jāievieto alternatīvās aprūpes iestādē (šīs situācijas ilustrēšanai 7.2. sadaļā turpmāk tekstā ir aplūkots Bulgārijas piemērs). Ja ir pieņemts lēmums nošķirt bērnu no viņa vecākiem, Pamatnostādnēs noteikts, ka “lēmumos par alternatīvo aprūpi vienmēr jāņem vērā tas, ka parasti bērnu vēlams paturēt pēc iespējas tuvāk tā pierastajai dzīvesvietai, lai atvieglotu sakarus un bērna potenciālo atkalapvienošanos ar ģimeni un lai bērna izglītība, kultūras un sociālā dzīve tiktu pēc iespējas mazāk traucēta” (11. pants).</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Izvērtējums, vai bērns, kas ir cilvēku tirdzniecības upuris, jāievieto alternatīvās aprūpes iestādē</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Gadījumā, ja bērns, kas ir cilvēku tirdzniecības upuris, joprojām dzīvo ar vienu vai abiem vecākiem (vai arī ar savu aizbildni vai ierasto aprūpētāju), ir jāņem vērā citu ģimenes locekļu intereses, kā arī jebkādi pret bērnu izdarītie noziegumi vai vardarbība. Šajā posmā ir nepieciešams tāds risinājums, kas būtu bērna interesēs un iespēju robežās novērstu nemotivētu pārvietošanu, lai bērns paliktu ar savu ģimeni. ANO Pamatnostādnēs ieteikts, ka šāds vērtējums</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“jāveic bez kavēšanās, pienācīgi un rūpīgi. Tajā jāņem vērā bērna tūlītējā drošība un labklājība, kā arī turpmākā aprūpe un attīstība ilgākā laika posmā un jāievēro bērna individuālās un attīstības īpatnības, etniskā izcelsme, kultūras, valodas un reliģiskā piederība, ģimenes un sociālā vide, medicīniskā anamnēze un īpašās vajadzības, ja tādas ir” (58. pants).</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Protokolā, kas izstrādāts vienā pašvaldības teritorijā ASV (Losandželosas apgabals, Tiesībaizsardzības ātrās reaģēšanas dienesta Protokols par komerciālos nolūkos seksuāli izmantotiem bērniem [</w:t>
      </w:r>
      <w:r w:rsidRPr="006B796E">
        <w:rPr>
          <w:rFonts w:ascii="Times New Roman" w:eastAsia="Times New Roman" w:hAnsi="Times New Roman" w:cs="Times New Roman"/>
          <w:i/>
          <w:iCs/>
          <w:sz w:val="24"/>
          <w:szCs w:val="24"/>
          <w:lang w:eastAsia="lv-LV"/>
        </w:rPr>
        <w:t>The Law Enforcement First Responder Protocol for Commercially Sexually Exploited Children</w:t>
      </w:r>
      <w:r w:rsidRPr="006B796E">
        <w:rPr>
          <w:rFonts w:ascii="Times New Roman" w:eastAsia="Times New Roman" w:hAnsi="Times New Roman" w:cs="Times New Roman"/>
          <w:sz w:val="24"/>
          <w:szCs w:val="24"/>
          <w:lang w:eastAsia="lv-LV"/>
        </w:rPr>
        <w:t xml:space="preserve">]), atzīmēts, ka daudzos gadījumos bērniem, par kuriem ir aizdomas, ka viņi ir pakļauti seksuālai izmantošanai (tostarp tiem, kas ir kļuvuši par cilvēku tirdzniecības upuriem šajā nolūkā), viņu identificēšanas brīdī nav “dzīvošanai piemērotas mājas vai vietas”. Šajā apgabalā attiecīgi tika noslēgts līgums ar audžuģimenes māju, kur nodrošina ārkārtas izmitināšanu jebkurā diennakts laikā septiņas dienas nedēļā un kurā uz laiku līdz 72 stundām var sākotnēji izmitināt ne vairāk par sešām meitenēm: “Šā pakalpojuma sniedzēji ir īpaši apmācīti saistībā ar </w:t>
      </w:r>
      <w:r w:rsidRPr="006B796E">
        <w:rPr>
          <w:rFonts w:ascii="Times New Roman" w:eastAsia="Times New Roman" w:hAnsi="Times New Roman" w:cs="Times New Roman"/>
          <w:i/>
          <w:iCs/>
          <w:sz w:val="24"/>
          <w:szCs w:val="24"/>
          <w:lang w:eastAsia="lv-LV"/>
        </w:rPr>
        <w:t>CSEC</w:t>
      </w:r>
      <w:r w:rsidRPr="006B796E">
        <w:rPr>
          <w:rFonts w:ascii="Times New Roman" w:eastAsia="Times New Roman" w:hAnsi="Times New Roman" w:cs="Times New Roman"/>
          <w:sz w:val="24"/>
          <w:szCs w:val="24"/>
          <w:lang w:eastAsia="lv-LV"/>
        </w:rPr>
        <w:t xml:space="preserve"> [komerciālos nolūkos seksuāli izmantotiem bērniem] un viņu vajadzībām un aktīvi piedalās </w:t>
      </w:r>
      <w:r w:rsidRPr="006B796E">
        <w:rPr>
          <w:rFonts w:ascii="Times New Roman" w:eastAsia="Times New Roman" w:hAnsi="Times New Roman" w:cs="Times New Roman"/>
          <w:i/>
          <w:iCs/>
          <w:sz w:val="24"/>
          <w:szCs w:val="24"/>
          <w:lang w:eastAsia="lv-LV"/>
        </w:rPr>
        <w:t>MDT</w:t>
      </w:r>
      <w:r w:rsidRPr="006B796E">
        <w:rPr>
          <w:rFonts w:ascii="Times New Roman" w:eastAsia="Times New Roman" w:hAnsi="Times New Roman" w:cs="Times New Roman"/>
          <w:sz w:val="24"/>
          <w:szCs w:val="24"/>
          <w:lang w:eastAsia="lv-LV"/>
        </w:rPr>
        <w:t xml:space="preserve"> [daudznozaru grupā], kamēr bērns dzīvo šajā mājā. Šajās mājās ir pieejams personāls, kas nodrošina uzraudzību visu diennakti, kamēr </w:t>
      </w:r>
      <w:r w:rsidRPr="006B796E">
        <w:rPr>
          <w:rFonts w:ascii="Times New Roman" w:eastAsia="Times New Roman" w:hAnsi="Times New Roman" w:cs="Times New Roman"/>
          <w:i/>
          <w:iCs/>
          <w:sz w:val="24"/>
          <w:szCs w:val="24"/>
          <w:lang w:eastAsia="lv-LV"/>
        </w:rPr>
        <w:t>CSEC</w:t>
      </w:r>
      <w:r w:rsidRPr="006B796E">
        <w:rPr>
          <w:rFonts w:ascii="Times New Roman" w:eastAsia="Times New Roman" w:hAnsi="Times New Roman" w:cs="Times New Roman"/>
          <w:sz w:val="24"/>
          <w:szCs w:val="24"/>
          <w:lang w:eastAsia="lv-LV"/>
        </w:rPr>
        <w:t xml:space="preserve"> tur atrodas, un, ja nepieciešams, nodrošina papildu uzraudzību.”</w:t>
      </w:r>
      <w:r w:rsidR="00760158">
        <w:rPr>
          <w:rStyle w:val="Vresatsauce"/>
          <w:rFonts w:ascii="Times New Roman" w:eastAsia="Times New Roman" w:hAnsi="Times New Roman" w:cs="Times New Roman"/>
          <w:sz w:val="24"/>
          <w:szCs w:val="24"/>
          <w:lang w:eastAsia="lv-LV"/>
        </w:rPr>
        <w:footnoteReference w:customMarkFollows="1" w:id="53"/>
        <w:t>52</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Lēmumi par nepavadītiem bērniem, kas ir cilvēku tirdzniecības upuri</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Ja izrādās, ka bērns ir bez pavadoņa, kad tiek konstatēts, ka viņš varētu būt cilvēku tirdzniecības upuris, ANO Pamatnostādnēs noteiktais “nepieciešamības princips” nozīmē, ka bērnam ir nekavējoties jānodrošina alternatīvā aprūpe. Tas nozīmē, ka ir jābūt vietai, kur bērnu var ievietot uz visu diennakti, jo īpaši īslaicīgi, bet, iespējams, arī uz ilgāku laiku. Šādos gadījumos iestādei, kas atbild par lēmuma pieņemšanu, kur izvietot bērnu, ir jānovērtē riski, kuriem bērns tiek pakļauts, un tas, kā tie ietekmē bērna izmitināšanu. Faktiski tas ir “bērna interešu novērtējums”, pat ja daudzās valstīs to uzskata par “bērna aizsardzības novērtējumu”. Tas nozīmē, ka ir jāveic pieraksti, kādi faktori ir ņemti vērā, lemjot par to, kur izmitināt bērnu, un kādi īpaši pasākumi ir jāveic, lai bērnu pasargātu no identificētajiem riskiem.</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Bērnu, kas ir cilvēku tirdzniecības upuri, pienācīga izmitināšana “krīzes” centros vai alternatīvās aprūpes iestādēs</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kas ir cilvēku tirdzniecības upuri, pienācīga izmitināšana vidēji ilgu vai ilgāku laiku ir atkarīga no bērna vecuma un brieduma, kā arī no tā, kādā apmērā bērns ir atlabis no cilvēku tirdzniecības radītā kaitējuma vai traumas.</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Atsaucoties uz bērniem, kas ir cilvēku tirdzniecības upuri, EDSO Cilvēku tirdzniecības apkarošanas īpašā pārstāvja un koordinatora birojs ir atzīmējis:</w:t>
      </w:r>
    </w:p>
    <w:p w:rsidR="00760158" w:rsidRPr="006B796E"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“Attiecībā uz aizturēšanu bērni nav jāievieto policijas kamerās vai citās aizturēšanas telpās, kas saistītas ar tiesībaizsardzību. Var būt nepieciešamība bērnus turēt kādā pienācīgā, īpašā vietā viņu pašu drošības labad bērnu labklājības/aizsardzības sistēmas kontekstā.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uzskata, ka “nekādos apstākļos bērni nav jāievieto nekādā aizturēšanas iestādē, tostarp policijas kamerā, cietumā vai pat īpašajos bērnu aizturēšanas centros”.</w:t>
      </w:r>
      <w:r w:rsidR="00760158">
        <w:rPr>
          <w:rStyle w:val="Vresatsauce"/>
          <w:rFonts w:ascii="Times New Roman" w:eastAsia="Times New Roman" w:hAnsi="Times New Roman" w:cs="Times New Roman"/>
          <w:sz w:val="24"/>
          <w:szCs w:val="24"/>
          <w:lang w:eastAsia="lv-LV"/>
        </w:rPr>
        <w:footnoteReference w:customMarkFollows="1" w:id="54"/>
        <w:t>53</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Zviedrijas 2016. gada nacionālajā mehānismā cietušo nosūtīšanai šādi ir aprakstīts, kas ir nepieciešams: “Bērni, kas ir iespējamie [t. i., domājamie] cilvēku tirdzniecības upuri, jāizmitina vietā, kur ir pieejama augsta līmeņa aprūpe, ir ciešas personīgās attiecības un aprūpe tiek veikta, apzinoties traumu.”</w:t>
      </w:r>
      <w:r w:rsidR="000C6DBB">
        <w:rPr>
          <w:rStyle w:val="Vresatsauce"/>
          <w:rFonts w:ascii="Times New Roman" w:eastAsia="Times New Roman" w:hAnsi="Times New Roman" w:cs="Times New Roman"/>
          <w:sz w:val="24"/>
          <w:szCs w:val="24"/>
          <w:lang w:eastAsia="lv-LV"/>
        </w:rPr>
        <w:footnoteReference w:customMarkFollows="1" w:id="55"/>
        <w:t>54</w:t>
      </w:r>
      <w:r w:rsidRPr="006B796E">
        <w:rPr>
          <w:rFonts w:ascii="Times New Roman" w:eastAsia="Times New Roman" w:hAnsi="Times New Roman" w:cs="Times New Roman"/>
          <w:sz w:val="24"/>
          <w:szCs w:val="24"/>
          <w:lang w:eastAsia="lv-LV"/>
        </w:rPr>
        <w:t> Kaimiņvalstī Norvēģijā izmanto citu pieeju, proti, maza daļa bērnu, kas ir cilvēku tirdzniecības upuri, tiek ievietoti aizturēšanas iestādē, lai viņi nepamestu aprūpes iestādi un neatgrieztos cilvēku tirgotāja kontrolē vai ietekmē. Turpmāk 6.4. sadaļā ir sīkāk aplūkoti jautājumi, ko raisa šī pieeja.</w:t>
      </w:r>
    </w:p>
    <w:p w:rsidR="00760158" w:rsidRDefault="0076015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Bulgārijā ir daudz cilvēku tirdzniecībā cietušu bērnu, kas identificēti citviet Eiropā un kam pirms viņu repatriēšanas ir noteikti bērnu aizsardzības pasākumi. Pēc atgriešanās Bulgārijā iestādes parasti tos nosūta uz izmitināšanas centru (dēvēts arī par “krīzes centru”). Bulgārijas tiesību aktos krīzes centri ir definēti kā sociālo pakalpojumu kopums, tostarp sociālais un psiholoģiskais atbalsts, krīzes intervence un juridiskās konsultācijas. Bērnu aizsardzības valsts aģentūra ir izdevusi Metodoloģiskās pamatnostādnes par krīzes centru kā sociālā dienesta darbību, kurā sīki noteiktas šādu centru darbībai piemērojamās prasības un minimālie kvalitātes standarti.</w:t>
      </w:r>
    </w:p>
    <w:p w:rsidR="000C6DBB" w:rsidRPr="006B796E"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4.2. Atbildība par bērnu aizsardzību, kamēr viņi atrodas alternatīvās aprūpes iestādē vai valsts dienestu uzraudzībā</w:t>
      </w:r>
    </w:p>
    <w:p w:rsidR="000C6DBB"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Daudzi cilvēku tirdzniecībā cietušie bērni ir guvuši traumu, piedzīvojot dažādu veidu vardarbību – seksuālo, fizisko un emocionālo vardarbību. Šādas pieredzes rezultātā viņi var būt fiziski slimi vai arī viņiem var būt psiholoģiskas problēmas. Ir svarīgi saprast viņu vajadzības un uz tām pienācīgi reaģēt. Prioritāte ir arī nodrošināt, ka šie bērni, tiklīdz identificēti, vairs netiek pakļauti turpmākai vardarbībai. Patvēruma vietas un ilgtermiņa izmitināšanas iestādes, kā arī repatriācijas un reintegrācijas programmas, lai arī bez nodoma, tomēr bieži vien dod </w:t>
      </w:r>
      <w:r w:rsidRPr="006B796E">
        <w:rPr>
          <w:rFonts w:ascii="Times New Roman" w:eastAsia="Times New Roman" w:hAnsi="Times New Roman" w:cs="Times New Roman"/>
          <w:sz w:val="24"/>
          <w:szCs w:val="24"/>
          <w:lang w:eastAsia="lv-LV"/>
        </w:rPr>
        <w:lastRenderedPageBreak/>
        <w:t>iespēju bērnus pakļaut turpmākai vardarbībai tieši tad, kad ir svarīgi nodrošināt viņu aizsardzību. Ņemot vērā to, ka teorētiski šie bērni “tiek aizsargāti” vai “atrodas drošībā”, valsts amatpersonas ne pārāk nopietni uztver turpmākas vardarbības risku un attiecīgi neveic atbilstīgas preventīvās darbības, lai pienācīgi pildītu savu rūpības pienākumu.</w:t>
      </w:r>
    </w:p>
    <w:p w:rsidR="000C6DBB" w:rsidRPr="006B796E"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Galveno apdraudējumu rada noziedznieki, kas ir nodarbojušies ar bērna tirdzniecību vai ekspluatāciju; ja viņi vēl joprojām ir brīvībā, viņi dažkārt cenšas atjaunot kontroli pār bērnu. Tomēr ir arī dažādi citi cilvēki, kas varētu rīkoties ļaunprātīgi pret bērnu, piemēram, personāls, kas strādā patvēruma vietā vai aprūpes namā (kuru vada valsts bērnu aizsardzības aģentūra vai pilsoniskās sabiedrības organizācija), citi bērni vai pieaugušie, kas saņem aprūpi šajā pašā vietā (piemēram, kā dažkārt notiek, kad vecākas pusaudzes meitenes tiek ievietotas pieaugušo sieviešu izmitināšanas vietās). Turklāt netieši ir kaitīgas arī dažas pašu iestāžu izmantotās procedūras; jo īpaši tā ir gadījumos, kad cietušo bērnu vai liecinieku pakļauj piespiedu darbībām (piemēram, lai iegūtu pirkstu nospiedumus) vai atkārtoti iztaujā par traumatisko pieredzi. Tādējādi bērnam ir jāizdzīvo šī pieredze nevis vienreiz, bet daudzkārtīgi. Šāda atkārtošana ir amatpersonu neefektivitātes rezultāts, jo viņi nav vienkāršojuši kriminālizmeklēšanas vai imigrācijas procedūras.</w:t>
      </w:r>
    </w:p>
    <w:p w:rsidR="000C6DBB" w:rsidRPr="006B796E"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Daudzas iestādes, kas nonāk tiešā saskarē ar bērniem, jau ir izstrādājušas pienācīgas procedūras, lai pasargātu šos bērnus no turpmāka kaitējuma, jo īpaši organizācijas, kas nodrošina bērnu izmitināšanu. ANO Pamatnostādnēs par bērnu alternatīvo aprūpi ir izklāstīts, kāda ir likumā noteikto organizāciju loma alternatīvās aprūpes iestādēs ievietoto bērnu uzraudzības, drošības, labklājības un attīstības nodrošināšanā, un uzsvērts, ka ir regulāri jāpārskata iestādē organizētās aprūpes atbilstība. Noteikti ir svarīgi, lai katrai likumā noteiktajai aģentūrai vai citai organizācijai, kas ir tiešā saskarē ar bērniem, būtu izstrādāta politika, kas nosaka, kā personālam būtu jārīkojas (ja runa ir par likumā noteiktām aģentūrām) un kādi minimālie standarti būtu jāievieš ikvienā organizācijā, kas nodarbojas ar bērnu aprūpi. Organizācija </w:t>
      </w:r>
      <w:r w:rsidRPr="006B796E">
        <w:rPr>
          <w:rFonts w:ascii="Times New Roman" w:eastAsia="Times New Roman" w:hAnsi="Times New Roman" w:cs="Times New Roman"/>
          <w:i/>
          <w:iCs/>
          <w:sz w:val="24"/>
          <w:szCs w:val="24"/>
          <w:lang w:eastAsia="lv-LV"/>
        </w:rPr>
        <w:t>Keeping Children Safe Coalition</w:t>
      </w:r>
      <w:r w:rsidRPr="006B796E">
        <w:rPr>
          <w:rFonts w:ascii="Times New Roman" w:eastAsia="Times New Roman" w:hAnsi="Times New Roman" w:cs="Times New Roman"/>
          <w:sz w:val="24"/>
          <w:szCs w:val="24"/>
          <w:lang w:eastAsia="lv-LV"/>
        </w:rPr>
        <w:t xml:space="preserve"> ir publicējusi vispārēju ieteikumu, kādas ir atbilstīgas procedūras un metodes.</w:t>
      </w:r>
      <w:r w:rsidR="000C6DBB">
        <w:rPr>
          <w:rStyle w:val="Vresatsauce"/>
          <w:rFonts w:ascii="Times New Roman" w:eastAsia="Times New Roman" w:hAnsi="Times New Roman" w:cs="Times New Roman"/>
          <w:sz w:val="24"/>
          <w:szCs w:val="24"/>
          <w:lang w:eastAsia="lv-LV"/>
        </w:rPr>
        <w:footnoteReference w:customMarkFollows="1" w:id="56"/>
        <w:t>55</w:t>
      </w:r>
      <w:r w:rsidRPr="006B796E">
        <w:rPr>
          <w:rFonts w:ascii="Times New Roman" w:eastAsia="Times New Roman" w:hAnsi="Times New Roman" w:cs="Times New Roman"/>
          <w:sz w:val="24"/>
          <w:szCs w:val="24"/>
          <w:lang w:eastAsia="lv-LV"/>
        </w:rPr>
        <w:t> Ir noteikti 11 minimālie standarti, sākot ar uzrakstītu politiku par bērnu drošības nodrošināšanu. Tajā ietilpst pašnovērtējuma rīks, kas ļauj katrai iestādei izvērtēt savas bērnu aizsardzības politikas atbilstību un tās virzību uz prasīto standartu izpildi.</w:t>
      </w:r>
    </w:p>
    <w:p w:rsidR="000C6DBB" w:rsidRPr="006B796E" w:rsidRDefault="000C6DBB"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2013. gadā tika veikts vispārējs pētījums par atzītu praksi attiecībā uz seksuālā ekspluatācijā un cilvēku tirdzniecībā cietušo bērnu drošu izmitināšanu un alternatīvo aprūpi, kurā tika apkopoti vairāki detalizētākos pētījumos gūti secinājumi.</w:t>
      </w:r>
      <w:r w:rsidR="000C6DBB">
        <w:rPr>
          <w:rStyle w:val="Vresatsauce"/>
          <w:rFonts w:ascii="Times New Roman" w:eastAsia="Times New Roman" w:hAnsi="Times New Roman" w:cs="Times New Roman"/>
          <w:sz w:val="24"/>
          <w:szCs w:val="24"/>
          <w:lang w:eastAsia="lv-LV"/>
        </w:rPr>
        <w:footnoteReference w:customMarkFollows="1" w:id="57"/>
        <w:t>56</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“Jaunieši, kas iesaistīti seksuālā izmantošanā visā Eiropā, ir (..) norādījuši, ka ir bijis svarīgi, ka ir droša vieta, kur palikt, lai izrautos no savu pāridarītāju ietekmes un atsāktu veidot attiecības ar saviem vecākiem.”</w:t>
      </w:r>
      <w:r w:rsidR="000C6DBB">
        <w:rPr>
          <w:rStyle w:val="Vresatsauce"/>
          <w:rFonts w:ascii="Times New Roman" w:eastAsia="Times New Roman" w:hAnsi="Times New Roman" w:cs="Times New Roman"/>
          <w:sz w:val="24"/>
          <w:szCs w:val="24"/>
          <w:lang w:eastAsia="lv-LV"/>
        </w:rPr>
        <w:footnoteReference w:customMarkFollows="1" w:id="58"/>
        <w:t>57</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 xml:space="preserve">“Galvenais apsvērums ir saistīts ar to, kur atrodas ģimene. Ja bērni jebkādu iemeslu dēļ nevar </w:t>
      </w:r>
      <w:r w:rsidRPr="006B796E">
        <w:rPr>
          <w:rFonts w:ascii="Times New Roman" w:eastAsia="Times New Roman" w:hAnsi="Times New Roman" w:cs="Times New Roman"/>
          <w:sz w:val="24"/>
          <w:szCs w:val="24"/>
          <w:lang w:eastAsia="lv-LV"/>
        </w:rPr>
        <w:lastRenderedPageBreak/>
        <w:t>atgriezties mājās, viņiem ir tiesības būt savu ģimenes locekļu tuvumā, un tas joprojām var būt bērna interesēs. Šāda saskare ar vecākiem un ģimenes locekļiem jāveicina un jāmotivē.”</w:t>
      </w:r>
      <w:r w:rsidR="000C6DBB">
        <w:rPr>
          <w:rStyle w:val="Vresatsauce"/>
          <w:rFonts w:ascii="Times New Roman" w:eastAsia="Times New Roman" w:hAnsi="Times New Roman" w:cs="Times New Roman"/>
          <w:sz w:val="24"/>
          <w:szCs w:val="24"/>
          <w:lang w:eastAsia="lv-LV"/>
        </w:rPr>
        <w:footnoteReference w:customMarkFollows="1" w:id="59"/>
        <w:t>58</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“Lai arī grūti izmērīt, izpētiet, kuri punkti ir svarīgi jaunieša un viņa aprūpētāja attiecību nozīmīgumam (..). Uzticības pilnas, saskanīgas aprūpētāja un bērna savstarpējās attiecības, visticamāk, ir nozīmīgākais aizsardzības pasākums, ko var īstenot; šīs attiecības var būt ar aizbildni, sociālo darbinieku, aprūpētāju vai citu pieaugušo.”</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“Jāizstrādā, jāpārskata un jāatjaunina katra bērna individuālais drošības pasākumu plāns (..). Drošības un aizsardzības pasākumi regulāri jāpārskata, ņemot vērā konkrētajā brīdī pastāvošos riskus.”</w:t>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“Ja bērni ir pieredzējuši pārmērīgu kontroli un ekspluatētāju varu, aprūpētājiem jāuzmanās, lai neatdarinātu šīs varas un kontroles struktūras; viņiem jānodrošina, ka bērniem ir dota izvēle un ka viņi ir iesaistīti lēmumu pieņemšanā, lai viņi varētu attīstīt neatkarību turpmākajā dzīvē. Ikvienam bērnam pilnībā jāizskaidro jebkādi piemērotie ierobežojumi, sniedzot skaidru pamatojumu un skaidrus lietošanas norādījumus, lai nodrošinātu, ka šie noteikumi ir atbilstīgi katram indivīdam un nepārkāpj citu tiesības.”</w:t>
      </w:r>
    </w:p>
    <w:p w:rsidR="000C6DBB" w:rsidRPr="006B796E"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4.3. Atbilstīgu pakalpojumu un palīdzības pieejamība</w:t>
      </w:r>
    </w:p>
    <w:p w:rsidR="000C6DBB"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Iepriekš 3. nodaļā aprakstītais vienas pieturas modelis ir viens no veidiem, kā cilvēku tirdzniecībā cietušajam bērnam nodrošināt piekļuvi visiem viņam nepieciešamajiem pakalpojumiem vienviet. Dažas EDSO dalībvalstis, kurās ir izveidoti izmitināšanas centri bērnu tirdzniecības iespējamajiem upuriem, nodrošina arī to, ka bērniem ir tieši pieejami attiecīgie speciālisti. Tas tiek darīts, nodrošinot šo speciālistu pieejamību bērnu izmitināšanas vietās. Piemēram, kā ziņojusi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Beļģijā 2002. gadā dibinātajā Esperanto centrā 2017. gadā ir vieta 15 cietušajiem bērniem. Tā arī norādījusi, ka šajā centrā strādā “21 pastāvīgais darbinieks, tostarp 13 izglītotāji, kriminologs, bērnu psihologs un psihomotorikas terapeits</w:t>
      </w:r>
      <w:r w:rsidR="000C6DBB">
        <w:rPr>
          <w:rStyle w:val="Vresatsauce"/>
          <w:rFonts w:ascii="Times New Roman" w:eastAsia="Times New Roman" w:hAnsi="Times New Roman" w:cs="Times New Roman"/>
          <w:sz w:val="24"/>
          <w:szCs w:val="24"/>
          <w:lang w:eastAsia="lv-LV"/>
        </w:rPr>
        <w:footnoteReference w:customMarkFollows="1" w:id="60"/>
        <w:t>59</w:t>
      </w:r>
      <w:r w:rsidRPr="006B796E">
        <w:rPr>
          <w:rFonts w:ascii="Times New Roman" w:eastAsia="Times New Roman" w:hAnsi="Times New Roman" w:cs="Times New Roman"/>
          <w:sz w:val="24"/>
          <w:szCs w:val="24"/>
          <w:lang w:eastAsia="lv-LV"/>
        </w:rPr>
        <w:t>, kā arī pieci praktikanti. Patvēruma vieta sastāv no telpām, kas pielāgotas bērnu vecumam, vajadzībām un autonomijas pakāpei, proti, vecākiem un autonomākiem bērniem telpa ir aprīkota ar virtuvīti, savukārt mazākiem bērniem ir guļamistabas un kopīga virtuve ar ēdamtelpu. Šajā patvēruma vietā ir arī mācību klase un sporta zāle.”</w:t>
      </w:r>
      <w:r w:rsidR="000C6DBB">
        <w:rPr>
          <w:rStyle w:val="Vresatsauce"/>
          <w:rFonts w:ascii="Times New Roman" w:eastAsia="Times New Roman" w:hAnsi="Times New Roman" w:cs="Times New Roman"/>
          <w:sz w:val="24"/>
          <w:szCs w:val="24"/>
          <w:lang w:eastAsia="lv-LV"/>
        </w:rPr>
        <w:footnoteReference w:customMarkFollows="1" w:id="61"/>
        <w:t>60</w:t>
      </w:r>
      <w:r w:rsidRPr="006B796E">
        <w:rPr>
          <w:rFonts w:ascii="Times New Roman" w:eastAsia="Times New Roman" w:hAnsi="Times New Roman" w:cs="Times New Roman"/>
          <w:sz w:val="24"/>
          <w:szCs w:val="24"/>
          <w:lang w:eastAsia="lv-LV"/>
        </w:rPr>
        <w:t> Bērni, kas bija ievietoti šajā centrā, bija norādījuši, ka drīkstējuši palikt tik ilgi, cik nepieciešams viņu atlabšanai, lai arī par dažiem gadiem bija minēts, ka budžeta ierobežojumu dēļ centrs bijis spiests atteikties no bērniem, kuriem bija nepieciešama aprūpe.</w:t>
      </w:r>
    </w:p>
    <w:p w:rsidR="000C6DBB" w:rsidRPr="006B796E"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4.3.1. Imigrācijas statusa sakārtošana bērniem, kas nav attiecīgās valsts valstspiederīgie</w:t>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Pamatprincipi</w:t>
      </w:r>
    </w:p>
    <w:p w:rsidR="000C6DBB"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EDSO 2003. gada Rīcības plānā bija norādīts “vajadzības gadījumā nodrošināt dokumentu sniegšanu, kas ir pirmais solis, lai noskaidrotu [cilvēku tirdzniecībā] cietušas personas identitāti un statusu galamērķa valstīs, tādējādi nodrošinot iespēju izstrādāt palīdzības iespējas attiecīgajās lietās, piemēram, repatriāciju, vēlams, brīvprātīgu, pagaidu vai pastāvīgās uzturēšanās atļauju un/vai nodarbinātības legalizēšanu.”</w:t>
      </w:r>
      <w:r w:rsidR="000C6DBB">
        <w:rPr>
          <w:rStyle w:val="Vresatsauce"/>
          <w:rFonts w:ascii="Times New Roman" w:eastAsia="Times New Roman" w:hAnsi="Times New Roman" w:cs="Times New Roman"/>
          <w:sz w:val="24"/>
          <w:szCs w:val="24"/>
          <w:lang w:eastAsia="lv-LV"/>
        </w:rPr>
        <w:footnoteReference w:customMarkFollows="1" w:id="62"/>
        <w:t>61</w:t>
      </w:r>
    </w:p>
    <w:p w:rsidR="000C6DBB" w:rsidRDefault="000C6DB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Saskaņā ar cilvēktiesību pamatprincipiem, kas jāievēro, atpakaļnosūtot cilvēku tirdzniecības upurus, “galamērķa valstīm jānodrošina, ka cietušajiem bērniem, kas nav šīs valsts valstspiederīgie vai pastāvīgie iedzīvotāji, tiek automātiski piešķirta pagaidu uzturēšanās atļauja, kas dod viņiem tiesības likumīgi atrasties valstī līdz brīdim, kad ir veikts bērna interešu novērtējums un rasts pastāvīgs risinājums”.</w:t>
      </w:r>
      <w:r w:rsidR="00DC7F10">
        <w:rPr>
          <w:rStyle w:val="Vresatsauce"/>
          <w:rFonts w:ascii="Times New Roman" w:eastAsia="Times New Roman" w:hAnsi="Times New Roman" w:cs="Times New Roman"/>
          <w:sz w:val="24"/>
          <w:szCs w:val="24"/>
          <w:lang w:eastAsia="lv-LV"/>
        </w:rPr>
        <w:footnoteReference w:customMarkFollows="1" w:id="63"/>
        <w:t>62</w:t>
      </w:r>
      <w:r w:rsidRPr="006B796E">
        <w:rPr>
          <w:rFonts w:ascii="Times New Roman" w:eastAsia="Times New Roman" w:hAnsi="Times New Roman" w:cs="Times New Roman"/>
          <w:sz w:val="24"/>
          <w:szCs w:val="24"/>
          <w:lang w:eastAsia="lv-LV"/>
        </w:rPr>
        <w:t> Varšavas konvencijā noteikts (14. panta 1. punktā), ka “ikviena Puse upuriem izsniedz atjaunojamu uzturēšanās atļauju vienā vai otrā, vai arī abās šādās situācijās:</w:t>
      </w:r>
    </w:p>
    <w:p w:rsidR="00471650" w:rsidRPr="006B796E" w:rsidRDefault="0047165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 kompetentā iestāde uzskata, ka viņu uzturēšanās valstī ir nepieciešama viņu personīgā stāvokļa dēļ;</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 kompetentā iestāde uzskata, ka viņu uzturēšanās valstī ir nepieciešama sadarbībai ar kompetentajām iestādēm izmeklēšanā un krimināllietas iztiesāšanā.”</w:t>
      </w:r>
    </w:p>
    <w:p w:rsidR="00DC7F10" w:rsidRDefault="00DC7F1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Īpaši attiecībā uz bērniem tajā ir noteikts (14. panta 2. punkts), ka “uzturēšanās atļauju upuriem – bērniem, ja tā likumīgi nepieciešama, izsniedz bērna vislabākajās interesēs un, ja nepieciešams, atjauno saskaņā ar tiem pašiem nosacījumiem”.</w:t>
      </w:r>
    </w:p>
    <w:p w:rsidR="00DC7F10" w:rsidRDefault="00DC7F1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Lēmumus par imigrācijas statusu vai uzturēšanās atļaujām ir skaidri nepieciešams pieņemt divreiz – pirmo reizi, tiklīdz ir identificēts bērns, kura pastāvīgas uzturēšanās statuss ir nesakārtots un par kuru ir aizdomas, ka viņš ir cilvēku tirdzniecības upuris; otro reizi, tiklīdz iestādes ir secinājušas, ka konkrētais bērns patiešām ir cilvēku tirdzniecības upuris (neatkarīgi no tā, vai bērns piedalās vai nepiedalās cilvēku tirgotāja apsūdzībā), un bērna interešu novērtējumā secināts, ka bērnam jāpaliek valstī, kas nav viņa izcelsmes valsts.</w:t>
      </w:r>
    </w:p>
    <w:p w:rsidR="00DC7F10" w:rsidRPr="006B796E" w:rsidRDefault="00DC7F1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Praktiski piemēri</w:t>
      </w:r>
    </w:p>
    <w:p w:rsidR="00DC7F10" w:rsidRDefault="00DC7F1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Līdzīgi kā pieaugušajiem cilvēku tirdzniecības upuriem, kas identificēti Zviedrijā, arī iespējamajiem cietušajiem bērniem, kuriem nav tiesību uzturēties Zviedrijā, ir tiesības saņemt 30 dienu pagaidu uzturēšanās atļauju atlabšanas un nogaidīšanas nolūkos.</w:t>
      </w:r>
      <w:r w:rsidR="00DC7F10">
        <w:rPr>
          <w:rStyle w:val="Vresatsauce"/>
          <w:rFonts w:ascii="Times New Roman" w:eastAsia="Times New Roman" w:hAnsi="Times New Roman" w:cs="Times New Roman"/>
          <w:sz w:val="24"/>
          <w:szCs w:val="24"/>
          <w:lang w:eastAsia="lv-LV"/>
        </w:rPr>
        <w:footnoteReference w:customMarkFollows="1" w:id="64"/>
        <w:t>63</w:t>
      </w:r>
      <w:r w:rsidRPr="006B796E">
        <w:rPr>
          <w:rFonts w:ascii="Times New Roman" w:eastAsia="Times New Roman" w:hAnsi="Times New Roman" w:cs="Times New Roman"/>
          <w:sz w:val="24"/>
          <w:szCs w:val="24"/>
          <w:lang w:eastAsia="lv-LV"/>
        </w:rPr>
        <w:t> Kad šis laiks ir pagājis, saskaņā ar ziņojumiem gan pieaugušo, gan cietušo bērnu uzturēšanās ir atkarīga no viņu sadarbības ar tiesībsargājošo iestāžu amatpersonām, kuras izmeklē viņu lietu saistībā ar cilvēku tirdzniecību. Kā ziņots, 2015. gadā Zviedrijā ir bijuši 66 bērnu iespējamās tirdzniecības gadījumi. 2016. gadā attiecīgais skaitlis bijis 91.</w:t>
      </w:r>
      <w:r w:rsidR="00DC7F10">
        <w:rPr>
          <w:rStyle w:val="Vresatsauce"/>
          <w:rFonts w:ascii="Times New Roman" w:eastAsia="Times New Roman" w:hAnsi="Times New Roman" w:cs="Times New Roman"/>
          <w:sz w:val="24"/>
          <w:szCs w:val="24"/>
          <w:lang w:eastAsia="lv-LV"/>
        </w:rPr>
        <w:footnoteReference w:customMarkFollows="1" w:id="65"/>
        <w:t>64</w:t>
      </w:r>
      <w:r w:rsidRPr="006B796E">
        <w:rPr>
          <w:rFonts w:ascii="Times New Roman" w:eastAsia="Times New Roman" w:hAnsi="Times New Roman" w:cs="Times New Roman"/>
          <w:sz w:val="24"/>
          <w:szCs w:val="24"/>
          <w:lang w:eastAsia="lv-LV"/>
        </w:rPr>
        <w:t xml:space="preserve"> 2017. gadā Zviedrijas iestādes teikušas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ka 2015. gadā pagaidu uzturēšanās atļaujas tika piešķirtas tikai diviem bērniem lietās, kurās par kriminālizmeklēšanu atbildīgā amatpersona bija norādījusi cilvēku tirdzniecību kā prasības pieteikuma cēloni. 2016. gadā, pamatojoties uz šiem apstākļiem, pagaidu uzturēšanās atļaujas tika piešķirtas trim bērniem.</w:t>
      </w:r>
      <w:r w:rsidR="00DC7F10">
        <w:rPr>
          <w:rStyle w:val="Vresatsauce"/>
          <w:rFonts w:ascii="Times New Roman" w:eastAsia="Times New Roman" w:hAnsi="Times New Roman" w:cs="Times New Roman"/>
          <w:sz w:val="24"/>
          <w:szCs w:val="24"/>
          <w:lang w:eastAsia="lv-LV"/>
        </w:rPr>
        <w:footnoteReference w:customMarkFollows="1" w:id="66"/>
        <w:t>65</w:t>
      </w:r>
      <w:r w:rsidRPr="006B796E">
        <w:rPr>
          <w:rFonts w:ascii="Times New Roman" w:eastAsia="Times New Roman" w:hAnsi="Times New Roman" w:cs="Times New Roman"/>
          <w:sz w:val="24"/>
          <w:szCs w:val="24"/>
          <w:lang w:eastAsia="lv-LV"/>
        </w:rPr>
        <w:t xml:space="preserve"> Viens no iespējamiem skaidrojumiem, kāpēc ir tik lielas atšķirības skaitļos, varētu būt tas, ka vairums bērnu, kas identificēti kā cilvēku tirdzniecības </w:t>
      </w:r>
      <w:r w:rsidRPr="006B796E">
        <w:rPr>
          <w:rFonts w:ascii="Times New Roman" w:eastAsia="Times New Roman" w:hAnsi="Times New Roman" w:cs="Times New Roman"/>
          <w:sz w:val="24"/>
          <w:szCs w:val="24"/>
          <w:lang w:eastAsia="lv-LV"/>
        </w:rPr>
        <w:lastRenderedPageBreak/>
        <w:t>upuri, ir nākuši no citām ES dalībvalstīm un varējuši legāli palikt Zviedrijā bez papildu atļaujas.</w:t>
      </w:r>
    </w:p>
    <w:p w:rsidR="00DC7F10" w:rsidRPr="006B796E" w:rsidRDefault="00DC7F10"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4.3.2. Pagaidu likumīgo aizbildņu iecelšana</w:t>
      </w:r>
    </w:p>
    <w:p w:rsidR="00DC7F10" w:rsidRDefault="00DC7F10"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Pamatprincipi</w:t>
      </w:r>
    </w:p>
    <w:p w:rsidR="00DC7F10" w:rsidRDefault="00DC7F10"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Padomes Konvencijā par cīņu pret cilvēku tirdzniecību ir prasīts, ka, tiklīdz ir konstatēts, ka nepavadīts bērns ir cilvēku tirdzniecības iespējamais upuris, ir jāieceļ likumīgais aizbildnis, organizācija vai iestāde, kas rīkojas šī bērna vislabākajās interesēs.</w:t>
      </w:r>
      <w:r w:rsidR="00DC7F10">
        <w:rPr>
          <w:rStyle w:val="Vresatsauce"/>
          <w:rFonts w:ascii="Times New Roman" w:eastAsia="Times New Roman" w:hAnsi="Times New Roman" w:cs="Times New Roman"/>
          <w:sz w:val="24"/>
          <w:szCs w:val="24"/>
          <w:lang w:eastAsia="lv-LV"/>
        </w:rPr>
        <w:footnoteReference w:customMarkFollows="1" w:id="67"/>
        <w:t>66</w:t>
      </w:r>
      <w:r w:rsidRPr="006B796E">
        <w:rPr>
          <w:rFonts w:ascii="Times New Roman" w:eastAsia="Times New Roman" w:hAnsi="Times New Roman" w:cs="Times New Roman"/>
          <w:sz w:val="24"/>
          <w:szCs w:val="24"/>
          <w:lang w:eastAsia="lv-LV"/>
        </w:rPr>
        <w:t xml:space="preserve"> 2006. gadā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izdeva pārbaudes lapu aizbildņiem – lomas un pienākumi, kas ir vadlīniju daļa par to, kā aizsargāt bērnus, kas ir cilvēku tirdzniecības upuri.</w:t>
      </w:r>
      <w:r w:rsidR="00DC7F10">
        <w:rPr>
          <w:rStyle w:val="Vresatsauce"/>
          <w:rFonts w:ascii="Times New Roman" w:eastAsia="Times New Roman" w:hAnsi="Times New Roman" w:cs="Times New Roman"/>
          <w:sz w:val="24"/>
          <w:szCs w:val="24"/>
          <w:lang w:eastAsia="lv-LV"/>
        </w:rPr>
        <w:footnoteReference w:customMarkFollows="1" w:id="68"/>
        <w:t>67</w:t>
      </w:r>
      <w:r w:rsidRPr="006B796E">
        <w:rPr>
          <w:rFonts w:ascii="Times New Roman" w:eastAsia="Times New Roman" w:hAnsi="Times New Roman" w:cs="Times New Roman"/>
          <w:sz w:val="24"/>
          <w:szCs w:val="24"/>
          <w:lang w:eastAsia="lv-LV"/>
        </w:rPr>
        <w:t> Arī ES Pamattiesību aģentūra (</w:t>
      </w:r>
      <w:r w:rsidRPr="006B796E">
        <w:rPr>
          <w:rFonts w:ascii="Times New Roman" w:eastAsia="Times New Roman" w:hAnsi="Times New Roman" w:cs="Times New Roman"/>
          <w:i/>
          <w:iCs/>
          <w:sz w:val="24"/>
          <w:szCs w:val="24"/>
          <w:lang w:eastAsia="lv-LV"/>
        </w:rPr>
        <w:t>FRA</w:t>
      </w:r>
      <w:r w:rsidRPr="006B796E">
        <w:rPr>
          <w:rFonts w:ascii="Times New Roman" w:eastAsia="Times New Roman" w:hAnsi="Times New Roman" w:cs="Times New Roman"/>
          <w:sz w:val="24"/>
          <w:szCs w:val="24"/>
          <w:lang w:eastAsia="lv-LV"/>
        </w:rPr>
        <w:t>) nesen ir izdevusi rokasgrāmatu par to bērnu aizbildniecību, kas ir cilvēku tirdzniecības upuri.</w:t>
      </w:r>
      <w:r w:rsidR="000C167A">
        <w:rPr>
          <w:rStyle w:val="Vresatsauce"/>
          <w:rFonts w:ascii="Times New Roman" w:eastAsia="Times New Roman" w:hAnsi="Times New Roman" w:cs="Times New Roman"/>
          <w:sz w:val="24"/>
          <w:szCs w:val="24"/>
          <w:lang w:eastAsia="lv-LV"/>
        </w:rPr>
        <w:footnoteReference w:customMarkFollows="1" w:id="69"/>
        <w:t>68</w:t>
      </w:r>
    </w:p>
    <w:p w:rsidR="00DC7F10" w:rsidRDefault="00DC7F10"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Lai arī princips, ka nepavadītiem bērniem jāieceļ pagaidu likumīgais aizbildnis, ir plaši atzīts, tas, kā aizbildniecība tiek organizēta daudzās valstīs, šķiet, grauj šo mērķi – sociālie darbinieki vai administratīvās amatpersonas (piemēram, pašvaldības mēri) tiek iecelti par nomināliem aizbildņiem vairākiem desmitiem bērnu vienlaikus un tādējādi šādā situācijā nespēj izveidot nekāda veida uzticības attiecības ar savā atbildībā esošiem bērniem. Šādos apstākļos viņi nespēj pavadīt cilvēku tirdzniecībā cietušo bērnu visā lēmumu pieņemšanas procesā tā, lai patiesi aizstāvētu katra atsevišķa bērna intereses. Lai arī ir svarīgi, lai kāds spētu pildīt juridisko atbildību (“</w:t>
      </w:r>
      <w:r w:rsidRPr="006B796E">
        <w:rPr>
          <w:rFonts w:ascii="Times New Roman" w:eastAsia="Times New Roman" w:hAnsi="Times New Roman" w:cs="Times New Roman"/>
          <w:i/>
          <w:iCs/>
          <w:sz w:val="24"/>
          <w:szCs w:val="24"/>
          <w:lang w:eastAsia="lv-LV"/>
        </w:rPr>
        <w:t>in loco parentis</w:t>
      </w:r>
      <w:r w:rsidRPr="006B796E">
        <w:rPr>
          <w:rFonts w:ascii="Times New Roman" w:eastAsia="Times New Roman" w:hAnsi="Times New Roman" w:cs="Times New Roman"/>
          <w:sz w:val="24"/>
          <w:szCs w:val="24"/>
          <w:lang w:eastAsia="lv-LV"/>
        </w:rPr>
        <w:t>”) bērna vārdā, ir arī būtiski, lai būtu pieejams viens iecelts pieaugušais, kas pavadītu cilvēku tirdzniecībā cietušo bērnu cauri juridisko un citu procedūru labirintam, ar ko saskaras vairums nepavadīto un nošķirto bērnu. Tas viss ir vēl sarežģītāk, ja bērnam lūdz sniegt liecības kriminālizmeklēšanā vai apsūdzībā vai ja bērnam nepieciešama ārstēšana veselības problēmu dēļ.</w:t>
      </w:r>
    </w:p>
    <w:p w:rsidR="000C167A" w:rsidRPr="006B796E"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Ziņojumos ir norādīts, ka dažkārt aizbildniecības pienākumus pilda pagaidu audžuģimenes. Šādos gadījumos ir svarīgi, lai audžuģimenes aprūpes lomu nevajadzētu jaukt ar juridiskās atbildības pildīšanas lomu vai ar bērna aizstāvja funkcijām.</w:t>
      </w:r>
    </w:p>
    <w:p w:rsidR="000C167A" w:rsidRPr="006B796E"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Dažkārt cilvēku tirdzniecībā cietušā bērna faktiskais aizstāvis var būt advokāts, kas iecelts, lai rīkotos šā bērna vārdā saistībā ar imigrācijas procesu vai kriminālprocesu (tostarp kaitējuma atlīdzināšanas vai kompensācijas prasījumos). Tomēr pat šādos gadījumos ir jābūt ieceltam arī </w:t>
      </w:r>
      <w:r w:rsidRPr="006B796E">
        <w:rPr>
          <w:rFonts w:ascii="Times New Roman" w:eastAsia="Times New Roman" w:hAnsi="Times New Roman" w:cs="Times New Roman"/>
          <w:sz w:val="24"/>
          <w:szCs w:val="24"/>
          <w:lang w:eastAsia="lv-LV"/>
        </w:rPr>
        <w:lastRenderedPageBreak/>
        <w:t>neatkarīgam pieaugušajam, kura pienākums ir iepazīt bērnu un piedalīties visos bērnu ietekmējošos lēmumu pieņemšanas procesos. Tas ir tāpēc, lai stiprinātu bērna intereses un lai redzētu, ka bērna intereses patiešām ir primārais apsvērums, veicot visas viņu ietekmējošās darbības. Šādai personai ir nepieciešama apmācība, un tai ir jābūt pietiekami neatkarīgai no valsts iestādēm, lai vajadzības gadījumā varētu paust viedokli, kas ir pretējs valsts amatpersonu vai valsts politikas paustajam.</w:t>
      </w:r>
    </w:p>
    <w:p w:rsidR="000C167A" w:rsidRPr="006B796E"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Praktiski piemēri</w:t>
      </w:r>
    </w:p>
    <w:p w:rsidR="000C167A"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Sicīlijā, kur liela daļa nepavadītu vai nošķirtu bērnu, kas ierodas Itālijā, tiek ievietoti vai izmitināti tranzīta centros, NVO </w:t>
      </w:r>
      <w:r w:rsidRPr="006B796E">
        <w:rPr>
          <w:rFonts w:ascii="Times New Roman" w:eastAsia="Times New Roman" w:hAnsi="Times New Roman" w:cs="Times New Roman"/>
          <w:i/>
          <w:iCs/>
          <w:sz w:val="24"/>
          <w:szCs w:val="24"/>
          <w:lang w:eastAsia="lv-LV"/>
        </w:rPr>
        <w:t>AccoglieRete</w:t>
      </w:r>
      <w:r w:rsidRPr="006B796E">
        <w:rPr>
          <w:rFonts w:ascii="Times New Roman" w:eastAsia="Times New Roman" w:hAnsi="Times New Roman" w:cs="Times New Roman"/>
          <w:sz w:val="24"/>
          <w:szCs w:val="24"/>
          <w:lang w:eastAsia="lv-LV"/>
        </w:rPr>
        <w:t xml:space="preserve"> no 2013. gada ir centusies nodrošināt, ka pagaidu likumīgie aizbildņi ir bērnu patiesie aizstāvji. Pirmais solis bija izveidot to personu datubāzi, kas var rīkoties kā aizbildņi, un sniegt viņiem apmācību.</w:t>
      </w:r>
      <w:r w:rsidR="000C167A">
        <w:rPr>
          <w:rStyle w:val="Vresatsauce"/>
          <w:rFonts w:ascii="Times New Roman" w:eastAsia="Times New Roman" w:hAnsi="Times New Roman" w:cs="Times New Roman"/>
          <w:sz w:val="24"/>
          <w:szCs w:val="24"/>
          <w:lang w:eastAsia="lv-LV"/>
        </w:rPr>
        <w:footnoteReference w:customMarkFollows="1" w:id="70"/>
        <w:t>69</w:t>
      </w:r>
      <w:r w:rsidRPr="006B796E">
        <w:rPr>
          <w:rFonts w:ascii="Times New Roman" w:eastAsia="Times New Roman" w:hAnsi="Times New Roman" w:cs="Times New Roman"/>
          <w:sz w:val="24"/>
          <w:szCs w:val="24"/>
          <w:lang w:eastAsia="lv-LV"/>
        </w:rPr>
        <w:t> Šī NVO raksturo aizbildņa lomu šādi:</w:t>
      </w:r>
    </w:p>
    <w:p w:rsidR="000C167A" w:rsidRPr="006B796E"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“Aizbildnis, pirmkārt un galvenokārt, ir brīvprātīgais, kas ir apliecinājis savu gribu kļūt par nepilngadīgās personas juridisko pārstāvi, kas būtībā veic sarunas ar oficiālajām iestādēm, lai rūpētos par bērna interesēm, ja bērns ir ieradies [Itālijā] bez vecākiem, ir bārenis vai ja nav neviena, kas īstenotu vecāku varu pār šo bērnu.”</w:t>
      </w:r>
      <w:r w:rsidR="000C167A">
        <w:rPr>
          <w:rStyle w:val="Vresatsauce"/>
          <w:rFonts w:ascii="Times New Roman" w:eastAsia="Times New Roman" w:hAnsi="Times New Roman" w:cs="Times New Roman"/>
          <w:sz w:val="24"/>
          <w:szCs w:val="24"/>
          <w:lang w:eastAsia="lv-LV"/>
        </w:rPr>
        <w:footnoteReference w:customMarkFollows="1" w:id="71"/>
        <w:t>70</w:t>
      </w:r>
    </w:p>
    <w:p w:rsidR="000C167A" w:rsidRPr="006B796E"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2017. gadā Itālija pieņēma jaunu likumu par nepavadītu bērnu aizsardzību, kas vispārīgi tiek saukts par “</w:t>
      </w:r>
      <w:r w:rsidRPr="006B796E">
        <w:rPr>
          <w:rFonts w:ascii="Times New Roman" w:eastAsia="Times New Roman" w:hAnsi="Times New Roman" w:cs="Times New Roman"/>
          <w:i/>
          <w:iCs/>
          <w:sz w:val="24"/>
          <w:szCs w:val="24"/>
          <w:lang w:eastAsia="lv-LV"/>
        </w:rPr>
        <w:t>Zampa</w:t>
      </w:r>
      <w:r w:rsidRPr="006B796E">
        <w:rPr>
          <w:rFonts w:ascii="Times New Roman" w:eastAsia="Times New Roman" w:hAnsi="Times New Roman" w:cs="Times New Roman"/>
          <w:sz w:val="24"/>
          <w:szCs w:val="24"/>
          <w:lang w:eastAsia="lv-LV"/>
        </w:rPr>
        <w:t xml:space="preserve"> likumu”. Šis likums ir izstrādāts ar mērķi mainīt praksi, visā valstī pārejot uz </w:t>
      </w:r>
      <w:r w:rsidRPr="006B796E">
        <w:rPr>
          <w:rFonts w:ascii="Times New Roman" w:eastAsia="Times New Roman" w:hAnsi="Times New Roman" w:cs="Times New Roman"/>
          <w:i/>
          <w:iCs/>
          <w:sz w:val="24"/>
          <w:szCs w:val="24"/>
          <w:lang w:eastAsia="lv-LV"/>
        </w:rPr>
        <w:t>AccoglieRete</w:t>
      </w:r>
      <w:r w:rsidRPr="006B796E">
        <w:rPr>
          <w:rFonts w:ascii="Times New Roman" w:eastAsia="Times New Roman" w:hAnsi="Times New Roman" w:cs="Times New Roman"/>
          <w:sz w:val="24"/>
          <w:szCs w:val="24"/>
          <w:lang w:eastAsia="lv-LV"/>
        </w:rPr>
        <w:t xml:space="preserve"> aizstāvēto modeli. Tas nosaka, ka ikvienam, kas vēlas rīkoties kā bērna pagaidu likumīgais aizbildnis, vispirms ir jāapmeklē reģionālā ombuda bērnu un pusaudžu tiesību jautājumos organizētais apmācības kurss, pēc tam viņa personas dati tiks nodoti vietējai tiesai, kas atbild par bērnu tiesību jautājumiem un ieceļ pagaidu aizbildņus.</w:t>
      </w:r>
      <w:r w:rsidR="000C167A">
        <w:rPr>
          <w:rStyle w:val="Vresatsauce"/>
          <w:rFonts w:ascii="Times New Roman" w:eastAsia="Times New Roman" w:hAnsi="Times New Roman" w:cs="Times New Roman"/>
          <w:sz w:val="24"/>
          <w:szCs w:val="24"/>
          <w:lang w:eastAsia="lv-LV"/>
        </w:rPr>
        <w:footnoteReference w:customMarkFollows="1" w:id="72"/>
        <w:t>71</w:t>
      </w:r>
    </w:p>
    <w:p w:rsidR="000C167A" w:rsidRPr="006B796E"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4.4. Bērnu uzklausīšana</w:t>
      </w:r>
    </w:p>
    <w:p w:rsidR="000C167A"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Radīt iespējas bērniem, kas ir cilvēku tirdzniecības upuri, izteikt savas domas par to, ar kādiem apdraudējumiem viņi saskaras un kam būtu jānotiek ar viņiem nākotnē, nav grūti, tomēr vēlreiz jāatkārto, ka ir jāizstrādā atbilstīgas procedūras un jābūt pieejamiem praktiķiem, kam ir pienācīga kompetence šajā jomā.</w:t>
      </w:r>
    </w:p>
    <w:p w:rsidR="000C167A" w:rsidRPr="006B796E"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tiesību komiteja ir sniegusi veselu Vispārējo komentāru par “bērna tiesībām tikt uzklausītam” un viņu viedokļu ņemšanu vērā (Nr. 12</w:t>
      </w:r>
      <w:r w:rsidR="000C167A">
        <w:rPr>
          <w:rStyle w:val="Vresatsauce"/>
          <w:rFonts w:ascii="Times New Roman" w:eastAsia="Times New Roman" w:hAnsi="Times New Roman" w:cs="Times New Roman"/>
          <w:sz w:val="24"/>
          <w:szCs w:val="24"/>
          <w:lang w:eastAsia="lv-LV"/>
        </w:rPr>
        <w:footnoteReference w:customMarkFollows="1" w:id="73"/>
        <w:t>72</w:t>
      </w:r>
      <w:r w:rsidRPr="006B796E">
        <w:rPr>
          <w:rFonts w:ascii="Times New Roman" w:eastAsia="Times New Roman" w:hAnsi="Times New Roman" w:cs="Times New Roman"/>
          <w:sz w:val="24"/>
          <w:szCs w:val="24"/>
          <w:lang w:eastAsia="lv-LV"/>
        </w:rPr>
        <w:t xml:space="preserve">), tomēr aizvien vēl ir grūti identificēt labas prakses piemērus saistībā ar lēmumiem par bērniem, kas ir cilvēku tirdzniecības upuri, jo par šiem procesiem ir maz publiski pieejamu ziņu. Tomēr ir gūtas mācības par to, kas kavē bērniem pirmajiem izteikt savu viedokli, kā arī par to, kā amatpersonas var mudināt viņus runāt. Ziņojumā, kurā pārskatīta Francijā un Grieķijā cilvēku tirdzniecībā un ekspluatācijā </w:t>
      </w:r>
      <w:r w:rsidRPr="006B796E">
        <w:rPr>
          <w:rFonts w:ascii="Times New Roman" w:eastAsia="Times New Roman" w:hAnsi="Times New Roman" w:cs="Times New Roman"/>
          <w:sz w:val="24"/>
          <w:szCs w:val="24"/>
          <w:lang w:eastAsia="lv-LV"/>
        </w:rPr>
        <w:lastRenderedPageBreak/>
        <w:t>cietušo bērnu pieredze, ir atzīmēts, ka amatpersonas, kas iztaujā bērnus, šķiet, ir lietpratīgi radījušas bērniem iespējas runāt atklāti un ka attiecīgie bērni, šķiet, brīvi pauduši savus uzskatus. Izņēmums tam bija, kad bērns tika iztaujāts vecāku vai cita pieaugušā klātbūtnē; šķiet, ka šādā gadījumā bērni bijuši daudz atturīgāki attiecībā uz savu uzskatu paušanu.</w:t>
      </w:r>
      <w:r w:rsidR="002A0D5B">
        <w:rPr>
          <w:rStyle w:val="Vresatsauce"/>
          <w:rFonts w:ascii="Times New Roman" w:eastAsia="Times New Roman" w:hAnsi="Times New Roman" w:cs="Times New Roman"/>
          <w:sz w:val="24"/>
          <w:szCs w:val="24"/>
          <w:lang w:eastAsia="lv-LV"/>
        </w:rPr>
        <w:footnoteReference w:customMarkFollows="1" w:id="74"/>
        <w:t>73</w:t>
      </w:r>
      <w:r w:rsidRPr="006B796E">
        <w:rPr>
          <w:rFonts w:ascii="Times New Roman" w:eastAsia="Times New Roman" w:hAnsi="Times New Roman" w:cs="Times New Roman"/>
          <w:sz w:val="24"/>
          <w:szCs w:val="24"/>
          <w:lang w:eastAsia="lv-LV"/>
        </w:rPr>
        <w:t> Var secināt, ka ir svarīgi radīt tādu scenāriju, kurā bērns var runāt bez to personu klātbūtnes, kuras iebiedē bērnu vai pārmērīgi viņu ietekmē. Dažkārt šādas personas var būt tulks, kas ir bērna izcelsmes kopienas pārstāvis vai radinieks.</w:t>
      </w:r>
    </w:p>
    <w:p w:rsidR="000C167A" w:rsidRPr="006B796E" w:rsidRDefault="000C167A"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4.5. Riska un drošības novērtējumi (tostarp sociālās lietas apstākļu izpētes)</w:t>
      </w:r>
    </w:p>
    <w:p w:rsidR="002A0D5B"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Iestādei, kuras pienākums ir lemt par visaptverošu, drošu un ilgtspējīgu risinājumu bērnam, kas ir cilvēku tirdzniecības upuris, ir jāizvērtē šim bērnam pieejamo iespēju priekšrocības un trūkumi. Valstu pienākums ir izmeklēt izvērtējamo iespēju sekas. Bērnu tiesību komiteja ir norādījusi, ka uzmanības centrā ir “drošība, drošums un citi apstākļi”, kā arī “aprūpes pasākumu pieejamība”.</w:t>
      </w:r>
      <w:r w:rsidR="002A0D5B">
        <w:rPr>
          <w:rStyle w:val="Vresatsauce"/>
          <w:rFonts w:ascii="Times New Roman" w:eastAsia="Times New Roman" w:hAnsi="Times New Roman" w:cs="Times New Roman"/>
          <w:sz w:val="24"/>
          <w:szCs w:val="24"/>
          <w:lang w:eastAsia="lv-LV"/>
        </w:rPr>
        <w:footnoteReference w:customMarkFollows="1" w:id="75"/>
        <w:t>74</w:t>
      </w:r>
      <w:r w:rsidRPr="006B796E">
        <w:rPr>
          <w:rFonts w:ascii="Times New Roman" w:eastAsia="Times New Roman" w:hAnsi="Times New Roman" w:cs="Times New Roman"/>
          <w:sz w:val="24"/>
          <w:szCs w:val="24"/>
          <w:lang w:eastAsia="lv-LV"/>
        </w:rPr>
        <w:t> Tas nozīmē, ka ir jāiegūst pietiekami daudz informācijas, lai novērtētu ar katru iespēju saistītos riskus, piemēram, riskus saistībā ar bērna nodošanu atpakaļ ģimenei, kas var būt vardarbīga vai pārāk nabadzīga, lai gādātu par bērnu, vai nosūtīšanu atpakaļ uz valsti, kur ir plaši izplatīta nedrošība vai cilvēku tirgotāji bieži paliek nesodīti. Ikdienā personām, kas atbild par to bērnu aprūpi, kas ir cilvēku tirdzniecības upuri, ir pienākums novērtēt arī tūlītējus riskus, kas skar bērnu katrā viņa atlabšanas procesa posmā.</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Tās valsts iestādēm, kurā ir identificēts cilvēku tirdzniecībā cietušais bērns bez pavadoņa, ir jāiegūst ziņas par apstākļiem bērna mājās, ja tiek apsvērta bērna repatriācijas un/vai ģimenes atkalapvienošanas iespēja. Ja abas attiecīgās valstis atrodas dažādās pasaules malās un šajās valstīs lieto pavisam atšķirīgas valodas un procedūras (piemēram, Apvienotā Karaliste un Vjetnama vai Itālija un Nigērija), pat šādu ziņu pieprasīšana varētu būt problemātiska. Teorētiski valstis, kas ietilpst vienā politiskā struktūrā, piemēram, ES vai NVS, atrodas labākā stāvoklī, lai, no vienas puses, pieprasītu šādu sociālo informāciju un, no otras puses, to apstrādātu un paziņotu rezultātus. Tomēr tas, ka ir maz publicētu datu par transnacionālām sociālām lietas apstākļu izpētēm (ko pieprasa viena valsts un izpilda otra), liecina, ka šis process ir pārsteidzoši lēns un pārmērīgi birokrātisks.</w:t>
      </w:r>
      <w:r w:rsidR="002A0D5B">
        <w:rPr>
          <w:rStyle w:val="Vresatsauce"/>
          <w:rFonts w:ascii="Times New Roman" w:eastAsia="Times New Roman" w:hAnsi="Times New Roman" w:cs="Times New Roman"/>
          <w:sz w:val="24"/>
          <w:szCs w:val="24"/>
          <w:lang w:eastAsia="lv-LV"/>
        </w:rPr>
        <w:footnoteReference w:customMarkFollows="1" w:id="76"/>
        <w:t>75</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4.5.1. Pamatprincipi</w:t>
      </w:r>
    </w:p>
    <w:p w:rsidR="002A0D5B"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Padomes Konvencijā par cīņu pret cilvēku tirdzniecību ir skaidri noteikts, ka “upurus – bērnus nesūta atpakaļ uz valsti, ja pēc riska un drošības novērtēšanas pastāv norāde, ka šāda atgriešanās nebūs bērna labākajās interesēs” (16. panta 7. punkts). Konvencijai pievienotajā Paskaidrojumā tiek sniegta atsauce uz BTK 3. pantu, norādot, ka “saskaņā ar šo noteikumu iestādēm pirms jebkāda veida repatriācijas pasākumu īstenošanas ir jāizvērtē riski, kas varētu rasties, bērnu nosūtot atpakaļ uz valsti, kā arī bērna drošība”.</w:t>
      </w:r>
      <w:r w:rsidR="002A0D5B">
        <w:rPr>
          <w:rStyle w:val="Vresatsauce"/>
          <w:rFonts w:ascii="Times New Roman" w:eastAsia="Times New Roman" w:hAnsi="Times New Roman" w:cs="Times New Roman"/>
          <w:sz w:val="24"/>
          <w:szCs w:val="24"/>
          <w:lang w:eastAsia="lv-LV"/>
        </w:rPr>
        <w:footnoteReference w:customMarkFollows="1" w:id="77"/>
        <w:t>76</w:t>
      </w:r>
      <w:r w:rsidRPr="006B796E">
        <w:rPr>
          <w:rFonts w:ascii="Times New Roman" w:eastAsia="Times New Roman" w:hAnsi="Times New Roman" w:cs="Times New Roman"/>
          <w:sz w:val="24"/>
          <w:szCs w:val="24"/>
          <w:lang w:eastAsia="lv-LV"/>
        </w:rPr>
        <w:t xml:space="preserve"> Pirms iespējamās atpakaļnosūtīšanas risku un drošības izvērtējums tādējādi ir jāveic obligāti, nevis izvēles </w:t>
      </w:r>
      <w:r w:rsidRPr="006B796E">
        <w:rPr>
          <w:rFonts w:ascii="Times New Roman" w:eastAsia="Times New Roman" w:hAnsi="Times New Roman" w:cs="Times New Roman"/>
          <w:sz w:val="24"/>
          <w:szCs w:val="24"/>
          <w:lang w:eastAsia="lv-LV"/>
        </w:rPr>
        <w:lastRenderedPageBreak/>
        <w:t>kārtībā.</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Novērtējumus veic, lai palīdzētu pieņemt lēmumus par tā bērna nākotni, kas ir cilvēku tirdzniecības upuris. Piemēram, Reģionālās konferences migrācijas jautājumos (</w:t>
      </w:r>
      <w:r w:rsidRPr="006B796E">
        <w:rPr>
          <w:rFonts w:ascii="Times New Roman" w:eastAsia="Times New Roman" w:hAnsi="Times New Roman" w:cs="Times New Roman"/>
          <w:i/>
          <w:iCs/>
          <w:sz w:val="24"/>
          <w:szCs w:val="24"/>
          <w:lang w:eastAsia="lv-LV"/>
        </w:rPr>
        <w:t>RCM</w:t>
      </w:r>
      <w:r w:rsidRPr="006B796E">
        <w:rPr>
          <w:rFonts w:ascii="Times New Roman" w:eastAsia="Times New Roman" w:hAnsi="Times New Roman" w:cs="Times New Roman"/>
          <w:sz w:val="24"/>
          <w:szCs w:val="24"/>
          <w:lang w:eastAsia="lv-LV"/>
        </w:rPr>
        <w:t>)</w:t>
      </w:r>
      <w:r w:rsidR="002A0D5B">
        <w:rPr>
          <w:rStyle w:val="Vresatsauce"/>
          <w:rFonts w:ascii="Times New Roman" w:eastAsia="Times New Roman" w:hAnsi="Times New Roman" w:cs="Times New Roman"/>
          <w:sz w:val="24"/>
          <w:szCs w:val="24"/>
          <w:lang w:eastAsia="lv-LV"/>
        </w:rPr>
        <w:footnoteReference w:customMarkFollows="1" w:id="78"/>
        <w:t>77</w:t>
      </w:r>
      <w:r w:rsidRPr="006B796E">
        <w:rPr>
          <w:rFonts w:ascii="Times New Roman" w:eastAsia="Times New Roman" w:hAnsi="Times New Roman" w:cs="Times New Roman"/>
          <w:sz w:val="24"/>
          <w:szCs w:val="24"/>
          <w:lang w:eastAsia="lv-LV"/>
        </w:rPr>
        <w:t xml:space="preserve"> Reģionālajās pamatnostādnēs par īpašu aizsardzību bērnu, kas ir cilvēku tirdzniecības upuri, repatriācijas gadījumos ir noteikts, ka “gadījumos, kad valstij, kas nodrošina aizsardzību, ir dibināts pamats secināt, ka repatriācija rada nopietnu risku upurim vai viņa ģimenei”, jāpieņem lēmums nerepatriēt bērnu, kas ir cilvēku tirdzniecības upuris.</w:t>
      </w:r>
      <w:r w:rsidR="002A0D5B">
        <w:rPr>
          <w:rStyle w:val="Vresatsauce"/>
          <w:rFonts w:ascii="Times New Roman" w:eastAsia="Times New Roman" w:hAnsi="Times New Roman" w:cs="Times New Roman"/>
          <w:sz w:val="24"/>
          <w:szCs w:val="24"/>
          <w:lang w:eastAsia="lv-LV"/>
        </w:rPr>
        <w:footnoteReference w:customMarkFollows="1" w:id="79"/>
        <w:t>78</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4.5.2. Saziņa ar attiecīgajām amatpersonām bērna izcelsmes vietā, lai iegūtu būtisku informāciju</w:t>
      </w:r>
    </w:p>
    <w:p w:rsidR="002A0D5B"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aizsardzības amatpersonas, kas ir sastapušās ar grūtībās nonākušu bērnu, parasti cenšas atrast, kur atrodas vecāki, un nodibināt sakarus ar viņiem. Tomēr pat elementāra saziņa kļūst problemātiska, ja attiecīgais bērns runā citā valodā vai atsakās sadarboties. Ja bērns nāk no citas valsts, rodas liels daudzums procesuālu jautājumu, proti, kam jāsazinās ar ko un kā bērnu aizsardzības amatpersona, kas darbojas vietējās pašvaldības līmenī, sazinās ar personu, kas darbojas valsts līmenī pašu valstī, nemaz nerunājot par to, kā sazināties ar personu, kas darbojas valsts līmenī citā valstī, vai ar vietējās pašvaldības līmeņa amatpersonu šajā citā valstī, kas varētu atrast ziņas par tur dzīvojošo bērna ģimeni?</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Teorētiski šīs un saistītās problēmas var risināt, izstrādājot transnacionālo nosūtīšanas sistēmu un katrā iesaistītajā valstī ieceļot nacionālo vadošo iestādi. Šī nacionālā vadošā iestāde jāinformē par to, ar ko tieši sazināties visās citās iesaistītajās valstīs.</w:t>
      </w:r>
      <w:r w:rsidR="002A0D5B">
        <w:rPr>
          <w:rStyle w:val="Vresatsauce"/>
          <w:rFonts w:ascii="Times New Roman" w:eastAsia="Times New Roman" w:hAnsi="Times New Roman" w:cs="Times New Roman"/>
          <w:sz w:val="24"/>
          <w:szCs w:val="24"/>
          <w:lang w:eastAsia="lv-LV"/>
        </w:rPr>
        <w:footnoteReference w:customMarkFollows="1" w:id="80"/>
        <w:t>79</w:t>
      </w:r>
      <w:r w:rsidRPr="006B796E">
        <w:rPr>
          <w:rFonts w:ascii="Times New Roman" w:eastAsia="Times New Roman" w:hAnsi="Times New Roman" w:cs="Times New Roman"/>
          <w:sz w:val="24"/>
          <w:szCs w:val="24"/>
          <w:lang w:eastAsia="lv-LV"/>
        </w:rPr>
        <w:t xml:space="preserve"> Ziemeļamerikā un Centrālamerikā 2007. gadā </w:t>
      </w:r>
      <w:r w:rsidRPr="006B796E">
        <w:rPr>
          <w:rFonts w:ascii="Times New Roman" w:eastAsia="Times New Roman" w:hAnsi="Times New Roman" w:cs="Times New Roman"/>
          <w:i/>
          <w:iCs/>
          <w:sz w:val="24"/>
          <w:szCs w:val="24"/>
          <w:lang w:eastAsia="lv-LV"/>
        </w:rPr>
        <w:t>RCM</w:t>
      </w:r>
      <w:r w:rsidRPr="006B796E">
        <w:rPr>
          <w:rFonts w:ascii="Times New Roman" w:eastAsia="Times New Roman" w:hAnsi="Times New Roman" w:cs="Times New Roman"/>
          <w:sz w:val="24"/>
          <w:szCs w:val="24"/>
          <w:lang w:eastAsia="lv-LV"/>
        </w:rPr>
        <w:t xml:space="preserve"> dalībvalstis bija mēģinājušas standartizēt šīs procedūras. Tās vienojās, ka “valstīm jāizveido to bērnu aizsardzības jomā darbojošos specializēto institūciju un/vai organizāciju saraksts, kurām ir attiecīgā pieredze” (t. i., kontaktpunkti visās iesaistītajās valstīs), un savstarpēji jāapmainās ar šo sarakstu, un ka šo kontaktpunktu savstarpējā saziņa tiek nodrošināta ar tradicionālo diplomātisko vai konsulāro kanālu starpniecību.</w:t>
      </w:r>
      <w:r w:rsidR="002A0D5B">
        <w:rPr>
          <w:rStyle w:val="Vresatsauce"/>
          <w:rFonts w:ascii="Times New Roman" w:eastAsia="Times New Roman" w:hAnsi="Times New Roman" w:cs="Times New Roman"/>
          <w:sz w:val="24"/>
          <w:szCs w:val="24"/>
          <w:lang w:eastAsia="lv-LV"/>
        </w:rPr>
        <w:footnoteReference w:customMarkFollows="1" w:id="81"/>
        <w:t>80</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Tomēr tiešu sakaru izveidošana starp divām vietējā līmeņa vai valsts līmeņa iestādēm joprojām ir problēma gan Eiropā, gan ārpus tās. Piemēram, 2012. gadā izdotajā pētījumā ir novērots, ka “transnacionālas sadarbības neesamība bieži vien ir sekas tam, ka valsts noteikumi un procedūras ir daudzveidīgi un trūkst izpratnes par tiem. Dalībvalstu iestāžu sava veida savstarpējā neticība vai neuzticēšanās arī veicina izstrādāto procedūru neefektivitāti.”</w:t>
      </w:r>
      <w:r w:rsidR="002A0D5B">
        <w:rPr>
          <w:rStyle w:val="Vresatsauce"/>
          <w:rFonts w:ascii="Times New Roman" w:eastAsia="Times New Roman" w:hAnsi="Times New Roman" w:cs="Times New Roman"/>
          <w:sz w:val="24"/>
          <w:szCs w:val="24"/>
          <w:lang w:eastAsia="lv-LV"/>
        </w:rPr>
        <w:footnoteReference w:customMarkFollows="1" w:id="82"/>
        <w:t>81</w:t>
      </w:r>
      <w:r w:rsidRPr="006B796E">
        <w:rPr>
          <w:rFonts w:ascii="Times New Roman" w:eastAsia="Times New Roman" w:hAnsi="Times New Roman" w:cs="Times New Roman"/>
          <w:sz w:val="24"/>
          <w:szCs w:val="24"/>
          <w:lang w:eastAsia="lv-LV"/>
        </w:rPr>
        <w:t xml:space="preserve"> Kad vietējā līmeņa amatpersonas bija satikušās un izveidojušas uzticības pilnas attiecības, saziņa esot noritējusi labāk, taču tādējādi var būt apieti valsts līmeņa kontaktpunkti, kuri dažās valstīs </w:t>
      </w:r>
      <w:r w:rsidRPr="006B796E">
        <w:rPr>
          <w:rFonts w:ascii="Times New Roman" w:eastAsia="Times New Roman" w:hAnsi="Times New Roman" w:cs="Times New Roman"/>
          <w:sz w:val="24"/>
          <w:szCs w:val="24"/>
          <w:lang w:eastAsia="lv-LV"/>
        </w:rPr>
        <w:lastRenderedPageBreak/>
        <w:t>iebilst pret vietēja līmeņa speciālistu tiešu saziņu.</w:t>
      </w:r>
    </w:p>
    <w:p w:rsidR="002A0D5B"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Dažādu valstu attiecīgo bērnu aizsardzības un citu iestāžu mijiedarbība praksē, šķiet, ir radījusi neapmierinātību, tādējādi sociālās lietas apstākļu izpētes pabeigšana aizņem nepieļaujami daudz laika, netiek izveidotas uzticības saites (starp divu valstu attiecīgajām iestādēm), kā rezultātā bērni, kas jau ir cietuši, atrazdamies cilvēku tirgotāju varā, cieš vēl vairāk.</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Praktisks piemērs. Dažādu valstu amatpersonu savstarpējās saziņas uzlabošana</w:t>
      </w:r>
    </w:p>
    <w:p w:rsidR="002A0D5B"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Francijas un Rumānijas amatpersonas kopš 2002. gada ir regulāri sazinājušās saistībā ar Rumānijas bērniem Francijā.</w:t>
      </w:r>
      <w:r w:rsidR="002A0D5B">
        <w:rPr>
          <w:rStyle w:val="Vresatsauce"/>
          <w:rFonts w:ascii="Times New Roman" w:eastAsia="Times New Roman" w:hAnsi="Times New Roman" w:cs="Times New Roman"/>
          <w:sz w:val="24"/>
          <w:szCs w:val="24"/>
          <w:lang w:eastAsia="lv-LV"/>
        </w:rPr>
        <w:footnoteReference w:customMarkFollows="1" w:id="83"/>
        <w:t>82</w:t>
      </w:r>
      <w:r w:rsidRPr="006B796E">
        <w:rPr>
          <w:rFonts w:ascii="Times New Roman" w:eastAsia="Times New Roman" w:hAnsi="Times New Roman" w:cs="Times New Roman"/>
          <w:sz w:val="24"/>
          <w:szCs w:val="24"/>
          <w:lang w:eastAsia="lv-LV"/>
        </w:rPr>
        <w:t xml:space="preserve"> Ikdienā saziņa un sociālās lietas apstākļu izpētes bija apgrūtinātas, ja Francijā identificētie bērni neatklāja savu patieso identitāti. Vairākas iniciatīvas palīdzēja uzlabot saziņu. No Francijas puses tika precizēts, kāda veida informācija sniedzama par Francijā identificētajiem Rumānijas bērniem, un uzlabota tās kvalitāte. Piemēram, vispārīgas ziņas un neprecīzi stereotipi tika aizstāti ar uzticamu un sīkāku informāciju, kas tika darīta pieejama attiecīgajām Francijas amatpersonām (piemēram, bērnu aizsardzības un tiesībsargājošo iestāžu amatpersonām) par precīzu atrašanās vietu un sociālajām grupām Rumānijā, par kurām zināms, ka tās ir saistītas ar bērnu tirdzniecību uz Franciju dažādu veidu ekspluatācijas nolūkos. Sociālajiem pētniekiem tika uzdots sagatavot detalizētu analīzi (fr. val. – </w:t>
      </w:r>
      <w:r w:rsidRPr="006B796E">
        <w:rPr>
          <w:rFonts w:ascii="Times New Roman" w:eastAsia="Times New Roman" w:hAnsi="Times New Roman" w:cs="Times New Roman"/>
          <w:i/>
          <w:iCs/>
          <w:sz w:val="24"/>
          <w:szCs w:val="24"/>
          <w:lang w:eastAsia="lv-LV"/>
        </w:rPr>
        <w:t>diagnoses</w:t>
      </w:r>
      <w:r w:rsidRPr="006B796E">
        <w:rPr>
          <w:rFonts w:ascii="Times New Roman" w:eastAsia="Times New Roman" w:hAnsi="Times New Roman" w:cs="Times New Roman"/>
          <w:sz w:val="24"/>
          <w:szCs w:val="24"/>
          <w:lang w:eastAsia="lv-LV"/>
        </w:rPr>
        <w:t>) par situāciju gan Bulgārijā, gan Rumānijā.</w:t>
      </w:r>
      <w:r w:rsidR="002A0D5B">
        <w:rPr>
          <w:rStyle w:val="Vresatsauce"/>
          <w:rFonts w:ascii="Times New Roman" w:eastAsia="Times New Roman" w:hAnsi="Times New Roman" w:cs="Times New Roman"/>
          <w:sz w:val="24"/>
          <w:szCs w:val="24"/>
          <w:lang w:eastAsia="lv-LV"/>
        </w:rPr>
        <w:footnoteReference w:customMarkFollows="1" w:id="84"/>
        <w:t>83</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No Rumānijas puses, kopš 2017. gada decembra esot uzlabojusies efektīva saziņa ar Francijas amatpersonām, jo saziņai kā kontaktpunkts ir iecelta viena konkrēta Rumānijas amatpersona. Acīmredzami palīdzējis ir tas, ka ieceltā amatpersona saprot tās valsts (vai valstu) valodu, ar kuru tai ir ciešākā sadarbība (šajā gadījumā – Francija). Tomēr ir pierādījies, ka sekmīgas saziņas galvenais faktors ir uzticības un uzticēšanās veidošana ilgtermiņā, gan izmeklējot transnacionālus noziedzīgos nodarījumus, gan nodrošinot upuru (pieaugušo un bērnu) aizsardzību. Pēdējā desmitgadē Francijas amatpersonām ir uzlikts konkrēts pienākums sadarboties cilvēku tirdzniecības jautājumos ar cilvēku tirdzniecības novēršanas iestādēm un organizācijām (valsts iestādēm un NVO) visā Dienvidaustrumeiropā, tādējādi iepazīstoties ar dažādās organizācijās iesaistītiem oficiālajiem kolēģiem. Turklāt Francijas vēstniecībās (Rumānijā un citviet) ir amatpersona, kas atbild par drošības jautājumiem (piemēram, pieprasījumi par noziegumu un nozieguma upuru aizsardzība). Tas ir palīdzējis veicināt labu saziņu ar speciālistiem katrā attiecīgajā valstī.</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Visai reti pietiek tikai ar kontaktpunkta izveidi, lai tas darbotos kā saziņas kanāls. Francijas un Rumānijas pieredze liecina, ka, pieprasot informāciju, ne vienmēr tiek iegūtas ziņas, kas ir pietiekamas vai atbilstošas, lai pieņemtu lēmumus Francijā vai Rumānijā. Tāpēc no Francijas puses bija noderīgi, ka tika pārskatīta sniegtā informācija, lai redzētu, kas bijis </w:t>
      </w:r>
      <w:r w:rsidRPr="006B796E">
        <w:rPr>
          <w:rFonts w:ascii="Times New Roman" w:eastAsia="Times New Roman" w:hAnsi="Times New Roman" w:cs="Times New Roman"/>
          <w:sz w:val="24"/>
          <w:szCs w:val="24"/>
          <w:lang w:eastAsia="lv-LV"/>
        </w:rPr>
        <w:lastRenderedPageBreak/>
        <w:t>visnoderīgākais. Rumānijas pusē amatpersonām bijusi sajūta, ka tām netiek sniegtas pietiekami sīkas ziņas par cilvēku tirdzniecības gadījumiem un netiek sniegta informācija par konkrētiem bērniem, par kuriem tās ir lūgušas sniegt datus. Pēc tam notika Francijas un Rumānijas amatpersonu tikšanās, lai apmainītos ar pieredzi un vienotos, kā uzlabot turpmāko pieprasījumu apstrādi.</w:t>
      </w:r>
      <w:r w:rsidR="002A0D5B">
        <w:rPr>
          <w:rStyle w:val="Vresatsauce"/>
          <w:rFonts w:ascii="Times New Roman" w:eastAsia="Times New Roman" w:hAnsi="Times New Roman" w:cs="Times New Roman"/>
          <w:sz w:val="24"/>
          <w:szCs w:val="24"/>
          <w:lang w:eastAsia="lv-LV"/>
        </w:rPr>
        <w:footnoteReference w:customMarkFollows="1" w:id="85"/>
        <w:t>84</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0"/>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Praktiski piemēri. Riska izvērtējums</w:t>
      </w:r>
    </w:p>
    <w:p w:rsidR="002A0D5B"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Iepriekš minētajā 2012. gada pētījumā tika pārskatītas tādu divu ES valstu, no kurām tiek izvesti bērni, kas ir cilvēku tirdzniecības upuri, un tādu divu ES galamērķa valstu, kurās tie tiek ekspluatēti, divpusējas attiecības. Tika secināts:</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“Visos gadījumos, izņemot vienu, ko bija analizējusi pētniecības grupa, sociālajā lietas apstākļu izpētē netika pienācīgi izvērtēti atkārtotas cilvēku tirdzniecības riski izcelsmes valsts vidē [izcēlums oriģināltekstā] (tostarp ģimenes locekļu iespējamās iesaistes pakāpe) attiecībā uz bērniem, kuri bijuši pakļauti prostitūcijai, vai bērniem, kuri bijuši iesaistīti noziedzīgā tīklā ubagošanai vai zādzību veikšanai.”</w:t>
      </w:r>
      <w:r w:rsidR="00D94164">
        <w:rPr>
          <w:rStyle w:val="Vresatsauce"/>
          <w:rFonts w:ascii="Times New Roman" w:eastAsia="Times New Roman" w:hAnsi="Times New Roman" w:cs="Times New Roman"/>
          <w:sz w:val="24"/>
          <w:szCs w:val="24"/>
          <w:lang w:eastAsia="lv-LV"/>
        </w:rPr>
        <w:footnoteReference w:customMarkFollows="1" w:id="86"/>
        <w:t>85</w:t>
      </w:r>
    </w:p>
    <w:p w:rsidR="002A0D5B" w:rsidRPr="006B796E" w:rsidRDefault="002A0D5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Dažās EDSO dalībvalstīs prasība izvērtēt riskus bija skaidri noteikta tiesību aktos vai noteikumos. Tā ir laba prakse, jo nozīmē, ka šādi izvērtējumi, visticamāk, tiek veikti. Piemēram, Zviedrijas 2016. gadā izdotajā Nacionālajā mehānismā cietušo nosūtīšanai ir noteikts, kā sociālajiem darbiniekiem ir jāizvērtē cilvēku tirdzniecības upura vispārējais stāvoklis, tostarp jāveic vajadzību novērtējums un risku novērtējums:</w:t>
      </w:r>
    </w:p>
    <w:p w:rsidR="00D94164" w:rsidRPr="006B796E"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“Novērtējot riskus attiecībā uz bērnu, kas ir cilvēku tirdzniecības iespējamais upuris, ir jāietver konkrēti pasākumi un darbības, kas jāveic nekavējoties, lai garantētu, ka tas ir bērna interesēs. Sociālie dienesti novērtēs bērna stāvokli, priekšvēsturi un vajadzības un sadarbosies ar policiju, ja notiek policijas izmeklēšana, neatkarīgi no tā, vai bērns lūdz vai nelūdz patvērumu. Ja iesaistītais bērns nav patvēruma meklētājs, ir jāsazinās ar attiecīgo vēstniecību, kura sazināsies ar atbildīgo valsts iestādi bērna izcelsmes valstī. Atbildīgajai valsts iestādei izcelsmes valstī tiks nosūtīts pieprasījums, lai iegūtu informāciju par to, kas zināms par bērnu, veiktu sociālo izmeklēšanu, risku novērtējumu attiecībā uz situāciju cilvēku tirdzniecības jomā un sniegtu priekšlikumu par ilgtspējīgu turpmāko risinājumu bērnam. Attiecīgo valstu atbildīgo iestāžu cieša savstarpēja sadarbība ir priekšnoteikums tam, lai novērtētu, kas ir bērna interesēs, un spētu nodrošināt aizsardzību pret ekspluatāciju nākotnē.”</w:t>
      </w:r>
      <w:r w:rsidR="00D94164">
        <w:rPr>
          <w:rStyle w:val="Vresatsauce"/>
          <w:rFonts w:ascii="Times New Roman" w:eastAsia="Times New Roman" w:hAnsi="Times New Roman" w:cs="Times New Roman"/>
          <w:sz w:val="24"/>
          <w:szCs w:val="24"/>
          <w:lang w:eastAsia="lv-LV"/>
        </w:rPr>
        <w:footnoteReference w:customMarkFollows="1" w:id="87"/>
        <w:t>86</w:t>
      </w:r>
    </w:p>
    <w:p w:rsidR="00D94164" w:rsidRPr="006B796E"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4.6. Bērnu aizsardzības pieeja bērnu tirdzniecības novēršanas ietvaros</w:t>
      </w:r>
    </w:p>
    <w:p w:rsidR="00D94164"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Aizsardzība un bērnu tirdzniecības gadījumu novēršana var būt savstarpēji papildinoša un pastiprinoša, ja pieņem plašu bērnu aizsardzības pieeju. Tam ir bijuši vairāki piemēri attiecībā uz bērniem, kas pārvietoti no vienas valsts uz citu, lai iegūtu naudu ubagojot vai aptīrot kabatas (apzogot garāmgājējus vai citus uz ielām). Lai arī daži bērni ir savu vecāku pavadībā un var nebūt iesaistīti cilvēku tirdzniecības noziegumos, ir arī tādi gadījumi, kad bērnus ekspluatē personas, kas nav ģimenes locekļi (vai attiecībā uz meitenēm – agrīnos gados apprecējušās </w:t>
      </w:r>
      <w:r w:rsidRPr="006B796E">
        <w:rPr>
          <w:rFonts w:ascii="Times New Roman" w:eastAsia="Times New Roman" w:hAnsi="Times New Roman" w:cs="Times New Roman"/>
          <w:sz w:val="24"/>
          <w:szCs w:val="24"/>
          <w:lang w:eastAsia="lv-LV"/>
        </w:rPr>
        <w:lastRenderedPageBreak/>
        <w:t>meitenes, kuras ekspluatē vīrs vai vīra ģimenes locekļi).</w:t>
      </w:r>
    </w:p>
    <w:p w:rsidR="00D94164" w:rsidRPr="006B796E"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Tomēr amatpersonu un NVO rīcība ir nepieciešama ne tikai gadījumos, kad ir pamats aizdomām, ka ubagojošais bērns ir cilvēku tirdzniecības upuris, proti, rīcībai, kad nepieciešama bērna aizsardzība, jābūt plašākai un ir jāvēršas pret jebkuru vardarbību, nolaidību vai ekspluatāciju, no kuras cieš šie bērni, tostarp pret bērnu izmantošanu “darbam” uz ielas skolas mācību laikā, pret bērnu uzturēšanos galēji lielā aukstumā vai karstumā, pret naidīgu reakciju no sabiedrības vai tiesībsargājošo iestāžu amatpersonu puses, kas, būdamas pārliecinātas, ka ubagošana ir nelikumīga, uzskata, ka ir tiesīgas sodīt ubagojošu bērnu.</w:t>
      </w:r>
    </w:p>
    <w:p w:rsidR="00D94164" w:rsidRPr="006B796E"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Praktiski piemēri</w:t>
      </w:r>
    </w:p>
    <w:p w:rsidR="00D94164"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Albānijas piemērs rāda novēršanas un aizsardzības savstarpējo papildināmību – vairākas iniciatīvas ir vērstas uz abiem šiem pasākumiem vienlaikus. Kāda konkrēta Albānijas bērnu grupa tika ekspluatēta, un netika veikti pienācīgi aizsardzības pasākumi – bērni tika izmantoti ubagošanai un naudas pelnīšanai citiem (dažkārt saviem vecākiem vai vecākajiem brāļiem un māsām, dažkārt savam ubagošanas rūpala organizētājam). 1990. gadu beigās un 2000. gadu sākumā jo īpaši Grieķijā bija izplatīta prakse, ka Albānijas bērni mazgā automašīnu vējstiklus, spēlē mūzikas instrumentus, pārdod preces uz ielas vai vienkārši ubago. Tomēr ievērojams skaits bērnu ubago naudu arī pašā Albānijā.</w:t>
      </w:r>
      <w:r w:rsidR="00D94164">
        <w:rPr>
          <w:rStyle w:val="Vresatsauce"/>
          <w:rFonts w:ascii="Times New Roman" w:eastAsia="Times New Roman" w:hAnsi="Times New Roman" w:cs="Times New Roman"/>
          <w:sz w:val="24"/>
          <w:szCs w:val="24"/>
          <w:lang w:eastAsia="lv-LV"/>
        </w:rPr>
        <w:footnoteReference w:customMarkFollows="1" w:id="88"/>
        <w:t>87</w:t>
      </w:r>
      <w:r w:rsidRPr="006B796E">
        <w:rPr>
          <w:rFonts w:ascii="Times New Roman" w:eastAsia="Times New Roman" w:hAnsi="Times New Roman" w:cs="Times New Roman"/>
          <w:sz w:val="24"/>
          <w:szCs w:val="24"/>
          <w:lang w:eastAsia="lv-LV"/>
        </w:rPr>
        <w:t> Pēdējos 15 gadus Albānijas organizācijas, kas sākotnēji raizējās par to, ka albāņu bērni tiek nelegāli izvesti no valsts, lai tiktu pārdoti ekspluatācijai prostitūcijā vai ubagošanai Itālijā, Grieķijā un citās Eiropas vietās, savu darbību pārorientēja un koncentrējās uz bērniem, kas dzīvo un strādā uz ielas pašā Albānijā. Tās saprata, ka gadījumi, kas klasificēti kā “cilvēku tirdzniecība”, kuros iesaistīti bērni, kas pelna naudu ar komerciāliem seksa pakalpojumiem vai ir spiesti ubagot un visu naudu vai tās daļu atdot sutenerim vai ubagošanas rūpala organizētājam, ir saistīti ar nepārtrauktu vardarbību un ekspluatāciju, kas vērsta pret ielu bērniem un citiem bērniem, kas nonākuši uz ielas</w:t>
      </w:r>
      <w:r w:rsidR="00D94164">
        <w:rPr>
          <w:rStyle w:val="Vresatsauce"/>
          <w:rFonts w:ascii="Times New Roman" w:eastAsia="Times New Roman" w:hAnsi="Times New Roman" w:cs="Times New Roman"/>
          <w:sz w:val="24"/>
          <w:szCs w:val="24"/>
          <w:lang w:eastAsia="lv-LV"/>
        </w:rPr>
        <w:footnoteReference w:customMarkFollows="1" w:id="89"/>
        <w:t>88</w:t>
      </w:r>
      <w:r w:rsidRPr="006B796E">
        <w:rPr>
          <w:rFonts w:ascii="Times New Roman" w:eastAsia="Times New Roman" w:hAnsi="Times New Roman" w:cs="Times New Roman"/>
          <w:sz w:val="24"/>
          <w:szCs w:val="24"/>
          <w:lang w:eastAsia="lv-LV"/>
        </w:rPr>
        <w:t xml:space="preserve"> (daudzos gadījumos tie ir Albānijas bērni, kas pieder minoritāšu grupām un kas ir pametuši skolu, neiegūstot pamatizglītību, vai kas vispār nekad nav apmeklējuši skolu).</w:t>
      </w:r>
    </w:p>
    <w:p w:rsidR="00D94164" w:rsidRDefault="00D94164"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2014. gadā analizējot situāciju, tika atzīts, ka ir jādara vairāk, lai identificētu attiecīgos bērnus un nodrošinātu viņiem attiecīgo pakalpojumu pieejamību, neatkarīgi no tā, vai viņi joprojām atrodas Albānijā vai ir aizvesti uz ārvalstīm.</w:t>
      </w:r>
      <w:r w:rsidR="00D94164">
        <w:rPr>
          <w:rStyle w:val="Vresatsauce"/>
          <w:rFonts w:ascii="Times New Roman" w:eastAsia="Times New Roman" w:hAnsi="Times New Roman" w:cs="Times New Roman"/>
          <w:sz w:val="24"/>
          <w:szCs w:val="24"/>
          <w:lang w:eastAsia="lv-LV"/>
        </w:rPr>
        <w:footnoteReference w:customMarkFollows="1" w:id="90"/>
        <w:t>89</w:t>
      </w:r>
    </w:p>
    <w:p w:rsidR="00D94164" w:rsidRPr="006B796E"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Albānija ir pieņēmusi standartizētas operatīvās procedūras, kurās ir noteikts, kā dažādām iestādēm rīkoties ar bērnu (vai pieaugušo), par kuru ir aizdomas, ka viņš ir cilvēku tirdzniecības upuris jebkur Albānijā, un kā nosūtīt viņu palīdzības un pakalpojumu saņemšanai.</w:t>
      </w:r>
      <w:r w:rsidR="00D94164">
        <w:rPr>
          <w:rStyle w:val="Vresatsauce"/>
          <w:rFonts w:ascii="Times New Roman" w:eastAsia="Times New Roman" w:hAnsi="Times New Roman" w:cs="Times New Roman"/>
          <w:sz w:val="24"/>
          <w:szCs w:val="24"/>
          <w:lang w:eastAsia="lv-LV"/>
        </w:rPr>
        <w:footnoteReference w:customMarkFollows="1" w:id="91"/>
        <w:t>90</w:t>
      </w:r>
      <w:r w:rsidRPr="006B796E">
        <w:rPr>
          <w:rFonts w:ascii="Times New Roman" w:eastAsia="Times New Roman" w:hAnsi="Times New Roman" w:cs="Times New Roman"/>
          <w:sz w:val="24"/>
          <w:szCs w:val="24"/>
          <w:lang w:eastAsia="lv-LV"/>
        </w:rPr>
        <w:t xml:space="preserve"> Lielākajā daļā gadījumu ziņots, ka bērni, kas ir cilvēku tirdzniecības upuri, ir nosūtīti palīdzības saņemšanai uz specializēto centru Eļbasani pilsētā, ko vada NVO </w:t>
      </w:r>
      <w:r w:rsidRPr="006B796E">
        <w:rPr>
          <w:rFonts w:ascii="Times New Roman" w:eastAsia="Times New Roman" w:hAnsi="Times New Roman" w:cs="Times New Roman"/>
          <w:i/>
          <w:iCs/>
          <w:sz w:val="24"/>
          <w:szCs w:val="24"/>
          <w:lang w:eastAsia="lv-LV"/>
        </w:rPr>
        <w:t>Tjetër Vizion</w:t>
      </w:r>
      <w:r w:rsidRPr="006B796E">
        <w:rPr>
          <w:rFonts w:ascii="Times New Roman" w:eastAsia="Times New Roman" w:hAnsi="Times New Roman" w:cs="Times New Roman"/>
          <w:sz w:val="24"/>
          <w:szCs w:val="24"/>
          <w:lang w:eastAsia="lv-LV"/>
        </w:rPr>
        <w:t xml:space="preserve">. Divu gadu laikā (2015–2016) </w:t>
      </w:r>
      <w:r w:rsidRPr="006B796E">
        <w:rPr>
          <w:rFonts w:ascii="Times New Roman" w:eastAsia="Times New Roman" w:hAnsi="Times New Roman" w:cs="Times New Roman"/>
          <w:i/>
          <w:iCs/>
          <w:sz w:val="24"/>
          <w:szCs w:val="24"/>
          <w:lang w:eastAsia="lv-LV"/>
        </w:rPr>
        <w:t>Tjetër Vizion</w:t>
      </w:r>
      <w:r w:rsidRPr="006B796E">
        <w:rPr>
          <w:rFonts w:ascii="Times New Roman" w:eastAsia="Times New Roman" w:hAnsi="Times New Roman" w:cs="Times New Roman"/>
          <w:sz w:val="24"/>
          <w:szCs w:val="24"/>
          <w:lang w:eastAsia="lv-LV"/>
        </w:rPr>
        <w:t xml:space="preserve"> mobilā grupa, kuras pienākums bija pārbaudīt situācijas, kurās iesaistīti ielu bērni, esot identificējusi 33 bērnus (vecumā no 3 līdz 17 gadiem), kas varētu būt </w:t>
      </w:r>
      <w:r w:rsidRPr="006B796E">
        <w:rPr>
          <w:rFonts w:ascii="Times New Roman" w:eastAsia="Times New Roman" w:hAnsi="Times New Roman" w:cs="Times New Roman"/>
          <w:sz w:val="24"/>
          <w:szCs w:val="24"/>
          <w:lang w:eastAsia="lv-LV"/>
        </w:rPr>
        <w:lastRenderedPageBreak/>
        <w:t>cilvēku tirdzniecības upuri.</w:t>
      </w:r>
      <w:r w:rsidR="00D94164">
        <w:rPr>
          <w:rStyle w:val="Vresatsauce"/>
          <w:rFonts w:ascii="Times New Roman" w:eastAsia="Times New Roman" w:hAnsi="Times New Roman" w:cs="Times New Roman"/>
          <w:sz w:val="24"/>
          <w:szCs w:val="24"/>
          <w:lang w:eastAsia="lv-LV"/>
        </w:rPr>
        <w:footnoteReference w:customMarkFollows="1" w:id="92"/>
        <w:t>91</w:t>
      </w:r>
    </w:p>
    <w:p w:rsidR="00D94164" w:rsidRPr="006B796E"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Starptautiskās organizācijas (tostarp EDSO), NVO un līdzekļu devēji, kas vēlas novērst cilvēku tirdzniecību un aizsargāt bērnus, kas jau kļuvuši par cilvēku tirdzniecības upuriem (jo īpaši no atkārtotas cilvēku tirdzniecības), kopīgi strādājuši, lai izveidotu un stiprinātu valsts vadītas bērnu aizsardzības sistēmas pašā Albānijā valsts un vietējā (pašvaldību) līmenī. Nozīmīga attīstība bija 2010. gadā, kad tika pieņemts </w:t>
      </w:r>
      <w:r w:rsidRPr="006B796E">
        <w:rPr>
          <w:rFonts w:ascii="Times New Roman" w:eastAsia="Times New Roman" w:hAnsi="Times New Roman" w:cs="Times New Roman"/>
          <w:i/>
          <w:iCs/>
          <w:sz w:val="24"/>
          <w:szCs w:val="24"/>
          <w:lang w:eastAsia="lv-LV"/>
        </w:rPr>
        <w:t>Darba protokols strādājošo bērnu aizsardzībai</w:t>
      </w:r>
      <w:r w:rsidR="00D94164">
        <w:rPr>
          <w:rStyle w:val="Vresatsauce"/>
          <w:rFonts w:ascii="Times New Roman" w:eastAsia="Times New Roman" w:hAnsi="Times New Roman" w:cs="Times New Roman"/>
          <w:i/>
          <w:iCs/>
          <w:sz w:val="24"/>
          <w:szCs w:val="24"/>
          <w:lang w:eastAsia="lv-LV"/>
        </w:rPr>
        <w:footnoteReference w:customMarkFollows="1" w:id="93"/>
        <w:t>92</w:t>
      </w:r>
      <w:r w:rsidRPr="006B796E">
        <w:rPr>
          <w:rFonts w:ascii="Times New Roman" w:eastAsia="Times New Roman" w:hAnsi="Times New Roman" w:cs="Times New Roman"/>
          <w:sz w:val="24"/>
          <w:szCs w:val="24"/>
          <w:lang w:eastAsia="lv-LV"/>
        </w:rPr>
        <w:t>, kurā tika definētas dažādu iestāžu, tostarp Valsts bērnu aizsardzības vienību (</w:t>
      </w:r>
      <w:r w:rsidRPr="006B796E">
        <w:rPr>
          <w:rFonts w:ascii="Times New Roman" w:eastAsia="Times New Roman" w:hAnsi="Times New Roman" w:cs="Times New Roman"/>
          <w:i/>
          <w:iCs/>
          <w:sz w:val="24"/>
          <w:szCs w:val="24"/>
          <w:lang w:eastAsia="lv-LV"/>
        </w:rPr>
        <w:t>CPU</w:t>
      </w:r>
      <w:r w:rsidRPr="006B796E">
        <w:rPr>
          <w:rFonts w:ascii="Times New Roman" w:eastAsia="Times New Roman" w:hAnsi="Times New Roman" w:cs="Times New Roman"/>
          <w:sz w:val="24"/>
          <w:szCs w:val="24"/>
          <w:lang w:eastAsia="lv-LV"/>
        </w:rPr>
        <w:t>), policijas, skolu personāla, veselības aprūpes speciālistu, valsts sociālo dienestu, pašvaldības iestāžu (municipalitāšu un komūnu) un NVO (dažas no kurām vada patvēruma vietas krīzes situācijās un citas izmitināšanas iestādes, kurās bērniem tiek sniegta alternatīvā aprūpe) lomas un pienākumi. Protokols paredz starpnozaru grupas pieeju, saskaņā ar kuru bērnu aizsardzības darbinieki cieši sadarbojas ar citu valsts iestāžu, kā arī NVO personālu. 2018. gada sākumā tika ziņots, ka valdība ir izstrādājusi vairākas nozarēm specifiskas politiskās nostādnes, lai aizstātu Darba protokolu.</w:t>
      </w:r>
    </w:p>
    <w:p w:rsidR="00D94164"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Starptautiskās organizācijas ir atbalstījušas Albānijas valdību, kas pārskatīja ielu bērnu neaizsargātību, proti, 2014. gada valsts pētījumā tika saskaitīti vairāk nekā 2500 ielu bērni, no kuriem trešdaļa tika uzskatīti par bērnu tirdzniecības domājamiem vai iespējamiem upuriem. Pamatojoties uz šiem konstatējumiem, EDSO pārstāvniecība Albānijā nolēma paplašināt savu pieeju, nodarbojoties ne tikai ar bērnu tirdzniecības novēršanu, bet arī ar valsts bērnu aizsardzības sistēmas stiprināšanu. Tā sadarbojās ar Bērnu tiesību aizsardzības valsts aģentūru, cilvēku tirdzniecības novēršanas nacionālo koordinatoru un Tirānas reģionālo policiju, lai sniegtu tehnisko pieredzi par to, kā uzlabot tiesību aktus bērnu tirdzniecības jomā, kā arī izstrādāt mērķtiecīgu politiku un rīcības plānus. Tā rezultātā 2014. gadā tika publicētas vairākas Vadlīnijas par ielu bērnu aizsardzību (jo īpaši vadlīnijas attiecībā uz šo bērnu identificēšanu, tūlītēju palīdzību un nodošanu iestādēm). Īstenojot šīs vadlīnijas, 2015. gadā tika izveidotas speciālistu grupas, kas nodarbojas ar ielu bērniem Tirānā un piecās citās pilsētās, un sniegta šo vadlīniju piemērošanas apmācība.</w:t>
      </w:r>
      <w:r w:rsidR="00D94164">
        <w:rPr>
          <w:rStyle w:val="Vresatsauce"/>
          <w:rFonts w:ascii="Times New Roman" w:eastAsia="Times New Roman" w:hAnsi="Times New Roman" w:cs="Times New Roman"/>
          <w:sz w:val="24"/>
          <w:szCs w:val="24"/>
          <w:lang w:eastAsia="lv-LV"/>
        </w:rPr>
        <w:footnoteReference w:customMarkFollows="1" w:id="94"/>
        <w:t>93</w:t>
      </w:r>
      <w:r w:rsidRPr="006B796E">
        <w:rPr>
          <w:rFonts w:ascii="Times New Roman" w:eastAsia="Times New Roman" w:hAnsi="Times New Roman" w:cs="Times New Roman"/>
          <w:sz w:val="24"/>
          <w:szCs w:val="24"/>
          <w:lang w:eastAsia="lv-LV"/>
        </w:rPr>
        <w:t xml:space="preserve"> Šīs grupas 2015. gadā esot identificējušas 15 bērnus, kas ir tirdzniecības upuri un ir izmantoti piespiedu ubagošanai un piespiedu </w:t>
      </w:r>
      <w:r w:rsidRPr="006B796E">
        <w:rPr>
          <w:rFonts w:ascii="Times New Roman" w:eastAsia="Times New Roman" w:hAnsi="Times New Roman" w:cs="Times New Roman"/>
          <w:sz w:val="24"/>
          <w:szCs w:val="24"/>
          <w:lang w:eastAsia="lv-LV"/>
        </w:rPr>
        <w:lastRenderedPageBreak/>
        <w:t>darbam.</w:t>
      </w:r>
      <w:r w:rsidR="00D94164">
        <w:rPr>
          <w:rStyle w:val="Vresatsauce"/>
          <w:rFonts w:ascii="Times New Roman" w:eastAsia="Times New Roman" w:hAnsi="Times New Roman" w:cs="Times New Roman"/>
          <w:sz w:val="24"/>
          <w:szCs w:val="24"/>
          <w:lang w:eastAsia="lv-LV"/>
        </w:rPr>
        <w:footnoteReference w:customMarkFollows="1" w:id="95"/>
        <w:t>94</w:t>
      </w:r>
      <w:r w:rsidRPr="006B796E">
        <w:rPr>
          <w:rFonts w:ascii="Times New Roman" w:eastAsia="Times New Roman" w:hAnsi="Times New Roman" w:cs="Times New Roman"/>
          <w:sz w:val="24"/>
          <w:szCs w:val="24"/>
          <w:lang w:eastAsia="lv-LV"/>
        </w:rPr>
        <w:t> 2016. gadā attiecīgo teritoriju mēri izstrādāja plānus, kā piemērot šīs vadlīnijas savās pašvaldībās. Tika ziņots, ka 2018. gada sākumā tiek gaidīts finansējums, lai šos plānus varētu īstenot.</w:t>
      </w:r>
      <w:r w:rsidR="00D94164">
        <w:rPr>
          <w:rStyle w:val="Vresatsauce"/>
          <w:rFonts w:ascii="Times New Roman" w:eastAsia="Times New Roman" w:hAnsi="Times New Roman" w:cs="Times New Roman"/>
          <w:sz w:val="24"/>
          <w:szCs w:val="24"/>
          <w:lang w:eastAsia="lv-LV"/>
        </w:rPr>
        <w:footnoteReference w:customMarkFollows="1" w:id="96"/>
        <w:t>95</w:t>
      </w:r>
    </w:p>
    <w:p w:rsidR="00D94164" w:rsidRPr="006B796E" w:rsidRDefault="00D94164"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Cits piemērs ir Bulgārija, kur 2004. un 2005. gadā ievērojams skaits Bulgārijas bērnu tika identificēti Austrijā, par daudziem no kuriem bija aizdomas, ka viņi veic noziegumus uz ielām. Tikai 2005. gadā vien vairāk nekā 600 Bulgārijas bērnu tika nosūtīti uz nepavadīto bērnu izmitināšanas centru Vīnē (sauktu par “</w:t>
      </w:r>
      <w:r w:rsidRPr="006B796E">
        <w:rPr>
          <w:rFonts w:ascii="Times New Roman" w:eastAsia="Times New Roman" w:hAnsi="Times New Roman" w:cs="Times New Roman"/>
          <w:i/>
          <w:iCs/>
          <w:sz w:val="24"/>
          <w:szCs w:val="24"/>
          <w:lang w:eastAsia="lv-LV"/>
        </w:rPr>
        <w:t>Drehscheibe</w:t>
      </w:r>
      <w:r w:rsidRPr="006B796E">
        <w:rPr>
          <w:rFonts w:ascii="Times New Roman" w:eastAsia="Times New Roman" w:hAnsi="Times New Roman" w:cs="Times New Roman"/>
          <w:sz w:val="24"/>
          <w:szCs w:val="24"/>
          <w:lang w:eastAsia="lv-LV"/>
        </w:rPr>
        <w:t>”, latviešu valodā – “pagriežamais galds”)</w:t>
      </w:r>
      <w:r w:rsidR="00283717">
        <w:rPr>
          <w:rStyle w:val="Vresatsauce"/>
          <w:rFonts w:ascii="Times New Roman" w:eastAsia="Times New Roman" w:hAnsi="Times New Roman" w:cs="Times New Roman"/>
          <w:sz w:val="24"/>
          <w:szCs w:val="24"/>
          <w:lang w:eastAsia="lv-LV"/>
        </w:rPr>
        <w:footnoteReference w:customMarkFollows="1" w:id="97"/>
        <w:t>96</w:t>
      </w:r>
      <w:r w:rsidRPr="006B796E">
        <w:rPr>
          <w:rFonts w:ascii="Times New Roman" w:eastAsia="Times New Roman" w:hAnsi="Times New Roman" w:cs="Times New Roman"/>
          <w:sz w:val="24"/>
          <w:szCs w:val="24"/>
          <w:lang w:eastAsia="lv-LV"/>
        </w:rPr>
        <w:t xml:space="preserve"> (pavisam minētajā gadā šajā centrā tika izmitināts 701 bērns). Tie bija samērā mazi bērni (no 2005. gadā nosūtītajiem bērniem 246 bērni bija jaunāki par 12 gadiem, lielākā daļa no tiem bija meitenes). Daudzi bija jaunāki par vecumu, ar kuru iestājas kriminālatbildība Austrijā, un viņus nevarēja nodot kriminālvajāšanai. Zīmīgi, skatoties uz to laiku no šodienas skatupunkta (ņemot vērā cilvēku tirdzniecībā cietušo pieaugušo un bērnu nesodīšanas principa pilnveidošanu), Austrijā oficiāli par cilvēku tirdzniecības upuriem tika identificēts mazs bērnu skaits. Tādējādi Austrijā un Bulgārijā veikto pasākumu dēļ līdz 2007. gadam uz </w:t>
      </w:r>
      <w:r w:rsidRPr="006B796E">
        <w:rPr>
          <w:rFonts w:ascii="Times New Roman" w:eastAsia="Times New Roman" w:hAnsi="Times New Roman" w:cs="Times New Roman"/>
          <w:i/>
          <w:iCs/>
          <w:sz w:val="24"/>
          <w:szCs w:val="24"/>
          <w:lang w:eastAsia="lv-LV"/>
        </w:rPr>
        <w:t>Drehscheibe</w:t>
      </w:r>
      <w:r w:rsidRPr="006B796E">
        <w:rPr>
          <w:rFonts w:ascii="Times New Roman" w:eastAsia="Times New Roman" w:hAnsi="Times New Roman" w:cs="Times New Roman"/>
          <w:sz w:val="24"/>
          <w:szCs w:val="24"/>
          <w:lang w:eastAsia="lv-LV"/>
        </w:rPr>
        <w:t xml:space="preserve"> centru nosūtīto nepavadīto bērnu skaits strauji saruka līdz 70.</w:t>
      </w:r>
      <w:r w:rsidR="00283717">
        <w:rPr>
          <w:rStyle w:val="Vresatsauce"/>
          <w:rFonts w:ascii="Times New Roman" w:eastAsia="Times New Roman" w:hAnsi="Times New Roman" w:cs="Times New Roman"/>
          <w:sz w:val="24"/>
          <w:szCs w:val="24"/>
          <w:lang w:eastAsia="lv-LV"/>
        </w:rPr>
        <w:footnoteReference w:customMarkFollows="1" w:id="98"/>
        <w:t>97</w:t>
      </w:r>
    </w:p>
    <w:p w:rsidR="00D94164" w:rsidRDefault="00D9416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Pamatpakalpojumi, kas bērniem tiek sniegti centrā “</w:t>
      </w:r>
      <w:r w:rsidRPr="006B796E">
        <w:rPr>
          <w:rFonts w:ascii="Times New Roman" w:eastAsia="Times New Roman" w:hAnsi="Times New Roman" w:cs="Times New Roman"/>
          <w:i/>
          <w:iCs/>
          <w:sz w:val="24"/>
          <w:szCs w:val="24"/>
          <w:lang w:eastAsia="lv-LV"/>
        </w:rPr>
        <w:t>Drehscheibe</w:t>
      </w:r>
      <w:r w:rsidRPr="006B796E">
        <w:rPr>
          <w:rFonts w:ascii="Times New Roman" w:eastAsia="Times New Roman" w:hAnsi="Times New Roman" w:cs="Times New Roman"/>
          <w:sz w:val="24"/>
          <w:szCs w:val="24"/>
          <w:lang w:eastAsia="lv-LV"/>
        </w:rPr>
        <w:t>”, ir ģimenes tipa aprūpe, veselības aprūpe (tostarp garīgās veselības aprūpe) un ar repatriāciju saistītie pakalpojumi (bērna reģistrācija, lai iegūtu identifikācijas dokumentus, nosūtīšana uz attiecīgo konsulātu vai vēstniecību, sociālā lietas apstākļu izpēte bērna izcelsmes valstī, bērna pavadīšana atpakaļ uz viņa izcelsmes valsti un sadarbība ar bērnu aizsardzības dienestiem izcelsmes valstī, lai uzraudzītu bērna stāvokli ik pēc diviem mēnešiem vismaz sešus mēnešus). “</w:t>
      </w:r>
      <w:r w:rsidRPr="006B796E">
        <w:rPr>
          <w:rFonts w:ascii="Times New Roman" w:eastAsia="Times New Roman" w:hAnsi="Times New Roman" w:cs="Times New Roman"/>
          <w:i/>
          <w:iCs/>
          <w:sz w:val="24"/>
          <w:szCs w:val="24"/>
          <w:lang w:eastAsia="lv-LV"/>
        </w:rPr>
        <w:t>Drehscheibe</w:t>
      </w:r>
      <w:r w:rsidRPr="006B796E">
        <w:rPr>
          <w:rFonts w:ascii="Times New Roman" w:eastAsia="Times New Roman" w:hAnsi="Times New Roman" w:cs="Times New Roman"/>
          <w:sz w:val="24"/>
          <w:szCs w:val="24"/>
          <w:lang w:eastAsia="lv-LV"/>
        </w:rPr>
        <w:t>” vadītājs ir likumīgais aizbildnis jaunievestajiem bērniem pirmajā nedēļā. Pēc astoņām dienām bērna lieta ir jānodod tiesai un jāieceļ cits pagaidu aizbildnis.</w:t>
      </w:r>
      <w:r w:rsidR="00283717">
        <w:rPr>
          <w:rStyle w:val="Vresatsauce"/>
          <w:rFonts w:ascii="Times New Roman" w:eastAsia="Times New Roman" w:hAnsi="Times New Roman" w:cs="Times New Roman"/>
          <w:sz w:val="24"/>
          <w:szCs w:val="24"/>
          <w:lang w:eastAsia="lv-LV"/>
        </w:rPr>
        <w:footnoteReference w:customMarkFollows="1" w:id="99"/>
        <w:t>98</w:t>
      </w:r>
    </w:p>
    <w:p w:rsidR="00283717"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Tas, ka uz “</w:t>
      </w:r>
      <w:r w:rsidRPr="006B796E">
        <w:rPr>
          <w:rFonts w:ascii="Times New Roman" w:eastAsia="Times New Roman" w:hAnsi="Times New Roman" w:cs="Times New Roman"/>
          <w:i/>
          <w:iCs/>
          <w:sz w:val="24"/>
          <w:szCs w:val="24"/>
          <w:lang w:eastAsia="lv-LV"/>
        </w:rPr>
        <w:t>Drehscheibe</w:t>
      </w:r>
      <w:r w:rsidRPr="006B796E">
        <w:rPr>
          <w:rFonts w:ascii="Times New Roman" w:eastAsia="Times New Roman" w:hAnsi="Times New Roman" w:cs="Times New Roman"/>
          <w:sz w:val="24"/>
          <w:szCs w:val="24"/>
          <w:lang w:eastAsia="lv-LV"/>
        </w:rPr>
        <w:t>” tiek nosūtīts liels skaits Bulgārijas bērnu, apvienojumā ar Vīnes centra vadītāju aizdomām, ka repatriētie bērni tiek nogādāti atpakaļ uz Austriju turpmākai naudas pelnīšanai, lika rīkoties, lai ierosinātu projektus un sadarbības nolīgumus ar Bulgāriju un Rumāniju un lai bērni, kas repatriēti uz šīm divām valstīm no Austrijas, saņemtu pienācīgu aprūpi un tiktu reintegrēti savā izcelsmes valstī.</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Uz Vīnes centru nosūtīto Bulgārijas bērnu īpatsvars no 2006. gada ir strauji krities, savukārt citu valstu bērnu skaits ir pieaudzis. Piemēram, 2013. gadā no 202 “</w:t>
      </w:r>
      <w:r w:rsidRPr="006B796E">
        <w:rPr>
          <w:rFonts w:ascii="Times New Roman" w:eastAsia="Times New Roman" w:hAnsi="Times New Roman" w:cs="Times New Roman"/>
          <w:i/>
          <w:iCs/>
          <w:sz w:val="24"/>
          <w:szCs w:val="24"/>
          <w:lang w:eastAsia="lv-LV"/>
        </w:rPr>
        <w:t>Drehscheibe</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sz w:val="24"/>
          <w:szCs w:val="24"/>
          <w:lang w:eastAsia="lv-LV"/>
        </w:rPr>
        <w:lastRenderedPageBreak/>
        <w:t>izmitinātajiem bērniem 63 bērni (gandrīz trešdaļa) bija no Bosnijas un Hercegovinas.</w:t>
      </w:r>
      <w:r w:rsidR="00283717">
        <w:rPr>
          <w:rStyle w:val="Vresatsauce"/>
          <w:rFonts w:ascii="Times New Roman" w:eastAsia="Times New Roman" w:hAnsi="Times New Roman" w:cs="Times New Roman"/>
          <w:sz w:val="24"/>
          <w:szCs w:val="24"/>
          <w:lang w:eastAsia="lv-LV"/>
        </w:rPr>
        <w:footnoteReference w:customMarkFollows="1" w:id="100"/>
        <w:t>99</w:t>
      </w:r>
    </w:p>
    <w:p w:rsidR="00283717" w:rsidRDefault="002837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r w:rsidRPr="002F1BEE">
        <w:rPr>
          <w:rFonts w:ascii="Times New Roman" w:eastAsia="Times New Roman" w:hAnsi="Times New Roman" w:cs="Times New Roman"/>
          <w:b/>
          <w:bCs/>
          <w:noProof/>
          <w:sz w:val="24"/>
          <w:szCs w:val="24"/>
          <w:lang w:eastAsia="lv-LV"/>
        </w:rPr>
        <w:lastRenderedPageBreak/>
        <w:drawing>
          <wp:inline distT="0" distB="0" distL="0" distR="0">
            <wp:extent cx="5760085" cy="768549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85" cy="7685490"/>
                    </a:xfrm>
                    <a:prstGeom prst="rect">
                      <a:avLst/>
                    </a:prstGeom>
                    <a:noFill/>
                    <a:ln>
                      <a:noFill/>
                    </a:ln>
                  </pic:spPr>
                </pic:pic>
              </a:graphicData>
            </a:graphic>
          </wp:inline>
        </w:drawing>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p>
    <w:p w:rsidR="00283717" w:rsidRDefault="00283717">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5.1. Lēmumu pieņemšanas principi – bērna intereses</w:t>
      </w:r>
    </w:p>
    <w:p w:rsidR="00283717" w:rsidRDefault="00283717"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5.1.1. Ko nozīmē “bērna intereses”?</w:t>
      </w:r>
    </w:p>
    <w:p w:rsidR="00283717"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Kā norādīts 2.1. sadaļā, BTK noteikts valstīm nodrošināt, ka bērna intereses ir primārais apsvērums visās darbībās (un lēmumos), kas attiecas uz bērniem un ko veic valsts vai privātās sociālās aprūpes iestādes vai citas struktūras, piemēram, tiesībaizsardzības vai imigrācijas iestādes.</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Reaģējot uz to, daudzās valstīs valsts līmeņa tiesību praksē ir izstrādāts bērna interešu jēdziens, lai arī dažas EDSO dalībvalstis vēl nav integrējušas šo jēdzienu savos tiesību aktos. Dažas valstis savos tiesību aktos vai noteikumos ir noteikušas, kādi faktori lēmuma pieņēmējiem ir jāņem vērā, novērtējot bērna intereses bērnu aizsardzības lietās. Piemēram, 2017. gadā Albānija pieņēma jaunu bērnu aizsardzības likumu (Likums Nr. 18/2017 par bērnu tiesībām un aizsardzību). Šajā likumā (6. pantā) apstiprināts, ka gan valsts, gan nevalstiskajām iestādēm un tiesai ir jānodrošina, ka darbībās, kas ietekmē konkrēto bērnu, primārajam apsvērumam ir jābūt bērna interesēm. Pretēji līdzīgiem likumiem daudzās citās valstīs, šajā likumā ir skaidri noteikti pieci jautājumi, kas jāņem vērā:</w:t>
      </w:r>
      <w:r w:rsidR="00283717">
        <w:rPr>
          <w:rStyle w:val="Vresatsauce"/>
          <w:rFonts w:ascii="Times New Roman" w:eastAsia="Times New Roman" w:hAnsi="Times New Roman" w:cs="Times New Roman"/>
          <w:sz w:val="24"/>
          <w:szCs w:val="24"/>
          <w:lang w:eastAsia="lv-LV"/>
        </w:rPr>
        <w:footnoteReference w:customMarkFollows="1" w:id="101"/>
        <w:t>100</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1"/>
      </w:tblGrid>
      <w:tr w:rsidR="00283717" w:rsidTr="00283717">
        <w:tc>
          <w:tcPr>
            <w:tcW w:w="9061" w:type="dxa"/>
            <w:shd w:val="clear" w:color="auto" w:fill="D9D9D9" w:themeFill="background1" w:themeFillShade="D9"/>
          </w:tcPr>
          <w:p w:rsidR="00283717" w:rsidRPr="006B796E" w:rsidRDefault="00283717" w:rsidP="00283717">
            <w:pPr>
              <w:widowControl w:val="0"/>
              <w:jc w:val="both"/>
              <w:rPr>
                <w:rFonts w:ascii="Times New Roman" w:eastAsia="Times New Roman" w:hAnsi="Times New Roman" w:cs="Times New Roman"/>
                <w:color w:val="231F20"/>
                <w:sz w:val="24"/>
                <w:szCs w:val="24"/>
                <w:lang w:eastAsia="lv-LV"/>
              </w:rPr>
            </w:pPr>
            <w:r w:rsidRPr="006B796E">
              <w:rPr>
                <w:rFonts w:ascii="Times New Roman" w:eastAsia="Times New Roman" w:hAnsi="Times New Roman" w:cs="Times New Roman"/>
                <w:color w:val="231F20"/>
                <w:sz w:val="24"/>
                <w:szCs w:val="24"/>
                <w:lang w:eastAsia="lv-LV"/>
              </w:rPr>
              <w:t>a) “vajadzība nodrošināt bērna fizisko un psiholoģisko attīstību, izglītību un veselību, drošību un ilgtspējību, kā arī augšanu ģimenē/piederību ģimenei;</w:t>
            </w:r>
          </w:p>
          <w:p w:rsidR="00283717" w:rsidRPr="006B796E" w:rsidRDefault="00283717" w:rsidP="00283717">
            <w:pPr>
              <w:widowControl w:val="0"/>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b) </w:t>
            </w:r>
            <w:r w:rsidRPr="006B796E">
              <w:rPr>
                <w:rFonts w:ascii="Times New Roman" w:eastAsia="Times New Roman" w:hAnsi="Times New Roman" w:cs="Times New Roman"/>
                <w:color w:val="231F20"/>
                <w:sz w:val="24"/>
                <w:szCs w:val="24"/>
                <w:lang w:eastAsia="lv-LV"/>
              </w:rPr>
              <w:t>bērna viedoklis, ņemot vērā bērna vecumu un briedumu;</w:t>
            </w:r>
          </w:p>
          <w:p w:rsidR="00283717" w:rsidRPr="006B796E" w:rsidRDefault="00283717" w:rsidP="00283717">
            <w:pPr>
              <w:widowControl w:val="0"/>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c) </w:t>
            </w:r>
            <w:r w:rsidRPr="006B796E">
              <w:rPr>
                <w:rFonts w:ascii="Times New Roman" w:eastAsia="Times New Roman" w:hAnsi="Times New Roman" w:cs="Times New Roman"/>
                <w:color w:val="231F20"/>
                <w:sz w:val="24"/>
                <w:szCs w:val="24"/>
                <w:lang w:eastAsia="lv-LV"/>
              </w:rPr>
              <w:t>bērna pagātne, ņemot vērā konkrēto situāciju, kādā bērns ir bijis pakļauts vardarbībai, nolaidībai, ekspluatācijai vai citu veidu vardarbībai, un iespējamais risks, ka šādas situācijas var atkārtoties nākotnē;</w:t>
            </w:r>
          </w:p>
          <w:p w:rsidR="00283717" w:rsidRPr="006B796E" w:rsidRDefault="00283717" w:rsidP="00283717">
            <w:pPr>
              <w:widowControl w:val="0"/>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d) </w:t>
            </w:r>
            <w:r w:rsidRPr="006B796E">
              <w:rPr>
                <w:rFonts w:ascii="Times New Roman" w:eastAsia="Times New Roman" w:hAnsi="Times New Roman" w:cs="Times New Roman"/>
                <w:color w:val="231F20"/>
                <w:sz w:val="24"/>
                <w:szCs w:val="24"/>
                <w:lang w:eastAsia="lv-LV"/>
              </w:rPr>
              <w:t>bērna vai personas, kas rūpējas par bērnu, spēja reaģēt uz bērna vajadzībām;</w:t>
            </w:r>
          </w:p>
          <w:p w:rsidR="00283717" w:rsidRPr="00283717" w:rsidRDefault="00283717" w:rsidP="006B796E">
            <w:pPr>
              <w:widowControl w:val="0"/>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e) </w:t>
            </w:r>
            <w:r w:rsidRPr="006B796E">
              <w:rPr>
                <w:rFonts w:ascii="Times New Roman" w:eastAsia="Times New Roman" w:hAnsi="Times New Roman" w:cs="Times New Roman"/>
                <w:color w:val="231F20"/>
                <w:sz w:val="24"/>
                <w:szCs w:val="24"/>
                <w:lang w:eastAsia="lv-LV"/>
              </w:rPr>
              <w:t>nozīme bērnam saglabāt nepārtrauktas personīgas attiecības ar personām, ar kurām viņam ir radniecības, sociālas un/vai dvēseliskas attiecības.”</w:t>
            </w:r>
          </w:p>
        </w:tc>
      </w:tr>
    </w:tbl>
    <w:p w:rsidR="00283717"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Krievijas Federācija parasti atsaucas uz “tiesībām un bērna likumīgajām interesēm”, jo īpaši savā Ģimenes kodeksā. Krievijas Federācijas 1998. gada 24. jūlija Federālajā likumā par bērnu tiesību pamatgarantijām</w:t>
      </w:r>
      <w:r w:rsidR="00283717">
        <w:rPr>
          <w:rStyle w:val="Vresatsauce"/>
          <w:rFonts w:ascii="Times New Roman" w:eastAsia="Times New Roman" w:hAnsi="Times New Roman" w:cs="Times New Roman"/>
          <w:sz w:val="24"/>
          <w:szCs w:val="24"/>
          <w:lang w:eastAsia="lv-LV"/>
        </w:rPr>
        <w:footnoteReference w:customMarkFollows="1" w:id="102"/>
        <w:t>101</w:t>
      </w:r>
      <w:r w:rsidRPr="006B796E">
        <w:rPr>
          <w:rFonts w:ascii="Times New Roman" w:eastAsia="Times New Roman" w:hAnsi="Times New Roman" w:cs="Times New Roman"/>
          <w:sz w:val="24"/>
          <w:szCs w:val="24"/>
          <w:lang w:eastAsia="lv-LV"/>
        </w:rPr>
        <w:t xml:space="preserve"> noteikts, ka “ar šo likumu tiek izveidotas Krievijas Federācijas Konstitūcijā paredzēto bērna tiesību un likumīgo interešu pamatgarantijas ar mērķi radīt juridiskos un sociālekonomiskos apstākļus bērna tiesību un likumīgo interešu īstenošanai”. Šīs tiesības ir sīkāk izklāstītas dažās pašvaldību teritorijās. Piemēram, Maskavas pilsētas 1997. gada 4. aprīļa Likumā par aizbildniecību, aizgādību un aprūpi audžuģimenē</w:t>
      </w:r>
      <w:r w:rsidR="00283717">
        <w:rPr>
          <w:rStyle w:val="Vresatsauce"/>
          <w:rFonts w:ascii="Times New Roman" w:eastAsia="Times New Roman" w:hAnsi="Times New Roman" w:cs="Times New Roman"/>
          <w:sz w:val="24"/>
          <w:szCs w:val="24"/>
          <w:lang w:eastAsia="lv-LV"/>
        </w:rPr>
        <w:footnoteReference w:customMarkFollows="1" w:id="103"/>
        <w:t>102</w:t>
      </w:r>
      <w:r w:rsidRPr="006B796E">
        <w:rPr>
          <w:rFonts w:ascii="Times New Roman" w:eastAsia="Times New Roman" w:hAnsi="Times New Roman" w:cs="Times New Roman"/>
          <w:sz w:val="24"/>
          <w:szCs w:val="24"/>
          <w:lang w:eastAsia="lv-LV"/>
        </w:rPr>
        <w:t xml:space="preserve"> norādīts, ka šīs intereses ir “bērna personisko nemateriālo tiesību un īpašumtiesību kopums un likumīgās intereses, kas nodrošina viņa normālu iztiku”. Tomēr šis jēdziens ir jāizstrādā sīkāk, piemēram, bērnu aizsardzības iestāžu vai tiesas likumos vai norādījumos, kas izskaidro, kā īstenot Bērnu tiesību komitejas ieteikumus attiecībā uz to, ka bērnam ir tiesības, lai viņa intereses būtu primārais apsvērums (Nr. 14).</w:t>
      </w:r>
      <w:r w:rsidR="00283717">
        <w:rPr>
          <w:rStyle w:val="Vresatsauce"/>
          <w:rFonts w:ascii="Times New Roman" w:eastAsia="Times New Roman" w:hAnsi="Times New Roman" w:cs="Times New Roman"/>
          <w:sz w:val="24"/>
          <w:szCs w:val="24"/>
          <w:lang w:eastAsia="lv-LV"/>
        </w:rPr>
        <w:footnoteReference w:customMarkFollows="1" w:id="104"/>
        <w:t>103</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5.1.2. Pamatprincipi</w:t>
      </w:r>
    </w:p>
    <w:p w:rsidR="00283717"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Bērnu tiesību komiteja 2017. gadā ir noteikusi un atkārtoti apstiprinājusi, ka nepavadītu un nošķirtu (tostarp bērnu tirdzniecībā cietušo) bērnu intereses jānovērtē un jānosaka ikreiz, kad valsts amatpersonas pieņem svarīgu lēmumu, kas ietekmē bērnu. Tā jo īpaši ir noteikusi, ka “pārvietota bērna gadījumā šis princips jāievēro visos pārvietošanas cikla posmos. Visos šajos posmos, sagatavojot lēmumu, kas būtiski iespaido nepavadīta vai nošķirta bērna dzīvi, ir jādokumentē viņa interešu izvērtēšana.”</w:t>
      </w:r>
      <w:r w:rsidR="00283717">
        <w:rPr>
          <w:rStyle w:val="Vresatsauce"/>
          <w:rFonts w:ascii="Times New Roman" w:eastAsia="Times New Roman" w:hAnsi="Times New Roman" w:cs="Times New Roman"/>
          <w:sz w:val="24"/>
          <w:szCs w:val="24"/>
          <w:lang w:eastAsia="lv-LV"/>
        </w:rPr>
        <w:footnoteReference w:customMarkFollows="1" w:id="105"/>
        <w:t>104</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“Bērna interešu novērtējums” ir novērtējums, kas tiek veikts, izvērtējot un līdzsvarojot visus elementus, kas nepieciešami, lai konkrētajā situācijā pieņemtu lēmumu attiecībā uz atsevišķu bērnu vai bērnu grupu. Dažās valstīs šādu novērtējumu sauc par “bērna aizsardzības novērtējumu”. Attiecībā uz bērniem, kas meklē patvērumu (kā bēgļi), bērna interešu novērtējumu “veic personāls attiecība uz atsevišķiem bērniem, izņemot tad, ja ir nepieciešama bērna interešu noteikšanas (</w:t>
      </w:r>
      <w:r w:rsidRPr="006B796E">
        <w:rPr>
          <w:rFonts w:ascii="Times New Roman" w:eastAsia="Times New Roman" w:hAnsi="Times New Roman" w:cs="Times New Roman"/>
          <w:i/>
          <w:iCs/>
          <w:sz w:val="24"/>
          <w:szCs w:val="24"/>
          <w:lang w:eastAsia="lv-LV"/>
        </w:rPr>
        <w:t>BID</w:t>
      </w:r>
      <w:r w:rsidRPr="006B796E">
        <w:rPr>
          <w:rFonts w:ascii="Times New Roman" w:eastAsia="Times New Roman" w:hAnsi="Times New Roman" w:cs="Times New Roman"/>
          <w:sz w:val="24"/>
          <w:szCs w:val="24"/>
          <w:lang w:eastAsia="lv-LV"/>
        </w:rPr>
        <w:t>) procedūra, kas izstrādāta, lai nodrošinātu, ka šāda rīcība ir primārs apsvērums bērna interesēs. Novērtējumu var veikt kompetents personāls viens pats vai apspriežoties ar citiem, un tajā ir jāpiedalās pašam bērnam.”</w:t>
      </w:r>
      <w:r w:rsidR="00283717">
        <w:rPr>
          <w:rStyle w:val="Vresatsauce"/>
          <w:rFonts w:ascii="Times New Roman" w:eastAsia="Times New Roman" w:hAnsi="Times New Roman" w:cs="Times New Roman"/>
          <w:sz w:val="24"/>
          <w:szCs w:val="24"/>
          <w:lang w:eastAsia="lv-LV"/>
        </w:rPr>
        <w:footnoteReference w:customMarkFollows="1" w:id="106"/>
        <w:t>105</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“Bērna interešu noteikšana” attiecībā uz bērnu, kas ir patvēruma meklētājs, ir “oficiāls process ar stingrām procesuālām garantijām, kas izstrādāts, lai noteiktu bērna intereses attiecībā uz konkrētiem svarīgiem lēmumiem, kas ietekmē bērnu. Šim procesam jāveicina bērna pienācīga līdzdalība bez diskriminācijas, jāiesaista lēmuma pieņēmēji, kas ir kompetenti attiecīgajās jomās, un jālīdzsvaro visi attiecīgie faktori, lai novērtētu labāko iespēju.”</w:t>
      </w:r>
      <w:r w:rsidR="00283717">
        <w:rPr>
          <w:rStyle w:val="Vresatsauce"/>
          <w:rFonts w:ascii="Times New Roman" w:eastAsia="Times New Roman" w:hAnsi="Times New Roman" w:cs="Times New Roman"/>
          <w:sz w:val="24"/>
          <w:szCs w:val="24"/>
          <w:lang w:eastAsia="lv-LV"/>
        </w:rPr>
        <w:footnoteReference w:customMarkFollows="1" w:id="107"/>
        <w:t>106</w:t>
      </w:r>
      <w:r w:rsidRPr="006B796E">
        <w:rPr>
          <w:rFonts w:ascii="Times New Roman" w:eastAsia="Times New Roman" w:hAnsi="Times New Roman" w:cs="Times New Roman"/>
          <w:sz w:val="24"/>
          <w:szCs w:val="24"/>
          <w:lang w:eastAsia="lv-LV"/>
        </w:rPr>
        <w:t> Šāda noteikšana ir jāveic katrā atsevišķā gadījumā un ņemot vērā konkrētos katra bērna vai bērnu grupas apstākļus, tostarp vecumu, dzimumu, brieduma pakāpi, vai bērns(-i) pieder kādai minoritāšu grupai un kādā sociālā un kultūras kontekstā bērns(-i) sevi identificē.</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Bērnu tiesību komiteja nesen (2017) kopā ar Visu migrējošo darba ņēmēju un viņu ģimenes locekļu tiesību aizsardzības komiteju sagatavoja Kopīgu vispārējo komentāru, kurā sniedza sīkākus ieteikumus (32. punkts).</w:t>
      </w:r>
      <w:r w:rsidR="00283717">
        <w:rPr>
          <w:rStyle w:val="Vresatsauce"/>
          <w:rFonts w:ascii="Times New Roman" w:eastAsia="Times New Roman" w:hAnsi="Times New Roman" w:cs="Times New Roman"/>
          <w:sz w:val="24"/>
          <w:szCs w:val="24"/>
          <w:lang w:eastAsia="lv-LV"/>
        </w:rPr>
        <w:footnoteReference w:customMarkFollows="1" w:id="108"/>
        <w:t>107</w:t>
      </w:r>
      <w:r w:rsidRPr="006B796E">
        <w:rPr>
          <w:rFonts w:ascii="Times New Roman" w:eastAsia="Times New Roman" w:hAnsi="Times New Roman" w:cs="Times New Roman"/>
          <w:sz w:val="24"/>
          <w:szCs w:val="24"/>
          <w:lang w:eastAsia="lv-LV"/>
        </w:rPr>
        <w:t> Abas komitejas sniedza komentārus par to, kādas, viņuprāt, procedūras ir jāizstrādā, lai nodrošinātu, ka bērna interešu princips tiek pienācīgi integrēts, saskanīgi interpretēts un piemērots. Punkts, kurā šīs procedūras ir aprakstītas, ir pilnībā citēts turpmāk I pielikumā.</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5.2. Lēmuma mērķis – noteikt visaptverošu, drošu un ilgtspējīgu risinājumu (t. i., pastāvīgu risinājumu) bērna interesēs</w:t>
      </w:r>
    </w:p>
    <w:p w:rsidR="00283717" w:rsidRDefault="00283717"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UNHCR</w:t>
      </w:r>
      <w:r w:rsidRPr="006B796E">
        <w:rPr>
          <w:rFonts w:ascii="Times New Roman" w:eastAsia="Times New Roman" w:hAnsi="Times New Roman" w:cs="Times New Roman"/>
          <w:sz w:val="24"/>
          <w:szCs w:val="24"/>
          <w:lang w:eastAsia="lv-LV"/>
        </w:rPr>
        <w:t xml:space="preserve"> un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ir izskaidrojušas, kas ir “pastāvīgs risinājums” attiecībā uz nepavadītu vai nošķirtu bērnu, norādot, ka:</w:t>
      </w:r>
    </w:p>
    <w:p w:rsidR="00283717" w:rsidRPr="006B796E" w:rsidRDefault="0028371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“pastāvīgs risinājums ir tāds ilgtermiņa risinājums, kas nodrošina, ka bez pavadības nepilngadīgais vai no vecākiem nošķirtais bērns var attīstīties par pieaugušo tādā vidē, kurā tiek </w:t>
      </w:r>
      <w:r w:rsidRPr="006B796E">
        <w:rPr>
          <w:rFonts w:ascii="Times New Roman" w:eastAsia="Times New Roman" w:hAnsi="Times New Roman" w:cs="Times New Roman"/>
          <w:sz w:val="24"/>
          <w:szCs w:val="24"/>
          <w:lang w:eastAsia="lv-LV"/>
        </w:rPr>
        <w:lastRenderedPageBreak/>
        <w:t>ievērotas bērna vajadzības un īstenotas BTK paredzētās tiesības, kā arī nepastāv vajāšanas un būtiska kaitējuma risks. Tā kā pastāvīgajam risinājumam būs ilgtermiņa ietekme uz bez pavadības nepilngadīgo vai no vecākiem nošķirto bērnu, tam būs jāveic LIN [labāko interešu noteikšana]. Pastāvīgs risinājums arī ļauj bērnam galu galā pirmoreiz vai atkārtoti iegūt pilnu valsts aizsardzību.”</w:t>
      </w:r>
      <w:r w:rsidR="00595B0B">
        <w:rPr>
          <w:rStyle w:val="Vresatsauce"/>
          <w:rFonts w:ascii="Times New Roman" w:eastAsia="Times New Roman" w:hAnsi="Times New Roman" w:cs="Times New Roman"/>
          <w:sz w:val="24"/>
          <w:szCs w:val="24"/>
          <w:lang w:eastAsia="lv-LV"/>
        </w:rPr>
        <w:footnoteReference w:customMarkFollows="1" w:id="109"/>
        <w:t>108</w:t>
      </w:r>
    </w:p>
    <w:p w:rsidR="00595B0B" w:rsidRPr="006B796E"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2006. gada Vadlīnijās par to bērnu aizsardzību, kas ir cilvēku tirdzniecības upuri, ir uzskaitītas trīs pastāvīgu risinājumu pamatiespējas – bērna, kas ir cilvēku tirdzniecības upuris, integrēšana uz vietas, atpakaļnosūtīšana uz izcelsmes valsti vai pārmitināšana trešā valstī (trešā iespēja esot visai reta). Praksē, lai risinājums būtu ilgtspējīgs, ir jāizpilda vismaz minimālie standarti. Jo īpaši:</w:t>
      </w:r>
    </w:p>
    <w:p w:rsidR="00595B0B"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attiecīgajam bērnam jānodrošina aprūpes nepārtrauktība (bērnu nododot no vienas aprūpes iestādes uz citu vai no vienas valsts uz citu, ja bērnu pārvieto no vienas valsts uz citu);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bērnam visu laiku ir jānodrošina droša vide;</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bērnam ir jāļauj attīstīt stabilas sociālās attiecības, un</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 xml:space="preserve">&gt; </w:t>
      </w:r>
      <w:r w:rsidRPr="006B796E">
        <w:rPr>
          <w:rFonts w:ascii="Times New Roman" w:eastAsia="Times New Roman" w:hAnsi="Times New Roman" w:cs="Times New Roman"/>
          <w:sz w:val="24"/>
          <w:szCs w:val="24"/>
          <w:lang w:eastAsia="lv-LV"/>
        </w:rPr>
        <w:t>bērnam ir jāļauj attīstīt nākotnes plānus.</w:t>
      </w:r>
    </w:p>
    <w:p w:rsidR="00595B0B"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Šie standarti ir vienlīdz piemērojami arī bērnam, kas kļuvis par cilvēku tirdzniecības upuri savā izcelsmes valstī. Dažas valdības ir apšaubījušas, vai pastāvīgam risinājumam būtu jārada sekas bērnam pēc viņa pilngadības sasniegšanas, un devušas priekšroku pagaidu risinājumiem, kas ir spēkā tikai līdz bērna 18 gadu vecuma sasniegšanai. Šāda pieeja, šķiet, izraisa nedrošības sajūtu, kas būtu jo īpaši nepieļaujama bērniem, kas ir cilvēku tirdzniecības upuri. Eksperts no kādas valsts, kurā daudzi lēmumi par nepavadītu bērnu imigrācijas statusu ir spēkā tikai līdz bērna 18 gadu vecuma sasniegšanai, komentējis, ka “tas, ka bērnam, kas ir cilvēku tirdzniecības upuris, tiek ļauts vienkārši palikt valstī ar vai bez uzturēšanās atļaujas, līdz viņš sasniedz 18 gadu vecumu, nav pastāvīgs risinājums un, visticamāk, nenodrošina viņa fizisko un psiholoģiski sociālo atlabšanu, kā to nosaka ES Cilvēku tirdzniecības novēršanas direktīvas 14. panta 1. punkts”.</w:t>
      </w:r>
      <w:r w:rsidR="00595B0B">
        <w:rPr>
          <w:rStyle w:val="Vresatsauce"/>
          <w:rFonts w:ascii="Times New Roman" w:eastAsia="Times New Roman" w:hAnsi="Times New Roman" w:cs="Times New Roman"/>
          <w:sz w:val="24"/>
          <w:szCs w:val="24"/>
          <w:lang w:eastAsia="lv-LV"/>
        </w:rPr>
        <w:footnoteReference w:customMarkFollows="1" w:id="110"/>
        <w:t>109</w:t>
      </w:r>
    </w:p>
    <w:p w:rsidR="00595B0B" w:rsidRDefault="00595B0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5.3. Mainīt veidu, kā tiek pieņemti lēmumi un kādi kritēriji tiek ņemti vērā</w:t>
      </w:r>
    </w:p>
    <w:p w:rsidR="00595B0B"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Ziņas par to, kurš pieņem lēmumus par nepavadītiem bērniem, kas kļuvuši par cilvēku tirdzniecības upuriem, bieži vien netiek atklātas, jo īpaši valsts imigrācijas iestādes relatīvā ietekme pretstatā valsts bērnu aizsardzības iestādes ietekmei.</w:t>
      </w:r>
      <w:r w:rsidR="00595B0B">
        <w:rPr>
          <w:rStyle w:val="Vresatsauce"/>
          <w:rFonts w:ascii="Times New Roman" w:eastAsia="Times New Roman" w:hAnsi="Times New Roman" w:cs="Times New Roman"/>
          <w:sz w:val="24"/>
          <w:szCs w:val="24"/>
          <w:lang w:eastAsia="lv-LV"/>
        </w:rPr>
        <w:footnoteReference w:customMarkFollows="1" w:id="111"/>
        <w:t>110</w:t>
      </w:r>
    </w:p>
    <w:p w:rsidR="00595B0B" w:rsidRPr="006B796E"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5.3.1. Lēmumi par bērna nošķiršanu no vecāku aprūpes</w:t>
      </w:r>
    </w:p>
    <w:p w:rsidR="00595B0B"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Lēmumus nošķirt bērnu no saviem vecākiem, aizbildņa vai ierastā aprūpētāja un ievietot viņu alternatīvā aprūpes iestādē, ja ir aizdomas par cilvēku tirdzniecību, tiesas pieņem daudzās valstīs, taču novērtējums, pamatojoties uz kuru tiek pieņemti šādi lēmumi, parasti ir valsts bērnu aizsardzības iestādes sociālo darbinieku atbildība. Tā kā bieži vien pirmie, kas nonāk saskarē </w:t>
      </w:r>
      <w:r w:rsidRPr="006B796E">
        <w:rPr>
          <w:rFonts w:ascii="Times New Roman" w:eastAsia="Times New Roman" w:hAnsi="Times New Roman" w:cs="Times New Roman"/>
          <w:sz w:val="24"/>
          <w:szCs w:val="24"/>
          <w:lang w:eastAsia="lv-LV"/>
        </w:rPr>
        <w:lastRenderedPageBreak/>
        <w:t>ar cietušo bērnu vai liecinieku, ir tiesībsargājošo iestāžu amatpersonas, nevis bērnu aizsardzības speciālisti, ir svarīgi, lai dažādas iestādes, kurām ir jāiesaistās, būtu noslēgušas oficiālas vienošanās (protokolus). Piemēram, Losandželosas apgabalā Bērnu un ģimenes dienestu departaments (</w:t>
      </w:r>
      <w:r w:rsidRPr="006B796E">
        <w:rPr>
          <w:rFonts w:ascii="Times New Roman" w:eastAsia="Times New Roman" w:hAnsi="Times New Roman" w:cs="Times New Roman"/>
          <w:i/>
          <w:iCs/>
          <w:sz w:val="24"/>
          <w:szCs w:val="24"/>
          <w:lang w:eastAsia="lv-LV"/>
        </w:rPr>
        <w:t>DCFS</w:t>
      </w:r>
      <w:r w:rsidRPr="006B796E">
        <w:rPr>
          <w:rFonts w:ascii="Times New Roman" w:eastAsia="Times New Roman" w:hAnsi="Times New Roman" w:cs="Times New Roman"/>
          <w:sz w:val="24"/>
          <w:szCs w:val="24"/>
          <w:lang w:eastAsia="lv-LV"/>
        </w:rPr>
        <w:t xml:space="preserve">) nodrošina bērnu aizsardzības uzticības tālruni. Ja tiek saņemts ticams ziņojums par bērna seksuālu izmantošanu (neatkarīgi no tā, vai viņš ir vai nav cilvēku tirdzniecības upuris), </w:t>
      </w:r>
      <w:r w:rsidRPr="006B796E">
        <w:rPr>
          <w:rFonts w:ascii="Times New Roman" w:eastAsia="Times New Roman" w:hAnsi="Times New Roman" w:cs="Times New Roman"/>
          <w:i/>
          <w:iCs/>
          <w:sz w:val="24"/>
          <w:szCs w:val="24"/>
          <w:lang w:eastAsia="lv-LV"/>
        </w:rPr>
        <w:t>DCFS</w:t>
      </w:r>
      <w:r w:rsidRPr="006B796E">
        <w:rPr>
          <w:rFonts w:ascii="Times New Roman" w:eastAsia="Times New Roman" w:hAnsi="Times New Roman" w:cs="Times New Roman"/>
          <w:sz w:val="24"/>
          <w:szCs w:val="24"/>
          <w:lang w:eastAsia="lv-LV"/>
        </w:rPr>
        <w:t xml:space="preserve"> pienākums ir sasaukt vairāku iestāžu reaģēšanas grupu, kas izmeklē apgalvojumus par vardarbību pret bērnu, un vadīt daudznozaru grupas (</w:t>
      </w:r>
      <w:r w:rsidRPr="006B796E">
        <w:rPr>
          <w:rFonts w:ascii="Times New Roman" w:eastAsia="Times New Roman" w:hAnsi="Times New Roman" w:cs="Times New Roman"/>
          <w:i/>
          <w:iCs/>
          <w:sz w:val="24"/>
          <w:szCs w:val="24"/>
          <w:lang w:eastAsia="lv-LV"/>
        </w:rPr>
        <w:t>MDT</w:t>
      </w:r>
      <w:r w:rsidRPr="006B796E">
        <w:rPr>
          <w:rFonts w:ascii="Times New Roman" w:eastAsia="Times New Roman" w:hAnsi="Times New Roman" w:cs="Times New Roman"/>
          <w:sz w:val="24"/>
          <w:szCs w:val="24"/>
          <w:lang w:eastAsia="lv-LV"/>
        </w:rPr>
        <w:t>) sanāksmi. Sanāksmē ir jānosaka, kur izvietot bērnu, jāizstrādā sākotnējais drošības pasākumu plāns un jāizplāno bērna medicīniskās un garīgās veselības izvērtēšana.</w:t>
      </w:r>
      <w:r w:rsidR="00595B0B">
        <w:rPr>
          <w:rStyle w:val="Vresatsauce"/>
          <w:rFonts w:ascii="Times New Roman" w:eastAsia="Times New Roman" w:hAnsi="Times New Roman" w:cs="Times New Roman"/>
          <w:sz w:val="24"/>
          <w:szCs w:val="24"/>
          <w:lang w:eastAsia="lv-LV"/>
        </w:rPr>
        <w:footnoteReference w:customMarkFollows="1" w:id="112"/>
        <w:t>111</w:t>
      </w:r>
      <w:r w:rsidRPr="006B796E">
        <w:rPr>
          <w:rFonts w:ascii="Times New Roman" w:eastAsia="Times New Roman" w:hAnsi="Times New Roman" w:cs="Times New Roman"/>
          <w:sz w:val="24"/>
          <w:szCs w:val="24"/>
          <w:lang w:eastAsia="lv-LV"/>
        </w:rPr>
        <w:t> Alternatīvās aprūpes iespējas ir arī aprūpe audžuģimenē.</w:t>
      </w:r>
    </w:p>
    <w:p w:rsidR="00595B0B" w:rsidRDefault="00595B0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5.3.2. Bērna interešu ieviešana attiecīgajos noteikumos</w:t>
      </w:r>
    </w:p>
    <w:p w:rsidR="00595B0B"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Vairākās Rumānijas politiskajās nostādnēs ir uzsvērts, ka amatpersonām, rīkojoties un pieņemot lēmumus, kas skar bērnus, kuri ir cilvēku tirdzniecības upuri, primārajam apsvērumam ir jābūt bērna interesēm.</w:t>
      </w:r>
      <w:r w:rsidR="00595B0B">
        <w:rPr>
          <w:rStyle w:val="Vresatsauce"/>
          <w:rFonts w:ascii="Times New Roman" w:eastAsia="Times New Roman" w:hAnsi="Times New Roman" w:cs="Times New Roman"/>
          <w:sz w:val="24"/>
          <w:szCs w:val="24"/>
          <w:lang w:eastAsia="lv-LV"/>
        </w:rPr>
        <w:footnoteReference w:customMarkFollows="1" w:id="113"/>
        <w:t>112</w:t>
      </w:r>
      <w:r w:rsidRPr="006B796E">
        <w:rPr>
          <w:rFonts w:ascii="Times New Roman" w:eastAsia="Times New Roman" w:hAnsi="Times New Roman" w:cs="Times New Roman"/>
          <w:sz w:val="24"/>
          <w:szCs w:val="24"/>
          <w:lang w:eastAsia="lv-LV"/>
        </w:rPr>
        <w:t> 2016. gadā Rumānija, atbildot uz EDSO apsekojumu par EDSO centienu un ieteikumu īstenošanu saistībā ar cilvēku tirdzniecības novēršanu, apstiprināja, ka bērna intereses “ir prioritārākas par bērna vecāku, likumīgo aizbildņu vai citu par bērnu juridiski atbildīgo personu tiesībām un pienākumiem”.</w:t>
      </w:r>
      <w:r w:rsidR="0082247B">
        <w:rPr>
          <w:rStyle w:val="Vresatsauce"/>
          <w:rFonts w:ascii="Times New Roman" w:eastAsia="Times New Roman" w:hAnsi="Times New Roman" w:cs="Times New Roman"/>
          <w:sz w:val="24"/>
          <w:szCs w:val="24"/>
          <w:lang w:eastAsia="lv-LV"/>
        </w:rPr>
        <w:footnoteReference w:customMarkFollows="1" w:id="114"/>
        <w:t>113</w:t>
      </w:r>
    </w:p>
    <w:p w:rsidR="00595B0B" w:rsidRPr="006B796E"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Tajā ir skaidrots, ka attiecīgie kritēriji ir šādi:</w:t>
      </w:r>
    </w:p>
    <w:p w:rsidR="00595B0B" w:rsidRPr="006B796E" w:rsidRDefault="00595B0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 “attīstības vajadzības – fiziskās, psiholoģiskās, izglītības un veselības, drošības un stabilitātes vajadzības un piederība ģimenei;</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 bērna viedoklis atkarībā no vecuma un brieduma pakāpes;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3. bērna vēsture, jo īpaši izvērtējot situācijas saistībā ar vardarbību, nevērīgu izturēšanos, ekspluatāciju, citu veidu vardarbību, un iespējamās riska situācijas, kas var rasties nākotnē;</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4. vecāku vai aizbildņu spēja nodrošināt konkrētas vajadzības;</w:t>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5. personīgu attiecību uzturēšana ar cilvēkiem, ar kuriem bērns ir izveidojis saikni.”</w:t>
      </w:r>
    </w:p>
    <w:p w:rsidR="0082247B" w:rsidRPr="006B796E" w:rsidRDefault="0082247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5.3.3. Praktiski piemēri</w:t>
      </w:r>
    </w:p>
    <w:p w:rsidR="0082247B" w:rsidRDefault="0082247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Šķiet loģiski, ka valstu daudzpusējiem un divpusējiem nolīgumiem jābūt tai vietai, kur valdības izsaka savu apņēmību ievērot konkrētus principus un procedūras saistībā ar bērniem, kas kļuvuši par cilvēku tirdzniecības upuriem vai nonākuši grūtībās citā valstī. Bet valstij ir arī iespēja rīkoties pašai, tas ir, izvēlēties ieviest bērna interešu izskatīšanu savā lēmumu pieņemšanas procesā, kad tiek ziņots, ka bērns no šīs valsts ir identificēts citā valstī, kuras iestādes ir nolēmušas, ka bērns jārepatriē. Labs piemērs tam ir Moldovas Republika. 2008. gadā tā uzsāka reformu virkni, kuru augstākā virsotne bija 2013. gadā pieņemtais jaunais likums, kas </w:t>
      </w:r>
      <w:r w:rsidRPr="006B796E">
        <w:rPr>
          <w:rFonts w:ascii="Times New Roman" w:eastAsia="Times New Roman" w:hAnsi="Times New Roman" w:cs="Times New Roman"/>
          <w:sz w:val="24"/>
          <w:szCs w:val="24"/>
          <w:lang w:eastAsia="lv-LV"/>
        </w:rPr>
        <w:lastRenderedPageBreak/>
        <w:t>garantēja, ka Moldovas iestādes ievēros ārvalstīs identificēto Moldovas bērnu pamattiesības, kad tiek izvērtēta iespējamā repatriācija, jo īpaši, ka lēmumos, kas skar bērnu, atsevišķa bērna interesēm būtu jābūt primārajam apsvērumam.</w:t>
      </w:r>
    </w:p>
    <w:p w:rsidR="0082247B" w:rsidRPr="006B796E" w:rsidRDefault="0082247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2000. gadu sākumā katru gadu no citām valstīm atpakaļ uz Moldovu tika sūtīti daudzi Moldovas bērni, kas bija kļuvuši par cilvēku tirdzniecības upuriem</w:t>
      </w:r>
      <w:r w:rsidR="0082247B">
        <w:rPr>
          <w:rStyle w:val="Vresatsauce"/>
          <w:rFonts w:ascii="Times New Roman" w:eastAsia="Times New Roman" w:hAnsi="Times New Roman" w:cs="Times New Roman"/>
          <w:sz w:val="24"/>
          <w:szCs w:val="24"/>
          <w:lang w:eastAsia="lv-LV"/>
        </w:rPr>
        <w:footnoteReference w:customMarkFollows="1" w:id="115"/>
        <w:t>114</w:t>
      </w:r>
      <w:r w:rsidRPr="006B796E">
        <w:rPr>
          <w:rFonts w:ascii="Times New Roman" w:eastAsia="Times New Roman" w:hAnsi="Times New Roman" w:cs="Times New Roman"/>
          <w:sz w:val="24"/>
          <w:szCs w:val="24"/>
          <w:lang w:eastAsia="lv-LV"/>
        </w:rPr>
        <w:t>, lai arī nav bijis oficiāli izstrādāta lēmumu pieņemšanas procesa, kurā bērna intereses tiktu skaidri ņemtas vērā, un arī ar pašiem bērniem nenotika apspriešanās par to, vai viņi vēlas atgriezties (lai arī daži bērni bija jau 16 vai 17 gadus veci).</w:t>
      </w:r>
    </w:p>
    <w:p w:rsidR="0082247B" w:rsidRPr="006B796E" w:rsidRDefault="0082247B"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Ar Moldovas valdības 2008. gada 7. augusta Lēmumu Nr. 948 tika apstiprināti Noteikumi par cilvēku tirdzniecības upuru (pieaugušo un bērnu) un nelikumīgi ievestu migrantu, kā arī nepavadītu bērnu repatriēšanas procedūru.</w:t>
      </w:r>
      <w:r w:rsidR="0082247B">
        <w:rPr>
          <w:rStyle w:val="Vresatsauce"/>
          <w:rFonts w:ascii="Times New Roman" w:eastAsia="Times New Roman" w:hAnsi="Times New Roman" w:cs="Times New Roman"/>
          <w:sz w:val="24"/>
          <w:szCs w:val="24"/>
          <w:lang w:eastAsia="lv-LV"/>
        </w:rPr>
        <w:footnoteReference w:customMarkFollows="1" w:id="116"/>
        <w:t>115</w:t>
      </w:r>
      <w:r w:rsidRPr="006B796E">
        <w:rPr>
          <w:rFonts w:ascii="Times New Roman" w:eastAsia="Times New Roman" w:hAnsi="Times New Roman" w:cs="Times New Roman"/>
          <w:sz w:val="24"/>
          <w:szCs w:val="24"/>
          <w:lang w:eastAsia="lv-LV"/>
        </w:rPr>
        <w:t> Ar to tika izveidota jauna standartu un procedūru kopa, kas iestādēm ir jāievēro un kas tuvinājās valsts juridiskajām saistībām, ko tā uzņēmusies saskaņā ar BTK.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apkopoja šo noteikumu normas savā 2011. gada ziņojumā par Moldovu:</w:t>
      </w:r>
    </w:p>
    <w:p w:rsidR="0082247B" w:rsidRPr="006B796E" w:rsidRDefault="0082247B"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“Minētie noteikumi paredz procedūru, kas jāievēro par repatriāciju atbildīgajām iestādēm. Tie ietver vispārīgos principus, kas piemērojami repatriācijai, kārtību, kādā notiek sadarbība ar nosūtītājas valsts iestādēm, īpašas procedūras saistībā ar bērnu repatriāciju un rehabilitāciju un pieaugušo repatriācijas un rehabilitācijas procedūras. Saskaņā ar šiem noteikumiem – tiklīdz ir saņemta informācija par Moldāvijas cilvēku tirdzniecības upura, nelegālā migranta vai nepavadīta bērna atrašanos ārvalstī, iestādēm jāinformē [Moldāvijas] Darba, sociālās aizsardzības un ģimenes lietu ministrija (DSAĢM), kas atbild par repatriācijas procedūru. Pēc risku novērtējuma pabeigšanas DSAĢM sadarbībā ar Iekšlietu ministriju, Robežapsardzes dienestu un Veselības ministriju īsteno repatriāciju. Pēc upura atpakaļnosūtīšanas uz Moldovas Republiku tiek novērtētas viņa vajadzības un tiek sniegta saskaņā ar </w:t>
      </w:r>
      <w:r w:rsidRPr="006B796E">
        <w:rPr>
          <w:rFonts w:ascii="Times New Roman" w:eastAsia="Times New Roman" w:hAnsi="Times New Roman" w:cs="Times New Roman"/>
          <w:i/>
          <w:iCs/>
          <w:sz w:val="24"/>
          <w:szCs w:val="24"/>
          <w:lang w:eastAsia="lv-LV"/>
        </w:rPr>
        <w:t>NRS</w:t>
      </w:r>
      <w:r w:rsidRPr="006B796E">
        <w:rPr>
          <w:rFonts w:ascii="Times New Roman" w:eastAsia="Times New Roman" w:hAnsi="Times New Roman" w:cs="Times New Roman"/>
          <w:sz w:val="24"/>
          <w:szCs w:val="24"/>
          <w:lang w:eastAsia="lv-LV"/>
        </w:rPr>
        <w:t xml:space="preserve"> [nacionālo nosūtīšanas sistēmu] paredzētā palīdzība un aizsardzība. Moldovas iestādes ir uzsvērušas, cik nozīmīga ir bijusi </w:t>
      </w:r>
      <w:r w:rsidRPr="006B796E">
        <w:rPr>
          <w:rFonts w:ascii="Times New Roman" w:eastAsia="Times New Roman" w:hAnsi="Times New Roman" w:cs="Times New Roman"/>
          <w:i/>
          <w:iCs/>
          <w:sz w:val="24"/>
          <w:szCs w:val="24"/>
          <w:lang w:eastAsia="lv-LV"/>
        </w:rPr>
        <w:t>IOM</w:t>
      </w:r>
      <w:r w:rsidRPr="006B796E">
        <w:rPr>
          <w:rFonts w:ascii="Times New Roman" w:eastAsia="Times New Roman" w:hAnsi="Times New Roman" w:cs="Times New Roman"/>
          <w:sz w:val="24"/>
          <w:szCs w:val="24"/>
          <w:lang w:eastAsia="lv-LV"/>
        </w:rPr>
        <w:t xml:space="preserve"> [Starptautiskā Migrācijas organizācija] un “</w:t>
      </w:r>
      <w:r w:rsidRPr="006B796E">
        <w:rPr>
          <w:rFonts w:ascii="Times New Roman" w:eastAsia="Times New Roman" w:hAnsi="Times New Roman" w:cs="Times New Roman"/>
          <w:i/>
          <w:iCs/>
          <w:sz w:val="24"/>
          <w:szCs w:val="24"/>
          <w:lang w:eastAsia="lv-LV"/>
        </w:rPr>
        <w:t>Terre des Hommes</w:t>
      </w:r>
      <w:r w:rsidRPr="006B796E">
        <w:rPr>
          <w:rFonts w:ascii="Times New Roman" w:eastAsia="Times New Roman" w:hAnsi="Times New Roman" w:cs="Times New Roman"/>
          <w:sz w:val="24"/>
          <w:szCs w:val="24"/>
          <w:lang w:eastAsia="lv-LV"/>
        </w:rPr>
        <w:t>” [starptautiskā NVO, kas vada programmas Moldovā un nodrošina tehniskās konsultācijas iestādēm] sniegtā palīdzība, veicot Moldovas cilvēku tirdzniecības upuru repatriāciju.”</w:t>
      </w:r>
      <w:r w:rsidR="0082247B">
        <w:rPr>
          <w:rStyle w:val="Vresatsauce"/>
          <w:rFonts w:ascii="Times New Roman" w:eastAsia="Times New Roman" w:hAnsi="Times New Roman" w:cs="Times New Roman"/>
          <w:sz w:val="24"/>
          <w:szCs w:val="24"/>
          <w:lang w:eastAsia="lv-LV"/>
        </w:rPr>
        <w:footnoteReference w:customMarkFollows="1" w:id="117"/>
        <w:t>116</w:t>
      </w:r>
    </w:p>
    <w:p w:rsidR="0082247B" w:rsidRDefault="0082247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Saskaņā ar šiem noteikumiem repatriācija tika padarīta brīvprātīga, “izņemot bērniem līdz 10 gadu vecumam”, tas ir, attiecībā uz bērniem, kas ir sasnieguši vismaz 10 gadu vecumu, noteikumos ir apstiprināts pienākums ievērot BTK 12. pantu, “ņemot vērā bērna vecumu un brieduma pakāpi, uzklausīt bērna viedokli attiecībā uz visiem lēmumiem un darbībām, kas varētu viņu skart, (..) tostarp par atgriešanos izcelsmes valstī, atkalapvienošanos ar bioloģisko ģimeni, paplašināto ģimeni vai par citu veidu aprūpes nodrošināšanu utt.”, un nodrošināt, ka “bērnu repatriācija ir veicama, ievērojot bērna intereses, ko norāda dokumentos, kas apstiprina, ka ir atrasts ilgtermiņa risinājums bērna aprūpei”.</w:t>
      </w:r>
    </w:p>
    <w:p w:rsidR="0082247B" w:rsidRPr="006B796E" w:rsidRDefault="0082247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Attiecīgajām Moldovas amatpersonām bija jāizveido pašiem sava izpratne par to, kas ir “padarīt, lai bērna intereses ir primārais apsvērums”, un kā ņemt vērā bērna viedokli. Šīs izpratnes veidošana bija galvenais elements, pamatojoties uz kuru mainījās agrāk pieņemtie lēmumi. Sākotnēji tika pieņemts, ka visi ārvalstīs identificētie Moldovas bērni būtu automātiski repatriējami (saskaņā ar diviem reģionālajiem nolīgumiem – Volgogradas un Kišiņevas nolīgumiem, sk. turpmāk 7.4. sadaļu). Tomēr lūzuma punkts esot bijis, kad Moldovas amatpersonas esot sākušas šaubīties, vai konkrēta Moldovas bērna repatriācija no valsts, kurā viņš ir uzturējies, patiešām ir šā bērna interesēs, jo bijuši pierādījumi, ka bērnam ir radinieki tajā valstī, bet nav neviena radinieka Moldovā. Tiklīdz Moldovas iestādes bija ierosinājušas šo jautājumu saviem kolēģiem noteiktās galamērķa valstīs, sākās šo valstu amatpersonu divpusējas sarunas.</w:t>
      </w:r>
    </w:p>
    <w:p w:rsidR="0082247B" w:rsidRPr="006B796E" w:rsidRDefault="0082247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2013. gadā Moldovas valdība nolēma, ka Darba, sociālās aizsardzības un ģimenes lietu ministrija (DSAĢM) ir galvenā ministrija, kas nodarbosies ar visiem ārpus valsts identificēto nepavadīto Moldovas bērnu gadījumiem, un Iekšlietu ministrijai būs pakārtota loma. 2013. gadā pieņemtajā Likumā par īpašu aizsardzību riskam pakļautiem bērniem un bērniem, kas nošķirti no saviem vecākiem (Likums Nr. 140</w:t>
      </w:r>
      <w:r w:rsidR="0082247B">
        <w:rPr>
          <w:rStyle w:val="Vresatsauce"/>
          <w:rFonts w:ascii="Times New Roman" w:eastAsia="Times New Roman" w:hAnsi="Times New Roman" w:cs="Times New Roman"/>
          <w:sz w:val="24"/>
          <w:szCs w:val="24"/>
          <w:lang w:eastAsia="lv-LV"/>
        </w:rPr>
        <w:footnoteReference w:customMarkFollows="1" w:id="118"/>
        <w:t>117</w:t>
      </w:r>
      <w:r w:rsidRPr="006B796E">
        <w:rPr>
          <w:rFonts w:ascii="Times New Roman" w:eastAsia="Times New Roman" w:hAnsi="Times New Roman" w:cs="Times New Roman"/>
          <w:sz w:val="24"/>
          <w:szCs w:val="24"/>
          <w:lang w:eastAsia="lv-LV"/>
        </w:rPr>
        <w:t xml:space="preserve">), tika apstiprināti daudzi 2008. gada noteikumos iekļautie principi, piemērojot tos nepavadītiem un nošķirtiem bērniem kopumā. Nākamajā gadā DSAĢM kopā ar </w:t>
      </w:r>
      <w:r w:rsidRPr="006B796E">
        <w:rPr>
          <w:rFonts w:ascii="Times New Roman" w:eastAsia="Times New Roman" w:hAnsi="Times New Roman" w:cs="Times New Roman"/>
          <w:i/>
          <w:iCs/>
          <w:sz w:val="24"/>
          <w:szCs w:val="24"/>
          <w:lang w:eastAsia="lv-LV"/>
        </w:rPr>
        <w:t>Terre des Hommes</w:t>
      </w:r>
      <w:r w:rsidRPr="006B796E">
        <w:rPr>
          <w:rFonts w:ascii="Times New Roman" w:eastAsia="Times New Roman" w:hAnsi="Times New Roman" w:cs="Times New Roman"/>
          <w:sz w:val="24"/>
          <w:szCs w:val="24"/>
          <w:lang w:eastAsia="lv-LV"/>
        </w:rPr>
        <w:t xml:space="preserve"> Moldovas biroju publicēja rokasgrāmatu par rīcību gadījumos, kas attiecas uz ārpus Moldovas identificētiem nepavadītiem vai nošķirtiem Moldovas bērniem, kuras nosaukums ir “</w:t>
      </w:r>
      <w:r w:rsidRPr="006B796E">
        <w:rPr>
          <w:rFonts w:ascii="Times New Roman" w:eastAsia="Times New Roman" w:hAnsi="Times New Roman" w:cs="Times New Roman"/>
          <w:i/>
          <w:iCs/>
          <w:sz w:val="24"/>
          <w:szCs w:val="24"/>
          <w:lang w:eastAsia="lv-LV"/>
        </w:rPr>
        <w:t>Lietu pārvaldība attiecībā uz bērniem, kuriem nav likumīga pārstāvja citu valstu teritorijā.</w:t>
      </w:r>
      <w:r w:rsidRPr="006B796E">
        <w:rPr>
          <w:rFonts w:ascii="Times New Roman" w:eastAsia="Times New Roman" w:hAnsi="Times New Roman" w:cs="Times New Roman"/>
          <w:sz w:val="24"/>
          <w:szCs w:val="24"/>
          <w:lang w:eastAsia="lv-LV"/>
        </w:rPr>
        <w:t> </w:t>
      </w:r>
      <w:r w:rsidRPr="006B796E">
        <w:rPr>
          <w:rFonts w:ascii="Times New Roman" w:eastAsia="Times New Roman" w:hAnsi="Times New Roman" w:cs="Times New Roman"/>
          <w:i/>
          <w:iCs/>
          <w:sz w:val="24"/>
          <w:szCs w:val="24"/>
          <w:lang w:eastAsia="lv-LV"/>
        </w:rPr>
        <w:t>Vadlīnijas speciālistiem</w:t>
      </w:r>
      <w:r w:rsidRPr="006B796E">
        <w:rPr>
          <w:rFonts w:ascii="Times New Roman" w:eastAsia="Times New Roman" w:hAnsi="Times New Roman" w:cs="Times New Roman"/>
          <w:sz w:val="24"/>
          <w:szCs w:val="24"/>
          <w:lang w:eastAsia="lv-LV"/>
        </w:rPr>
        <w:t>”.</w:t>
      </w:r>
      <w:r w:rsidR="00B33014">
        <w:rPr>
          <w:rStyle w:val="Vresatsauce"/>
          <w:rFonts w:ascii="Times New Roman" w:eastAsia="Times New Roman" w:hAnsi="Times New Roman" w:cs="Times New Roman"/>
          <w:sz w:val="24"/>
          <w:szCs w:val="24"/>
          <w:lang w:eastAsia="lv-LV"/>
        </w:rPr>
        <w:footnoteReference w:customMarkFollows="1" w:id="119"/>
        <w:t>118</w:t>
      </w:r>
      <w:r w:rsidRPr="006B796E">
        <w:rPr>
          <w:rFonts w:ascii="Times New Roman" w:eastAsia="Times New Roman" w:hAnsi="Times New Roman" w:cs="Times New Roman"/>
          <w:sz w:val="24"/>
          <w:szCs w:val="24"/>
          <w:lang w:eastAsia="lv-LV"/>
        </w:rPr>
        <w:t> Tā tika izstrādāta, pamatojoties uz zināšanām un pieredzi, kas tika uzkrāta, novērtējot atsevišķu bērnu lietas iepriekšējo sešu gadu laikā. Ministrija pieņēma šo rokasgrāmatu kā valdības Lēmuma Nr. 948 un Repatriācijas noteikumu īstenošanas līdzekli. Rokasgrāmatā ir ietverta plūsmas diagramma (“Lietu pārvaldība attiecībā uz bērniem, kuriem nav likumīga pārstāvja citu valstu teritorijā”), atveidojot nosūtīšanas sistēmu, kas Moldovas iestādēm jāievēro, jo īpaši attiecībā uz bērniem, kas varētu būt cilvēku tirdzniecības upuri.</w:t>
      </w:r>
    </w:p>
    <w:p w:rsidR="0082247B" w:rsidRPr="006B796E" w:rsidRDefault="0082247B"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Rokasgrāmatā ir sniegti praktiski ieteikumi. Tajā ir ietverti padomi par katram bērnam sagatavojamo aprūpes plānu saturu, kādas darbības būtu veicamas kurā brīdī, kādiem konkrētiem bērna situācijas aspektiem ir nepieciešama īpaša uzraudzība un kādos apstākļos var uzskatīt, ka lieta ir atrisināta un ir jāslēdz.</w:t>
      </w:r>
    </w:p>
    <w:p w:rsidR="00B33014" w:rsidRPr="006B796E"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Līdztekus Krievijas Nacionālais cietsirdīgas attieksmes pret bērniem novēršanas fonds sadarbībā ar </w:t>
      </w:r>
      <w:r w:rsidRPr="006B796E">
        <w:rPr>
          <w:rFonts w:ascii="Times New Roman" w:eastAsia="Times New Roman" w:hAnsi="Times New Roman" w:cs="Times New Roman"/>
          <w:i/>
          <w:iCs/>
          <w:sz w:val="24"/>
          <w:szCs w:val="24"/>
          <w:lang w:eastAsia="lv-LV"/>
        </w:rPr>
        <w:t>Terre des Hommes</w:t>
      </w:r>
      <w:r w:rsidRPr="006B796E">
        <w:rPr>
          <w:rFonts w:ascii="Times New Roman" w:eastAsia="Times New Roman" w:hAnsi="Times New Roman" w:cs="Times New Roman"/>
          <w:sz w:val="24"/>
          <w:szCs w:val="24"/>
          <w:lang w:eastAsia="lv-LV"/>
        </w:rPr>
        <w:t xml:space="preserve"> 2012. gadā Krievijā publicēja mācību materiālus par to, kā rosināt bērnus izteikt savu viedokli un kā viņus uzklausīt </w:t>
      </w:r>
      <w:r w:rsidRPr="006B796E">
        <w:rPr>
          <w:rFonts w:ascii="Times New Roman" w:eastAsia="Times New Roman" w:hAnsi="Times New Roman" w:cs="Times New Roman"/>
          <w:i/>
          <w:iCs/>
          <w:sz w:val="24"/>
          <w:szCs w:val="24"/>
          <w:lang w:eastAsia="lv-LV"/>
        </w:rPr>
        <w:t>(Как Услышать Ребенка,</w:t>
      </w:r>
      <w:r w:rsidR="00B33014">
        <w:rPr>
          <w:rStyle w:val="Vresatsauce"/>
          <w:rFonts w:ascii="Times New Roman" w:eastAsia="Times New Roman" w:hAnsi="Times New Roman" w:cs="Times New Roman"/>
          <w:i/>
          <w:iCs/>
          <w:sz w:val="24"/>
          <w:szCs w:val="24"/>
          <w:lang w:eastAsia="lv-LV"/>
        </w:rPr>
        <w:footnoteReference w:customMarkFollows="1" w:id="120"/>
        <w:t>119</w:t>
      </w:r>
      <w:r w:rsidRPr="006B796E">
        <w:rPr>
          <w:rFonts w:ascii="Times New Roman" w:eastAsia="Times New Roman" w:hAnsi="Times New Roman" w:cs="Times New Roman"/>
          <w:sz w:val="24"/>
          <w:szCs w:val="24"/>
          <w:lang w:eastAsia="lv-LV"/>
        </w:rPr>
        <w:t xml:space="preserve"> “Kā uzklausīt bērnu”). Šie materiāli palīdz Krievijas Federācijas bērnu aizsardzības speciālistiem sekot lēmumu pieņemšanas procesam, ko izmanto aizbildniecības iestādes. Speciālistiem </w:t>
      </w:r>
      <w:r w:rsidRPr="006B796E">
        <w:rPr>
          <w:rFonts w:ascii="Times New Roman" w:eastAsia="Times New Roman" w:hAnsi="Times New Roman" w:cs="Times New Roman"/>
          <w:sz w:val="24"/>
          <w:szCs w:val="24"/>
          <w:lang w:eastAsia="lv-LV"/>
        </w:rPr>
        <w:lastRenderedPageBreak/>
        <w:t>paredzētajā publikācijas versijā ir iekļauts padoms, kā runāt ar lielākiem un mazākiem bērniem tā, lai izdibinātu jēgpilnas atbildes.</w:t>
      </w:r>
    </w:p>
    <w:p w:rsidR="00B33014"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B33014" w:rsidRPr="006B796E"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B33014">
      <w:pPr>
        <w:widowControl w:val="0"/>
        <w:spacing w:after="0" w:line="240" w:lineRule="auto"/>
        <w:jc w:val="center"/>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“Pēc identifikācijas bērniem, kas ir cilvēku tirdzniecības upuri, vajadzības gadījumā nodrošināt aizbildni un/vai juridisko pārstāvi visos palīdzības, (re)integrācijas un/vai atpakaļnosūtīšanas posmos un nodrošināt bērnu cilvēktiesību aizsardzību.”</w:t>
      </w:r>
    </w:p>
    <w:p w:rsidR="00B33014" w:rsidRDefault="00B33014" w:rsidP="00B33014">
      <w:pPr>
        <w:widowControl w:val="0"/>
        <w:spacing w:after="0" w:line="240" w:lineRule="auto"/>
        <w:jc w:val="center"/>
        <w:rPr>
          <w:rFonts w:ascii="Times New Roman" w:eastAsia="Times New Roman" w:hAnsi="Times New Roman" w:cs="Times New Roman"/>
          <w:sz w:val="24"/>
          <w:szCs w:val="24"/>
          <w:lang w:eastAsia="lv-LV"/>
        </w:rPr>
      </w:pPr>
    </w:p>
    <w:p w:rsidR="00D6592D" w:rsidRDefault="00D6592D" w:rsidP="00B33014">
      <w:pPr>
        <w:widowControl w:val="0"/>
        <w:spacing w:after="0" w:line="240" w:lineRule="auto"/>
        <w:jc w:val="center"/>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(PC.DEC/685, Papildinājums EDSO Rīcības plānam cilvēku tirdzniecības apkarošanai – Risinot bērnu, kas ir cilvēku tirdzniecības upuri, īpašās vajadzības būt pasargātiem un saņemt palīdzību; ieteicamās darbības valsts līmenī)</w:t>
      </w:r>
    </w:p>
    <w:p w:rsidR="00B33014" w:rsidRDefault="00B3301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r w:rsidRPr="002F1BEE">
        <w:rPr>
          <w:rFonts w:ascii="Times New Roman" w:eastAsia="Times New Roman" w:hAnsi="Times New Roman" w:cs="Times New Roman"/>
          <w:b/>
          <w:bCs/>
          <w:noProof/>
          <w:sz w:val="24"/>
          <w:szCs w:val="24"/>
          <w:lang w:eastAsia="lv-LV"/>
        </w:rPr>
        <w:lastRenderedPageBreak/>
        <w:drawing>
          <wp:inline distT="0" distB="0" distL="0" distR="0">
            <wp:extent cx="5760085" cy="7649594"/>
            <wp:effectExtent l="0" t="0" r="0" b="889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085" cy="7649594"/>
                    </a:xfrm>
                    <a:prstGeom prst="rect">
                      <a:avLst/>
                    </a:prstGeom>
                    <a:noFill/>
                    <a:ln>
                      <a:noFill/>
                    </a:ln>
                  </pic:spPr>
                </pic:pic>
              </a:graphicData>
            </a:graphic>
          </wp:inline>
        </w:drawing>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p>
    <w:p w:rsidR="00B33014" w:rsidRDefault="00B33014">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6.1. Atlabšana un “reintegrācija”</w:t>
      </w:r>
    </w:p>
    <w:p w:rsidR="00B33014"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Starpiestāžu grupa bērnu reintegrācijas jautājumos 2016. gadā izdeva </w:t>
      </w:r>
      <w:r w:rsidRPr="006B796E">
        <w:rPr>
          <w:rFonts w:ascii="Times New Roman" w:eastAsia="Times New Roman" w:hAnsi="Times New Roman" w:cs="Times New Roman"/>
          <w:i/>
          <w:iCs/>
          <w:sz w:val="24"/>
          <w:szCs w:val="24"/>
          <w:lang w:eastAsia="lv-LV"/>
        </w:rPr>
        <w:t>Reintegrācijas vadlīniju</w:t>
      </w:r>
      <w:r w:rsidRPr="006B796E">
        <w:rPr>
          <w:rFonts w:ascii="Times New Roman" w:eastAsia="Times New Roman" w:hAnsi="Times New Roman" w:cs="Times New Roman"/>
          <w:sz w:val="24"/>
          <w:szCs w:val="24"/>
          <w:lang w:eastAsia="lv-LV"/>
        </w:rPr>
        <w:t xml:space="preserve"> kopumu.</w:t>
      </w:r>
      <w:r w:rsidR="00B33014">
        <w:rPr>
          <w:rStyle w:val="Vresatsauce"/>
          <w:rFonts w:ascii="Times New Roman" w:eastAsia="Times New Roman" w:hAnsi="Times New Roman" w:cs="Times New Roman"/>
          <w:sz w:val="24"/>
          <w:szCs w:val="24"/>
          <w:lang w:eastAsia="lv-LV"/>
        </w:rPr>
        <w:footnoteReference w:customMarkFollows="1" w:id="121"/>
        <w:t>120</w:t>
      </w:r>
      <w:r w:rsidRPr="006B796E">
        <w:rPr>
          <w:rFonts w:ascii="Times New Roman" w:eastAsia="Times New Roman" w:hAnsi="Times New Roman" w:cs="Times New Roman"/>
          <w:sz w:val="24"/>
          <w:szCs w:val="24"/>
          <w:lang w:eastAsia="lv-LV"/>
        </w:rPr>
        <w:t> Tajās ir skaidrots, ka “reintegrācija” ir “process, kurā tiek panākts, ka nošķirts bērns, domājams, pastāvīgi atgriežas pie savas ģimenes un kopienas (kas parasti ir viņa izcelsmes kopiena), lai saņemtu aizsardzību un aprūpi un lai rastu piederības sajūtu un mērķus visās dzīves jomās”. Atsevišķā ziņojumā, kas tika sagatavots, pamatojoties konkrēti uz to organizāciju pieredzi, kas atbalsta cilvēku tirdzniecībā cietušo pieaugušo un bērnu integrāciju, kuri nākuši no Dienvidaustrumeiropas valstīm, ir likts cits uzsvars (proti, “reintegrācija” tiek norādīta kā “re/integrācija”, pamatojoties uz to, ka dažkārt ir vēlams cilvēku tirdzniecības upuri integrēt vidē, kurā šis upuris iepriekš nav dzīvojis):</w:t>
      </w:r>
    </w:p>
    <w:p w:rsidR="00B33014"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“Re/integrācija ir atlabšanas un ekonomiskās un sociālās iekļaušanas process pēc piedzīvotas cilvēku tirdzniecības. Tas ietver apmešanos stabilā un drošā vidē, saprātīga dzīves līmeņa pieejamību, garīgo un fizisko labklājību, personīgās, sociālās un ekonomiskās izaugsmes iespējas un sociālā un emocionālā atbalsta pieejamību. Tas var ietvert atgriešanos savā ģimenē un/vai izcelsmes kopienā; tas var ietvert arī integrāciju jaunā kopienā un pat jaunā valstī.”</w:t>
      </w:r>
      <w:r w:rsidR="00B33014">
        <w:rPr>
          <w:rStyle w:val="Vresatsauce"/>
          <w:rFonts w:ascii="Times New Roman" w:eastAsia="Times New Roman" w:hAnsi="Times New Roman" w:cs="Times New Roman"/>
          <w:sz w:val="24"/>
          <w:szCs w:val="24"/>
          <w:lang w:eastAsia="lv-LV"/>
        </w:rPr>
        <w:footnoteReference w:customMarkFollows="1" w:id="122"/>
        <w:t>121</w:t>
      </w:r>
    </w:p>
    <w:p w:rsidR="00B33014"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Attiecībā uz skolas vecuma bērniem, neatkarīgi no tā, vai viņi jau apmeklē vai vēl neapmeklē skolu, atlabšanas procesā viņiem ir jādod iespēja pēc iespējas drīzāk sākt vai atsākt formālo izglītību. Attiecībā uz vecākiem bērniem, kuri nevēlas atgriezties skolā, visticamāk, piemērotāki būs citi apmācības veidi vai sagatavošana darba dzīvei.</w:t>
      </w:r>
    </w:p>
    <w:p w:rsidR="00B33014" w:rsidRPr="006B796E"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6.2. Lietu pārvaldība un aprūpes plāni</w:t>
      </w:r>
    </w:p>
    <w:p w:rsidR="00B33014"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Bērniem, kuriem aprūpi vai palīdzību sniedz bērnu aizsardzības iestāde, ir jāsagatavo aprūpes plāns, kas ir izstrādāts katram konkrētajam bērnam (pamatojoties uz viņa konkrētajām vajadzībām un lēmumiem, kas pieņemti attiecībā uz viņa nākotni ilgtermiņā). Attiecīgais bērns nedrīkstētu būt šā plāna objekts, bet gan plāns ir jāpakārto bērnam. Tas nozīmē, ka, gatavojot plānu, iestādēm ir jāapspriežas ar bērnu un jāapņemas to pildīt. Bērniem, kuriem tie, kam ir pilnvaras, norāda, ko darīt un kur iet, un kuriem nav iespējas ietekmēt šos lēmumus, ir liegta spēja kontrolēt savu dzīvi, un šī situācija ir līdzīga tai, kādu šie bērni ir piedzīvojuši, būdami cilvēku tirgotāja kontrolē.</w:t>
      </w:r>
    </w:p>
    <w:p w:rsidR="00B33014" w:rsidRPr="006B796E"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Izstrādājot aprūpes plānu bērnam, kas ir cilvēku tirdzniecības upuris, daudzējādā ziņā var ievērot to pašu procesu, ko izmanto attiecībā uz citiem bērnu aizsardzības gadījumiem. Piemēram, Zviedrijas </w:t>
      </w:r>
      <w:r w:rsidRPr="006B796E">
        <w:rPr>
          <w:rFonts w:ascii="Times New Roman" w:eastAsia="Times New Roman" w:hAnsi="Times New Roman" w:cs="Times New Roman"/>
          <w:i/>
          <w:iCs/>
          <w:sz w:val="24"/>
          <w:szCs w:val="24"/>
          <w:lang w:eastAsia="lv-LV"/>
        </w:rPr>
        <w:t>NRM</w:t>
      </w:r>
      <w:r w:rsidRPr="006B796E">
        <w:rPr>
          <w:rFonts w:ascii="Times New Roman" w:eastAsia="Times New Roman" w:hAnsi="Times New Roman" w:cs="Times New Roman"/>
          <w:sz w:val="24"/>
          <w:szCs w:val="24"/>
          <w:lang w:eastAsia="lv-LV"/>
        </w:rPr>
        <w:t xml:space="preserve"> noteikts šādi:</w:t>
      </w:r>
    </w:p>
    <w:p w:rsidR="00B33014" w:rsidRPr="006B796E"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“Individuālais rīcības plāns ir jāparaksta personai, kas saņems pakalpojumus, un, ja plāns attiecas uz bērnu, – attiecīgajam sociālo dienestu pārstāvim. Ar bērna parakstu un piekrišanu vien nepietiek. Attiecībā uz bērnu plāns ir jāizstrādā, ņemot vērā bērna skatupunktu</w:t>
      </w:r>
      <w:r w:rsidR="007A0EC8">
        <w:rPr>
          <w:rStyle w:val="Vresatsauce"/>
          <w:rFonts w:ascii="Times New Roman" w:eastAsia="Times New Roman" w:hAnsi="Times New Roman" w:cs="Times New Roman"/>
          <w:sz w:val="24"/>
          <w:szCs w:val="24"/>
          <w:lang w:eastAsia="lv-LV"/>
        </w:rPr>
        <w:footnoteReference w:customMarkFollows="1" w:id="123"/>
        <w:t>122</w:t>
      </w:r>
      <w:r w:rsidRPr="006B796E">
        <w:rPr>
          <w:rFonts w:ascii="Times New Roman" w:eastAsia="Times New Roman" w:hAnsi="Times New Roman" w:cs="Times New Roman"/>
          <w:sz w:val="24"/>
          <w:szCs w:val="24"/>
          <w:lang w:eastAsia="lv-LV"/>
        </w:rPr>
        <w:t xml:space="preserve"> un sociālo dienestu novērtējumu par to, kas ir bērna interesēs. Saziņā ir jāietver pilnīga informācija par pieejamajiem pasākumiem un pakalpojumiem, tostarp tiesībām un pienākumiem, kas ir ar tiem saistīti.”</w:t>
      </w:r>
      <w:r w:rsidR="007A0EC8">
        <w:rPr>
          <w:rStyle w:val="Vresatsauce"/>
          <w:rFonts w:ascii="Times New Roman" w:eastAsia="Times New Roman" w:hAnsi="Times New Roman" w:cs="Times New Roman"/>
          <w:sz w:val="24"/>
          <w:szCs w:val="24"/>
          <w:lang w:eastAsia="lv-LV"/>
        </w:rPr>
        <w:footnoteReference w:customMarkFollows="1" w:id="124"/>
        <w:t>123</w:t>
      </w:r>
    </w:p>
    <w:p w:rsidR="00B33014"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Valstīs, kas vēl nav izstrādājušas konkrētas aizsardzības un palīdzības sniegšanas procedūras bērniem, kas ir cilvēku tirdzniecības upuri, esošās iestādes un procedūras var tomēr ļaut sagatavot apmierinošus aprūpes plānus. Piemēram, ANO īpašais referents par bērnu tirdzniecību, bērnu prostitūciju un bērnu pornogrāfiju savas vizītes laikā Kirgizstānā 2013. gadā bija atzīmējis, ka trūkst resursu, lai finansētu bērnu aizsardzības darbības, tomēr bērniem, kas nonākuši grūtībās, 2012. gadā bija izstrādāti 11 000 individuālo plānu.</w:t>
      </w:r>
      <w:r w:rsidR="007A0EC8">
        <w:rPr>
          <w:rStyle w:val="Vresatsauce"/>
          <w:rFonts w:ascii="Times New Roman" w:eastAsia="Times New Roman" w:hAnsi="Times New Roman" w:cs="Times New Roman"/>
          <w:sz w:val="24"/>
          <w:szCs w:val="24"/>
          <w:lang w:eastAsia="lv-LV"/>
        </w:rPr>
        <w:footnoteReference w:customMarkFollows="1" w:id="125"/>
        <w:t>124</w:t>
      </w:r>
    </w:p>
    <w:p w:rsidR="00B33014" w:rsidRPr="006B796E" w:rsidRDefault="00B33014"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6.2.1. Palīdzība, izstrādājot “dzīves plānu”, lai bērns varētu atlabt ilgtermiņā</w:t>
      </w:r>
    </w:p>
    <w:p w:rsidR="007A0EC8"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Padomes Ministru komiteja 2007. gadā ieteica dalībvalstu reģionālajām organizācijām izstrādāt tā dēvētos “dzīves plānus” nepavadītiem un nošķirtiem bērniem migrantiem, kas atrodas to teritorijā (tostarp bēgļiem un cilvēku tirdzniecības upuriem).</w:t>
      </w:r>
      <w:r w:rsidR="007A0EC8">
        <w:rPr>
          <w:rStyle w:val="Vresatsauce"/>
          <w:rFonts w:ascii="Times New Roman" w:eastAsia="Times New Roman" w:hAnsi="Times New Roman" w:cs="Times New Roman"/>
          <w:sz w:val="24"/>
          <w:szCs w:val="24"/>
          <w:lang w:eastAsia="lv-LV"/>
        </w:rPr>
        <w:footnoteReference w:customMarkFollows="1" w:id="126"/>
        <w:t>125</w:t>
      </w:r>
      <w:r w:rsidRPr="006B796E">
        <w:rPr>
          <w:rFonts w:ascii="Times New Roman" w:eastAsia="Times New Roman" w:hAnsi="Times New Roman" w:cs="Times New Roman"/>
          <w:sz w:val="24"/>
          <w:szCs w:val="24"/>
          <w:lang w:eastAsia="lv-LV"/>
        </w:rPr>
        <w:t> Ieteikuma pielikumā skaidrots, ka dzīves plāns ir katram konkrētam bērnam domāts rīks, kas ir nepavadītā bērna un kompetento iestāžu “kopīga apņemšanās” uz noteiktu laiku un kurā ir noteiktas bērna gaidas, vēlmes un uztvere, kā arī situācija uzņemošajā valstī (“politiskais, tiesiskais un sociālais kultūras konteksts; iespēju pieejamība nepilngadīgajam, tostarp pieejamā atbalsta līmenis un pakāpe; iespēja palikt uzņemošajā valstī; integrācijas iespējas uzņemošajā valstī”). Dzīves plāns ir domāts tam, lai “definētu nepilngadīgā nākotnes izredzes, bez diskriminācijas veicinātu bērna intereses un ilgtermiņā reaģētu uz nepilngadīgā un iesaistīto pušu vajadzībām”. Pielikumā paskaidrots, ka, tiklīdz plāns ir izstrādāts, “tam jāpiešķir oficiāls statuss, noslēdzot rakstisku vienošanos, kurā noteiktas abu pušu attiecīgās apņemšanās un kuru ir parakstījušas šīs abas puses un/vai migranta statusā esošās nepavadītās nepilngadīgās personas aizbildnis”.</w:t>
      </w:r>
    </w:p>
    <w:p w:rsidR="007A0EC8" w:rsidRPr="006B796E"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Kopumā Ieteikums ir izstrādāts, lai nepavadītiem bērniem būtu iespēja attīstīties drošā vidē, zinot, kādi resursi viņiem ir pieejami un kādi nav pieejami. NVO, kas rūpējas par bērnu atlabšanu, ir novērojušas, ka šāda ilgtermiņa plānošana bieži vien ir noderīga. Bērniem, kas ir piedzīvojuši galēju nedrošību, būdami cilvēku tirdzniecības upuri, dzīves plāns ir ilgtermiņa plāns, nevis tikai aprūpes un rīcības plāns, un potenciāli veicina bērna pilnīgu atlabšanu un reintegrāciju.</w:t>
      </w:r>
    </w:p>
    <w:p w:rsidR="007A0EC8" w:rsidRPr="006B796E"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6.3. Vidēji ilgas un ilgstošas izmitināšanas iespējas bērniem, kas ir cilvēku tirdzniecības upuri</w:t>
      </w:r>
    </w:p>
    <w:p w:rsidR="007A0EC8"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ANO Pamatnostādnēs par bērnu alternatīvo aprūpi ir paredzēti pieci bērnu alternatīvās aprūpes veidi:</w:t>
      </w:r>
      <w:r w:rsidR="007A0EC8">
        <w:rPr>
          <w:rStyle w:val="Vresatsauce"/>
          <w:rFonts w:ascii="Times New Roman" w:eastAsia="Times New Roman" w:hAnsi="Times New Roman" w:cs="Times New Roman"/>
          <w:sz w:val="24"/>
          <w:szCs w:val="24"/>
          <w:lang w:eastAsia="lv-LV"/>
        </w:rPr>
        <w:footnoteReference w:customMarkFollows="1" w:id="127"/>
        <w:t>126</w:t>
      </w:r>
    </w:p>
    <w:p w:rsidR="007A0EC8" w:rsidRPr="006B796E"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 radinieku veikta aprūpe (t. i., aprūpe ģimenē, ko nodrošina bērna paplašinātā ģimene vai tuvi ģimenes draugi, kurus bērns pazīst);</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II. aprūpe audžuģimenē;</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III. citi aprūpes veidi ģimenē un ģimenei līdzīgā vidē;</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IV. aprūpe iestādē – aprūpe, ko nodrošina grupās ārpus ģimenes vides, iestādēs, tostarp grupu mājās, kas organizētas ārkārtas aprūpei vai īstermiņa un ilgtermiņa aprūpei iestādē;</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 bērnu patstāvīga dzīve, atrodoties uzraudzībā.</w:t>
      </w:r>
    </w:p>
    <w:p w:rsidR="007A0EC8"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Lēmumi par alternatīvo aprūpi ir periodiski jāpārskata. Tas, kas var būt atbilstošs 17 gadus vecam bērnam, kurš joprojām atlabst no saistībā ar cilvēku tirdzniecību gūtās traumas, var nederēt tāda paša vecuma bērnam, kurš jau pārsvarā ir atguvies, jau ir pavadījis 18 mēnešus aprūpes iestādē un vēlas atrast darbu un sākt pelnīt naudu. Šāds bērns varētu vēlēties palikt dzīvot uzraudzītā, bet zināmā veidā daļēji neatkarīgā vidē (piemēram, vienā dzīvoklī kopā ar citiem jauniešiem, kas atlabst no līdzīgas pieredzes, nedzīvojot kopā ar aprūpētāju, bet uzraugs regulāri apmeklē šo dzīvokli).</w:t>
      </w:r>
    </w:p>
    <w:p w:rsidR="007A0EC8" w:rsidRPr="006B796E"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Tas nozīmē, ka valstij ir jānodrošina pietiekami resursi sociālo dienestu filiālei, kas atbild par bērnu aizsardzību, vai NVO, kas palīdz bērniem atlabt, lai šīs iestādes varētu veikt periodisku pārskatīšanu un, iespējams, secīgi pārvietot attiecīgos jauniešus atšķirīgos sadzīves apstākļos, kas pakāpeniski ļauj attīstīt viņu neatkarību. Pretstatā tam vairākās valstīs veiktā pētījumā tika konstatēts, ka šajās valstīs bērni, kas ir identificēti kā cilvēku tirdzniecības upuri, bieži vien ilgstoši – vienā gadījumā pat piecus gadus – uzturas patvēruma iestādēs.</w:t>
      </w:r>
      <w:r w:rsidR="007A0EC8">
        <w:rPr>
          <w:rStyle w:val="Vresatsauce"/>
          <w:rFonts w:ascii="Times New Roman" w:eastAsia="Times New Roman" w:hAnsi="Times New Roman" w:cs="Times New Roman"/>
          <w:sz w:val="24"/>
          <w:szCs w:val="24"/>
          <w:lang w:eastAsia="lv-LV"/>
        </w:rPr>
        <w:footnoteReference w:customMarkFollows="1" w:id="128"/>
        <w:t>127</w:t>
      </w:r>
    </w:p>
    <w:p w:rsidR="007A0EC8" w:rsidRPr="006B796E"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Ir gūta liela pieredze par to, kāda veida alternatīvā aprūpe un atbalsts ir izrādījies pozitīvākais bērniem, kuri atlabst no dažāda smaguma traumām, kas gūtas cilvēku tirdzniecības un ekspluatācijas rezultātā.</w:t>
      </w:r>
      <w:r w:rsidR="007A0EC8">
        <w:rPr>
          <w:rStyle w:val="Vresatsauce"/>
          <w:rFonts w:ascii="Times New Roman" w:eastAsia="Times New Roman" w:hAnsi="Times New Roman" w:cs="Times New Roman"/>
          <w:sz w:val="24"/>
          <w:szCs w:val="24"/>
          <w:lang w:eastAsia="lv-LV"/>
        </w:rPr>
        <w:footnoteReference w:customMarkFollows="1" w:id="129"/>
        <w:t>128</w:t>
      </w:r>
      <w:r w:rsidRPr="006B796E">
        <w:rPr>
          <w:rFonts w:ascii="Times New Roman" w:eastAsia="Times New Roman" w:hAnsi="Times New Roman" w:cs="Times New Roman"/>
          <w:sz w:val="24"/>
          <w:szCs w:val="24"/>
          <w:lang w:eastAsia="lv-LV"/>
        </w:rPr>
        <w:t> Gūtās atziņas ir svarīgas, lai valstis varētu tās ņemt vērā, izstrādājot bērnu atlabšanas veicināšanas politiku, jo īpaši atziņas par nepieciešamajiem resursiem.</w:t>
      </w:r>
    </w:p>
    <w:p w:rsidR="007A0EC8" w:rsidRPr="006B796E"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6.4. Darbības, kas veicamas, lai mazinātu varbūtību, ka bērni nonāk atpakaļ cilvēku tirgotāju kontrolē vai pazūd bez vēsts</w:t>
      </w:r>
    </w:p>
    <w:p w:rsidR="007A0EC8"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Cilvēku tirgotāji zina, kā manipulēt ar bērnu aizsardzības sistēmām un imigrācijas iestādēm. Jau 1990. gados bija pierādījumi tam, ka cilvēku tirgotāji dažkārt ir devuši norādes nepavadītiem bērniem doties uz oficiālajiem robežkontroles punktiem un tad imigrācijas amatpersonām lūgt patvērumu vai palīdzību, precīzi zinot, ka tā viņi tiek ielaisti valstī un viņiem tiek piešķirta pagaidu izmitināšana. Šādos gadījumos bērni tad iziet ārā, vai nu kad viņus pasauc cilvēku tirgotājs, vai saskaņā ar iepriekš izstrādātu plānu. Valsts iestādes uz šo risku ir reaģējušas dažādos veidos. Dažas ir uzskatījušas, ka ir pamatoti un saprātīgi liegt šādiem bērniem visu veidu sakaru līdzekļus (konfiscējot mobilos telefonus un ļaujot veikt zvanus tikai uzraudzībā) un ievietot viņus “slēgtā” izmitināšanas centrā (tas ir, ieslodzīt viņus, lai arī tikai pašu bērnu labā). Citas ir mēģinājušas izmantot daudzas citas metodes, tostarp ievietojot šos bērnus aprūpei audžuģimenē. Tomēr tika konstatēts, ka bērni turpina iet vai bēgt prom no izmitināšanas iestādēm, kurās tie tika ievietoti.</w:t>
      </w:r>
    </w:p>
    <w:p w:rsidR="007A0EC8" w:rsidRPr="006B796E" w:rsidRDefault="007A0EC8"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Ir daudz iemeslu, kāpēc nepavadīti bērni pamet aprūpes iestādi. Nav zināms, cik no viņiem nonāk atpakaļ cilvēku tirgotāju kontrolē. </w:t>
      </w:r>
      <w:r w:rsidRPr="006B796E">
        <w:rPr>
          <w:rFonts w:ascii="Times New Roman" w:eastAsia="Times New Roman" w:hAnsi="Times New Roman" w:cs="Times New Roman"/>
          <w:i/>
          <w:iCs/>
          <w:sz w:val="24"/>
          <w:szCs w:val="24"/>
          <w:lang w:eastAsia="lv-LV"/>
        </w:rPr>
        <w:t>EUROPOL</w:t>
      </w:r>
      <w:r w:rsidRPr="006B796E">
        <w:rPr>
          <w:rFonts w:ascii="Times New Roman" w:eastAsia="Times New Roman" w:hAnsi="Times New Roman" w:cs="Times New Roman"/>
          <w:sz w:val="24"/>
          <w:szCs w:val="24"/>
          <w:lang w:eastAsia="lv-LV"/>
        </w:rPr>
        <w:t xml:space="preserve"> 2016. gada sākumā bija guvis lielu publicitāti, kad bija ziņojis, ka “Eiropā ir pazuduši 10 000 nepavadītu vai nošķirtu bērnu”</w:t>
      </w:r>
      <w:r w:rsidR="00281759">
        <w:rPr>
          <w:rStyle w:val="Vresatsauce"/>
          <w:rFonts w:ascii="Times New Roman" w:eastAsia="Times New Roman" w:hAnsi="Times New Roman" w:cs="Times New Roman"/>
          <w:sz w:val="24"/>
          <w:szCs w:val="24"/>
          <w:lang w:eastAsia="lv-LV"/>
        </w:rPr>
        <w:footnoteReference w:customMarkFollows="1" w:id="130"/>
        <w:t>129</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sz w:val="24"/>
          <w:szCs w:val="24"/>
          <w:lang w:eastAsia="lv-LV"/>
        </w:rPr>
        <w:lastRenderedPageBreak/>
        <w:t xml:space="preserve">taču tā ir tikai aplēse, kas norāda, ka ne bērnu aizsardzības, ne imigrācijas iestādes nezina, kas ir noticis ar šiem bērniem. Itālijas īpašais komisārs pazudušo cilvēku jautājumos bija ziņojis, ka saskaņā ar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datiem tikai Itālijā vien 2016. gadā vismaz 28 000 nepavadītu bērnu bija aizmukuši no Itālijas uzņemšanas centriem.</w:t>
      </w:r>
      <w:r w:rsidR="00281759">
        <w:rPr>
          <w:rStyle w:val="Vresatsauce"/>
          <w:rFonts w:ascii="Times New Roman" w:eastAsia="Times New Roman" w:hAnsi="Times New Roman" w:cs="Times New Roman"/>
          <w:sz w:val="24"/>
          <w:szCs w:val="24"/>
          <w:lang w:eastAsia="lv-LV"/>
        </w:rPr>
        <w:footnoteReference w:customMarkFollows="1" w:id="131"/>
        <w:t>130</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6.4.1. Risināt spiedienu, kas liek bērniem, kuri ir cilvēku tirdzniecības upuri, “pazust” un atgriezties pie cilvēku tirgotājiem</w:t>
      </w:r>
    </w:p>
    <w:p w:rsidR="00281759"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Daudzviet Eiropā tiesībsargājošo un bērnu aizsardzības amatpersonu pieredze rāda, ka bērni saņem norādījumus no cilvēku tirgotājiem, kā viņiem jārīkojas, ja amatpersona viņu ir apturējusi, arestējusi vai ievietojusi alternatīvās aprūpes iestādē. Tas nozīmē, ka pēc ievietošanas izmitināšanas iestādē daži no tās aiziet atpakaļ pie personas, kas bērnu kontrolē. Ja izmitināšanas iestādei rūp un tā atbalsta, ka bērni saņem pietiekami kvalitatīvu aprūpi, tas var motivēt bērnus palikt; tomēr amatpersonas, kas bērnam ir svešas, jo īpaši mazākiem (pirmspubertātes vecuma) bērniem, visticamāk, nespēs pretdarboties bērnu kontrolējošās personas/cilvēku tirgotāja spēcīgajai ietekmei. Tas pats attiecas uz bērniem (galvenokārt pusaugu meitenēm), kas ir iemīlējušās vīrietī, kurš patiesībā ir suteners un cilvēku tirgotājs. Vecāki bērni bieži vien, tāpat kā pieaugušie, apzinās pret sevi un ģimeni izdarīto spiedienu atmaksāt parādu vai pildīt citas cilvēku tirgotāju vai naudas aizdevēju saistības. Iestāde, kas viņus ir identificējusi un vēlas viņus pasargāt, var, iespējams, rīkoties, lai pretdarbotos šim spiedienam, taču, lai to darītu, ir pilnībā jāsaprot šā spiediena būtība, kā arī tas, kā to var mazināt.</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Turpmāk 6.5. sadaļā minēto Vjetnamas bērnu gadījumā tas nozīmē, ka bija jāatrod veids, kā apturēt izmaksu pieaugumu par aizdevumiem, kas paņemti, lai samaksātu par šo bērnu braucienu uz Apvienotā Karalisti (sarežģīts process, jo bija pienācīgi jāsadarbojas ar iestādēm Vjetnamā, lai anulētu šos parādus vai apturētu procentu turpmāko iekasēšanu). Nigērijas pusaudžu gadījumā, kas bija ieradušies Itālijā, daži no viņiem pirms došanās prom no mājām bija devuši rituālo zvērestu (Nigērijā sauktu par “</w:t>
      </w:r>
      <w:r w:rsidRPr="006B796E">
        <w:rPr>
          <w:rFonts w:ascii="Times New Roman" w:eastAsia="Times New Roman" w:hAnsi="Times New Roman" w:cs="Times New Roman"/>
          <w:i/>
          <w:iCs/>
          <w:sz w:val="24"/>
          <w:szCs w:val="24"/>
          <w:lang w:eastAsia="lv-LV"/>
        </w:rPr>
        <w:t>žu-žu</w:t>
      </w:r>
      <w:r w:rsidRPr="006B796E">
        <w:rPr>
          <w:rFonts w:ascii="Times New Roman" w:eastAsia="Times New Roman" w:hAnsi="Times New Roman" w:cs="Times New Roman"/>
          <w:sz w:val="24"/>
          <w:szCs w:val="24"/>
          <w:lang w:eastAsia="lv-LV"/>
        </w:rPr>
        <w:t>”) nopelnīt pietiekami daudz naudas, lai atmaksātu sava tā dēvētā brauciena izmaksas, kas nozīmē, ka bija jāmazina bērnu pārdabiskās bailes, kā arī viņu bažas par fiziskiem draudiem sev un saviem tuviniekiem. Abos gadījumos, lai tiktu rasts risinājums, ir nepieciešama cieša sadarbība ar bērna izcelsmes valsts amatpersonām gan valsts, gan vietējā līmenī, kuras var risināt jautājumus par parādu un par draudiem, kas vērsti pret šiem domājamajiem parādniekiem.</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6.4.2. Vai bērnu, kas ir cilvēku tirdzniecības upuris, turēt apcietinājumā, lai novērstu viņa atkārtotu tirdzniecību?</w:t>
      </w:r>
    </w:p>
    <w:p w:rsidR="00281759"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Norvēģijā saskaņā ar 2012. gada Likumu par bērnu labklājību nepavadītus bērnus ir atļauts turēt līdz 6 mēnešiem slēgtā iestādē bez bērna piekrišanas gadījumos, kad tiek uzskatīts, ka pastāv bērna tirdzniecības vai atkārtotas tirdzniecības risks, galvenokārt, lai novērstu bērna saskari ar </w:t>
      </w:r>
      <w:r w:rsidRPr="006B796E">
        <w:rPr>
          <w:rFonts w:ascii="Times New Roman" w:eastAsia="Times New Roman" w:hAnsi="Times New Roman" w:cs="Times New Roman"/>
          <w:sz w:val="24"/>
          <w:szCs w:val="24"/>
          <w:lang w:eastAsia="lv-LV"/>
        </w:rPr>
        <w:lastRenderedPageBreak/>
        <w:t xml:space="preserve">cilvēku tirgotāju (Likuma 4-29. pants). Šiem bērniem var ierobežot arī viņu tiesības zvanīt pa telefonu un izmantot internetu. Šos noteikumus izmanto tikai tad, ja tiek uzskatīts, ka bērnu nevar aizsargāt ar citiem līdzekļiem. 2013. gadā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aicināja Norvēģijas iestādes, lai tās 2012. gada Likumā par bērnu labklājību, kas tiek pārskatīts, ieviestu jaunus pasākumus, “lai nodrošinātu atbilstību starptautiskajiem standartiem par bērna tiesībām, jo īpaši to, lai brīvības atņemšana bērnam būtu galējais līdzeklis”.</w:t>
      </w:r>
      <w:r w:rsidR="00281759">
        <w:rPr>
          <w:rStyle w:val="Vresatsauce"/>
          <w:rFonts w:ascii="Times New Roman" w:eastAsia="Times New Roman" w:hAnsi="Times New Roman" w:cs="Times New Roman"/>
          <w:sz w:val="24"/>
          <w:szCs w:val="24"/>
          <w:lang w:eastAsia="lv-LV"/>
        </w:rPr>
        <w:footnoteReference w:customMarkFollows="1" w:id="132"/>
        <w:t>131</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Pēc tam tika ziņots, ka 50 bērni laikposmā no 2012. gada līdz 2015. gada sākumam tika ievietoti tā dēvētajā aizsardzības ieslodzījuma vietā (27 meitenes, 22 zēni, viena bērna dzimums nav zināms). Tika ziņots, ka slēgtajās iestādēs bērni tika turēti no divām nedēļām līdz sešiem mēnešiem, vidējais turēšanas ilgums bija apmēram astoņas nedēļas. Meitenes tika turētas ieslodzījumā vidēji ilgāku laiku nekā zēni – pētnieki domā, tas bijis tāpēc, ka meitenes bijušas pakļautas seksuālai izmantošanai un, visticamāk, bija slepus aizmukušas ar cilvēku tirgotāju, kuram bija sentimentāli pieķērušās.</w:t>
      </w:r>
      <w:r w:rsidR="00281759">
        <w:rPr>
          <w:rStyle w:val="Vresatsauce"/>
          <w:rFonts w:ascii="Times New Roman" w:eastAsia="Times New Roman" w:hAnsi="Times New Roman" w:cs="Times New Roman"/>
          <w:sz w:val="24"/>
          <w:szCs w:val="24"/>
          <w:lang w:eastAsia="lv-LV"/>
        </w:rPr>
        <w:footnoteReference w:customMarkFollows="1" w:id="133"/>
        <w:t>132</w:t>
      </w:r>
      <w:r w:rsidRPr="006B796E">
        <w:rPr>
          <w:rFonts w:ascii="Times New Roman" w:eastAsia="Times New Roman" w:hAnsi="Times New Roman" w:cs="Times New Roman"/>
          <w:sz w:val="24"/>
          <w:szCs w:val="24"/>
          <w:lang w:eastAsia="lv-LV"/>
        </w:rPr>
        <w:t xml:space="preserve"> 2017. gadā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Norvēģijas iestādēm uzsvēra, ka saskaņā ar Eiropas Padomes Konvencijas 12. panta 7. punktu</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0"/>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“bērni, kas, iespējams, ir cilvēku tirdzniecības upuri, ir jāizmitina atbilstoši viņu īpašajām vajadzībām.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atzīmē, ka bērnu ievietošana iestādē saskaņā ar Likuma par bērnu labklājību 4–29. pantu praktiski ir apcietinājums, un atgādina Konvencijas Paskaidrojuma raksta 155. punktu un ANO Bērnu tiesību konvencijas 37. panta b) punktu, saskaņā ar kuru bērna apcietināšana jāizmanto tikai kā galējas nepieciešamības līdzeklis un uz iespējami īsāku laiku. </w:t>
      </w:r>
      <w:r w:rsidRPr="006B796E">
        <w:rPr>
          <w:rFonts w:ascii="Times New Roman" w:eastAsia="Times New Roman" w:hAnsi="Times New Roman" w:cs="Times New Roman"/>
          <w:i/>
          <w:iCs/>
          <w:sz w:val="24"/>
          <w:szCs w:val="24"/>
          <w:lang w:eastAsia="lv-LV"/>
        </w:rPr>
        <w:t>GRETA</w:t>
      </w:r>
      <w:r w:rsidRPr="006B796E">
        <w:rPr>
          <w:rFonts w:ascii="Times New Roman" w:eastAsia="Times New Roman" w:hAnsi="Times New Roman" w:cs="Times New Roman"/>
          <w:sz w:val="24"/>
          <w:szCs w:val="24"/>
          <w:lang w:eastAsia="lv-LV"/>
        </w:rPr>
        <w:t xml:space="preserve"> uzskata, ka bērna interešu princips vienmēr pilnībā jāievēro un ka Norvēģijas iestādēm jāpārskata Likuma par bērnu labklājību 4–29. panta piemērošana.”</w:t>
      </w:r>
      <w:r w:rsidR="00281759">
        <w:rPr>
          <w:rStyle w:val="Vresatsauce"/>
          <w:rFonts w:ascii="Times New Roman" w:eastAsia="Times New Roman" w:hAnsi="Times New Roman" w:cs="Times New Roman"/>
          <w:sz w:val="24"/>
          <w:szCs w:val="24"/>
          <w:lang w:eastAsia="lv-LV"/>
        </w:rPr>
        <w:footnoteReference w:customMarkFollows="1" w:id="134"/>
        <w:t>133</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6.5. Bērnu pazušanas iespēju mazināšana</w:t>
      </w:r>
    </w:p>
    <w:p w:rsidR="00281759"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To bērnu vidū, kas slapstās no aprūpes iestādēm Apvienotajā Karalistē, ir daudz jauniešu no Vjetnamas.</w:t>
      </w:r>
      <w:r w:rsidR="00281759">
        <w:rPr>
          <w:rStyle w:val="Vresatsauce"/>
          <w:rFonts w:ascii="Times New Roman" w:eastAsia="Times New Roman" w:hAnsi="Times New Roman" w:cs="Times New Roman"/>
          <w:sz w:val="24"/>
          <w:szCs w:val="24"/>
          <w:lang w:eastAsia="lv-LV"/>
        </w:rPr>
        <w:footnoteReference w:customMarkFollows="1" w:id="135"/>
        <w:t>134</w:t>
      </w:r>
      <w:r w:rsidRPr="006B796E">
        <w:rPr>
          <w:rFonts w:ascii="Times New Roman" w:eastAsia="Times New Roman" w:hAnsi="Times New Roman" w:cs="Times New Roman"/>
          <w:sz w:val="24"/>
          <w:szCs w:val="24"/>
          <w:lang w:eastAsia="lv-LV"/>
        </w:rPr>
        <w:t xml:space="preserve"> Daži no viņiem tika ievietoti aprūpes iestādēs pēc tam, kad tika konstatēts, ka viņi (nelegāli) strādā par dārzniekiem tā dēvētajās “kaņepju fermās” (proti, mājās ar aizklātiem logiem, kur audzē marihuānas kaņepes, izmantojot mākslīgo siltumu un gaismu). Citi tur tika ievietoti, kad policija vai citas iestādes konstatēja, ka viņi ir migranti bez dokumentiem. Kopējais ik gadu no aprūpes iestādēm aizmukušo bērnu skaits publiski nav zināms. Tomēr vienreiz 2017. gada decembrī policija vienā apgabalā bija publicējusi </w:t>
      </w:r>
      <w:r w:rsidRPr="006B796E">
        <w:rPr>
          <w:rFonts w:ascii="Times New Roman" w:eastAsia="Times New Roman" w:hAnsi="Times New Roman" w:cs="Times New Roman"/>
          <w:sz w:val="24"/>
          <w:szCs w:val="24"/>
          <w:lang w:eastAsia="lv-LV"/>
        </w:rPr>
        <w:lastRenderedPageBreak/>
        <w:t>13 Vjetnamas jauniešu sejas attēlus un personas datus, jo šie jaunieši bija izgājuši no aprūpes iestādēm, kas atrodas divās šā apgabala pilsētās.</w:t>
      </w:r>
      <w:r w:rsidR="00281759">
        <w:rPr>
          <w:rStyle w:val="Vresatsauce"/>
          <w:rFonts w:ascii="Times New Roman" w:eastAsia="Times New Roman" w:hAnsi="Times New Roman" w:cs="Times New Roman"/>
          <w:sz w:val="24"/>
          <w:szCs w:val="24"/>
          <w:lang w:eastAsia="lv-LV"/>
        </w:rPr>
        <w:footnoteReference w:customMarkFollows="1" w:id="136"/>
        <w:t>135</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Tika noteiktas dažādas metodes, kas bērna, kurš, iespējams, ir cilvēku tirdzniecības upuris, aiziešanu no aprūpes iestādes padara vairāk vai mazāk iespējamu. Nesenajā ziņojumā tika atzīmēts, ka. “domājams, ka tas, ka netika apmeklēts izmitināšanas centrs, lai iepazītos ar vjetnamiešu bērniem, arī palielināja šo bērnu pazušanas risku (..). Kopumā visi piekrīt tam, ka bērni, kas ir cilvēku tirdzniecības upuri, drošāk un labāk jūtas, ja ir ievietoti specializētā audžuģimenē (..). Ziemeļīrijas komisārs bērnu un jauniešu lietās vēlētos, lai nošķirtie bērni tiktu ievietoti audžuģimenē, taču šāda iespēja pašreiz nav pieejama.”</w:t>
      </w:r>
      <w:r w:rsidR="00281759">
        <w:rPr>
          <w:rStyle w:val="Vresatsauce"/>
          <w:rFonts w:ascii="Times New Roman" w:eastAsia="Times New Roman" w:hAnsi="Times New Roman" w:cs="Times New Roman"/>
          <w:sz w:val="24"/>
          <w:szCs w:val="24"/>
          <w:lang w:eastAsia="lv-LV"/>
        </w:rPr>
        <w:footnoteReference w:customMarkFollows="1" w:id="137"/>
        <w:t>136</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Londonas piepilsētā, kurā atrodas lielākā Londonas lidosta (Hilingdona), bērnu aizsardzības iestāde 2014. gadā ir pieņēmusi Kopīgo protokolu par bērniem un jauniešiem, kas aizbēg no aprūpes iestādēm vai mājām vai ir bezvēsts prombūtnē. Protokols ir paredzēts visiem Hilingdonā dzīvojošiem bērniem un jauniešiem, kas dodas bezvēsts prombūtnē (ne tikai nepavadītiem bērniem, kas ieradušies lidostā). Tajā ir iekļauts noteikums, ka “novērtēšanas procedūrās, tostarp APN [agrīnas palīdzības novērtējumā], ko īsteno dažādas iestādes, jāietver aizbēgšanas riska indikatori”.</w:t>
      </w:r>
      <w:r w:rsidR="00281759">
        <w:rPr>
          <w:rStyle w:val="Vresatsauce"/>
          <w:rFonts w:ascii="Times New Roman" w:eastAsia="Times New Roman" w:hAnsi="Times New Roman" w:cs="Times New Roman"/>
          <w:sz w:val="24"/>
          <w:szCs w:val="24"/>
          <w:lang w:eastAsia="lv-LV"/>
        </w:rPr>
        <w:footnoteReference w:customMarkFollows="1" w:id="138"/>
        <w:t>137</w:t>
      </w:r>
      <w:r w:rsidRPr="006B796E">
        <w:rPr>
          <w:rFonts w:ascii="Times New Roman" w:eastAsia="Times New Roman" w:hAnsi="Times New Roman" w:cs="Times New Roman"/>
          <w:sz w:val="24"/>
          <w:szCs w:val="24"/>
          <w:lang w:eastAsia="lv-LV"/>
        </w:rPr>
        <w:t> Protokolā ir noteikts, kā dažādām iesaistītajām pusēm jārīkojas bērna pazušanas gadījumā – ja bērnu nevar izsekot, triju dienu laikā ir jāsasauc bērna aizsardzības stratēģijas sanāksme, lai izlemtu par turpmāko atbilstošo rīcību. Tomēr šajā protokolā ir arī noteikti preventīvie pasākumi, kas jāveic, kad bērns ir sākotnēji ievietots alternatīvās aprūpes iestādē – būtībā, izstrādājot plašāku aprūpes plānu, tā ietvaros ir jānovērtē arī bērna bezvēsts prombūtnes riski.</w:t>
      </w:r>
      <w:r w:rsidR="00281759">
        <w:rPr>
          <w:rStyle w:val="Vresatsauce"/>
          <w:rFonts w:ascii="Times New Roman" w:eastAsia="Times New Roman" w:hAnsi="Times New Roman" w:cs="Times New Roman"/>
          <w:sz w:val="24"/>
          <w:szCs w:val="24"/>
          <w:lang w:eastAsia="lv-LV"/>
        </w:rPr>
        <w:footnoteReference w:customMarkFollows="1" w:id="139"/>
        <w:t>138</w:t>
      </w:r>
    </w:p>
    <w:p w:rsidR="00281759"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Protokolā ietver vispārēju informāciju par bērniem, kas dodas bezvēsts prombūtnē, tostarp viņu profilu un ziņotās tipiskās bezvēsts prombūtnē došanās shēmas. Ietver arī plūsmas diagrammu, kas parāda, kam jādara kas. Protokolā ir skaidri norādīti galvenie jautājumi par dažādu iestāžu </w:t>
      </w:r>
      <w:r w:rsidRPr="006B796E">
        <w:rPr>
          <w:rFonts w:ascii="Times New Roman" w:eastAsia="Times New Roman" w:hAnsi="Times New Roman" w:cs="Times New Roman"/>
          <w:sz w:val="24"/>
          <w:szCs w:val="24"/>
          <w:lang w:eastAsia="lv-LV"/>
        </w:rPr>
        <w:lastRenderedPageBreak/>
        <w:t>atbildību: “Kad ir paziņots par bērna bezvēsts pazušanu bērnu dienesti [bērnu aizsardzības iestāde] joprojām ir atbildīgi par to aprūpē nodoto bērnu. Iestāde netiek atbrīvota no šīs atbildības, kad par bērna pazušanu tiek paziņots policijai”, un “tiklīdz policijai tiek paziņots par bērna pazušanu, policija prioritāri veic izmeklēšanu, lai sameklētu bērnu.”</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Praksē, ja nepavadīts bērns Apvienotajā Karalistē ir bezvēsts prombūtnē, viņu izsekot joprojām ir grūti, daļēji tāpēc, ka nav šādu bērnu centrālā reģistra. NVO “Nacionālā cietsirdīgas attieksmes pret bērniem novēršanas biedrība” [</w:t>
      </w:r>
      <w:r w:rsidRPr="006B796E">
        <w:rPr>
          <w:rFonts w:ascii="Times New Roman" w:eastAsia="Times New Roman" w:hAnsi="Times New Roman" w:cs="Times New Roman"/>
          <w:i/>
          <w:iCs/>
          <w:sz w:val="24"/>
          <w:szCs w:val="24"/>
          <w:lang w:eastAsia="lv-LV"/>
        </w:rPr>
        <w:t>National Society for the Prevention of Cruelty to Children</w:t>
      </w:r>
      <w:r w:rsidRPr="006B796E">
        <w:rPr>
          <w:rFonts w:ascii="Times New Roman" w:eastAsia="Times New Roman" w:hAnsi="Times New Roman" w:cs="Times New Roman"/>
          <w:sz w:val="24"/>
          <w:szCs w:val="24"/>
          <w:lang w:eastAsia="lv-LV"/>
        </w:rPr>
        <w:t>] ir izveidojusi Bērnu, kas ir cilvēku tirdzniecības upuri, konsultatīvo centru, kam esot būtiska loma, meklējot, kur atrodas bezvēsts pazudušie bērni, kuri ir cilvēku tirdzniecības upuri vai par kuriem ir šādas aizdomas (vienlaikus tiek apstiprināta ar specializētajām NVO ciešā sadarbībā strādājošo valsts iestāžu nozīme). Vienā gadījumā NVO bija sazinājusies ar Bērnu, kas ir cilvēku tirdzniecības upuri, konsultatīvo centru, kad bez vēsts bija pazudis bērns Kentā, AK galējos dienvidaustrumos. Centram sadarbībā ar policiju, vietējās pašvaldības iestādēm un citām iestādēm bija izdevies atklāt, ka šis bērns ir izmitināts Glāzgovā, valsts otrā galā.</w:t>
      </w:r>
      <w:r w:rsidR="00281759">
        <w:rPr>
          <w:rStyle w:val="Vresatsauce"/>
          <w:rFonts w:ascii="Times New Roman" w:eastAsia="Times New Roman" w:hAnsi="Times New Roman" w:cs="Times New Roman"/>
          <w:sz w:val="24"/>
          <w:szCs w:val="24"/>
          <w:lang w:eastAsia="lv-LV"/>
        </w:rPr>
        <w:footnoteReference w:customMarkFollows="1" w:id="140"/>
        <w:t>139</w:t>
      </w:r>
    </w:p>
    <w:p w:rsidR="00281759" w:rsidRDefault="0028175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r w:rsidRPr="002F1BEE">
        <w:rPr>
          <w:rFonts w:ascii="Times New Roman" w:eastAsia="Times New Roman" w:hAnsi="Times New Roman" w:cs="Times New Roman"/>
          <w:b/>
          <w:bCs/>
          <w:noProof/>
          <w:sz w:val="24"/>
          <w:szCs w:val="24"/>
          <w:lang w:eastAsia="lv-LV"/>
        </w:rPr>
        <w:lastRenderedPageBreak/>
        <w:drawing>
          <wp:inline distT="0" distB="0" distL="0" distR="0">
            <wp:extent cx="5760085" cy="7709112"/>
            <wp:effectExtent l="0" t="0" r="0" b="635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085" cy="7709112"/>
                    </a:xfrm>
                    <a:prstGeom prst="rect">
                      <a:avLst/>
                    </a:prstGeom>
                    <a:noFill/>
                    <a:ln>
                      <a:noFill/>
                    </a:ln>
                  </pic:spPr>
                </pic:pic>
              </a:graphicData>
            </a:graphic>
          </wp:inline>
        </w:drawing>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p>
    <w:p w:rsidR="00281759" w:rsidRDefault="00281759">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7.1. Pamatprincipi</w:t>
      </w:r>
    </w:p>
    <w:p w:rsidR="00281759"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Nesenajā (2017) Kopīgajā vispārējā komentārā Visu migrējošo darba ņēmēju un viņu ģimenes locekļu tiesību aizsardzības komiteja un Bērnu tiesību komiteja norādīja, ka, ja tiek pieņemts lēmums, ka bērna nosūtīšana atpakaļ uz viņa izcelsmes valsti ir bērna interesēs, iespēju robežās kopā ar bērnu jāsagatavo individuālais plāns viņa ilgtspējīgai reintegrācijai.</w:t>
      </w:r>
      <w:r w:rsidR="00114C5F">
        <w:rPr>
          <w:rStyle w:val="Vresatsauce"/>
          <w:rFonts w:ascii="Times New Roman" w:eastAsia="Times New Roman" w:hAnsi="Times New Roman" w:cs="Times New Roman"/>
          <w:sz w:val="24"/>
          <w:szCs w:val="24"/>
          <w:lang w:eastAsia="lv-LV"/>
        </w:rPr>
        <w:footnoteReference w:customMarkFollows="1" w:id="141"/>
        <w:t>140</w:t>
      </w:r>
      <w:r w:rsidRPr="006B796E">
        <w:rPr>
          <w:rFonts w:ascii="Times New Roman" w:eastAsia="Times New Roman" w:hAnsi="Times New Roman" w:cs="Times New Roman"/>
          <w:sz w:val="24"/>
          <w:szCs w:val="24"/>
          <w:lang w:eastAsia="lv-LV"/>
        </w:rPr>
        <w:t xml:space="preserve"> Bērnu tiesību komiteja arī komentēja, kādos apstākļos nepavadīta bērna atpakaļnosūtīšana uz izcelsmes valsti </w:t>
      </w:r>
      <w:r w:rsidRPr="006B796E">
        <w:rPr>
          <w:rFonts w:ascii="Times New Roman" w:eastAsia="Times New Roman" w:hAnsi="Times New Roman" w:cs="Times New Roman"/>
          <w:sz w:val="24"/>
          <w:szCs w:val="24"/>
          <w:u w:val="single"/>
          <w:lang w:eastAsia="lv-LV"/>
        </w:rPr>
        <w:t>nav</w:t>
      </w:r>
      <w:r w:rsidRPr="006B796E">
        <w:rPr>
          <w:rFonts w:ascii="Times New Roman" w:eastAsia="Times New Roman" w:hAnsi="Times New Roman" w:cs="Times New Roman"/>
          <w:sz w:val="24"/>
          <w:szCs w:val="24"/>
          <w:lang w:eastAsia="lv-LV"/>
        </w:rPr>
        <w:t xml:space="preserve"> atbilstīga</w:t>
      </w:r>
      <w:r w:rsidR="00114C5F">
        <w:rPr>
          <w:rStyle w:val="Vresatsauce"/>
          <w:rFonts w:ascii="Times New Roman" w:eastAsia="Times New Roman" w:hAnsi="Times New Roman" w:cs="Times New Roman"/>
          <w:sz w:val="24"/>
          <w:szCs w:val="24"/>
          <w:lang w:eastAsia="lv-LV"/>
        </w:rPr>
        <w:footnoteReference w:customMarkFollows="1" w:id="142"/>
        <w:t>141</w:t>
      </w:r>
      <w:r w:rsidRPr="006B796E">
        <w:rPr>
          <w:rFonts w:ascii="Times New Roman" w:eastAsia="Times New Roman" w:hAnsi="Times New Roman" w:cs="Times New Roman"/>
          <w:sz w:val="24"/>
          <w:szCs w:val="24"/>
          <w:lang w:eastAsia="lv-LV"/>
        </w:rPr>
        <w:t>, un uzskaitīja, kādi faktori ir jāņem vērā, kad tiek apsvērts, vai būtu atbilstīgi bērnu sūtīt atpakaļ uz viņa izcelsmes valsti.</w:t>
      </w:r>
      <w:r w:rsidR="00114C5F">
        <w:rPr>
          <w:rStyle w:val="Vresatsauce"/>
          <w:rFonts w:ascii="Times New Roman" w:eastAsia="Times New Roman" w:hAnsi="Times New Roman" w:cs="Times New Roman"/>
          <w:sz w:val="24"/>
          <w:szCs w:val="24"/>
          <w:lang w:eastAsia="lv-LV"/>
        </w:rPr>
        <w:footnoteReference w:customMarkFollows="1" w:id="143"/>
        <w:t>142</w:t>
      </w:r>
    </w:p>
    <w:p w:rsidR="00281759" w:rsidRPr="006B796E" w:rsidRDefault="00281759"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Vispārējos starptautiskajos standartos ir arī saskaņots nepavadītu vai nošķirtu bērnu nogādāšanas transports. Starpiestāžu darba grupa nepavadītu un nošķirtu bērnu jautājumos ir izdevusi instrumentu kopumu, kurā atzīmē, ka “nosūtīšanas apstākļiem ir jābūt tādiem, lai tiktu ievēroti vispārējie bērna drošības principi (likumīgā aizbildņa piekrišana, eskorts, ja bērns 15 gadus vecs vai jaunāks, īpaši drošības apsvērumi un uzticams biedriskums 16–18 gadus veciem bērniem, medicīniskais eskorts meitenēm grūtniecības stāvoklī un īpaša uzmanība attiecībā uz meitenēm māmiņām un bērniem invalīdiem, utt.)”.</w:t>
      </w:r>
      <w:r w:rsidR="00114C5F">
        <w:rPr>
          <w:rStyle w:val="Vresatsauce"/>
          <w:rFonts w:ascii="Times New Roman" w:eastAsia="Times New Roman" w:hAnsi="Times New Roman" w:cs="Times New Roman"/>
          <w:sz w:val="24"/>
          <w:szCs w:val="24"/>
          <w:lang w:eastAsia="lv-LV"/>
        </w:rPr>
        <w:footnoteReference w:customMarkFollows="1" w:id="144"/>
        <w:t>143</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ODIHR</w:t>
      </w:r>
      <w:r w:rsidR="00114C5F">
        <w:rPr>
          <w:rStyle w:val="Vresatsauce"/>
          <w:rFonts w:ascii="Times New Roman" w:eastAsia="Times New Roman" w:hAnsi="Times New Roman" w:cs="Times New Roman"/>
          <w:i/>
          <w:iCs/>
          <w:sz w:val="24"/>
          <w:szCs w:val="24"/>
          <w:lang w:eastAsia="lv-LV"/>
        </w:rPr>
        <w:footnoteReference w:customMarkFollows="1" w:id="145"/>
        <w:t>144</w:t>
      </w:r>
      <w:r w:rsidRPr="006B796E">
        <w:rPr>
          <w:rFonts w:ascii="Times New Roman" w:eastAsia="Times New Roman" w:hAnsi="Times New Roman" w:cs="Times New Roman"/>
          <w:sz w:val="24"/>
          <w:szCs w:val="24"/>
          <w:lang w:eastAsia="lv-LV"/>
        </w:rPr>
        <w:t xml:space="preserve"> ir izdevis septiņus cilvēktiesību pamatprincipus attiecībā uz cilvēku tirdzniecības upuru atpakaļnosūtīšanu, un to 4. princips attiecas uz bērniem, kas ir cilvēku tirdzniecības upuri. Tas nosaka:</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“Visi lēmumi attiecībā uz cietušo bērnu, neatkarīgi no tā, vai bērns ir ar pavadoni vai bez tā, ir jāpieņem, primāri izvērtējot bērna intereses; (..) ilgtermiņa risinājuma meklēšana jāsāk ar to, ka analizē ģimenes atkalapvienošanas iespēju.”</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Attiecībā uz bērniem, kas identificēti valstī, kas nav viņu izcelsmes valsts, ir noteikts šādi:</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“Galamērķa valstīm jānodrošina, ka cietušiem bērniem, kas nav šīs valsts valstspiederīgie vai pastāvīgie iedzīvotāji, tiek automātiski piešķirta pagaidu uzturēšanās atļauja, kas dod tiesības legāli atrasties šajā valstī, līdz tiek pabeigts bērna interešu izvērtējums un atrasts pastāvīgs risinājums; (..) galamērķa valstīm jāieceļ bērnam, kas ir cilvēku tirdzniecības upuris, likumīgais aizbildnis, un pirms jebkādu procedūru vai tiesvedības uzsākšanas bērnam jānodrošina nepieciešamā juridiskā palīdzība. Bērnam jānodrošina likumīgais aizbildnis, kad viņam tiek sniegta tūlītēja vai ilgtermiņa palīdzība, tostarp laikā, kad notiek bērna integrēšana galamērķa valstī vai kad viņš tiek nosūtīts atpakaļ un tiek integrēts izcelsmes valstī vai trešajā valstī.”</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Īsumā šie septiņi principi ir šādi:</w:t>
      </w:r>
    </w:p>
    <w:p w:rsidR="00114C5F" w:rsidRDefault="00114C5F" w:rsidP="006B796E">
      <w:pPr>
        <w:widowControl w:val="0"/>
        <w:spacing w:after="0" w:line="240" w:lineRule="auto"/>
        <w:jc w:val="both"/>
        <w:rPr>
          <w:rFonts w:ascii="Times New Roman" w:eastAsia="Times New Roman" w:hAnsi="Times New Roman" w:cs="Times New Roman"/>
          <w:sz w:val="24"/>
          <w:szCs w:val="24"/>
          <w:lang w:eastAsia="lv-LV"/>
        </w:rPr>
      </w:pPr>
    </w:p>
    <w:tbl>
      <w:tblPr>
        <w:tblW w:w="0" w:type="auto"/>
        <w:jc w:val="center"/>
        <w:tblLook w:val="04A0" w:firstRow="1" w:lastRow="0" w:firstColumn="1" w:lastColumn="0" w:noHBand="0" w:noVBand="1"/>
      </w:tblPr>
      <w:tblGrid>
        <w:gridCol w:w="534"/>
        <w:gridCol w:w="6095"/>
      </w:tblGrid>
      <w:tr w:rsidR="00114C5F" w:rsidRPr="000E2D02" w:rsidTr="00757159">
        <w:trPr>
          <w:jc w:val="center"/>
        </w:trPr>
        <w:tc>
          <w:tcPr>
            <w:tcW w:w="534" w:type="dxa"/>
          </w:tcPr>
          <w:p w:rsidR="00114C5F" w:rsidRPr="000E2D02" w:rsidRDefault="00114C5F" w:rsidP="00757159">
            <w:pPr>
              <w:pStyle w:val="Pamatteksts"/>
              <w:widowControl/>
              <w:kinsoku w:val="0"/>
              <w:overflowPunct w:val="0"/>
              <w:ind w:left="0"/>
              <w:jc w:val="center"/>
              <w:rPr>
                <w:b/>
                <w:noProof/>
                <w:sz w:val="24"/>
                <w:szCs w:val="24"/>
                <w:lang w:val="en-US"/>
              </w:rPr>
            </w:pPr>
          </w:p>
        </w:tc>
        <w:tc>
          <w:tcPr>
            <w:tcW w:w="6095" w:type="dxa"/>
            <w:shd w:val="clear" w:color="auto" w:fill="A6A6A6"/>
          </w:tcPr>
          <w:p w:rsidR="00114C5F" w:rsidRPr="000E2D02" w:rsidRDefault="00114C5F" w:rsidP="00757159">
            <w:pPr>
              <w:pStyle w:val="Pamatteksts"/>
              <w:widowControl/>
              <w:kinsoku w:val="0"/>
              <w:overflowPunct w:val="0"/>
              <w:ind w:left="0"/>
              <w:jc w:val="both"/>
              <w:rPr>
                <w:b/>
                <w:bCs/>
                <w:noProof/>
                <w:sz w:val="24"/>
                <w:szCs w:val="24"/>
                <w:lang w:val="en-US"/>
              </w:rPr>
            </w:pPr>
            <w:r w:rsidRPr="006B796E">
              <w:rPr>
                <w:b/>
                <w:bCs/>
                <w:sz w:val="24"/>
                <w:szCs w:val="24"/>
              </w:rPr>
              <w:t>Principi</w:t>
            </w:r>
          </w:p>
        </w:tc>
      </w:tr>
      <w:tr w:rsidR="00114C5F" w:rsidRPr="000E2D02" w:rsidTr="00757159">
        <w:trPr>
          <w:jc w:val="center"/>
        </w:trPr>
        <w:tc>
          <w:tcPr>
            <w:tcW w:w="534" w:type="dxa"/>
            <w:shd w:val="clear" w:color="auto" w:fill="BFBFBF"/>
          </w:tcPr>
          <w:p w:rsidR="00114C5F" w:rsidRPr="000E2D02" w:rsidRDefault="00114C5F" w:rsidP="00757159">
            <w:pPr>
              <w:pStyle w:val="Pamatteksts"/>
              <w:widowControl/>
              <w:kinsoku w:val="0"/>
              <w:overflowPunct w:val="0"/>
              <w:ind w:left="0"/>
              <w:jc w:val="center"/>
              <w:rPr>
                <w:b/>
                <w:noProof/>
                <w:sz w:val="24"/>
                <w:szCs w:val="24"/>
                <w:lang w:val="en-US"/>
              </w:rPr>
            </w:pPr>
            <w:r w:rsidRPr="000E2D02">
              <w:rPr>
                <w:b/>
                <w:noProof/>
                <w:sz w:val="24"/>
                <w:szCs w:val="24"/>
                <w:lang w:val="en-US"/>
              </w:rPr>
              <w:t>1</w:t>
            </w:r>
            <w:r>
              <w:rPr>
                <w:b/>
                <w:noProof/>
                <w:sz w:val="24"/>
                <w:szCs w:val="24"/>
                <w:lang w:val="en-US"/>
              </w:rPr>
              <w:t>.</w:t>
            </w:r>
          </w:p>
        </w:tc>
        <w:tc>
          <w:tcPr>
            <w:tcW w:w="6095" w:type="dxa"/>
            <w:shd w:val="clear" w:color="auto" w:fill="D9D9D9"/>
          </w:tcPr>
          <w:p w:rsidR="00114C5F" w:rsidRPr="000E2D02" w:rsidRDefault="00114C5F" w:rsidP="00757159">
            <w:pPr>
              <w:pStyle w:val="Pamatteksts"/>
              <w:widowControl/>
              <w:kinsoku w:val="0"/>
              <w:overflowPunct w:val="0"/>
              <w:ind w:left="0"/>
              <w:jc w:val="both"/>
              <w:rPr>
                <w:noProof/>
                <w:color w:val="231F20"/>
                <w:sz w:val="24"/>
                <w:szCs w:val="24"/>
                <w:lang w:val="en-US"/>
              </w:rPr>
            </w:pPr>
            <w:r w:rsidRPr="006B796E">
              <w:rPr>
                <w:color w:val="231F20"/>
                <w:sz w:val="24"/>
                <w:szCs w:val="24"/>
              </w:rPr>
              <w:t>Atpakaļnosūtīšanai ir jābūt drošai</w:t>
            </w:r>
          </w:p>
        </w:tc>
      </w:tr>
      <w:tr w:rsidR="00114C5F" w:rsidRPr="000E2D02" w:rsidTr="00757159">
        <w:trPr>
          <w:jc w:val="center"/>
        </w:trPr>
        <w:tc>
          <w:tcPr>
            <w:tcW w:w="534" w:type="dxa"/>
            <w:shd w:val="clear" w:color="auto" w:fill="BFBFBF"/>
          </w:tcPr>
          <w:p w:rsidR="00114C5F" w:rsidRPr="000E2D02" w:rsidRDefault="00114C5F" w:rsidP="00757159">
            <w:pPr>
              <w:pStyle w:val="Pamatteksts"/>
              <w:widowControl/>
              <w:kinsoku w:val="0"/>
              <w:overflowPunct w:val="0"/>
              <w:ind w:left="0"/>
              <w:jc w:val="center"/>
              <w:rPr>
                <w:b/>
                <w:noProof/>
                <w:sz w:val="24"/>
                <w:szCs w:val="24"/>
                <w:lang w:val="en-US"/>
              </w:rPr>
            </w:pPr>
            <w:r w:rsidRPr="000E2D02">
              <w:rPr>
                <w:b/>
                <w:noProof/>
                <w:sz w:val="24"/>
                <w:szCs w:val="24"/>
                <w:lang w:val="en-US"/>
              </w:rPr>
              <w:t>2</w:t>
            </w:r>
            <w:r>
              <w:rPr>
                <w:b/>
                <w:noProof/>
                <w:sz w:val="24"/>
                <w:szCs w:val="24"/>
                <w:lang w:val="en-US"/>
              </w:rPr>
              <w:t>.</w:t>
            </w:r>
          </w:p>
        </w:tc>
        <w:tc>
          <w:tcPr>
            <w:tcW w:w="6095" w:type="dxa"/>
            <w:shd w:val="clear" w:color="auto" w:fill="D9D9D9"/>
          </w:tcPr>
          <w:p w:rsidR="00114C5F" w:rsidRPr="000E2D02" w:rsidRDefault="00114C5F" w:rsidP="00757159">
            <w:pPr>
              <w:pStyle w:val="Pamatteksts"/>
              <w:widowControl/>
              <w:kinsoku w:val="0"/>
              <w:overflowPunct w:val="0"/>
              <w:ind w:left="0"/>
              <w:jc w:val="both"/>
              <w:rPr>
                <w:noProof/>
                <w:color w:val="231F20"/>
                <w:sz w:val="24"/>
                <w:szCs w:val="24"/>
                <w:lang w:val="en-US"/>
              </w:rPr>
            </w:pPr>
            <w:r w:rsidRPr="006B796E">
              <w:rPr>
                <w:color w:val="231F20"/>
                <w:sz w:val="24"/>
                <w:szCs w:val="24"/>
              </w:rPr>
              <w:t>Laba pārvaldība</w:t>
            </w:r>
          </w:p>
        </w:tc>
      </w:tr>
      <w:tr w:rsidR="00114C5F" w:rsidRPr="000E2D02" w:rsidTr="00757159">
        <w:trPr>
          <w:jc w:val="center"/>
        </w:trPr>
        <w:tc>
          <w:tcPr>
            <w:tcW w:w="534" w:type="dxa"/>
            <w:shd w:val="clear" w:color="auto" w:fill="BFBFBF"/>
          </w:tcPr>
          <w:p w:rsidR="00114C5F" w:rsidRPr="000E2D02" w:rsidRDefault="00114C5F" w:rsidP="00757159">
            <w:pPr>
              <w:pStyle w:val="Pamatteksts"/>
              <w:widowControl/>
              <w:kinsoku w:val="0"/>
              <w:overflowPunct w:val="0"/>
              <w:ind w:left="0"/>
              <w:jc w:val="center"/>
              <w:rPr>
                <w:b/>
                <w:noProof/>
                <w:sz w:val="24"/>
                <w:szCs w:val="24"/>
                <w:lang w:val="en-US"/>
              </w:rPr>
            </w:pPr>
            <w:r w:rsidRPr="000E2D02">
              <w:rPr>
                <w:b/>
                <w:noProof/>
                <w:sz w:val="24"/>
                <w:szCs w:val="24"/>
                <w:lang w:val="en-US"/>
              </w:rPr>
              <w:t>3</w:t>
            </w:r>
            <w:r>
              <w:rPr>
                <w:b/>
                <w:noProof/>
                <w:sz w:val="24"/>
                <w:szCs w:val="24"/>
                <w:lang w:val="en-US"/>
              </w:rPr>
              <w:t>.</w:t>
            </w:r>
          </w:p>
        </w:tc>
        <w:tc>
          <w:tcPr>
            <w:tcW w:w="6095" w:type="dxa"/>
            <w:shd w:val="clear" w:color="auto" w:fill="D9D9D9"/>
          </w:tcPr>
          <w:p w:rsidR="00114C5F" w:rsidRPr="000E2D02" w:rsidRDefault="00114C5F" w:rsidP="00757159">
            <w:pPr>
              <w:pStyle w:val="Pamatteksts"/>
              <w:widowControl/>
              <w:kinsoku w:val="0"/>
              <w:overflowPunct w:val="0"/>
              <w:ind w:left="0"/>
              <w:jc w:val="both"/>
              <w:rPr>
                <w:noProof/>
                <w:color w:val="231F20"/>
                <w:sz w:val="24"/>
                <w:szCs w:val="24"/>
                <w:lang w:val="en-US"/>
              </w:rPr>
            </w:pPr>
            <w:r w:rsidRPr="006B796E">
              <w:rPr>
                <w:color w:val="231F20"/>
                <w:sz w:val="24"/>
                <w:szCs w:val="24"/>
              </w:rPr>
              <w:t>Aizsardzības pasākumi, ja atpakaļnosūtīšana nav iespējama</w:t>
            </w:r>
          </w:p>
        </w:tc>
      </w:tr>
      <w:tr w:rsidR="00114C5F" w:rsidRPr="000E2D02" w:rsidTr="00757159">
        <w:trPr>
          <w:jc w:val="center"/>
        </w:trPr>
        <w:tc>
          <w:tcPr>
            <w:tcW w:w="534" w:type="dxa"/>
            <w:shd w:val="clear" w:color="auto" w:fill="BFBFBF"/>
          </w:tcPr>
          <w:p w:rsidR="00114C5F" w:rsidRPr="000E2D02" w:rsidRDefault="00114C5F" w:rsidP="00757159">
            <w:pPr>
              <w:pStyle w:val="Pamatteksts"/>
              <w:widowControl/>
              <w:kinsoku w:val="0"/>
              <w:overflowPunct w:val="0"/>
              <w:ind w:left="0"/>
              <w:jc w:val="center"/>
              <w:rPr>
                <w:b/>
                <w:noProof/>
                <w:sz w:val="24"/>
                <w:szCs w:val="24"/>
                <w:lang w:val="en-US"/>
              </w:rPr>
            </w:pPr>
            <w:r w:rsidRPr="000E2D02">
              <w:rPr>
                <w:b/>
                <w:noProof/>
                <w:sz w:val="24"/>
                <w:szCs w:val="24"/>
                <w:lang w:val="en-US"/>
              </w:rPr>
              <w:t>4</w:t>
            </w:r>
            <w:r>
              <w:rPr>
                <w:b/>
                <w:noProof/>
                <w:sz w:val="24"/>
                <w:szCs w:val="24"/>
                <w:lang w:val="en-US"/>
              </w:rPr>
              <w:t>.</w:t>
            </w:r>
          </w:p>
        </w:tc>
        <w:tc>
          <w:tcPr>
            <w:tcW w:w="6095" w:type="dxa"/>
            <w:shd w:val="clear" w:color="auto" w:fill="D9D9D9"/>
          </w:tcPr>
          <w:p w:rsidR="00114C5F" w:rsidRPr="000E2D02" w:rsidRDefault="00114C5F" w:rsidP="00757159">
            <w:pPr>
              <w:pStyle w:val="TableParagraph"/>
              <w:kinsoku w:val="0"/>
              <w:overflowPunct w:val="0"/>
              <w:rPr>
                <w:noProof/>
                <w:color w:val="231F20"/>
                <w:lang w:val="en-US"/>
              </w:rPr>
            </w:pPr>
            <w:r w:rsidRPr="006B796E">
              <w:rPr>
                <w:color w:val="231F20"/>
              </w:rPr>
              <w:t>Īpaši aizsardzības pasākumi, sūtot atpakaļ cietušos bērnus</w:t>
            </w:r>
          </w:p>
        </w:tc>
      </w:tr>
      <w:tr w:rsidR="00114C5F" w:rsidRPr="000E2D02" w:rsidTr="00757159">
        <w:trPr>
          <w:jc w:val="center"/>
        </w:trPr>
        <w:tc>
          <w:tcPr>
            <w:tcW w:w="534" w:type="dxa"/>
            <w:shd w:val="clear" w:color="auto" w:fill="BFBFBF"/>
          </w:tcPr>
          <w:p w:rsidR="00114C5F" w:rsidRPr="000E2D02" w:rsidRDefault="00114C5F" w:rsidP="00757159">
            <w:pPr>
              <w:pStyle w:val="Pamatteksts"/>
              <w:widowControl/>
              <w:kinsoku w:val="0"/>
              <w:overflowPunct w:val="0"/>
              <w:ind w:left="0"/>
              <w:jc w:val="center"/>
              <w:rPr>
                <w:b/>
                <w:noProof/>
                <w:sz w:val="24"/>
                <w:szCs w:val="24"/>
                <w:lang w:val="en-US"/>
              </w:rPr>
            </w:pPr>
            <w:r w:rsidRPr="000E2D02">
              <w:rPr>
                <w:b/>
                <w:noProof/>
                <w:sz w:val="24"/>
                <w:szCs w:val="24"/>
                <w:lang w:val="en-US"/>
              </w:rPr>
              <w:t>5</w:t>
            </w:r>
            <w:r>
              <w:rPr>
                <w:b/>
                <w:noProof/>
                <w:sz w:val="24"/>
                <w:szCs w:val="24"/>
                <w:lang w:val="en-US"/>
              </w:rPr>
              <w:t>.</w:t>
            </w:r>
          </w:p>
        </w:tc>
        <w:tc>
          <w:tcPr>
            <w:tcW w:w="6095" w:type="dxa"/>
            <w:shd w:val="clear" w:color="auto" w:fill="D9D9D9"/>
          </w:tcPr>
          <w:p w:rsidR="00114C5F" w:rsidRPr="000E2D02" w:rsidRDefault="00114C5F" w:rsidP="00757159">
            <w:pPr>
              <w:pStyle w:val="Pamatteksts"/>
              <w:widowControl/>
              <w:kinsoku w:val="0"/>
              <w:overflowPunct w:val="0"/>
              <w:ind w:left="0"/>
              <w:jc w:val="both"/>
              <w:rPr>
                <w:noProof/>
                <w:color w:val="231F20"/>
                <w:sz w:val="24"/>
                <w:szCs w:val="24"/>
                <w:lang w:val="en-US"/>
              </w:rPr>
            </w:pPr>
            <w:r w:rsidRPr="006B796E">
              <w:rPr>
                <w:color w:val="231F20"/>
                <w:sz w:val="24"/>
                <w:szCs w:val="24"/>
              </w:rPr>
              <w:t>Pastāvīgs risinājums, kas nerada turpmāku kaitējumu</w:t>
            </w:r>
          </w:p>
        </w:tc>
      </w:tr>
      <w:tr w:rsidR="00114C5F" w:rsidRPr="000E2D02" w:rsidTr="00757159">
        <w:trPr>
          <w:jc w:val="center"/>
        </w:trPr>
        <w:tc>
          <w:tcPr>
            <w:tcW w:w="534" w:type="dxa"/>
            <w:shd w:val="clear" w:color="auto" w:fill="BFBFBF"/>
          </w:tcPr>
          <w:p w:rsidR="00114C5F" w:rsidRPr="000E2D02" w:rsidRDefault="00114C5F" w:rsidP="00757159">
            <w:pPr>
              <w:pStyle w:val="Pamatteksts"/>
              <w:widowControl/>
              <w:kinsoku w:val="0"/>
              <w:overflowPunct w:val="0"/>
              <w:ind w:left="0"/>
              <w:jc w:val="center"/>
              <w:rPr>
                <w:b/>
                <w:noProof/>
                <w:sz w:val="24"/>
                <w:szCs w:val="24"/>
                <w:lang w:val="en-US"/>
              </w:rPr>
            </w:pPr>
            <w:r w:rsidRPr="000E2D02">
              <w:rPr>
                <w:b/>
                <w:noProof/>
                <w:sz w:val="24"/>
                <w:szCs w:val="24"/>
                <w:lang w:val="en-US"/>
              </w:rPr>
              <w:t>6</w:t>
            </w:r>
            <w:r>
              <w:rPr>
                <w:b/>
                <w:noProof/>
                <w:sz w:val="24"/>
                <w:szCs w:val="24"/>
                <w:lang w:val="en-US"/>
              </w:rPr>
              <w:t>.</w:t>
            </w:r>
          </w:p>
        </w:tc>
        <w:tc>
          <w:tcPr>
            <w:tcW w:w="6095" w:type="dxa"/>
            <w:shd w:val="clear" w:color="auto" w:fill="D9D9D9"/>
          </w:tcPr>
          <w:p w:rsidR="00114C5F" w:rsidRPr="000E2D02" w:rsidRDefault="00114C5F" w:rsidP="00757159">
            <w:pPr>
              <w:pStyle w:val="Pamatteksts"/>
              <w:widowControl/>
              <w:kinsoku w:val="0"/>
              <w:overflowPunct w:val="0"/>
              <w:ind w:left="0"/>
              <w:jc w:val="both"/>
              <w:rPr>
                <w:noProof/>
                <w:color w:val="231F20"/>
                <w:sz w:val="24"/>
                <w:szCs w:val="24"/>
                <w:lang w:val="en-US"/>
              </w:rPr>
            </w:pPr>
            <w:r w:rsidRPr="006B796E">
              <w:rPr>
                <w:color w:val="231F20"/>
                <w:sz w:val="24"/>
                <w:szCs w:val="24"/>
              </w:rPr>
              <w:t>Efektīvas tiesiskās aizsardzības pieejamība</w:t>
            </w:r>
          </w:p>
        </w:tc>
      </w:tr>
      <w:tr w:rsidR="00114C5F" w:rsidRPr="000E2D02" w:rsidTr="00757159">
        <w:trPr>
          <w:jc w:val="center"/>
        </w:trPr>
        <w:tc>
          <w:tcPr>
            <w:tcW w:w="534" w:type="dxa"/>
            <w:shd w:val="clear" w:color="auto" w:fill="BFBFBF"/>
          </w:tcPr>
          <w:p w:rsidR="00114C5F" w:rsidRPr="000E2D02" w:rsidRDefault="00114C5F" w:rsidP="00757159">
            <w:pPr>
              <w:pStyle w:val="Pamatteksts"/>
              <w:widowControl/>
              <w:kinsoku w:val="0"/>
              <w:overflowPunct w:val="0"/>
              <w:ind w:left="0"/>
              <w:jc w:val="center"/>
              <w:rPr>
                <w:b/>
                <w:noProof/>
                <w:sz w:val="24"/>
                <w:szCs w:val="24"/>
                <w:lang w:val="en-US"/>
              </w:rPr>
            </w:pPr>
            <w:r w:rsidRPr="000E2D02">
              <w:rPr>
                <w:b/>
                <w:noProof/>
                <w:sz w:val="24"/>
                <w:szCs w:val="24"/>
                <w:lang w:val="en-US"/>
              </w:rPr>
              <w:t>7</w:t>
            </w:r>
            <w:r>
              <w:rPr>
                <w:b/>
                <w:noProof/>
                <w:sz w:val="24"/>
                <w:szCs w:val="24"/>
                <w:lang w:val="en-US"/>
              </w:rPr>
              <w:t>.</w:t>
            </w:r>
          </w:p>
        </w:tc>
        <w:tc>
          <w:tcPr>
            <w:tcW w:w="6095" w:type="dxa"/>
            <w:shd w:val="clear" w:color="auto" w:fill="D9D9D9"/>
          </w:tcPr>
          <w:p w:rsidR="00114C5F" w:rsidRPr="000E2D02" w:rsidRDefault="00114C5F" w:rsidP="00757159">
            <w:pPr>
              <w:pStyle w:val="Pamatteksts"/>
              <w:widowControl/>
              <w:kinsoku w:val="0"/>
              <w:overflowPunct w:val="0"/>
              <w:ind w:left="0"/>
              <w:jc w:val="both"/>
              <w:rPr>
                <w:noProof/>
                <w:color w:val="231F20"/>
                <w:sz w:val="24"/>
                <w:szCs w:val="24"/>
                <w:lang w:val="en-US"/>
              </w:rPr>
            </w:pPr>
            <w:r w:rsidRPr="006B796E">
              <w:rPr>
                <w:color w:val="231F20"/>
                <w:sz w:val="24"/>
                <w:szCs w:val="24"/>
              </w:rPr>
              <w:t>Sadarbība un uzraudzība</w:t>
            </w:r>
          </w:p>
        </w:tc>
      </w:tr>
    </w:tbl>
    <w:p w:rsidR="00114C5F"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Pamatojoties uz informāciju, ko Starptautiskais Migrācijas politikas izstrādes centrs (</w:t>
      </w:r>
      <w:r w:rsidRPr="006B796E">
        <w:rPr>
          <w:rFonts w:ascii="Times New Roman" w:eastAsia="Times New Roman" w:hAnsi="Times New Roman" w:cs="Times New Roman"/>
          <w:i/>
          <w:iCs/>
          <w:sz w:val="24"/>
          <w:szCs w:val="24"/>
          <w:lang w:eastAsia="lv-LV"/>
        </w:rPr>
        <w:t>ICMPD</w:t>
      </w:r>
      <w:r w:rsidRPr="006B796E">
        <w:rPr>
          <w:rFonts w:ascii="Times New Roman" w:eastAsia="Times New Roman" w:hAnsi="Times New Roman" w:cs="Times New Roman"/>
          <w:sz w:val="24"/>
          <w:szCs w:val="24"/>
          <w:lang w:eastAsia="lv-LV"/>
        </w:rPr>
        <w:t xml:space="preserve">) ir apkopojis par atpakaļnosūtīšanas gadījumiem, tas ir ieteicis veikt turpmāk minētās darbības ar atpakaļnosūtīšanu saistīto septiņu pasākumu ietvaros. Faktiski </w:t>
      </w:r>
      <w:r w:rsidRPr="006B796E">
        <w:rPr>
          <w:rFonts w:ascii="Times New Roman" w:eastAsia="Times New Roman" w:hAnsi="Times New Roman" w:cs="Times New Roman"/>
          <w:i/>
          <w:iCs/>
          <w:sz w:val="24"/>
          <w:szCs w:val="24"/>
          <w:lang w:eastAsia="lv-LV"/>
        </w:rPr>
        <w:t>ICMPD</w:t>
      </w:r>
      <w:r w:rsidRPr="006B796E">
        <w:rPr>
          <w:rFonts w:ascii="Times New Roman" w:eastAsia="Times New Roman" w:hAnsi="Times New Roman" w:cs="Times New Roman"/>
          <w:sz w:val="24"/>
          <w:szCs w:val="24"/>
          <w:lang w:eastAsia="lv-LV"/>
        </w:rPr>
        <w:t xml:space="preserve"> uzskata, ka šīs darbības ir laba prakse (attiecībā gan uz repatriējamiem pieaugušajiem, gan bērniem).</w:t>
      </w:r>
      <w:r w:rsidR="00114C5F">
        <w:rPr>
          <w:rStyle w:val="Vresatsauce"/>
          <w:rFonts w:ascii="Times New Roman" w:eastAsia="Times New Roman" w:hAnsi="Times New Roman" w:cs="Times New Roman"/>
          <w:sz w:val="24"/>
          <w:szCs w:val="24"/>
          <w:lang w:eastAsia="lv-LV"/>
        </w:rPr>
        <w:footnoteReference w:customMarkFollows="1" w:id="146"/>
        <w:t>145</w:t>
      </w:r>
    </w:p>
    <w:p w:rsidR="00114C5F" w:rsidRDefault="00114C5F" w:rsidP="006B796E">
      <w:pPr>
        <w:widowControl w:val="0"/>
        <w:spacing w:after="0" w:line="240" w:lineRule="auto"/>
        <w:jc w:val="both"/>
        <w:rPr>
          <w:rFonts w:ascii="Times New Roman" w:eastAsia="Times New Roman" w:hAnsi="Times New Roman" w:cs="Times New Roman"/>
          <w:sz w:val="24"/>
          <w:szCs w:val="24"/>
          <w:lang w:eastAsia="lv-LV"/>
        </w:rPr>
      </w:pPr>
    </w:p>
    <w:tbl>
      <w:tblPr>
        <w:tblW w:w="5000" w:type="pct"/>
        <w:tblCellMar>
          <w:left w:w="0" w:type="dxa"/>
          <w:right w:w="0" w:type="dxa"/>
        </w:tblCellMar>
        <w:tblLook w:val="0000" w:firstRow="0" w:lastRow="0" w:firstColumn="0" w:lastColumn="0" w:noHBand="0" w:noVBand="0"/>
      </w:tblPr>
      <w:tblGrid>
        <w:gridCol w:w="994"/>
        <w:gridCol w:w="8057"/>
      </w:tblGrid>
      <w:tr w:rsidR="00114C5F" w:rsidRPr="000E2D02" w:rsidTr="00114C5F">
        <w:tblPrEx>
          <w:tblCellMar>
            <w:top w:w="0" w:type="dxa"/>
            <w:left w:w="0" w:type="dxa"/>
            <w:bottom w:w="0" w:type="dxa"/>
            <w:right w:w="0" w:type="dxa"/>
          </w:tblCellMar>
        </w:tblPrEx>
        <w:tc>
          <w:tcPr>
            <w:tcW w:w="549" w:type="pct"/>
            <w:tcBorders>
              <w:top w:val="nil"/>
              <w:left w:val="nil"/>
              <w:bottom w:val="single" w:sz="16" w:space="0" w:color="FFFFFF"/>
              <w:right w:val="single" w:sz="8" w:space="0" w:color="FFFFFF"/>
            </w:tcBorders>
            <w:shd w:val="clear" w:color="auto" w:fill="808080"/>
          </w:tcPr>
          <w:p w:rsidR="00114C5F" w:rsidRPr="000E2D02" w:rsidRDefault="00114C5F" w:rsidP="00114C5F">
            <w:pPr>
              <w:pStyle w:val="TableParagraph"/>
              <w:widowControl/>
              <w:kinsoku w:val="0"/>
              <w:overflowPunct w:val="0"/>
              <w:jc w:val="center"/>
              <w:rPr>
                <w:b/>
                <w:bCs/>
                <w:noProof/>
                <w:lang w:val="en-US"/>
              </w:rPr>
            </w:pPr>
            <w:r w:rsidRPr="006B796E">
              <w:rPr>
                <w:b/>
                <w:bCs/>
              </w:rPr>
              <w:t>Darbība</w:t>
            </w:r>
            <w:r>
              <w:rPr>
                <w:b/>
                <w:bCs/>
              </w:rPr>
              <w:t>s</w:t>
            </w:r>
          </w:p>
        </w:tc>
        <w:tc>
          <w:tcPr>
            <w:tcW w:w="4451" w:type="pct"/>
            <w:tcBorders>
              <w:top w:val="nil"/>
              <w:left w:val="single" w:sz="8" w:space="0" w:color="FFFFFF"/>
              <w:bottom w:val="single" w:sz="16" w:space="0" w:color="FFFFFF"/>
              <w:right w:val="single" w:sz="16" w:space="0" w:color="FFFFFF"/>
            </w:tcBorders>
            <w:shd w:val="clear" w:color="auto" w:fill="A6A6A6"/>
          </w:tcPr>
          <w:p w:rsidR="00114C5F" w:rsidRPr="006B796E" w:rsidRDefault="00114C5F" w:rsidP="00114C5F">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6. pasākums</w:t>
            </w:r>
          </w:p>
          <w:p w:rsidR="00114C5F" w:rsidRPr="000E2D02" w:rsidRDefault="00114C5F" w:rsidP="00114C5F">
            <w:pPr>
              <w:pStyle w:val="TableParagraph"/>
              <w:widowControl/>
              <w:kinsoku w:val="0"/>
              <w:overflowPunct w:val="0"/>
              <w:jc w:val="both"/>
              <w:rPr>
                <w:b/>
                <w:bCs/>
                <w:noProof/>
                <w:lang w:val="en-US"/>
              </w:rPr>
            </w:pPr>
            <w:r w:rsidRPr="006B796E">
              <w:rPr>
                <w:b/>
                <w:bCs/>
              </w:rPr>
              <w:t>Informācijas apmaiņa starp saņēmēju organizāciju, nosūtošo organizāciju un personu, kurai sniedz palīdzību</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1</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Informē cilvēku tirdzniecības upuri par riskiem un drošību, kā arī sociālās iekļaušanas novērtējuma rezultātu</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2</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Sazinās ar pakalpojuma sniedzēju izcelsmes valstī, lai apmainītos ar informāciju un koordinētu atpakaļnosūtīšanas procesu</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3</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Informē cilvēku tirdzniecības upuri par identitātes statusu, brauciena/nosūtīšanas procesu, pieejamo palīdzību izcelsmes valstī un reintegrācijas plānu</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4</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Saņem apstiprinājumu, ka cilvēku tirdzniecības upuris tiks saņemts un viņam tiks sniegta palīdzība</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tcPr>
          <w:p w:rsidR="00114C5F" w:rsidRPr="000E2D02" w:rsidRDefault="00114C5F" w:rsidP="00757159">
            <w:pPr>
              <w:jc w:val="center"/>
              <w:rPr>
                <w:noProof/>
                <w:lang w:val="en-US"/>
              </w:rPr>
            </w:pPr>
          </w:p>
        </w:tc>
        <w:tc>
          <w:tcPr>
            <w:tcW w:w="4451" w:type="pct"/>
            <w:tcBorders>
              <w:top w:val="single" w:sz="16" w:space="0" w:color="FFFFFF"/>
              <w:left w:val="single" w:sz="8" w:space="0" w:color="FFFFFF"/>
              <w:bottom w:val="single" w:sz="16" w:space="0" w:color="FFFFFF"/>
              <w:right w:val="single" w:sz="16" w:space="0" w:color="FFFFFF"/>
            </w:tcBorders>
            <w:shd w:val="clear" w:color="auto" w:fill="A6A6A6"/>
          </w:tcPr>
          <w:p w:rsidR="00114C5F" w:rsidRPr="006B796E" w:rsidRDefault="00114C5F" w:rsidP="00114C5F">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7. pasākums</w:t>
            </w:r>
          </w:p>
          <w:p w:rsidR="00114C5F" w:rsidRPr="000E2D02" w:rsidRDefault="00114C5F" w:rsidP="00114C5F">
            <w:pPr>
              <w:pStyle w:val="TableParagraph"/>
              <w:widowControl/>
              <w:kinsoku w:val="0"/>
              <w:overflowPunct w:val="0"/>
              <w:jc w:val="both"/>
              <w:rPr>
                <w:b/>
                <w:bCs/>
                <w:noProof/>
                <w:lang w:val="en-US"/>
              </w:rPr>
            </w:pPr>
            <w:r w:rsidRPr="006B796E">
              <w:rPr>
                <w:b/>
                <w:bCs/>
              </w:rPr>
              <w:t>Droša pārvešana/nosūtīšana un palīdzība ierodoties</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1</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Cilvēku tirdzniecības upurim nodrošina nepieciešamos ceļošanas dokumentus/priekšmetus/informāciju</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2</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Nodrošina pavadoni, ja tiek nosūtīti nepilngadīgie</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3</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Nodrošina, ka cilvēku tirdzniecības upuri saņem/sagaida pakalpojuma sniedzējs uz izcelsmes valsts robežas/lidostā/ostā.</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4</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Cilvēku tirdzniecības upurim sniedz sākotnējo orientāciju un palīdzību</w:t>
            </w:r>
          </w:p>
        </w:tc>
      </w:tr>
      <w:tr w:rsidR="00114C5F" w:rsidRPr="000E2D02" w:rsidTr="00114C5F">
        <w:tblPrEx>
          <w:tblCellMar>
            <w:top w:w="0" w:type="dxa"/>
            <w:left w:w="0" w:type="dxa"/>
            <w:bottom w:w="0" w:type="dxa"/>
            <w:right w:w="0" w:type="dxa"/>
          </w:tblCellMar>
        </w:tblPrEx>
        <w:tc>
          <w:tcPr>
            <w:tcW w:w="549" w:type="pct"/>
            <w:tcBorders>
              <w:top w:val="single" w:sz="16" w:space="0" w:color="FFFFFF"/>
              <w:left w:val="nil"/>
              <w:bottom w:val="single" w:sz="16" w:space="0" w:color="FFFFFF"/>
              <w:right w:val="single" w:sz="8" w:space="0" w:color="FFFFFF"/>
            </w:tcBorders>
            <w:shd w:val="clear" w:color="auto" w:fill="BFBFBF"/>
          </w:tcPr>
          <w:p w:rsidR="00114C5F" w:rsidRPr="000E2D02" w:rsidRDefault="00114C5F" w:rsidP="00757159">
            <w:pPr>
              <w:pStyle w:val="TableParagraph"/>
              <w:widowControl/>
              <w:kinsoku w:val="0"/>
              <w:overflowPunct w:val="0"/>
              <w:jc w:val="center"/>
              <w:rPr>
                <w:b/>
                <w:bCs/>
                <w:noProof/>
                <w:lang w:val="en-US"/>
              </w:rPr>
            </w:pPr>
            <w:r w:rsidRPr="000E2D02">
              <w:rPr>
                <w:b/>
                <w:bCs/>
                <w:noProof/>
                <w:lang w:val="en-US"/>
              </w:rPr>
              <w:t>5</w:t>
            </w:r>
            <w:r>
              <w:rPr>
                <w:b/>
                <w:bCs/>
                <w:noProof/>
                <w:lang w:val="en-US"/>
              </w:rPr>
              <w:t>.</w:t>
            </w:r>
          </w:p>
        </w:tc>
        <w:tc>
          <w:tcPr>
            <w:tcW w:w="4451" w:type="pct"/>
            <w:tcBorders>
              <w:top w:val="single" w:sz="16" w:space="0" w:color="FFFFFF"/>
              <w:left w:val="single" w:sz="8" w:space="0" w:color="FFFFFF"/>
              <w:bottom w:val="single" w:sz="16" w:space="0" w:color="FFFFFF"/>
              <w:right w:val="single" w:sz="16" w:space="0" w:color="FFFFFF"/>
            </w:tcBorders>
            <w:shd w:val="clear" w:color="auto" w:fill="D9D9D9"/>
          </w:tcPr>
          <w:p w:rsidR="00114C5F" w:rsidRPr="000E2D02" w:rsidRDefault="00114C5F" w:rsidP="00757159">
            <w:pPr>
              <w:pStyle w:val="TableParagraph"/>
              <w:widowControl/>
              <w:kinsoku w:val="0"/>
              <w:overflowPunct w:val="0"/>
              <w:jc w:val="both"/>
              <w:rPr>
                <w:noProof/>
                <w:lang w:val="en-US"/>
              </w:rPr>
            </w:pPr>
            <w:r w:rsidRPr="006B796E">
              <w:t>Apstiprina/iegūst apstiprinājumu, ka cilvēku tirdzniecības upuris ir droši ieradies</w:t>
            </w:r>
          </w:p>
        </w:tc>
      </w:tr>
    </w:tbl>
    <w:p w:rsidR="00114C5F"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114C5F">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7.2. Cilvēku tirdzniecības upura pienācīgas uzņemšanas organizēšana pēc repatriācijas</w:t>
      </w:r>
    </w:p>
    <w:p w:rsidR="00114C5F"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Pienākumi ir ne tikai valstīm, kurās bērni, kas ir cilvēku tirdzniecības upuri, tiek pirmo reizi identificēti un viņiem tiek sniegta sākotnējā aizsardzība un palīdzība, bet arī valstīm, uz kurām bērni tiek nosūtīti atpakaļ, ir pienākumi nodrošināt repatriēto bērnu drošību un atlabšanu, nepieļaut, ka šie bērni tiek jebkādā veidā apkaunoti vai vajāti, sniegt turpmāku palīdzību, lai viņi varētu sākt savu dzīvi no jauna, un nodrošināt pienācīgu tiesas pieejamību un kaitējuma atlīdzināšanu par nodarītajām ciešanām. Tā kā daži bērni primāri ir pametuši mājas, lai izkļūtu </w:t>
      </w:r>
      <w:r w:rsidRPr="006B796E">
        <w:rPr>
          <w:rFonts w:ascii="Times New Roman" w:eastAsia="Times New Roman" w:hAnsi="Times New Roman" w:cs="Times New Roman"/>
          <w:sz w:val="24"/>
          <w:szCs w:val="24"/>
          <w:lang w:eastAsia="lv-LV"/>
        </w:rPr>
        <w:lastRenderedPageBreak/>
        <w:t>no galējas nabadzības vai vardarbības ģimenēs, var gadīties, ka izcelsmes valstu iestādēm ir problemātiski nodrošināt pienācīgus resursus, lai izpildītu visus valstij noteiktos pienākumus.</w:t>
      </w:r>
    </w:p>
    <w:p w:rsidR="00114C5F"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Ir pierādījies, ka ir noderīgi noslēgt divpusējas un daudzpusējas vienošanās, lai garantētu apmierinošus atpakaļnosūtīšanas nosacījumus. Tomēr šīs sadaļas pirmais piemērs attiecas uz pasākumiem, kas nepieciešami, lai nodrošinātu vairāku atšķirīgu iestāžu koordinēšanu izcelsmes valstī.</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7.2.1. Praktiski piemēri</w:t>
      </w:r>
    </w:p>
    <w:p w:rsidR="00114C5F"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2004. un 2005. gadā Bulgārijai bija jāorganizē vairāku simtu tādu bērnu uzņemšana un reintegrēšana, kas Austrijā bija identificēti kā “nepavadīti bērni” un bija nonākuši konfliktā ar likumu (sk. 4.6. sadaļā minēto piemēro), daudzi vai lielākā daļa no kuriem bija nelegāli izvesti, lai pelnītu naudu pieaugušām (vai gados vecākām) personām, kas viņus kontrolē, veicot kabatas zādzības vai citus noziegumus. Bulgārijas politiskajās nostādnēs bija noteikti šādi divi galvenie reaģēšanas pasākumi.</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 Izstrādāt un pieņemt mehānismu, kas nepieciešams, lai koordinētu no ārvalstīm atpakaļ nosūtītu nepavadītu bērnu un bērnu, kas ir cilvēku tirdzniecības upuri, lietu nosūtīšanu izskatīšanai un sniegtu aprūpi; šajā koordinācijas mehānismā ir iesaistīta Iekšlietu ministrija, Ārlietu ministrija, Bērnu aizsardzības valsts aģentūra un Sociālās palīdzības aģentūra, kuras visas sadarbojas ar Cilvēku tirdzniecības apkarošanas valsts komisiju un kuras koordinē iekšlietu ministrs un Bērnu aizsardzības valsts aģentūras priekšsēdētājs. Bulgārijas iestādes paskaidrojušas, ka nolūks bijis “veicināt katra valsts iekšienē vai ārvalstīs notikuša bērnu tirdzniecības gadījuma kombinētu, ātru un efektīvu izsekošanu”.</w:t>
      </w:r>
      <w:r w:rsidR="00114C5F">
        <w:rPr>
          <w:rStyle w:val="Vresatsauce"/>
          <w:rFonts w:ascii="Times New Roman" w:eastAsia="Times New Roman" w:hAnsi="Times New Roman" w:cs="Times New Roman"/>
          <w:sz w:val="24"/>
          <w:szCs w:val="24"/>
          <w:lang w:eastAsia="lv-LV"/>
        </w:rPr>
        <w:footnoteReference w:customMarkFollows="1" w:id="147"/>
        <w:t>146</w:t>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 Liegt attiecīgajiem bērniem atkārtoti izbraukt no Bulgārijas uz laiku līdz diviem gadiem (saskaņā ar Bulgārijas Likuma par personu apliecinošiem dokumentiem (spēkā no 2005. gada) 76.a pantu), ja ir ziņots, ka šie bērni (t. i., visi tie, kas nav sasnieguši 18 gadu vecumu) ir bijuši pakļauti seksuālai izmantošanai vai nevērīgai attieksmei vai iesaistīti ubagošanā vai sīku noziegumu veikšanā ārvalstīs (t. i., no citām ES dalībvalstīm repatriēti bērni). Iestādes interpretēja šīs darbības un nodarījumus kā zīmi, ka attiecīgie bērni ir pakļauti augstam cilvēku tirdzniecības vai atkārtotas tirdzniecības riskam, tādējādi šis aizliegums tika pamatots kā atkārtotas cilvēku tirdzniecības novēršanas līdzeklis.</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Faktiski koordinācijas mehānisms ir nosūtīšanas sistēma bērniem, kuri nosūtīti atpakaļ uz Bulgāriju no citām valstīm, kas galvenokārt nosaka, kuras iestādes Bulgārijā jāinformē par bērnu un kādas darbības katrai iesaistītajai pusei ir jāveic.</w:t>
      </w:r>
      <w:r w:rsidR="00114C5F">
        <w:rPr>
          <w:rStyle w:val="Vresatsauce"/>
          <w:rFonts w:ascii="Times New Roman" w:eastAsia="Times New Roman" w:hAnsi="Times New Roman" w:cs="Times New Roman"/>
          <w:sz w:val="24"/>
          <w:szCs w:val="24"/>
          <w:lang w:eastAsia="lv-LV"/>
        </w:rPr>
        <w:footnoteReference w:customMarkFollows="1" w:id="148"/>
        <w:t>147</w:t>
      </w:r>
      <w:r w:rsidRPr="006B796E">
        <w:rPr>
          <w:rFonts w:ascii="Times New Roman" w:eastAsia="Times New Roman" w:hAnsi="Times New Roman" w:cs="Times New Roman"/>
          <w:sz w:val="24"/>
          <w:szCs w:val="24"/>
          <w:lang w:eastAsia="lv-LV"/>
        </w:rPr>
        <w:t xml:space="preserve"> Tas nenosaka, kādas procedūras jāveic pirms bērna faktiskās atpakaļnosūtīšanas, lai arī tās valsts iestādei, kura nosūta atpakaļ bērnu, būtu jāsniedz pēc iespējas plašāka informācija par bērna veselību un emocionālo stāvokli, kā arī piezīmes, ko snieguši speciālisti, kas ar bērnu praktiski strādājuši viņa </w:t>
      </w:r>
      <w:r w:rsidRPr="006B796E">
        <w:rPr>
          <w:rFonts w:ascii="Times New Roman" w:eastAsia="Times New Roman" w:hAnsi="Times New Roman" w:cs="Times New Roman"/>
          <w:sz w:val="24"/>
          <w:szCs w:val="24"/>
          <w:lang w:eastAsia="lv-LV"/>
        </w:rPr>
        <w:lastRenderedPageBreak/>
        <w:t>uzturēšanās laikā šajā valstī. Koordinācijas mehānisms tika grozīts 2010. gadā, lai labāk koordinētu valsts un pašvaldību iestādes, kas izvietotas Bulgārijas teritorijas dažādās daļās, tostarp to “krīzes centru” vadītājus, kuros izmitināti bērni, kas ir cilvēku tirdzniecības upuri. Krīzes centri esot izveidoti 14 vietās valsts teritorijā. Iestādes 2014. gadā ziņojušas, ka “parasti pirmais pasākums, ko veic attiecībā uz bērniem, kas ir cilvēku tirdzniecības upuri, ir viņu ievietošana krīzes centrā, kur bērni paliek uz laiku līdz 3 mēnešiem. Bērnu uzturēšanos krīzes centrā var pagarināt līdz 6 mēnešiem, ja tas nepieciešams nopietnu apstākļu dēļ.”</w:t>
      </w:r>
      <w:r w:rsidR="00114C5F">
        <w:rPr>
          <w:rStyle w:val="Vresatsauce"/>
          <w:rFonts w:ascii="Times New Roman" w:eastAsia="Times New Roman" w:hAnsi="Times New Roman" w:cs="Times New Roman"/>
          <w:sz w:val="24"/>
          <w:szCs w:val="24"/>
          <w:lang w:eastAsia="lv-LV"/>
        </w:rPr>
        <w:footnoteReference w:customMarkFollows="1" w:id="149"/>
        <w:t>148</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2014. gadā Bulgārijas iestādes bija teikušas Bērnu tiesību komitejai, ka “kopš 2007. gada krīzes centri tiek uzskatīti par valsts deleģētu darbību, t. i., tie tiek finansēti no valsts budžeta ar pašvaldības budžetu starpniecību. Galvenie krīzes centros sniegtie pakalpojumi ir patvēruma un pārtikas nodrošināšana, veselības vajadzību apmierināšana, psiholoģiskais atbalsts, dzīves un sociālo prasmju apguve, nodrošināšana, ka bērns izglītojas skolā, sagatavošana reintegrācijai ģimenē un, ja tas nav iespējams, attiecīgi atbilstošu bērna aizsardzības pasākumu veikšana.”</w:t>
      </w:r>
      <w:r w:rsidR="002430E3">
        <w:rPr>
          <w:rStyle w:val="Vresatsauce"/>
          <w:rFonts w:ascii="Times New Roman" w:eastAsia="Times New Roman" w:hAnsi="Times New Roman" w:cs="Times New Roman"/>
          <w:sz w:val="24"/>
          <w:szCs w:val="24"/>
          <w:lang w:eastAsia="lv-LV"/>
        </w:rPr>
        <w:footnoteReference w:customMarkFollows="1" w:id="150"/>
        <w:t>149</w:t>
      </w:r>
      <w:r w:rsidRPr="006B796E">
        <w:rPr>
          <w:rFonts w:ascii="Times New Roman" w:eastAsia="Times New Roman" w:hAnsi="Times New Roman" w:cs="Times New Roman"/>
          <w:sz w:val="24"/>
          <w:szCs w:val="24"/>
          <w:lang w:eastAsia="lv-LV"/>
        </w:rPr>
        <w:t> Iestādes atzīst, ka dažkārt bērni ir nelikumīgi izvesti uz ārvalstīm un tur ekspluatēti ar bērna vecāku ziņu un piekrišanu, un šādos gadījumos iestādes uzskata, ka atkalapvienošana ar ģimeni nav bērna interesēs: “Šādos gadījumos bērns obligāti tiek izmitināts ārpus ģimenes un tiek meklētas alternatīvas sociālo pakalpojumu formas – audžuģimenes, aprūpes veida sociālie dienesti utt. (..) Kad bērns atstāj krīzes centru, viņam, ja nepieciešams, var sniegt norādes izmantot citus apkaimē pieejamus pakalpojumus.”</w:t>
      </w:r>
      <w:r w:rsidR="002430E3">
        <w:rPr>
          <w:rStyle w:val="Vresatsauce"/>
          <w:rFonts w:ascii="Times New Roman" w:eastAsia="Times New Roman" w:hAnsi="Times New Roman" w:cs="Times New Roman"/>
          <w:sz w:val="24"/>
          <w:szCs w:val="24"/>
          <w:lang w:eastAsia="lv-LV"/>
        </w:rPr>
        <w:footnoteReference w:customMarkFollows="1" w:id="151"/>
        <w:t>150</w:t>
      </w:r>
    </w:p>
    <w:p w:rsidR="00114C5F" w:rsidRPr="006B796E" w:rsidRDefault="00114C5F"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2012.–2014. gadā no citām ES valstīm esot nosūtīti atpakaļ uz Bulgāriju un nodoti koordinācijas mehānismam 142 bērni, kas identificēti kā cilvēku tirdzniecības upuri.</w:t>
      </w:r>
      <w:r w:rsidR="002430E3">
        <w:rPr>
          <w:rStyle w:val="Vresatsauce"/>
          <w:rFonts w:ascii="Times New Roman" w:eastAsia="Times New Roman" w:hAnsi="Times New Roman" w:cs="Times New Roman"/>
          <w:sz w:val="24"/>
          <w:szCs w:val="24"/>
          <w:lang w:eastAsia="lv-LV"/>
        </w:rPr>
        <w:footnoteReference w:customMarkFollows="1" w:id="152"/>
        <w:t>151</w:t>
      </w:r>
      <w:r w:rsidRPr="006B796E">
        <w:rPr>
          <w:rFonts w:ascii="Times New Roman" w:eastAsia="Times New Roman" w:hAnsi="Times New Roman" w:cs="Times New Roman"/>
          <w:sz w:val="24"/>
          <w:szCs w:val="24"/>
          <w:lang w:eastAsia="lv-LV"/>
        </w:rPr>
        <w:t> Bulgārijas Bērnu aizsardzības valsts aģentūra bija pārliecināta, ka nepavadītu Bulgārijas bērnu skaits, par kuriem ziņots Bulgārijas vēstniecībām vai aģentūrām citās valstīs (sociāliem dienestiem vai tiesībaizsardzības iestādēm), ir samazinājies no 60 bērniem 2013. gadā uz 36 bērniem 2014. gadā. Tomēr šī aģentūra bažījās, ka tas varētu būt tāpēc, ka attiecīgie bērni galamērķa valstīs netiek identificēti vai aizsargāti.</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7.2.2. Bērnu aizsardzība un palīdzības sniegšana pēc viņu atgriešanās savā izcelsmes valstī</w:t>
      </w:r>
    </w:p>
    <w:p w:rsidR="002430E3"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Dažās valstīs repatriētos bērnus pēc viņu atgriešanās savā izcelsmes valstī parasti nosūta uz alternatīvās aprūpes iestādi. Lai arī ir svarīgi, lai bērns, kas ir cilvēku tirdzniecības upuris, netiktu automātiski apvienots ar saviem vecākiem vai citiem ģimenes locekļiem, ja iepriekš, veicot sociālo lietas apstākļu izpēti, nav saņemts apstiprinājums, ka tas būtu atbilstoši, tikpat svarīgi ir arī ievērot ANO Pamatnostādnēs noteikto “nepieciešamības principu”, t. i., vajadzību bērnam atrasties alternatīvās aprūpes iestādē pārskata, kad pagājušas dažas dienas pēc bērna ierašanās, bet pēc tam – katru mēnesi. Ja bērnus alternatīvās aprūpes iestādē parasti tur sešus mēnešus vai ilgāk, acīmredzami ir svarīgi uzraudzīt katra bērna labklājību un ilgākā termiņā dokumentēt, kā šāda aprūpe ietekmē bērnus, un noteikt, kas ar viņiem notiks turpmāk (vai ko viņi vēlas darīt pēc aprūpes iestādes atstāšanas).</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Bulgārijas iestādes ir teikušas attiecīgajām līguma izpildes uzraudzības struktūrām</w:t>
      </w:r>
      <w:r w:rsidR="002430E3">
        <w:rPr>
          <w:rStyle w:val="Vresatsauce"/>
          <w:rFonts w:ascii="Times New Roman" w:eastAsia="Times New Roman" w:hAnsi="Times New Roman" w:cs="Times New Roman"/>
          <w:sz w:val="24"/>
          <w:szCs w:val="24"/>
          <w:lang w:eastAsia="lv-LV"/>
        </w:rPr>
        <w:footnoteReference w:customMarkFollows="1" w:id="153"/>
        <w:t>152</w:t>
      </w:r>
      <w:r w:rsidRPr="006B796E">
        <w:rPr>
          <w:rFonts w:ascii="Times New Roman" w:eastAsia="Times New Roman" w:hAnsi="Times New Roman" w:cs="Times New Roman"/>
          <w:sz w:val="24"/>
          <w:szCs w:val="24"/>
          <w:lang w:eastAsia="lv-LV"/>
        </w:rPr>
        <w:t>, ka no ārvalstīm repatriētie bērni pēc viņu ierašanās tiek automātiski ievietoti alternatīvās aprūpes iestādē (kas tiek sauktas par “krīzes centriem”, kuros izmitina no dažādām vardarbības formām cietušos). Viņu lietas nodod izskatīšanai tiesā, kurai ir jānosaka, vai bērna vecākiem oficiāli jāatņem vecāku atbildība; pa to laiku par šādiem bērniem juridiski atbild sociālie dienesti (Sociālās palīdzības direktorāts). Šķiet, ka atpakaļ nosūtītos bērnus sākotnēji ievieto alternatīvās aprūpes iestādē uz trim līdz sešiem mēnešiem, savukārt sociālajiem dienestiem būtu jāuzrauga katrs atpakaļ nosūtītais bērns pilnu gadu.</w:t>
      </w:r>
      <w:r w:rsidR="002430E3">
        <w:rPr>
          <w:rStyle w:val="Vresatsauce"/>
          <w:rFonts w:ascii="Times New Roman" w:eastAsia="Times New Roman" w:hAnsi="Times New Roman" w:cs="Times New Roman"/>
          <w:sz w:val="24"/>
          <w:szCs w:val="24"/>
          <w:lang w:eastAsia="lv-LV"/>
        </w:rPr>
        <w:footnoteReference w:customMarkFollows="1" w:id="154"/>
        <w:t>153</w:t>
      </w:r>
    </w:p>
    <w:p w:rsidR="002430E3" w:rsidRDefault="002430E3"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7.3. Divpusēji nolīgumi par nelegāli izvesto vai nepavadīto bērnu atpakaļnosūtīšanu</w:t>
      </w:r>
    </w:p>
    <w:p w:rsidR="002430E3"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Noteiktos apstākļos ir ieteicams bērnus, kas ir cilvēku tirdzniecības upuri, sūtīt atpakaļ uz viņu izcelsmes valsti. Tā tas ir tad, ja viņi nav bēgļi un ja bērna interešu novērtējumā nav identificēti nekādi nozīmīgi riski vai citi iemesli, kas liecinātu par pretējo nosūtīšanai. Tomēr atpakaļsūtīšanas loģistika ir problemātiska; iesaistītajām valstīm ir jāvienojas par daudziem jautājumiem, pirms var rīkoties. Tāpēc abu pušu interesēs ir noslēgt oficiālus divpusējus vai daudzpusējus atpakaļnosūtīšanas nolīgumus. Un pat tādā gadījumā ir piemēri, kad atpakaļsūtīšana aizkavējas daudzu iemeslu dēļ. Vienā reģionā ārpus Eiropas (Rietumāfrikā un Centrālāfrikā)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pirms vairāk nekā desmit gadiem bija mēģinājis risināt dažus no šiem šķēršļiem, piedāvājot tipveida divpusējo nolīgumu par sadarbību un savstarpēju juridisko palīdzību, nodrošinot bērnu aizsardzību pret pārrobežu cilvēku tirdzniecību (sk. turpmāk 2. pielikumu).</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Šāds divpusējs nolīgums ir, piemēram, Albānijas un Grieķijas nolīgums (Grieķijas Republikas valdības un Albānijas Republikas Ministru padomes Nolīgums par bērnu, kas ir cilvēku tirdzniecības upuri, aizsardzību un palīdzības sniegšanu). Tā noteikumi ir abu pušu nozīmīgi centieni izstrādāt nolīgumu, kurā būtu ievērotas iesaistīto bērnu tiesības, un tādējādi tas ir paraugs, ko var izmantot citi. Albānija to ratificēja 2006. gadā, bet Grieķija – 2008. gadā, un tas stājās spēkā 2009. gadā.</w:t>
      </w:r>
      <w:r w:rsidR="002430E3">
        <w:rPr>
          <w:rStyle w:val="Vresatsauce"/>
          <w:rFonts w:ascii="Times New Roman" w:eastAsia="Times New Roman" w:hAnsi="Times New Roman" w:cs="Times New Roman"/>
          <w:sz w:val="24"/>
          <w:szCs w:val="24"/>
          <w:lang w:eastAsia="lv-LV"/>
        </w:rPr>
        <w:footnoteReference w:customMarkFollows="1" w:id="155"/>
        <w:t>154</w:t>
      </w:r>
      <w:r w:rsidRPr="006B796E">
        <w:rPr>
          <w:rFonts w:ascii="Times New Roman" w:eastAsia="Times New Roman" w:hAnsi="Times New Roman" w:cs="Times New Roman"/>
          <w:sz w:val="24"/>
          <w:szCs w:val="24"/>
          <w:lang w:eastAsia="lv-LV"/>
        </w:rPr>
        <w:t> Spiediens uz Albāniju un Grieķiju noslēgt vienošanos tika izdarīts 2000. gadu sākumā, kad tika ziņots, ka Grieķijā dzīvojošie Albānijas bērni tiek vesti uz Grieķijas un Albānijas robežu, lai tiktu repatriēti, iepriekš par to neinformējot Albānijas amatpersonas.</w:t>
      </w:r>
    </w:p>
    <w:p w:rsidR="002430E3"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2430E3" w:rsidRDefault="00D6592D" w:rsidP="002430E3">
      <w:pPr>
        <w:widowControl w:val="0"/>
        <w:spacing w:after="0" w:line="240" w:lineRule="auto"/>
        <w:jc w:val="center"/>
        <w:rPr>
          <w:rFonts w:ascii="Times New Roman" w:eastAsia="Times New Roman" w:hAnsi="Times New Roman" w:cs="Times New Roman"/>
          <w:b/>
          <w:bCs/>
          <w:sz w:val="28"/>
          <w:szCs w:val="28"/>
          <w:lang w:eastAsia="lv-LV"/>
        </w:rPr>
      </w:pPr>
      <w:r w:rsidRPr="002430E3">
        <w:rPr>
          <w:rFonts w:ascii="Times New Roman" w:eastAsia="Times New Roman" w:hAnsi="Times New Roman" w:cs="Times New Roman"/>
          <w:b/>
          <w:bCs/>
          <w:sz w:val="28"/>
          <w:szCs w:val="28"/>
          <w:lang w:eastAsia="lv-LV"/>
        </w:rPr>
        <w:t>“(..) vajadzību bērnam atrasties alternatīvās aprūpes iestādē pārskata, kad pagājušas dažas dienas pēc bērna ierašanās, bet pēc tam – katru mēnesi.”</w:t>
      </w:r>
    </w:p>
    <w:p w:rsidR="002430E3"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2430E3"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Lai divu valstu nolīgums varētu darboties, abām līguma pusēm ir jānosaka, kura valdības iestāde būs “kontaktpunkts”, t. i., ar kuru iestādi otrai pusei ir jāsazinās, ja ir tāda nepieciešamība. Minētajā nolīgumā tas tiek dēvēts par “atbildīgo iestādi” (saskaņā ar 7. panta 2. punktu). Grieķijā tas ir Veselības, labklājības un sociālās nodrošināšanas ministrijas Ārkārtas sociālās solidaritātes nacionālais centrs, savukārt Albānijā tā ir valdības Apvienotā komisija to bērnu aizsardzības jomā, kas ir cilvēku tirdzniecības upuri.</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lastRenderedPageBreak/>
        <w:t>Attiecībā uz pamatjautājumu par identifikāciju un sākotnējo aizsardzību un palīdzību nolīgumā ir noteikts (9. panta 1. punktā):</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“Atbildīgā iestāde sadarbībā ar prokuroru starptautiskajām bērnu organizācijām un nevalstiskām organizācijām, kas iesaistītas bērnu aizsardzības darbībās, ka arī nevalstiskiem rīcībspēkiem proaktīvi cenšas identificēt cietušo bērnu un sadarbībā ar kompetento policijas dienestu organizē bērna tūlītēju nosūtīšanu uz aprūpes centru. Aprūpes centriem ir jābūt aizsargātiem, drošiem un piemērotiem bērna vecumam un vajadzībām. Katrā ziņā puses garantē, ka centri piedāvā bērnu aizsardzību, maltītes, medicīnisko palīdzību, psiholoģisko atbalstu un izglītības un izklaides pasākumu iespējas. Šim nolūkam centrālā koordinēšanas struktūra un katras līgumslēdzējas puses atbildīgā iestāde var noslēgt nolīgumus, direktīvas un saprašanās memorandus ar starptautiskajām organizācijām un nevalstiskajām organizācijām, kas iesaistītas bērnu aizsardzības darbībās, ka arī ar nevalstiskiem rīcībspēkiem nolūkā nodrošināt sociālos pakalpojumus un aprūpes centrus.”</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Nolīgumā noteikts, ka jāieceļ “pagaidu aizbildnis” (10. pants), kuram ir jāuztur sakari ar bērnu un ar dažādām organizācijām un dienestiem, kas ir iesaistīti procesā un ir atbildīgi par bērna vajadzību apmierināšanu, un bērna drošas repatriācijas gadījumā ir “jāgarantē”, ka bērna atpakaļnosūtīšana tiek pienācīgi sagatavota saistībā ar ģimenes un bērna sagatavošanu, drošu atpakaļnosūtīšanu un bērna interešu ievērošanu.”</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Jautājumā par “drošu repatriāciju” nolīgumā noteikts, ka “bērnu nosūtīšanu atpakaļ īsteno, izmantojot procedūru, kas ir brīvprātīga, leģitīma, nodrošina palīdzību, ir labi sagatavota un droša, kā arī ir saskaņā ar bērna interesēm” (14. panta 1. punkts). Pēc bērna atgriešanās savā izcelsmes valstī šīs valsts atbildīgajai iestādei ir “jāizstrādā un jāīsteno īpaši projekti, kas vērsti uz bērna reintegrēšanu izcelsmes valstī. Šajos projektos ietver aizsardzību, medicīnisko un psiholoģisko atbalstu, reintegrāciju izglītības sistēmā, juridisko konsultāciju sniegšanu un pārstāvību, kā arī visu citu veidu palīdzību vai pasākumus, kas jāsniedz saskaņā ar tiesību aktiem bērnu aizsardzības jomā izcelsmes valstī” (14. panta 2. punkts). Šai iestādei būtu arī “jānovērtē cietušo bērnu labklājība un jāuzrauga viņu dzīve pēc atkalapvienošanās ar ģimeni vai ievietošanas alternatīvās aprūpes iestādē izcelsmes valstī, kā arī divreiz gadā jāsniedz ziņojums uzņemošās valsts atbildīgajai iestādei, līdz bērns sasniedz 18 gadu vecumu”.</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Daļēji pamatojoties uz šajā nolīgumā gūto pieredzi, ziņojumā par transnacionālajem mehānismiem cietušo nosūtīšanai ir ieteikts, ka “struktūrām, kas atbild par </w:t>
      </w:r>
      <w:r w:rsidRPr="006B796E">
        <w:rPr>
          <w:rFonts w:ascii="Times New Roman" w:eastAsia="Times New Roman" w:hAnsi="Times New Roman" w:cs="Times New Roman"/>
          <w:i/>
          <w:iCs/>
          <w:sz w:val="24"/>
          <w:szCs w:val="24"/>
          <w:lang w:eastAsia="lv-LV"/>
        </w:rPr>
        <w:t>NRM</w:t>
      </w:r>
      <w:r w:rsidRPr="006B796E">
        <w:rPr>
          <w:rFonts w:ascii="Times New Roman" w:eastAsia="Times New Roman" w:hAnsi="Times New Roman" w:cs="Times New Roman"/>
          <w:sz w:val="24"/>
          <w:szCs w:val="24"/>
          <w:lang w:eastAsia="lv-LV"/>
        </w:rPr>
        <w:t xml:space="preserve"> un </w:t>
      </w:r>
      <w:r w:rsidRPr="006B796E">
        <w:rPr>
          <w:rFonts w:ascii="Times New Roman" w:eastAsia="Times New Roman" w:hAnsi="Times New Roman" w:cs="Times New Roman"/>
          <w:i/>
          <w:iCs/>
          <w:sz w:val="24"/>
          <w:szCs w:val="24"/>
          <w:lang w:eastAsia="lv-LV"/>
        </w:rPr>
        <w:t>TRM</w:t>
      </w:r>
      <w:r w:rsidRPr="006B796E">
        <w:rPr>
          <w:rFonts w:ascii="Times New Roman" w:eastAsia="Times New Roman" w:hAnsi="Times New Roman" w:cs="Times New Roman"/>
          <w:sz w:val="24"/>
          <w:szCs w:val="24"/>
          <w:lang w:eastAsia="lv-LV"/>
        </w:rPr>
        <w:t>, jānodrošina, ka starptautiskās sadarbības pieprasījumus attiecībā uz bērniem, kas ir cilvēku tirdzniecības upuri, pārvalda viena valsts iestāde”.</w:t>
      </w:r>
      <w:r w:rsidR="002430E3">
        <w:rPr>
          <w:rStyle w:val="Vresatsauce"/>
          <w:rFonts w:ascii="Times New Roman" w:eastAsia="Times New Roman" w:hAnsi="Times New Roman" w:cs="Times New Roman"/>
          <w:sz w:val="24"/>
          <w:szCs w:val="24"/>
          <w:lang w:eastAsia="lv-LV"/>
        </w:rPr>
        <w:footnoteReference w:customMarkFollows="1" w:id="156"/>
        <w:t>155</w:t>
      </w:r>
    </w:p>
    <w:p w:rsidR="002430E3" w:rsidRPr="006B796E" w:rsidRDefault="002430E3" w:rsidP="006B796E">
      <w:pPr>
        <w:widowControl w:val="0"/>
        <w:spacing w:after="0" w:line="240" w:lineRule="auto"/>
        <w:jc w:val="both"/>
        <w:rPr>
          <w:rFonts w:ascii="Times New Roman" w:eastAsia="Times New Roman" w:hAnsi="Times New Roman" w:cs="Times New Roman"/>
          <w:sz w:val="24"/>
          <w:szCs w:val="20"/>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7.4. Daudzpusēji nolīgumi par nelegāli izvesto un citu nepavadīto bērnu atpakaļnosūtīšanu</w:t>
      </w:r>
    </w:p>
    <w:p w:rsidR="002430E3" w:rsidRDefault="002430E3"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Drīz vien pēc Padomju Savienības sabrukšanas vairums jaunizveidotās Neatkarīgo Valstu Sadraudzības (NVS) dalībvalstu Volgogradā 1993. gadā noslēdza vienošanos par to, kādi reaģēšanas pasākumi jāveic katrai valstij saistībā ar nepavadītiem bērniem, kuri, domājams, nāk no citas NVS valsts.</w:t>
      </w:r>
      <w:r w:rsidR="00010697">
        <w:rPr>
          <w:rStyle w:val="Vresatsauce"/>
          <w:rFonts w:ascii="Times New Roman" w:eastAsia="Times New Roman" w:hAnsi="Times New Roman" w:cs="Times New Roman"/>
          <w:sz w:val="24"/>
          <w:szCs w:val="24"/>
          <w:lang w:eastAsia="lv-LV"/>
        </w:rPr>
        <w:footnoteReference w:customMarkFollows="1" w:id="157"/>
        <w:t>156</w:t>
      </w:r>
      <w:r w:rsidRPr="006B796E">
        <w:rPr>
          <w:rFonts w:ascii="Times New Roman" w:eastAsia="Times New Roman" w:hAnsi="Times New Roman" w:cs="Times New Roman"/>
          <w:sz w:val="24"/>
          <w:szCs w:val="24"/>
          <w:lang w:eastAsia="lv-LV"/>
        </w:rPr>
        <w:t xml:space="preserve"> Tika ziņots, ka turpmākajos divdesmit gados ir pieaudzis nepavadītu un </w:t>
      </w:r>
      <w:r w:rsidRPr="006B796E">
        <w:rPr>
          <w:rFonts w:ascii="Times New Roman" w:eastAsia="Times New Roman" w:hAnsi="Times New Roman" w:cs="Times New Roman"/>
          <w:sz w:val="24"/>
          <w:szCs w:val="24"/>
          <w:lang w:eastAsia="lv-LV"/>
        </w:rPr>
        <w:lastRenderedPageBreak/>
        <w:t>nošķirtu bērnu skaits vairākās NVS valstīs, vienlaikus ir ziņots par bez vecāku gādības palikušiem bērniem, kas dzīvo uz ielas lielpilsētās, piemēram, Maskavā un Sanktpēterburgā. Kad EDSO īpašā pārstāve bija apmeklējusi Krievijas Federāciju 2017. gada februārī, viņa tika informēta, ka daži migrējošo darba ņēmēju bērni bijuši spiesti strādāt neformālajā sektorā, lai atbalstītu savu ģimeni, un ir pieredzējuši ekspluatāciju no darba devēju puses. Viņa atzīmēja, ka migrantu bērni ir grupa, kas, šķiet, ir pakļauta būtiskam cilvēku tirdzniecības un ļaunprātīgas izmantošanas riskam.</w:t>
      </w:r>
      <w:r w:rsidR="00B60A1B">
        <w:rPr>
          <w:rStyle w:val="Vresatsauce"/>
          <w:rFonts w:ascii="Times New Roman" w:eastAsia="Times New Roman" w:hAnsi="Times New Roman" w:cs="Times New Roman"/>
          <w:sz w:val="24"/>
          <w:szCs w:val="24"/>
          <w:lang w:eastAsia="lv-LV"/>
        </w:rPr>
        <w:footnoteReference w:customMarkFollows="1" w:id="158"/>
        <w:t>157</w:t>
      </w:r>
      <w:r w:rsidRPr="006B796E">
        <w:rPr>
          <w:rFonts w:ascii="Times New Roman" w:eastAsia="Times New Roman" w:hAnsi="Times New Roman" w:cs="Times New Roman"/>
          <w:sz w:val="24"/>
          <w:szCs w:val="24"/>
          <w:lang w:eastAsia="lv-LV"/>
        </w:rPr>
        <w:t> Lai arī nav veikts attiecīgo statistikas datu apkopojums, lai parādītu, cik liels ir to gadījumu īpatsvars, kuros ir iesaistīti bērni, Sanktpēterburgas Sarkanā krusta Starptautiskās sadarbības centrs ir ziņojis, ka no vairāk nekā 15 000 zvaniem uz dienesta uzticības tālruni, kas veikti 2009.–2016. gadā, apmēram 5 procenti (t. i., 750 zvani) bija saistīti ar cilvēku tirdzniecības jautājumiem un darba tiesību pārkāpumiem.</w:t>
      </w:r>
      <w:r w:rsidR="00B60A1B">
        <w:rPr>
          <w:rStyle w:val="Vresatsauce"/>
          <w:rFonts w:ascii="Times New Roman" w:eastAsia="Times New Roman" w:hAnsi="Times New Roman" w:cs="Times New Roman"/>
          <w:sz w:val="24"/>
          <w:szCs w:val="24"/>
          <w:lang w:eastAsia="lv-LV"/>
        </w:rPr>
        <w:footnoteReference w:customMarkFollows="1" w:id="159"/>
        <w:t>158</w:t>
      </w:r>
    </w:p>
    <w:p w:rsidR="00010697" w:rsidRPr="006B796E" w:rsidRDefault="00010697"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Krievijas Federācija ir piedzīvojusi ievērojamu imigrācijas vilni no citām NVS valstīm; Krievijā ir ieceļojušas veselas ģimenes un arī atsevišķi migranti, tostarp neatkarīgi bērni migranti. 2015. gadā </w:t>
      </w:r>
      <w:r w:rsidRPr="006B796E">
        <w:rPr>
          <w:rFonts w:ascii="Times New Roman" w:eastAsia="Times New Roman" w:hAnsi="Times New Roman" w:cs="Times New Roman"/>
          <w:i/>
          <w:iCs/>
          <w:sz w:val="24"/>
          <w:szCs w:val="24"/>
          <w:lang w:eastAsia="lv-LV"/>
        </w:rPr>
        <w:t>IOM</w:t>
      </w:r>
      <w:r w:rsidRPr="006B796E">
        <w:rPr>
          <w:rFonts w:ascii="Times New Roman" w:eastAsia="Times New Roman" w:hAnsi="Times New Roman" w:cs="Times New Roman"/>
          <w:sz w:val="24"/>
          <w:szCs w:val="24"/>
          <w:lang w:eastAsia="lv-LV"/>
        </w:rPr>
        <w:t xml:space="preserve"> ir ziņojusi, ka Krievijas Federācijā dzīvo ap pieciem miljoniem migrantu, kas dzimuši Centrālāzijā, atzīmējot, ka “vīrieši un sievietes, kas ir migrējošie darba ņēmēji no Centrālāzijas, var būt pakļauti ekspluatācijai un ļaunprātīgai rīcībai, jo īpaši neformālās nodarbinātības sektorā, piemēram, būvniecībā, lauksaimniecībā un mājsaimniecības darbos”.</w:t>
      </w:r>
      <w:r w:rsidR="00B60A1B">
        <w:rPr>
          <w:rStyle w:val="Vresatsauce"/>
          <w:rFonts w:ascii="Times New Roman" w:eastAsia="Times New Roman" w:hAnsi="Times New Roman" w:cs="Times New Roman"/>
          <w:sz w:val="24"/>
          <w:szCs w:val="24"/>
          <w:lang w:eastAsia="lv-LV"/>
        </w:rPr>
        <w:footnoteReference w:customMarkFollows="1" w:id="160"/>
        <w:t>159</w:t>
      </w:r>
      <w:r w:rsidRPr="006B796E">
        <w:rPr>
          <w:rFonts w:ascii="Times New Roman" w:eastAsia="Times New Roman" w:hAnsi="Times New Roman" w:cs="Times New Roman"/>
          <w:sz w:val="24"/>
          <w:szCs w:val="24"/>
          <w:lang w:eastAsia="lv-LV"/>
        </w:rPr>
        <w:t> Saskaņā ar oficiālo avotu 2015. gada aplēsēm tikai no četrām Centrālāzijas valstīm vien savu pastāvīgo uzturēšanos Krievijas Federācijā esot oficiāli reģistrējuši 939 000 migrantu.</w:t>
      </w:r>
      <w:r w:rsidR="00B60A1B">
        <w:rPr>
          <w:rStyle w:val="Vresatsauce"/>
          <w:rFonts w:ascii="Times New Roman" w:eastAsia="Times New Roman" w:hAnsi="Times New Roman" w:cs="Times New Roman"/>
          <w:sz w:val="24"/>
          <w:szCs w:val="24"/>
          <w:lang w:eastAsia="lv-LV"/>
        </w:rPr>
        <w:footnoteReference w:customMarkFollows="1" w:id="161"/>
        <w:t>160</w:t>
      </w:r>
      <w:r w:rsidRPr="006B796E">
        <w:rPr>
          <w:rFonts w:ascii="Times New Roman" w:eastAsia="Times New Roman" w:hAnsi="Times New Roman" w:cs="Times New Roman"/>
          <w:sz w:val="24"/>
          <w:szCs w:val="24"/>
          <w:lang w:eastAsia="lv-LV"/>
        </w:rPr>
        <w:t> Tomēr šajos statistikas datos nebija iekļauti bērni, kas ieceļojuši Krievijas Federācijā vieni paši.</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0"/>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Procedūras, kas tika saskaņotas Volgogradā 1993. gadā, tika atkārtoti apstiprinātas Kišiņevā 2002. gadā uz nākamajiem pieciem gadiem (t. i., līdz 2007. gadam).</w:t>
      </w:r>
      <w:r w:rsidR="00B60A1B">
        <w:rPr>
          <w:rStyle w:val="Vresatsauce"/>
          <w:rFonts w:ascii="Times New Roman" w:eastAsia="Times New Roman" w:hAnsi="Times New Roman" w:cs="Times New Roman"/>
          <w:sz w:val="24"/>
          <w:szCs w:val="24"/>
          <w:lang w:eastAsia="lv-LV"/>
        </w:rPr>
        <w:footnoteReference w:customMarkFollows="1" w:id="162"/>
        <w:t>161</w:t>
      </w:r>
      <w:r w:rsidRPr="006B796E">
        <w:rPr>
          <w:rFonts w:ascii="Times New Roman" w:eastAsia="Times New Roman" w:hAnsi="Times New Roman" w:cs="Times New Roman"/>
          <w:sz w:val="24"/>
          <w:szCs w:val="24"/>
          <w:lang w:eastAsia="lv-LV"/>
        </w:rPr>
        <w:t> Šīs procedūras ir administratīvā procedūra tādu nepavadītu bērnu aizturēšanai (nolīgumā norādīti kā “bez aizbildnības atstāti nepilngadīgie”), kas nākuši no citām nolīgumu parakstījušām valstīm, viņu ievietošanai specializētās iestādēs, kas bieži vien ir Iekšlietu ministrijas pakļautības iestādes (valstī, kurā bērns ir identificēts), un bērnu repatriācijai bez lietas izskatīšanas vai tiesiskās procedūras dažādos centros, kurus administrē attiecīgās valdības ministrijas. Tie ir bijuši “slēgtie” centri, proti, attiecīgie bērni nedrīkst iziet ārā, bet viņiem tiek piemērota administratīva aizturēšana.</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Nepavadītus bērnus, kurus paredzēts sūtīt atpakaļ, izmitina divu veidu aprūpes centros (uzskaitīti Kišiņevas nolīguma pielikumā). Vairumā valstu tie ir aizturēšanas centri, kas ir Iekšlietu ministriju pārraudzībā, savukārt citi ir aprūpes centri (parasti tos pārrauga par </w:t>
      </w:r>
      <w:r w:rsidRPr="006B796E">
        <w:rPr>
          <w:rFonts w:ascii="Times New Roman" w:eastAsia="Times New Roman" w:hAnsi="Times New Roman" w:cs="Times New Roman"/>
          <w:sz w:val="24"/>
          <w:szCs w:val="24"/>
          <w:lang w:eastAsia="lv-LV"/>
        </w:rPr>
        <w:lastRenderedPageBreak/>
        <w:t>veselības aizsardzību vai sociālajām lietām atbildīgās ministrijas) bez vecāku gādības palikušiem bērniem vai bērniem, kas ir bijuši pakļauti vardarbībai. Krievijas Federācijā (lielākā no iesaistītajām valstīm), piemēram, ir iezīmēti aizturēšanas centri (dēvēti kā “konfliktā ar likumu nonākušu nepilngadīgo īslaicīgas rehabilitācijas un izolācijas centri”), kurus vada Iekšlietu ministrija un kurus izmanto desmit pilsētās, savukārt sociālās rehabilitācijas centrus bez vecāku gādības palikušiem bērniem (tos uzrauga par veselību un sociālo aizsardzību atbildīgās iestādes) izmanto četrās pilsētās, bet sociālās patvēruma vietas bērniem – vēl divās citās pilsētās.</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Saskaņā ar Kišiņevas nolīguma 6. panta noteikumiem, ja ir identificēts un aizturēts nepavadīts bērns, viņu nogādā uz tuvāko “specializēto iestādi” viņa mītnes valstī 30 dienu laikā no brīža, kad iestādes ir noteikušas, ka bērnam valstī, kurā viņš tika atrasts, nav vecāku vai likumīgā aizbildņa. Paredzēts, ka šo bērnu pavada nosūtošās valsts amatpersonas.</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Lai arī Kišiņevas nolīguma darbības laiks ir pieci gadi, šķiet, ka tas ir galvenais juridiskais teksts, kas nosaka, kam jānotiek ar noteiktā NVS valstī identificētu nepavadītu bērnu, pat ja attiecīgais bērns ir bijis pakļauts vardarbībai vai ekspluatācijai. Tomēr tika ziņots, ka 2014. gadā aizturēšanas centri dažās nolīguma dalībvalstīs esot bijuši slēgti, kas liek domāt, ka nolīgumā paredzētās procedūras vairs netiek ievērotas (konkrēti Azerbaidžāna, Gruzija un Moldova</w:t>
      </w:r>
      <w:r w:rsidR="00B60A1B">
        <w:rPr>
          <w:rStyle w:val="Vresatsauce"/>
          <w:rFonts w:ascii="Times New Roman" w:eastAsia="Times New Roman" w:hAnsi="Times New Roman" w:cs="Times New Roman"/>
          <w:sz w:val="24"/>
          <w:szCs w:val="24"/>
          <w:lang w:eastAsia="lv-LV"/>
        </w:rPr>
        <w:footnoteReference w:customMarkFollows="1" w:id="163"/>
        <w:t>162</w:t>
      </w:r>
      <w:r w:rsidRPr="006B796E">
        <w:rPr>
          <w:rFonts w:ascii="Times New Roman" w:eastAsia="Times New Roman" w:hAnsi="Times New Roman" w:cs="Times New Roman"/>
          <w:sz w:val="24"/>
          <w:szCs w:val="24"/>
          <w:lang w:eastAsia="lv-LV"/>
        </w:rPr>
        <w:t xml:space="preserve"> – visas ir Eiropas Padomes Konvencijas par cīņu pret cilvēku tirdzniecību dalībvalstis).</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B60A1B" w:rsidRDefault="00D6592D" w:rsidP="00B60A1B">
      <w:pPr>
        <w:widowControl w:val="0"/>
        <w:spacing w:after="0" w:line="240" w:lineRule="auto"/>
        <w:jc w:val="center"/>
        <w:rPr>
          <w:rFonts w:ascii="Times New Roman" w:eastAsia="Times New Roman" w:hAnsi="Times New Roman" w:cs="Times New Roman"/>
          <w:b/>
          <w:bCs/>
          <w:sz w:val="28"/>
          <w:szCs w:val="28"/>
          <w:lang w:eastAsia="lv-LV"/>
        </w:rPr>
      </w:pPr>
      <w:r w:rsidRPr="00B60A1B">
        <w:rPr>
          <w:rFonts w:ascii="Times New Roman" w:eastAsia="Times New Roman" w:hAnsi="Times New Roman" w:cs="Times New Roman"/>
          <w:b/>
          <w:bCs/>
          <w:sz w:val="28"/>
          <w:szCs w:val="28"/>
          <w:lang w:eastAsia="lv-LV"/>
        </w:rPr>
        <w:t>“Stiprināt struktūras, lai veicinātu cilvēku tirdzniecībā cietušo bērnu sociālo iekļaušanu un (re)integrāciju izcelsmes un galamērķa valstīs, ņemot vērā bērnu īpašās vajadzības.”</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B60A1B">
      <w:pPr>
        <w:widowControl w:val="0"/>
        <w:spacing w:after="0" w:line="240" w:lineRule="auto"/>
        <w:jc w:val="center"/>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(PC.DEC/685, Papildinājums EDSO Rīcības plānam cilvēku tirdzniecības apkarošanai – Risinot bērnu, kas ir cilvēku tirdzniecības upuri, īpašās vajadzības būt pasargātiem un saņemt palīdzību; ieteicamās darbības valsts līmenī)</w:t>
      </w:r>
    </w:p>
    <w:p w:rsidR="00B60A1B" w:rsidRDefault="00B60A1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2F1BEE" w:rsidRDefault="00D6592D" w:rsidP="006B796E">
      <w:pPr>
        <w:widowControl w:val="0"/>
        <w:spacing w:after="0" w:line="240" w:lineRule="auto"/>
        <w:jc w:val="both"/>
        <w:rPr>
          <w:rFonts w:ascii="Times New Roman" w:eastAsia="Times New Roman" w:hAnsi="Times New Roman" w:cs="Times New Roman"/>
          <w:b/>
          <w:bCs/>
          <w:sz w:val="28"/>
          <w:szCs w:val="24"/>
          <w:lang w:eastAsia="lv-LV"/>
        </w:rPr>
      </w:pPr>
      <w:r w:rsidRPr="002F1BEE">
        <w:rPr>
          <w:rFonts w:ascii="Times New Roman" w:eastAsia="Times New Roman" w:hAnsi="Times New Roman" w:cs="Times New Roman"/>
          <w:b/>
          <w:bCs/>
          <w:sz w:val="28"/>
          <w:szCs w:val="24"/>
          <w:lang w:eastAsia="lv-LV"/>
        </w:rPr>
        <w:lastRenderedPageBreak/>
        <w:t>SECINĀJUMI UN IETEIKUMI</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Daudzi no EDSO agrāk pieņemtajiem ieteikumiem (sk. 2.3. sadaļu) joprojām EDSO dalībvalstīm ir jāīsteno (vai pilnībā jāīsteno). Lai tos neatkārtotu, turpmāk sniegti ieteikumi, kas vērsti uz konkrētiem šajā speciālajā pētījumā aplūkotajiem jautājumiem.</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B60A1B" w:rsidRDefault="00B60A1B" w:rsidP="00B60A1B">
      <w:pPr>
        <w:widowControl w:val="0"/>
        <w:spacing w:after="0" w:line="240" w:lineRule="auto"/>
        <w:jc w:val="center"/>
        <w:rPr>
          <w:rFonts w:ascii="Times New Roman" w:eastAsia="Times New Roman" w:hAnsi="Times New Roman" w:cs="Times New Roman"/>
          <w:sz w:val="24"/>
          <w:szCs w:val="24"/>
          <w:lang w:eastAsia="lv-LV"/>
        </w:rPr>
      </w:pPr>
      <w:r w:rsidRPr="000E2D02">
        <w:rPr>
          <w:noProof/>
          <w:sz w:val="24"/>
          <w:szCs w:val="24"/>
          <w:lang w:eastAsia="lv-LV"/>
        </w:rPr>
        <w:drawing>
          <wp:inline distT="0" distB="0" distL="0" distR="0">
            <wp:extent cx="1906270" cy="209613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6270" cy="2096135"/>
                    </a:xfrm>
                    <a:prstGeom prst="rect">
                      <a:avLst/>
                    </a:prstGeom>
                    <a:noFill/>
                    <a:ln>
                      <a:noFill/>
                    </a:ln>
                  </pic:spPr>
                </pic:pic>
              </a:graphicData>
            </a:graphic>
          </wp:inline>
        </w:drawing>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Ieteikumi saistībā ar lēmumu pieņemšanu (nodrošinot, ka bērna intereses ir primārais apsvērums)</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1. </w:t>
      </w:r>
      <w:r w:rsidRPr="006B796E">
        <w:rPr>
          <w:rFonts w:ascii="Times New Roman" w:eastAsia="Times New Roman" w:hAnsi="Times New Roman" w:cs="Times New Roman"/>
          <w:sz w:val="24"/>
          <w:szCs w:val="24"/>
          <w:lang w:eastAsia="lv-LV"/>
        </w:rPr>
        <w:t>Nodrošināt, ka bērnu tirdzniecība tiek risināta kā bērna aizsardzības jautājums saskaņā ar bērnu aizsardzības pamata noteikumiem, kur bērnu aizsardzības speciālistiem ir vadošā loma visās lēmumu pieņemšanas procedūrās, kas varētu būtiski ietekmēt tā bērna labklājību, kas ir cilvēku tirdzniecības upuris, tostarp attiecībā uz lēmumiem par imigrācijas statusu.</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2. </w:t>
      </w:r>
      <w:r w:rsidRPr="006B796E">
        <w:rPr>
          <w:rFonts w:ascii="Times New Roman" w:eastAsia="Times New Roman" w:hAnsi="Times New Roman" w:cs="Times New Roman"/>
          <w:sz w:val="24"/>
          <w:szCs w:val="24"/>
          <w:lang w:eastAsia="lv-LV"/>
        </w:rPr>
        <w:t>Nodrošināt, ka nacionālais cietušo nosūtīšanas mehānisms atpazīst bērnu, kas ir cilvēku tirdzniecības upuri, īpašo situāciju, tostarp cilvēku tirdzniecības un ekspluatācijas īpašās formas, kas vērstas tieši uz bērniem, kā arī bērnu, kas ir cilvēku tirdzniecības upuri, vajadzības un tiesības, un tiek izveidoti nosūtīšanas kanāli, kas ir visvairāk piemēroti bērniem, garantējot, ka ārvalstniekiem pakalpojumu pieejamība ir vismaz tādā pašā līmenī kā valstspiederīgajiem bērniem, kuri ir kļuvuši par tirdzniecības upuriem.</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3. </w:t>
      </w:r>
      <w:r w:rsidRPr="006B796E">
        <w:rPr>
          <w:rFonts w:ascii="Times New Roman" w:eastAsia="Times New Roman" w:hAnsi="Times New Roman" w:cs="Times New Roman"/>
          <w:sz w:val="24"/>
          <w:szCs w:val="24"/>
          <w:lang w:eastAsia="lv-LV"/>
        </w:rPr>
        <w:t>Nodrošināt, ka ir izstrādāti pamata noteikumi vai procedūras, kurās tiek izmantota daudznozaru pieeja, novērtējot un nosakot katra atsevišķa bērna intereses, un ka šie noteikumi un procedūras tiek sistemātiski īstenoti.</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4. </w:t>
      </w:r>
      <w:r w:rsidRPr="006B796E">
        <w:rPr>
          <w:rFonts w:ascii="Times New Roman" w:eastAsia="Times New Roman" w:hAnsi="Times New Roman" w:cs="Times New Roman"/>
          <w:sz w:val="24"/>
          <w:szCs w:val="24"/>
          <w:lang w:eastAsia="lv-LV"/>
        </w:rPr>
        <w:t>Nodrošināt, ka bērniem, kas var būt cilvēku tirdzniecības upuri, iespējami drīz pēc viņu identificēšanas tiek iecelts pagaidu aizbildnis (izņemot, ja ir pieejams kāds no vecākiem un ja ir atbilstoši, ka lēmuma pieņemšanas posmos bērnu pavadītu viens no vecākiem) un ka bērna likumīgie konsultanti un aizbildnis ir iesaistīti lēmumos saistībā ar visaptverošu risinājumu bērnam.</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5. </w:t>
      </w:r>
      <w:r w:rsidRPr="006B796E">
        <w:rPr>
          <w:rFonts w:ascii="Times New Roman" w:eastAsia="Times New Roman" w:hAnsi="Times New Roman" w:cs="Times New Roman"/>
          <w:sz w:val="24"/>
          <w:szCs w:val="24"/>
          <w:lang w:eastAsia="lv-LV"/>
        </w:rPr>
        <w:t xml:space="preserve">Tiklīdz valsts kompetentā iestāde ir identificējusi bērnu kā cilvēku tirdzniecības upuri, bērnu aizsardzības amatpersonām jāuzņemas izpētīt, kāds ilglaicīgs risinājums bērnam būtu </w:t>
      </w:r>
      <w:r w:rsidRPr="006B796E">
        <w:rPr>
          <w:rFonts w:ascii="Times New Roman" w:eastAsia="Times New Roman" w:hAnsi="Times New Roman" w:cs="Times New Roman"/>
          <w:sz w:val="24"/>
          <w:szCs w:val="24"/>
          <w:lang w:eastAsia="lv-LV"/>
        </w:rPr>
        <w:lastRenderedPageBreak/>
        <w:t>vispiemērotākais. Apsver iespēju izveidot procesu, lai lemtu par visaptverošu, drošu un ilgtspējīgu risinājumu, kas var darboties, izmantojot bērnu aizsardzības mehānismus, un ietver vairāku iestāžu veiktu bērna interešu novērtējumu, pēc tam – bērna interešu noteikšanu bērnu aizsardzības satvarā.</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6. </w:t>
      </w:r>
      <w:r w:rsidRPr="006B796E">
        <w:rPr>
          <w:rFonts w:ascii="Times New Roman" w:eastAsia="Times New Roman" w:hAnsi="Times New Roman" w:cs="Times New Roman"/>
          <w:sz w:val="24"/>
          <w:szCs w:val="24"/>
          <w:lang w:eastAsia="lv-LV"/>
        </w:rPr>
        <w:t>Novērtējot bērna intereses, jāņem vērā bērna viedoklis, bērna identitāte, ģimenes vides saglabāšana un attiecību uzturēšana ar tuviniekiem un draugiem (ja vien netiek skaidri konstatēts, ka tas nav bērna interesēs), bērna aprūpe, aizsardzība un drošība, neaizsargātības stāvoklis, tiesības uz veselību un izglītību.</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Ieteikumi saistībā ar bērniem, kas ir cilvēku tirdzniecības upuri, sniegto izmitināšanu un drošību</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7. </w:t>
      </w:r>
      <w:r w:rsidRPr="006B796E">
        <w:rPr>
          <w:rFonts w:ascii="Times New Roman" w:eastAsia="Times New Roman" w:hAnsi="Times New Roman" w:cs="Times New Roman"/>
          <w:sz w:val="24"/>
          <w:szCs w:val="24"/>
          <w:lang w:eastAsia="lv-LV"/>
        </w:rPr>
        <w:t>Nodrošināt, ka visām likumā noteiktām (valsts) iestādēm, kas nonāk saskarē ar bērniem (neatkarīgi no tā, vai viņi ir vai nav cilvēku tirdzniecības upuri), ir izstrādāta atbilstīga bērnu aizsardzības politika un ziņošanas procedūras.</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8. </w:t>
      </w:r>
      <w:r w:rsidRPr="006B796E">
        <w:rPr>
          <w:rFonts w:ascii="Times New Roman" w:eastAsia="Times New Roman" w:hAnsi="Times New Roman" w:cs="Times New Roman"/>
          <w:sz w:val="24"/>
          <w:szCs w:val="24"/>
          <w:lang w:eastAsia="lv-LV"/>
        </w:rPr>
        <w:t>Bērniem, kas, iespējams, kļuvuši par cilvēku tirdzniecības upuriem un, domājams, nevar atgriezties mājās jebkādu iemeslu dēļ, jānodrošina specializēta droša izmitināšana no brīža, kad bērns ir identificēts kā iespējamais cietušais, un viņš nav jāievieto ārkārtas vai vispārējā uzņemšanas centrā. Bērniem ir tiesības būt citu ģimenes locekļu tuvumā, ja vien netiek uzskatīts, kas tas nav bērna interesēs.</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9. </w:t>
      </w:r>
      <w:r w:rsidRPr="006B796E">
        <w:rPr>
          <w:rFonts w:ascii="Times New Roman" w:eastAsia="Times New Roman" w:hAnsi="Times New Roman" w:cs="Times New Roman"/>
          <w:sz w:val="24"/>
          <w:szCs w:val="24"/>
          <w:lang w:eastAsia="lv-LV"/>
        </w:rPr>
        <w:t>Tiklīdz bērns ir identificēts, ierosināt darbības, lai nodrošinātu bērna drošību, tostarp bērna vecumam un dzimumam atbilstošas darbības, lai novērstu seksuālu vardarbību.</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10. </w:t>
      </w:r>
      <w:r w:rsidRPr="006B796E">
        <w:rPr>
          <w:rFonts w:ascii="Times New Roman" w:eastAsia="Times New Roman" w:hAnsi="Times New Roman" w:cs="Times New Roman"/>
          <w:sz w:val="24"/>
          <w:szCs w:val="24"/>
          <w:lang w:eastAsia="lv-LV"/>
        </w:rPr>
        <w:t>Nodrošināt, ka bērniem, kas cietuši no sliktas izturēšanās, tiek sniegta pienācīgas aprūpes un rehabilitācijas programmas un ka tiek novērsta jebkāda veida atkārtota viktimizācija.</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11. </w:t>
      </w:r>
      <w:r w:rsidRPr="006B796E">
        <w:rPr>
          <w:rFonts w:ascii="Times New Roman" w:eastAsia="Times New Roman" w:hAnsi="Times New Roman" w:cs="Times New Roman"/>
          <w:sz w:val="24"/>
          <w:szCs w:val="24"/>
          <w:lang w:eastAsia="lv-LV"/>
        </w:rPr>
        <w:t>Nodrošināt, ka bērni, kas ir cilvēku tirdzniecības upuri, netiek ieslodzīti (proti, viņiem nav mazākas pārvietošanās brīvības kā citiem līdzīga vecuma bērniem). Bērnam jāpiemēro ierobežojumi tikai kā galējais līdzeklis, t. i., ja mazāk ierobežojoši pasākumi nesniegtu līdzvērtīgu rezultātu. Ja bērns, kas ir cilvēku tirdzniecības upuris, tiek turēts ieslodzījumā (vai nu ieslodzījuma iestādē, vai slēgtā “drošā” izmitināšanas vienībā), tas jādara iespējami īsāku laiku un ar tiesu iestādes atļauju. Būtu sīki jāreģistrē iemesli, lai tos pēc tam varētu novērtēt neatkarīga iestāde. Tiklīdz ir reģistrēts, ka atsevišķi bērni ir turēti ieslodzījumā vairāk nekā tikai dažas reizes (piemēram, sešas reizes), kompetentai iestādei jāuzdod veikt neatkarīgu pārskatīšanu, lai novērtētu, vai ieslodzījums bijis nepieciešams un kā tas ietekmējis attiecīgos bērnus.</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Ieteikumi saistībā ar “atpakaļnosūtīšanu” (repatriāciju)</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12. </w:t>
      </w:r>
      <w:r w:rsidRPr="006B796E">
        <w:rPr>
          <w:rFonts w:ascii="Times New Roman" w:eastAsia="Times New Roman" w:hAnsi="Times New Roman" w:cs="Times New Roman"/>
          <w:sz w:val="24"/>
          <w:szCs w:val="24"/>
          <w:lang w:eastAsia="lv-LV"/>
        </w:rPr>
        <w:t>Ja ir iecerēts bērnu, kas ir cilvēku tirdzniecības upuris, sūtīt atpakaļ uz viņa izcelsmes valsti, ir jāveic riska un drošības novērtējumi. Nosūtīšanas mehānismā jābūt skaidri noteiktai prasībai to darīt vai jābūt citai juridiski saistošai procedūrai.</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13. </w:t>
      </w:r>
      <w:r w:rsidRPr="006B796E">
        <w:rPr>
          <w:rFonts w:ascii="Times New Roman" w:eastAsia="Times New Roman" w:hAnsi="Times New Roman" w:cs="Times New Roman"/>
          <w:sz w:val="24"/>
          <w:szCs w:val="24"/>
          <w:lang w:eastAsia="lv-LV"/>
        </w:rPr>
        <w:t>Nodrošināt, ka centrālās valdības iestādē ir kontaktpunkts, kam citu valstu amatpersonas var adresēt pieprasījumus par bērniem, kuri ir tirdzniecības upuri (kā arī citiem nepavadītiem un nošķirtiem bērniem), un kas var saņemt un ātri nodot sociālās lietas apstākļu izpētes pieprasījumus par katru atsevišķo bērnu.</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14. </w:t>
      </w:r>
      <w:r w:rsidRPr="006B796E">
        <w:rPr>
          <w:rFonts w:ascii="Times New Roman" w:eastAsia="Times New Roman" w:hAnsi="Times New Roman" w:cs="Times New Roman"/>
          <w:sz w:val="24"/>
          <w:szCs w:val="24"/>
          <w:lang w:eastAsia="lv-LV"/>
        </w:rPr>
        <w:t>Nodrošināt attiecīgajam sociālajam dienestam vai bērnu aizsardzības iestādei pietiekamus resursus, lai tie varētu nekavējoties reaģēt uz sociālās lietas apstākļu izpētes pieprasījumiem par bērnu, kas ir cilvēku tirdzniecības upuris, un nodrošināt, ka ir izstrādātas pieprasījumu pārsūtīšanas procedūras un ka rezultāti nerada nepamatotus kavējumus.</w:t>
      </w:r>
    </w:p>
    <w:p w:rsidR="00B60A1B" w:rsidRDefault="00B60A1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r w:rsidRPr="002F1BEE">
        <w:rPr>
          <w:rFonts w:ascii="Times New Roman" w:eastAsia="Times New Roman" w:hAnsi="Times New Roman" w:cs="Times New Roman"/>
          <w:b/>
          <w:bCs/>
          <w:noProof/>
          <w:sz w:val="24"/>
          <w:szCs w:val="24"/>
          <w:lang w:eastAsia="lv-LV"/>
        </w:rPr>
        <w:lastRenderedPageBreak/>
        <w:drawing>
          <wp:inline distT="0" distB="0" distL="0" distR="0">
            <wp:extent cx="5760085" cy="7724667"/>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085" cy="7724667"/>
                    </a:xfrm>
                    <a:prstGeom prst="rect">
                      <a:avLst/>
                    </a:prstGeom>
                    <a:noFill/>
                    <a:ln>
                      <a:noFill/>
                    </a:ln>
                  </pic:spPr>
                </pic:pic>
              </a:graphicData>
            </a:graphic>
          </wp:inline>
        </w:drawing>
      </w:r>
    </w:p>
    <w:p w:rsidR="002F1BEE" w:rsidRDefault="002F1BEE" w:rsidP="006B796E">
      <w:pPr>
        <w:widowControl w:val="0"/>
        <w:spacing w:after="0" w:line="240" w:lineRule="auto"/>
        <w:jc w:val="both"/>
        <w:rPr>
          <w:rFonts w:ascii="Times New Roman" w:eastAsia="Times New Roman" w:hAnsi="Times New Roman" w:cs="Times New Roman"/>
          <w:b/>
          <w:bCs/>
          <w:sz w:val="24"/>
          <w:szCs w:val="24"/>
          <w:lang w:eastAsia="lv-LV"/>
        </w:rPr>
      </w:pPr>
    </w:p>
    <w:p w:rsidR="00B60A1B" w:rsidRDefault="00B60A1B">
      <w:pPr>
        <w:rPr>
          <w:rFonts w:ascii="Times New Roman" w:eastAsia="Times New Roman" w:hAnsi="Times New Roman" w:cs="Times New Roman"/>
          <w:b/>
          <w:bCs/>
          <w:sz w:val="24"/>
          <w:szCs w:val="28"/>
          <w:lang w:eastAsia="lv-LV"/>
        </w:rPr>
      </w:pPr>
      <w:r>
        <w:rPr>
          <w:rFonts w:ascii="Times New Roman" w:eastAsia="Times New Roman" w:hAnsi="Times New Roman" w:cs="Times New Roman"/>
          <w:b/>
          <w:bCs/>
          <w:sz w:val="24"/>
          <w:szCs w:val="28"/>
          <w:lang w:eastAsia="lv-LV"/>
        </w:rPr>
        <w:br w:type="page"/>
      </w:r>
    </w:p>
    <w:p w:rsidR="00D6592D" w:rsidRPr="002F1BEE" w:rsidRDefault="00D6592D" w:rsidP="006B796E">
      <w:pPr>
        <w:widowControl w:val="0"/>
        <w:spacing w:after="0" w:line="240" w:lineRule="auto"/>
        <w:jc w:val="both"/>
        <w:rPr>
          <w:rFonts w:ascii="Times New Roman" w:eastAsia="Times New Roman" w:hAnsi="Times New Roman" w:cs="Times New Roman"/>
          <w:b/>
          <w:bCs/>
          <w:sz w:val="28"/>
          <w:szCs w:val="28"/>
          <w:lang w:eastAsia="lv-LV"/>
        </w:rPr>
      </w:pPr>
      <w:r w:rsidRPr="002F1BEE">
        <w:rPr>
          <w:rFonts w:ascii="Times New Roman" w:eastAsia="Times New Roman" w:hAnsi="Times New Roman" w:cs="Times New Roman"/>
          <w:b/>
          <w:bCs/>
          <w:sz w:val="28"/>
          <w:szCs w:val="28"/>
          <w:lang w:eastAsia="lv-LV"/>
        </w:rPr>
        <w:lastRenderedPageBreak/>
        <w:t>1. pielikums</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32. pants divu līguma izpildes uzraudzības struktūru Kopīgajam vispārējam komentāram (2017) par bērnu cilvēktiesību vispārējiem principiem saistībā ar starptautisko migrāciju</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Komentējot bērna interešu principa īstenošanu ar migrāciju saistītajās procedūrās un lēmumos, kas varētu ietekmēt bērnus, Visu migrējošo darba ņēmēju un viņu ģimenes locekļu tiesību aizsardzības komiteja un Bērnu tiesību komiteja uzsver (abu Kopīgā vispārējā komentāra</w:t>
      </w:r>
      <w:r w:rsidR="00B60A1B">
        <w:rPr>
          <w:rStyle w:val="Vresatsauce"/>
          <w:rFonts w:ascii="Times New Roman" w:eastAsia="Times New Roman" w:hAnsi="Times New Roman" w:cs="Times New Roman"/>
          <w:sz w:val="24"/>
          <w:szCs w:val="24"/>
          <w:lang w:eastAsia="lv-LV"/>
        </w:rPr>
        <w:footnoteReference w:customMarkFollows="1" w:id="164"/>
        <w:t>163</w:t>
      </w:r>
      <w:r w:rsidRPr="006B796E">
        <w:rPr>
          <w:rFonts w:ascii="Times New Roman" w:eastAsia="Times New Roman" w:hAnsi="Times New Roman" w:cs="Times New Roman"/>
          <w:sz w:val="24"/>
          <w:szCs w:val="24"/>
          <w:lang w:eastAsia="lv-LV"/>
        </w:rPr>
        <w:t xml:space="preserve"> 31. pantā), ka ir nepieciešams sistemātiski veikt interešu novērtēšanas un noteikšanas procedūras, pieņemot vai lai varētu pieņemt ar migrāciju saistītos un citus lēmumus, kas ietekmē bērnus migrantus.</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Kopīgā vispārējā komentāra 32. pantā “Komitejas uzsver, ka dalībvalstīm būtu:</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 jāpiešķir augsta prioritāte bērna interesēm savos tiesību aktos, politiskajās nostādnēs un praksē;</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b) jānodrošina, ka bērna interešu princips tiek pienācīgi integrēts, saskanīgi interpretēts un piemērots, izmantojot stingras individualizētas procedūras visos likumdošanas, administratīvajos un tiesas procesos un lēmumos un visās migrācijas politiskajās nostādnēs un programmās, kas attiecas uz bērniem un tos ietekmē, tostarp konsulārās aizsardzības politikā un pakalpojumos. Jānodrošina pienācīgi resursi, lai nodrošinātu, ka šis princips tiek ieviests praksē;</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 jānodrošina, ka visi izstrādātie un veiktie interešu novērtējumi un interešu noteikšana piešķir pienācīgu svaru tam, ka īstermiņā un ilgtermiņā tiek ievērotas bērna tiesības lēmumu pieņemšanas procesos, kas skar bērnus; arīdzan jānodrošina, ka tiek izstrādātas pienācīgas procesa drošības garantijas, tostarp tiesības uz brīvu, kompetentu un neatkarīgu juridisko pārstāvību. Bērna interešu novērtējums iesaistītajām pusēm jāveic neatkarīgi no migrācijas iestādēm daudznozaru veidā, tostarp jēgpilni piedaloties iestādēm, kas atbild par bērnu aizsardzību un labklājību, un citām attiecīgajām iesaistītajām pusēm, piemēram, vecākiem, aizbildņiem un likumīgajiem pārstāvjiem, kā arī pašam bērnam;</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d) jāizstrādā procedūras un jānosaka kritēriji, lai sniegtu norādījumus visām attiecīgajām personām, kas iesaistītas migrācijas procedūrās, par bērna interešu noteikšanu un par to, ka tām ir jābūt primārajam apsvērumam, tostarp ieceļošanas, uzturēšanās, pārmitināšanas un atpakaļnosūtīšanas procedūrās, kā arī jāizstrādā mehānismi, kuru mērķis ir uzraudzīt to pienācīgu īstenošanu praksē;</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 jānovērtē un jānosaka bērna intereses dažādos migrācijas un patvēruma lūgšanas procedūru posmos, kuros vecāki sava migrācijas statusa dēļ varētu tikt aizturēti vai deportēti. Jāizstrādā labāko interešu noteikšanas procedūras, pieņemot lēmumus, saskaņā ar kuriem bērns varētu tikt nošķirts no savas ģimenes, un tādi paši standarti jāpiemēro bērna aizbildniecībā, kad bērna interesēm jābūt primārajam apsvērumam. Adopcijas gadījumos svarīgākais apsvērums ir bērna intereses;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f) jāveic labāko interešu novērtējums katrā atsevišķā gadījumā, lai vajadzības gadījumā un saskaņā ar Pamatnostādnēm par bērnu alternatīvo aprūpi izlemtu par to, kāda veida izmitināšana būtu vispiemērotākā nepavadītam vai nošķirtam bērnam vai bērniem ar vecākiem. Šajā procesā </w:t>
      </w:r>
      <w:r w:rsidRPr="006B796E">
        <w:rPr>
          <w:rFonts w:ascii="Times New Roman" w:eastAsia="Times New Roman" w:hAnsi="Times New Roman" w:cs="Times New Roman"/>
          <w:sz w:val="24"/>
          <w:szCs w:val="24"/>
          <w:lang w:eastAsia="lv-LV"/>
        </w:rPr>
        <w:lastRenderedPageBreak/>
        <w:t>lielāka prioritāte jāpiešķir kopienas sniegtās aprūpes risinājumiem. Jebkādi pasākumi, kas ierobežo bērnu brīvību, lai viņus aizsargātu, piemēram, ievietošana apsargājamā izmitināšanas iestādē, jāievieš bērnu aizsardzības sistēmā, ievērojot vienādus standartus un drošības garantijas; šiem pasākumiem ir jābūt stingri likumīgiem un samērīgiem ar mērķi aizsargāt konkrēto bērnu no kaitējuma sev vai citiem; tiem ir jābūt visaptveroša aprūpes plāna sastāvdaļai; tie ir jānošķir no migrācijas tiesībaizsardzības politikas, prakses un iestādēm;</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g) jāveic labāko interešu noteikšana gadījumos, kad migrantu ģimenei draud izraidīšana migrācijas statusa dēļ, lai novērtētu, kā deportācija ietekmē bērnu tiesības un attīstību, tostarp viņu garīgo veselību;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h) jānodrošina, ka bērni tiek nekavējoties identificēti robežkontroles punktos vai citās migrācijas kontroles procedūrās, kas ir valsts jurisdikcijā, un ka pret ikvienu, kurš uzstāj, ka ir bērns, izturētos kā pret bērnu, nekavējoties nodotu viņu bērnu aizsardzības iestādēm un citiem attiecīgajiem dienestiem un ieceltu aizbildni, ja bērns ir bez pavadoņa vai nošķirts;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i) jāsniedz norādes visām attiecīgajām iestādēm par bērna interešu praktisku piemērošanu bērniem migrantiem, tostarp bērniem tranzītā, un jāizstrādā mehānismi, kuru mērķis ir uzraudzīt šā principa pienācīgu īstenošanu praksē;</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j) jāizstrādā un praktiski jāievieš labāko interešu noteikšanas procedūra attiecībā uz nepavadītiem bērniem un bērniem ar ģimenēm, lai identificētu un piemērotu visaptverošus, drošus un ilgtspējīgus risinājumus, tostarp turpmāku integrēšanu un izmitināšanu valstī, kas ir pašreizējā dzīvesvieta, repatriāciju uz izcelsmes valsti vai pārmitināšanu trešā valstī. Šādi risinājumi var ietvert vidēja termiņa iespējas un to, ka bērniem un ģimenēm ir iespējas iegūt piekļuvi drošam pastāvīgās uzturēšanās statusam bērna interesēs. Jānodrošina, ka labāko interešu noteikšanas procedūras vada bērnu aizsardzības iestādes bērnu aizsardzības sistēmas ietvaros. Iespējamie risinājumi un plāni jāapspriež un jāizstrādā kopā ar bērnu un viņam piemērotā un iejūtīgā veidā saskaņā ar Bērnu tiesību komitejas Vispārējo komentāru Nr. 12 (2009) par bērna tiesībām tikt uzklausītam;</w:t>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k) ja tiek noteikts, ka atpakaļnosūtīšana ir bērna interesēs, iespēju robežās kopā ar bērnu jāsagatavo individuālais plāns viņa ilgtspējīgai reintegrācijai. Komitejas uzsver, ka izcelsmes, tranzīta, galamērķa un atpakaļnosūtīšanas valstīm jāizstrādā visaptverošs satvars, piešķirot resursus politikas un visaptverošu starpinstitucionālo koordinācijas mehānismu īstenošanai. Šim satvaram gadījumos, kad bērni tiek sūtīti atpakaļ uz viņu izcelsmes valsti vai trešajām valstīm, jānodrošina šo bērnu efektīva reintegrācija, izmantojot uz tiesībām balstītu pieeju, tostarp tūlītēji aizsardzības pasākumi un ilgtermiņa risinājumi, jo īpaši efektīva izglītības, veselības, psihosociālā atbalsta, ģimenes dzīves, sociālās iekļaušanas pieejamība, tiesas pieejamība un aizsardzība pret visu veidu vardarbību. Visos šādos apstākļos jānodrošina, ka visas iesaistītās iestādes veic kvalitatīvu un uz tiesībām balstītu paveiktā darba kontroli, tostarp neatkarīgu uzraudzību un novērtēšanu. Komitejas uzsver, ka atpakaļnosūtīšanas un reintegrācijas pasākumiem jābūt ilgtspējīgiem no bērna tiesību uz dzīvību, izdzīvošanas un attīstības skatupunkta.”</w:t>
      </w:r>
    </w:p>
    <w:p w:rsidR="00B60A1B" w:rsidRDefault="00B60A1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2F1BEE" w:rsidRDefault="00D6592D" w:rsidP="006B796E">
      <w:pPr>
        <w:widowControl w:val="0"/>
        <w:spacing w:after="0" w:line="240" w:lineRule="auto"/>
        <w:jc w:val="both"/>
        <w:rPr>
          <w:rFonts w:ascii="Times New Roman" w:eastAsia="Times New Roman" w:hAnsi="Times New Roman" w:cs="Times New Roman"/>
          <w:b/>
          <w:bCs/>
          <w:sz w:val="28"/>
          <w:szCs w:val="28"/>
          <w:lang w:eastAsia="lv-LV"/>
        </w:rPr>
      </w:pPr>
      <w:r w:rsidRPr="002F1BEE">
        <w:rPr>
          <w:rFonts w:ascii="Times New Roman" w:eastAsia="Times New Roman" w:hAnsi="Times New Roman" w:cs="Times New Roman"/>
          <w:b/>
          <w:bCs/>
          <w:sz w:val="28"/>
          <w:szCs w:val="28"/>
          <w:lang w:eastAsia="lv-LV"/>
        </w:rPr>
        <w:lastRenderedPageBreak/>
        <w:t>2. pielikums</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UNICEF tipveida divpusējais nolīgums par sadarbību un savstarpēju juridisko palīdzību, nodrošinot bērnu aizsardzību pret pārrobežu cilvēku tirdzniecību</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Pilns tipveida nolīguma teksts ir pieejams: http://www.unhcr.org/50aa01009.pdf.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2004. gadā ir izstrādājis tipveida divpusējo nolīgumu izmantošanai Rietumāfrikā un Centrālāfrikā, un tā 27 panti skar šādus jautājumus:</w:t>
      </w:r>
    </w:p>
    <w:p w:rsidR="00B60A1B" w:rsidRPr="006B796E"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 pants. Nolīguma darbības joma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 pants. Definīcijas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3. pants. Koordinācijas iestādes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4. pants. Bērna intereses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5. pants. Diskriminācijas aizliegums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6. pants. Vecuma noteikšana un pieņēmums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7. pants. Palīdzības sniegšana cietušajiem un viņu aizsardzība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9. pants. Cietušo rehabilitācija un sociālā reintegrācija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10. pants. Cietušo aizsardzība pret ieslodzīšanu</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11. pants. Ģimenes atkalapvienošana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12. pants. Cietušo repatriācija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13. pants. Iespējas došana cietušajiem palikt uzņēmējvalstī</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14. pants. Cietušo reģistrācija un dokumentēšana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15. pants. Izsekošana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16. pants. Uzņemšanas un tranzīta centri</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17. pants. Bērnu tirdzniecības novēršana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18. pants. Atzīšana par kriminālnoziegumu un tiesībaizsardzība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19. pants. Jurisdikcija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20. pants. Izdošana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21. pants. Pasākumi uz robežas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22. pants. Informācijas apmaiņa un apmācība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23. pants. Ceļošanas vai personu apliecinošo dokumentu drošība un kontrole</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24. pants. Savstarpējās palīdzības pieprasījuma saturs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25. pants. Informācijas vai pierādījumu izmantošanas ierobežojumi</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26. pants. Dokumentu izsniegšana</w:t>
      </w:r>
    </w:p>
    <w:p w:rsidR="00D6592D"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27. pants. Liecību sniegšana pieprasījuma saņēmējā valstī</w:t>
      </w:r>
    </w:p>
    <w:p w:rsidR="00B60A1B" w:rsidRDefault="00B60A1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D6592D" w:rsidRPr="002F1BEE" w:rsidRDefault="00D6592D" w:rsidP="006B796E">
      <w:pPr>
        <w:widowControl w:val="0"/>
        <w:spacing w:after="0" w:line="240" w:lineRule="auto"/>
        <w:jc w:val="both"/>
        <w:rPr>
          <w:rFonts w:ascii="Times New Roman" w:eastAsia="Times New Roman" w:hAnsi="Times New Roman" w:cs="Times New Roman"/>
          <w:b/>
          <w:bCs/>
          <w:sz w:val="28"/>
          <w:szCs w:val="28"/>
          <w:lang w:eastAsia="lv-LV"/>
        </w:rPr>
      </w:pPr>
      <w:r w:rsidRPr="002F1BEE">
        <w:rPr>
          <w:rFonts w:ascii="Times New Roman" w:eastAsia="Times New Roman" w:hAnsi="Times New Roman" w:cs="Times New Roman"/>
          <w:b/>
          <w:bCs/>
          <w:sz w:val="28"/>
          <w:szCs w:val="28"/>
          <w:lang w:eastAsia="lv-LV"/>
        </w:rPr>
        <w:lastRenderedPageBreak/>
        <w:t>Atsauces</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Anti-Trafficking Monitoring Group (UK), Proposal for a Revised National Referral Mechanism (NRM) for Children</w:t>
      </w:r>
      <w:r w:rsidRPr="006B796E">
        <w:rPr>
          <w:rFonts w:ascii="Times New Roman" w:eastAsia="Times New Roman" w:hAnsi="Times New Roman" w:cs="Times New Roman"/>
          <w:sz w:val="24"/>
          <w:szCs w:val="24"/>
          <w:lang w:eastAsia="lv-LV"/>
        </w:rPr>
        <w:t xml:space="preserve"> (Londona, 2014). https://www.ecpat.org.uk/Handlers/Down-load.ashx?IDMF=9c439adf-97ef-45f8-ad4f-c73752f2676d</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P. Cazenave, “Regional report on the implementation of the UNICEF guidelines for the protection of the rights of child victims of trafficking in South Eastern Europe. Assessment of the situation in Albania, Kosovo and the Former Yugoslav Republic of Macedonia”</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Terre des Hommes</w:t>
      </w:r>
      <w:r w:rsidRPr="006B796E">
        <w:rPr>
          <w:rFonts w:ascii="Times New Roman" w:eastAsia="Times New Roman" w:hAnsi="Times New Roman" w:cs="Times New Roman"/>
          <w:sz w:val="24"/>
          <w:szCs w:val="24"/>
          <w:lang w:eastAsia="lv-LV"/>
        </w:rPr>
        <w:t xml:space="preserve"> (Losana, 2010).</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Cazenave, P., Protecting Migrant Children in a Freedom of Movement Area. Transnational monitoring of return procedures involving Romanian and Bulgarian migrant children in Greece and France, Terre des Hommes</w:t>
      </w:r>
      <w:r w:rsidRPr="006B796E">
        <w:rPr>
          <w:rFonts w:ascii="Times New Roman" w:eastAsia="Times New Roman" w:hAnsi="Times New Roman" w:cs="Times New Roman"/>
          <w:sz w:val="24"/>
          <w:szCs w:val="24"/>
          <w:lang w:eastAsia="lv-LV"/>
        </w:rPr>
        <w:t xml:space="preserve"> (Budapešta, 2012).</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Charpentier, C., Coopération en Europe du sud-est contre la traite des êtres humains et la criminalité connexe, Programmation2018.https://onu-vienne.delegfrance.org/La-lutte-contre-la-traite-des-etres-humains-en-Europe-du-sud-est Child Rights Information Network (CRIN), In Whose Interests? How the Law Treats Unaccompanied Children in the Countries of the Commonwealth of Independent States</w:t>
      </w:r>
      <w:r w:rsidRPr="006B796E">
        <w:rPr>
          <w:rFonts w:ascii="Times New Roman" w:eastAsia="Times New Roman" w:hAnsi="Times New Roman" w:cs="Times New Roman"/>
          <w:sz w:val="24"/>
          <w:szCs w:val="24"/>
          <w:lang w:eastAsia="lv-LV"/>
        </w:rPr>
        <w:t xml:space="preserve"> (Londona, 2014).</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County Administrative Board of Stockholm, National Referral Mechanism – Protecting and supporting victims of Trafficking in Human Beings in Sweden</w:t>
      </w:r>
      <w:r w:rsidRPr="006B796E">
        <w:rPr>
          <w:rFonts w:ascii="Times New Roman" w:eastAsia="Times New Roman" w:hAnsi="Times New Roman" w:cs="Times New Roman"/>
          <w:sz w:val="24"/>
          <w:szCs w:val="24"/>
          <w:lang w:eastAsia="lv-LV"/>
        </w:rPr>
        <w:t xml:space="preserve"> (Stokholma, 2016).</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Delap, E., and J. Wedge, Reintegration Guidelines. Inter-agency Group on Children’s Reintegration (the Group includes Family for Every Child, Better Care Network, CESVI, CPC Learning Network, ECPAT, Faith to Action Initiative, Friends International, Juconi Foundation, Maestral, Next Generation Nepal, Retrak, Save the Children, UNICEF, USAID and World Vision)</w:t>
      </w:r>
      <w:r w:rsidRPr="006B796E">
        <w:rPr>
          <w:rFonts w:ascii="Times New Roman" w:eastAsia="Times New Roman" w:hAnsi="Times New Roman" w:cs="Times New Roman"/>
          <w:sz w:val="24"/>
          <w:szCs w:val="24"/>
          <w:lang w:eastAsia="lv-LV"/>
        </w:rPr>
        <w:t xml:space="preserve"> (Londona, 2016). https://riselearningnetwork.org/wp-content/uploads/2016/09/Guidelines-on-Childrens-Reintegration-DIGITAL-.pdf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Dettmeijer-Vermeulen, C. E., (National Rapporteur on Trafficking in Human Beings, Netherlands), Human Trafficking. Seventh Report from the National Rapporteur</w:t>
      </w:r>
      <w:r w:rsidRPr="006B796E">
        <w:rPr>
          <w:rFonts w:ascii="Times New Roman" w:eastAsia="Times New Roman" w:hAnsi="Times New Roman" w:cs="Times New Roman"/>
          <w:sz w:val="24"/>
          <w:szCs w:val="24"/>
          <w:lang w:eastAsia="lv-LV"/>
        </w:rPr>
        <w:t xml:space="preserve"> (Hāga, Nacionālā ziņotāja birojs, 2009).</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European Migration Network, Asylum and Migration Glossary</w:t>
      </w:r>
      <w:r w:rsidRPr="006B796E">
        <w:rPr>
          <w:rFonts w:ascii="Times New Roman" w:eastAsia="Times New Roman" w:hAnsi="Times New Roman" w:cs="Times New Roman"/>
          <w:sz w:val="24"/>
          <w:szCs w:val="24"/>
          <w:lang w:eastAsia="lv-LV"/>
        </w:rPr>
        <w:t xml:space="preserve"> 3.0., 2014. http://migration.commission.ge/files/emn-glossary-en-version.pdf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European Union Agency for Fundamental Rights, Guardianship for children deprived of parental care. A handbook to reinforce guardianship systems to cater for the specific needs of child victims of trafficking</w:t>
      </w:r>
      <w:r w:rsidRPr="006B796E">
        <w:rPr>
          <w:rFonts w:ascii="Times New Roman" w:eastAsia="Times New Roman" w:hAnsi="Times New Roman" w:cs="Times New Roman"/>
          <w:sz w:val="24"/>
          <w:szCs w:val="24"/>
          <w:lang w:eastAsia="lv-LV"/>
        </w:rPr>
        <w:t xml:space="preserve"> (Vīne, 2014).</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Finch, N., Better support, better protection: Steps lawyers and guardians can take to better identify and protect trafficked children</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ECPAT UK</w:t>
      </w:r>
      <w:r w:rsidRPr="006B796E">
        <w:rPr>
          <w:rFonts w:ascii="Times New Roman" w:eastAsia="Times New Roman" w:hAnsi="Times New Roman" w:cs="Times New Roman"/>
          <w:sz w:val="24"/>
          <w:szCs w:val="24"/>
          <w:lang w:eastAsia="lv-LV"/>
        </w:rPr>
        <w:t xml:space="preserve"> Londona, 2016).</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Finch, N., Lighting The Way: Steps that lawyers, legal guardians and child trafficking advocates in the UK can take to better identify and protect children who may have been trafficked, ECPAT-UK</w:t>
      </w:r>
      <w:r w:rsidRPr="006B796E">
        <w:rPr>
          <w:rFonts w:ascii="Times New Roman" w:eastAsia="Times New Roman" w:hAnsi="Times New Roman" w:cs="Times New Roman"/>
          <w:sz w:val="24"/>
          <w:szCs w:val="24"/>
          <w:lang w:eastAsia="lv-LV"/>
        </w:rPr>
        <w:t xml:space="preserve"> (Londona, 2017).</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lastRenderedPageBreak/>
        <w:t>Fundamental Rights Agency (FRA), Guardianship for children deprived of parental care; A handbook to reinforce guardianship services to cater for the specific needs of child victims of trafficking</w:t>
      </w:r>
      <w:r w:rsidRPr="006B796E">
        <w:rPr>
          <w:rFonts w:ascii="Times New Roman" w:eastAsia="Times New Roman" w:hAnsi="Times New Roman" w:cs="Times New Roman"/>
          <w:sz w:val="24"/>
          <w:szCs w:val="24"/>
          <w:lang w:eastAsia="lv-LV"/>
        </w:rPr>
        <w:t xml:space="preserve"> (Vīne, 2014).</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Child Protection Working Group, Interagency Guidelines for Case Management and Child Protection. The Role of Case Management in the Protection of Children: A Guide for Policy &amp; Programme Managers and Caseworkers</w:t>
      </w:r>
      <w:r w:rsidRPr="006B796E">
        <w:rPr>
          <w:rFonts w:ascii="Times New Roman" w:eastAsia="Times New Roman" w:hAnsi="Times New Roman" w:cs="Times New Roman"/>
          <w:sz w:val="24"/>
          <w:szCs w:val="24"/>
          <w:lang w:eastAsia="lv-LV"/>
        </w:rPr>
        <w:t xml:space="preserve"> (2014). http://www.cpcnetwork.org/wp-content/uploads/2014/08/CM_guidelines_ENG_.pdf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Haldorsson, O. L., Barnahus Quality Standards. Guidance for Multidisciplinary and Interagency Response To Child Victims and Witnesses of Violence, Council of the Baltic Sea States Secretariat and Child Circle, Promise Project Series</w:t>
      </w:r>
      <w:r w:rsidRPr="006B796E">
        <w:rPr>
          <w:rFonts w:ascii="Times New Roman" w:eastAsia="Times New Roman" w:hAnsi="Times New Roman" w:cs="Times New Roman"/>
          <w:sz w:val="24"/>
          <w:szCs w:val="24"/>
          <w:lang w:eastAsia="lv-LV"/>
        </w:rPr>
        <w:t xml:space="preserve"> (Stokholma, 2017).</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Hillingdon Local Safeguarding Children Board, Joint Protocol. Children and young people who runaway or go missing from care or home</w:t>
      </w:r>
      <w:r w:rsidRPr="006B796E">
        <w:rPr>
          <w:rFonts w:ascii="Times New Roman" w:eastAsia="Times New Roman" w:hAnsi="Times New Roman" w:cs="Times New Roman"/>
          <w:sz w:val="24"/>
          <w:szCs w:val="24"/>
          <w:lang w:eastAsia="lv-LV"/>
        </w:rPr>
        <w:t xml:space="preserve"> (Londona, 2014). http://hillingdonchildcare.proceduresonline.com/pdfs/child_yp_runaway.pdf </w:t>
      </w:r>
      <w:r w:rsidRPr="006B796E">
        <w:rPr>
          <w:rFonts w:ascii="Times New Roman" w:eastAsia="Times New Roman" w:hAnsi="Times New Roman" w:cs="Times New Roman"/>
          <w:i/>
          <w:iCs/>
          <w:sz w:val="24"/>
          <w:szCs w:val="24"/>
          <w:lang w:eastAsia="lv-LV"/>
        </w:rPr>
        <w:t>Interagency Working Group on Sexual Exploitation of Children, Terminology Guidelines for the Protection of Children from Sexual Exploitation and Sexual Abuse (“Luxembourg Guidelines”)</w:t>
      </w:r>
      <w:r w:rsidRPr="006B796E">
        <w:rPr>
          <w:rFonts w:ascii="Times New Roman" w:eastAsia="Times New Roman" w:hAnsi="Times New Roman" w:cs="Times New Roman"/>
          <w:sz w:val="24"/>
          <w:szCs w:val="24"/>
          <w:lang w:eastAsia="lv-LV"/>
        </w:rPr>
        <w:t xml:space="preserve"> (2016).</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Inter-agency Working Group on Unaccompanied and Separated Children, Toolkit on Unaccompanied and Separated Children, Alliance for Child Protection in Humanitarian Action</w:t>
      </w:r>
      <w:r w:rsidRPr="006B796E">
        <w:rPr>
          <w:rFonts w:ascii="Times New Roman" w:eastAsia="Times New Roman" w:hAnsi="Times New Roman" w:cs="Times New Roman"/>
          <w:sz w:val="24"/>
          <w:szCs w:val="24"/>
          <w:lang w:eastAsia="lv-LV"/>
        </w:rPr>
        <w:t xml:space="preserve"> (2016).</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International Organization for Migration (IOM), IOM World Migration Report 2018</w:t>
      </w:r>
      <w:r w:rsidRPr="006B796E">
        <w:rPr>
          <w:rFonts w:ascii="Times New Roman" w:eastAsia="Times New Roman" w:hAnsi="Times New Roman" w:cs="Times New Roman"/>
          <w:sz w:val="24"/>
          <w:szCs w:val="24"/>
          <w:lang w:eastAsia="lv-LV"/>
        </w:rPr>
        <w:t xml:space="preserve"> (Ženēva, 2018).</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Koppenberg S., Unbegleitete Minderjährige in Österreich. Rechtsrahmen, Praxis und Statistiken, IOM</w:t>
      </w:r>
      <w:r w:rsidRPr="006B796E">
        <w:rPr>
          <w:rFonts w:ascii="Times New Roman" w:eastAsia="Times New Roman" w:hAnsi="Times New Roman" w:cs="Times New Roman"/>
          <w:sz w:val="24"/>
          <w:szCs w:val="24"/>
          <w:lang w:eastAsia="lv-LV"/>
        </w:rPr>
        <w:t xml:space="preserve"> (Vīne, 2014).</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Kravchuk, N., Re-Defining Unaccompanied and Separated Children in Russia, Pravo. Zhurnal Vysshey shkoly ekonomiki</w:t>
      </w:r>
      <w:r w:rsidRPr="006B796E">
        <w:rPr>
          <w:rFonts w:ascii="Times New Roman" w:eastAsia="Times New Roman" w:hAnsi="Times New Roman" w:cs="Times New Roman"/>
          <w:sz w:val="24"/>
          <w:szCs w:val="24"/>
          <w:lang w:eastAsia="lv-LV"/>
        </w:rPr>
        <w:t>, Nr. 2, 36.–44. lpp. (2016). https://law-journal.hse.ru/data/2016/07/13/1116452596/%D0%BA%D1%80%D0%B0%D0%B2%D1%87%D1%83%D0%BA.pdf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Los Angeles County, Law Enforcement First Responder Protocol for Commercially Sexually Exploited Children</w:t>
      </w:r>
      <w:r w:rsidRPr="006B796E">
        <w:rPr>
          <w:rFonts w:ascii="Times New Roman" w:eastAsia="Times New Roman" w:hAnsi="Times New Roman" w:cs="Times New Roman"/>
          <w:sz w:val="24"/>
          <w:szCs w:val="24"/>
          <w:lang w:eastAsia="lv-LV"/>
        </w:rPr>
        <w:t xml:space="preserve"> (Kalifornija, 2015). http://ceo.lacounty.gov/pdf/LA%20CountyFRP150611.pdf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Matthews, A., Literature review on how the Home Office ensures it acts in the best interests of the child when conducting its immigration, asylum and nationality functions, specifically how it determines, reviews and secures the child’s best interests. Prepared for the Independent Chief Inspector of Borders and Immigration.</w:t>
      </w:r>
      <w:r w:rsidRPr="006B796E">
        <w:rPr>
          <w:rFonts w:ascii="Times New Roman" w:eastAsia="Times New Roman" w:hAnsi="Times New Roman" w:cs="Times New Roman"/>
          <w:sz w:val="24"/>
          <w:szCs w:val="24"/>
          <w:lang w:eastAsia="lv-LV"/>
        </w:rPr>
        <w:t xml:space="preserve"> 2017. gada jūlijs. https://www.gov.uk/government/uploads/system/uploads/attachment_data/file/695293/Literature_review_UASC_-_FINAL Dec_2017_.pdf</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Darba, sociālās aizsardzības un ģimenes lietu ministrija (Moldovas Republika) un </w:t>
      </w:r>
      <w:r w:rsidRPr="006B796E">
        <w:rPr>
          <w:rFonts w:ascii="Times New Roman" w:eastAsia="Times New Roman" w:hAnsi="Times New Roman" w:cs="Times New Roman"/>
          <w:i/>
          <w:iCs/>
          <w:sz w:val="24"/>
          <w:szCs w:val="24"/>
          <w:lang w:eastAsia="lv-LV"/>
        </w:rPr>
        <w:t>Terre des Hommes Moldova</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Case management for children identified without legal representatives on the territory of other States. Guidance for Professionals</w:t>
      </w:r>
      <w:r w:rsidRPr="006B796E">
        <w:rPr>
          <w:rFonts w:ascii="Times New Roman" w:eastAsia="Times New Roman" w:hAnsi="Times New Roman" w:cs="Times New Roman"/>
          <w:sz w:val="24"/>
          <w:szCs w:val="24"/>
          <w:lang w:eastAsia="lv-LV"/>
        </w:rPr>
        <w:t xml:space="preserve"> (Kišiņeva, 2014).</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O’Leary, P., and J. Squire, Case Management: Systems and Accountability, Social Work in Child Protection Projects</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Terre des Hommes</w:t>
      </w:r>
      <w:r w:rsidRPr="006B796E">
        <w:rPr>
          <w:rFonts w:ascii="Times New Roman" w:eastAsia="Times New Roman" w:hAnsi="Times New Roman" w:cs="Times New Roman"/>
          <w:sz w:val="24"/>
          <w:szCs w:val="24"/>
          <w:lang w:eastAsia="lv-LV"/>
        </w:rPr>
        <w:t xml:space="preserve"> un Bātas Universitāte, 2009).</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EDSO Demokrātisko institūciju un cilvēktiesību birojs </w:t>
      </w:r>
      <w:r w:rsidRPr="006B796E">
        <w:rPr>
          <w:rFonts w:ascii="Times New Roman" w:eastAsia="Times New Roman" w:hAnsi="Times New Roman" w:cs="Times New Roman"/>
          <w:i/>
          <w:iCs/>
          <w:sz w:val="24"/>
          <w:szCs w:val="24"/>
          <w:lang w:eastAsia="lv-LV"/>
        </w:rPr>
        <w:t>(ODIHR), National Referral Mechanisms – Joining Efforts to Protect the Rights of Trafficked Persons: A Practical Handbook</w:t>
      </w:r>
      <w:r w:rsidRPr="006B796E">
        <w:rPr>
          <w:rFonts w:ascii="Times New Roman" w:eastAsia="Times New Roman" w:hAnsi="Times New Roman" w:cs="Times New Roman"/>
          <w:sz w:val="24"/>
          <w:szCs w:val="24"/>
          <w:lang w:eastAsia="lv-LV"/>
        </w:rPr>
        <w:t xml:space="preserve"> (Varšava, 2004).</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EDSO </w:t>
      </w:r>
      <w:r w:rsidRPr="006B796E">
        <w:rPr>
          <w:rFonts w:ascii="Times New Roman" w:eastAsia="Times New Roman" w:hAnsi="Times New Roman" w:cs="Times New Roman"/>
          <w:i/>
          <w:iCs/>
          <w:sz w:val="24"/>
          <w:szCs w:val="24"/>
          <w:lang w:eastAsia="lv-LV"/>
        </w:rPr>
        <w:t>ODIHR</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National Referral Mechanisms – Joining Efforts to Protect the Rights of Trafficked Persons: A Practical Handbook</w:t>
      </w:r>
      <w:r w:rsidRPr="006B796E">
        <w:rPr>
          <w:rFonts w:ascii="Times New Roman" w:eastAsia="Times New Roman" w:hAnsi="Times New Roman" w:cs="Times New Roman"/>
          <w:sz w:val="24"/>
          <w:szCs w:val="24"/>
          <w:lang w:eastAsia="lv-LV"/>
        </w:rPr>
        <w:t xml:space="preserve"> (Varšava, 2004).</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EDSO </w:t>
      </w:r>
      <w:r w:rsidRPr="006B796E">
        <w:rPr>
          <w:rFonts w:ascii="Times New Roman" w:eastAsia="Times New Roman" w:hAnsi="Times New Roman" w:cs="Times New Roman"/>
          <w:i/>
          <w:iCs/>
          <w:sz w:val="24"/>
          <w:szCs w:val="24"/>
          <w:lang w:eastAsia="lv-LV"/>
        </w:rPr>
        <w:t>ODIHR, Guiding Principles on Human Rights in the Return of Trafficked Persons</w:t>
      </w:r>
      <w:r w:rsidRPr="006B796E">
        <w:rPr>
          <w:rFonts w:ascii="Times New Roman" w:eastAsia="Times New Roman" w:hAnsi="Times New Roman" w:cs="Times New Roman"/>
          <w:sz w:val="24"/>
          <w:szCs w:val="24"/>
          <w:lang w:eastAsia="lv-LV"/>
        </w:rPr>
        <w:t xml:space="preserve"> (Varšava, 2014).</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EDSO Cilvēku tirdzniecības apkarošanas īpašā pārstāvja un koordinatora birojs, </w:t>
      </w:r>
      <w:r w:rsidRPr="006B796E">
        <w:rPr>
          <w:rFonts w:ascii="Times New Roman" w:eastAsia="Times New Roman" w:hAnsi="Times New Roman" w:cs="Times New Roman"/>
          <w:i/>
          <w:iCs/>
          <w:sz w:val="24"/>
          <w:szCs w:val="24"/>
          <w:lang w:eastAsia="lv-LV"/>
        </w:rPr>
        <w:t>Unprotected Work, Invisible Exploitation: Trafficking for the Purpose of Domestic Servitude</w:t>
      </w:r>
      <w:r w:rsidRPr="006B796E">
        <w:rPr>
          <w:rFonts w:ascii="Times New Roman" w:eastAsia="Times New Roman" w:hAnsi="Times New Roman" w:cs="Times New Roman"/>
          <w:sz w:val="24"/>
          <w:szCs w:val="24"/>
          <w:lang w:eastAsia="lv-LV"/>
        </w:rPr>
        <w:t>, Speciālo pētījumu sērija Nr. 4 (Vīne, 2010).</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EDSO Cilvēku tirdzniecības apkarošanas īpašā pārstāvja un koordinatora birojs (apspriežoties ar Alianses pret cilvēku tirdzniecību ekspertu koordinācijas grupu), Politika un likumdošanas ieteikumi, lai efektīvi īstenotu nesodīšanas noteikumu attiecībā uz cilvēku tirdzniecības upuriem [</w:t>
      </w:r>
      <w:r w:rsidRPr="006B796E">
        <w:rPr>
          <w:rFonts w:ascii="Times New Roman" w:eastAsia="Times New Roman" w:hAnsi="Times New Roman" w:cs="Times New Roman"/>
          <w:i/>
          <w:iCs/>
          <w:sz w:val="24"/>
          <w:szCs w:val="24"/>
          <w:lang w:eastAsia="lv-LV"/>
        </w:rPr>
        <w:t>Policy and legislative recommendations towards the effective implementation of the non-punishment provision with regard to victims of trafficking</w:t>
      </w:r>
      <w:r w:rsidRPr="006B796E">
        <w:rPr>
          <w:rFonts w:ascii="Times New Roman" w:eastAsia="Times New Roman" w:hAnsi="Times New Roman" w:cs="Times New Roman"/>
          <w:sz w:val="24"/>
          <w:szCs w:val="24"/>
          <w:lang w:eastAsia="lv-LV"/>
        </w:rPr>
        <w:t>] (Vīne, 2013).</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EDSO Cilvēku tirdzniecības apkarošanas īpašā pārstāvja un koordinatora birojs, 2016. gada apsekošanas ziņojums par centieniem īstenot EDSO saistības un ieteiktos pasākumus cīņai pret cilvēku tirdzniecību [</w:t>
      </w:r>
      <w:r w:rsidRPr="006B796E">
        <w:rPr>
          <w:rFonts w:ascii="Times New Roman" w:eastAsia="Times New Roman" w:hAnsi="Times New Roman" w:cs="Times New Roman"/>
          <w:i/>
          <w:iCs/>
          <w:sz w:val="24"/>
          <w:szCs w:val="24"/>
          <w:lang w:eastAsia="lv-LV"/>
        </w:rPr>
        <w:t>Survey Report 2016 of Efforts to Implement OSCE Commitments and Recommended Actions to Combat Human Trafficking</w:t>
      </w:r>
      <w:r w:rsidRPr="006B796E">
        <w:rPr>
          <w:rFonts w:ascii="Times New Roman" w:eastAsia="Times New Roman" w:hAnsi="Times New Roman" w:cs="Times New Roman"/>
          <w:sz w:val="24"/>
          <w:szCs w:val="24"/>
          <w:lang w:eastAsia="lv-LV"/>
        </w:rPr>
        <w:t>], EDSO (Vīne, 2016).</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Peyroux, O., Delinquants et Victimes. La traite des enfants d’Europe de l’Est en France, Editions Non-Lieu</w:t>
      </w:r>
      <w:r w:rsidRPr="006B796E">
        <w:rPr>
          <w:rFonts w:ascii="Times New Roman" w:eastAsia="Times New Roman" w:hAnsi="Times New Roman" w:cs="Times New Roman"/>
          <w:sz w:val="24"/>
          <w:szCs w:val="24"/>
          <w:lang w:eastAsia="lv-LV"/>
        </w:rPr>
        <w:t xml:space="preserve"> (Parīze, 2013) (tulkojums angļu valodā: </w:t>
      </w:r>
      <w:r w:rsidRPr="006B796E">
        <w:rPr>
          <w:rFonts w:ascii="Times New Roman" w:eastAsia="Times New Roman" w:hAnsi="Times New Roman" w:cs="Times New Roman"/>
          <w:i/>
          <w:iCs/>
          <w:sz w:val="24"/>
          <w:szCs w:val="24"/>
          <w:lang w:eastAsia="lv-LV"/>
        </w:rPr>
        <w:t>Fantasies and Realities Fueling Child Trafficking in Europe</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ECPAT</w:t>
      </w:r>
      <w:r w:rsidRPr="006B796E">
        <w:rPr>
          <w:rFonts w:ascii="Times New Roman" w:eastAsia="Times New Roman" w:hAnsi="Times New Roman" w:cs="Times New Roman"/>
          <w:sz w:val="24"/>
          <w:szCs w:val="24"/>
          <w:lang w:eastAsia="lv-LV"/>
        </w:rPr>
        <w:t>-Francija, 2015).</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Peyroux, O., and R. Icleanu, Research – Romania. Diagnosis of the minors originating in Brăila and Constanța who are victims of human trafficking,</w:t>
      </w:r>
      <w:r w:rsidRPr="006B796E">
        <w:rPr>
          <w:rFonts w:ascii="Times New Roman" w:eastAsia="Times New Roman" w:hAnsi="Times New Roman" w:cs="Times New Roman"/>
          <w:sz w:val="24"/>
          <w:szCs w:val="24"/>
          <w:lang w:eastAsia="lv-LV"/>
        </w:rPr>
        <w:t xml:space="preserve"> Ārlietu un staraptautiskās attīstības ministrija (Francija) un </w:t>
      </w:r>
      <w:r w:rsidRPr="006B796E">
        <w:rPr>
          <w:rFonts w:ascii="Times New Roman" w:eastAsia="Times New Roman" w:hAnsi="Times New Roman" w:cs="Times New Roman"/>
          <w:i/>
          <w:iCs/>
          <w:sz w:val="24"/>
          <w:szCs w:val="24"/>
          <w:lang w:eastAsia="lv-LV"/>
        </w:rPr>
        <w:t>Terre des Hommes</w:t>
      </w:r>
      <w:r w:rsidRPr="006B796E">
        <w:rPr>
          <w:rFonts w:ascii="Times New Roman" w:eastAsia="Times New Roman" w:hAnsi="Times New Roman" w:cs="Times New Roman"/>
          <w:sz w:val="24"/>
          <w:szCs w:val="24"/>
          <w:lang w:eastAsia="lv-LV"/>
        </w:rPr>
        <w:t xml:space="preserve"> (2015).</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Peyroux, O., Les enfants victimes de la Traite des Etres Humains originaires de Sliven, Nova Zagora et Pazardjik</w:t>
      </w:r>
      <w:r w:rsidRPr="006B796E">
        <w:rPr>
          <w:rFonts w:ascii="Times New Roman" w:eastAsia="Times New Roman" w:hAnsi="Times New Roman" w:cs="Times New Roman"/>
          <w:sz w:val="24"/>
          <w:szCs w:val="24"/>
          <w:lang w:eastAsia="lv-LV"/>
        </w:rPr>
        <w:t xml:space="preserve">, Pētījuma ziņojums par Bulgāriju, </w:t>
      </w:r>
      <w:r w:rsidRPr="006B796E">
        <w:rPr>
          <w:rFonts w:ascii="Times New Roman" w:eastAsia="Times New Roman" w:hAnsi="Times New Roman" w:cs="Times New Roman"/>
          <w:i/>
          <w:iCs/>
          <w:sz w:val="24"/>
          <w:szCs w:val="24"/>
          <w:lang w:eastAsia="lv-LV"/>
        </w:rPr>
        <w:t>Terre des Hommes Foundation</w:t>
      </w:r>
      <w:r w:rsidRPr="006B796E">
        <w:rPr>
          <w:rFonts w:ascii="Times New Roman" w:eastAsia="Times New Roman" w:hAnsi="Times New Roman" w:cs="Times New Roman"/>
          <w:sz w:val="24"/>
          <w:szCs w:val="24"/>
          <w:lang w:eastAsia="lv-LV"/>
        </w:rPr>
        <w:t xml:space="preserve"> (sadarbībā ar Bulgārijas partneriem) (2015).</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Ross, S., N. Curry un N. Goodwin, Case management. What it is and how it can best be implemented. King’s Fund</w:t>
      </w:r>
      <w:r w:rsidRPr="006B796E">
        <w:rPr>
          <w:rFonts w:ascii="Times New Roman" w:eastAsia="Times New Roman" w:hAnsi="Times New Roman" w:cs="Times New Roman"/>
          <w:sz w:val="24"/>
          <w:szCs w:val="24"/>
          <w:lang w:eastAsia="lv-LV"/>
        </w:rPr>
        <w:t xml:space="preserve"> (2011). https://www.kingsfund.org.uk/sites/default/files/Case-Management-paper-The-Kings-Fund-Paper-November-2011_0.pdf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Terre des Hommes</w:t>
      </w:r>
      <w:r w:rsidRPr="006B796E">
        <w:rPr>
          <w:rFonts w:ascii="Times New Roman" w:eastAsia="Times New Roman" w:hAnsi="Times New Roman" w:cs="Times New Roman"/>
          <w:sz w:val="24"/>
          <w:szCs w:val="24"/>
          <w:lang w:eastAsia="lv-LV"/>
        </w:rPr>
        <w:t xml:space="preserve"> (Centrāleiropas un Dienvidaustrumeiropas reģionālais birojs), </w:t>
      </w:r>
      <w:r w:rsidRPr="006B796E">
        <w:rPr>
          <w:rFonts w:ascii="Times New Roman" w:eastAsia="Times New Roman" w:hAnsi="Times New Roman" w:cs="Times New Roman"/>
          <w:i/>
          <w:iCs/>
          <w:sz w:val="24"/>
          <w:szCs w:val="24"/>
          <w:lang w:eastAsia="lv-LV"/>
        </w:rPr>
        <w:t>Review of the National Referral Mechanisms in Bulgaria, Greece, Romania and Slovenia for Child Victims of Trafficking, VICTOR (Victims of Child Trafficking: Our Responsibility) Project</w:t>
      </w:r>
      <w:r w:rsidRPr="006B796E">
        <w:rPr>
          <w:rFonts w:ascii="Times New Roman" w:eastAsia="Times New Roman" w:hAnsi="Times New Roman" w:cs="Times New Roman"/>
          <w:sz w:val="24"/>
          <w:szCs w:val="24"/>
          <w:lang w:eastAsia="lv-LV"/>
        </w:rPr>
        <w:t xml:space="preserve"> (Atēnas, 2015). http://www.victorproject.eu/media/uploads_file/2015/07/16/p19qbbt0pc1a4t1gg6tr4866182q5.pdf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Tuggey, L. un Smith, T., Achieving a durable solution for trafficked children, UNICEF UK</w:t>
      </w:r>
      <w:r w:rsidRPr="006B796E">
        <w:rPr>
          <w:rFonts w:ascii="Times New Roman" w:eastAsia="Times New Roman" w:hAnsi="Times New Roman" w:cs="Times New Roman"/>
          <w:sz w:val="24"/>
          <w:szCs w:val="24"/>
          <w:lang w:eastAsia="lv-LV"/>
        </w:rPr>
        <w:t xml:space="preserve"> (Londona, 2015).</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Tyuryukanova, E.V. un the Institute for Urban Economics, Human Trafficking in the Russian Federation. Inventory and Analysis of the Current Situation and Responses, UN/IOM Working Group on Trafficking in Human Beings</w:t>
      </w:r>
      <w:r w:rsidRPr="006B796E">
        <w:rPr>
          <w:rFonts w:ascii="Times New Roman" w:eastAsia="Times New Roman" w:hAnsi="Times New Roman" w:cs="Times New Roman"/>
          <w:sz w:val="24"/>
          <w:szCs w:val="24"/>
          <w:lang w:eastAsia="lv-LV"/>
        </w:rPr>
        <w:t xml:space="preserve"> (Maskava, 2006).</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Apvienotās Karalistes Iekšlietu ministrija, </w:t>
      </w:r>
      <w:r w:rsidRPr="006B796E">
        <w:rPr>
          <w:rFonts w:ascii="Times New Roman" w:eastAsia="Times New Roman" w:hAnsi="Times New Roman" w:cs="Times New Roman"/>
          <w:i/>
          <w:iCs/>
          <w:sz w:val="24"/>
          <w:szCs w:val="24"/>
          <w:lang w:eastAsia="lv-LV"/>
        </w:rPr>
        <w:t>Review of the National Referral Mechanism for victims of human trafficking</w:t>
      </w:r>
      <w:r w:rsidRPr="006B796E">
        <w:rPr>
          <w:rFonts w:ascii="Times New Roman" w:eastAsia="Times New Roman" w:hAnsi="Times New Roman" w:cs="Times New Roman"/>
          <w:sz w:val="24"/>
          <w:szCs w:val="24"/>
          <w:lang w:eastAsia="lv-LV"/>
        </w:rPr>
        <w:t xml:space="preserve"> (Londona, 2014).</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ANO augstais komisārs bēgļu jautājumos (</w:t>
      </w:r>
      <w:r w:rsidRPr="006B796E">
        <w:rPr>
          <w:rFonts w:ascii="Times New Roman" w:eastAsia="Times New Roman" w:hAnsi="Times New Roman" w:cs="Times New Roman"/>
          <w:i/>
          <w:iCs/>
          <w:sz w:val="24"/>
          <w:szCs w:val="24"/>
          <w:lang w:eastAsia="lv-LV"/>
        </w:rPr>
        <w:t>UNHCR</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The Principle of Non-Refoulement as a Norm of Customary International Law. Response to the Questions Posed to UNHCR by the Federal Constitutional Court of the Federal Republic of Germany in Cases 2 BvR 1938/93, 2 BvR 1953/93, 2 BvR 1954/93</w:t>
      </w:r>
      <w:r w:rsidRPr="006B796E">
        <w:rPr>
          <w:rFonts w:ascii="Times New Roman" w:eastAsia="Times New Roman" w:hAnsi="Times New Roman" w:cs="Times New Roman"/>
          <w:sz w:val="24"/>
          <w:szCs w:val="24"/>
          <w:lang w:eastAsia="lv-LV"/>
        </w:rPr>
        <w:t>, 1994. gada 31. janvāris, pieejams: http://www.refworld.org/docid/437b6db64.html [piekļūts 2018. gada 8. jūnijā]</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UNICEF, Model Bilateral Agreement on Co-operation and Mutual Legal Assistance in Protecting Children from Trans-Border Trafficking</w:t>
      </w:r>
      <w:r w:rsidRPr="006B796E">
        <w:rPr>
          <w:rFonts w:ascii="Times New Roman" w:eastAsia="Times New Roman" w:hAnsi="Times New Roman" w:cs="Times New Roman"/>
          <w:sz w:val="24"/>
          <w:szCs w:val="24"/>
          <w:lang w:eastAsia="lv-LV"/>
        </w:rPr>
        <w:t xml:space="preserve"> (Dakara, 2004). http://www.unhcr.org/50aa01009.pdf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UNICEF, Guidelines on the Protection of Child Victims of Trafficking. UNICEF Technical Notes</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Ņujorka, 2006). https://www.unicef.org/protection/Unicef_Victims_Guidelines_en.pdf</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UNICEF, Reference Guide on Protecting the Rights of Child Victims of Trafficking in Europe</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Ženēva, 2006). https://www.unicef.org/ceecis/protection_4440.html</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UNICEF, A handbook on adapting and implementing UNICEF’s Guidelines for the protection of the rights of child victims of trafficking at national level in West and Central Africa</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xml:space="preserve"> Rietumāfrikas un Centrālāfrikas reģionālais birojs, Dakara, 2010). Pieejams: https://www.unicef.org/wcaro/UNICEF_guidelines_methodology.pdf</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ANO Civilizāciju alianses (</w:t>
      </w:r>
      <w:r w:rsidRPr="006B796E">
        <w:rPr>
          <w:rFonts w:ascii="Times New Roman" w:eastAsia="Times New Roman" w:hAnsi="Times New Roman" w:cs="Times New Roman"/>
          <w:i/>
          <w:iCs/>
          <w:sz w:val="24"/>
          <w:szCs w:val="24"/>
          <w:lang w:eastAsia="lv-LV"/>
        </w:rPr>
        <w:t>UNAOC</w:t>
      </w:r>
      <w:r w:rsidRPr="006B796E">
        <w:rPr>
          <w:rFonts w:ascii="Times New Roman" w:eastAsia="Times New Roman" w:hAnsi="Times New Roman" w:cs="Times New Roman"/>
          <w:sz w:val="24"/>
          <w:szCs w:val="24"/>
          <w:lang w:eastAsia="lv-LV"/>
        </w:rPr>
        <w:t xml:space="preserve">) un </w:t>
      </w:r>
      <w:r w:rsidRPr="006B796E">
        <w:rPr>
          <w:rFonts w:ascii="Times New Roman" w:eastAsia="Times New Roman" w:hAnsi="Times New Roman" w:cs="Times New Roman"/>
          <w:i/>
          <w:iCs/>
          <w:sz w:val="24"/>
          <w:szCs w:val="24"/>
          <w:lang w:eastAsia="lv-LV"/>
        </w:rPr>
        <w:t>Panos Europe</w:t>
      </w:r>
      <w:r w:rsidRPr="006B796E">
        <w:rPr>
          <w:rFonts w:ascii="Times New Roman" w:eastAsia="Times New Roman" w:hAnsi="Times New Roman" w:cs="Times New Roman"/>
          <w:sz w:val="24"/>
          <w:szCs w:val="24"/>
          <w:lang w:eastAsia="lv-LV"/>
        </w:rPr>
        <w:t xml:space="preserve">, </w:t>
      </w:r>
      <w:r w:rsidRPr="006B796E">
        <w:rPr>
          <w:rFonts w:ascii="Times New Roman" w:eastAsia="Times New Roman" w:hAnsi="Times New Roman" w:cs="Times New Roman"/>
          <w:i/>
          <w:iCs/>
          <w:sz w:val="24"/>
          <w:szCs w:val="24"/>
          <w:lang w:eastAsia="lv-LV"/>
        </w:rPr>
        <w:t>Media- Friendly Glossary on Migration</w:t>
      </w:r>
      <w:r w:rsidRPr="006B796E">
        <w:rPr>
          <w:rFonts w:ascii="Times New Roman" w:eastAsia="Times New Roman" w:hAnsi="Times New Roman" w:cs="Times New Roman"/>
          <w:sz w:val="24"/>
          <w:szCs w:val="24"/>
          <w:lang w:eastAsia="lv-LV"/>
        </w:rPr>
        <w:t xml:space="preserve"> (2014).</w:t>
      </w:r>
    </w:p>
    <w:p w:rsidR="00B60A1B" w:rsidRDefault="00B60A1B" w:rsidP="006B796E">
      <w:pPr>
        <w:widowControl w:val="0"/>
        <w:spacing w:after="0" w:line="240" w:lineRule="auto"/>
        <w:jc w:val="both"/>
        <w:rPr>
          <w:rFonts w:ascii="Times New Roman" w:eastAsia="Times New Roman" w:hAnsi="Times New Roman" w:cs="Times New Roman"/>
          <w:i/>
          <w:i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UNHCR</w:t>
      </w:r>
      <w:r w:rsidRPr="006B796E">
        <w:rPr>
          <w:rFonts w:ascii="Times New Roman" w:eastAsia="Times New Roman" w:hAnsi="Times New Roman" w:cs="Times New Roman"/>
          <w:sz w:val="24"/>
          <w:szCs w:val="24"/>
          <w:lang w:eastAsia="lv-LV"/>
        </w:rPr>
        <w:t xml:space="preserve"> un </w:t>
      </w:r>
      <w:r w:rsidRPr="006B796E">
        <w:rPr>
          <w:rFonts w:ascii="Times New Roman" w:eastAsia="Times New Roman" w:hAnsi="Times New Roman" w:cs="Times New Roman"/>
          <w:i/>
          <w:iCs/>
          <w:sz w:val="24"/>
          <w:szCs w:val="24"/>
          <w:lang w:eastAsia="lv-LV"/>
        </w:rPr>
        <w:t>UNICEF</w:t>
      </w:r>
      <w:r w:rsidRPr="006B796E">
        <w:rPr>
          <w:rFonts w:ascii="Times New Roman" w:eastAsia="Times New Roman" w:hAnsi="Times New Roman" w:cs="Times New Roman"/>
          <w:sz w:val="24"/>
          <w:szCs w:val="24"/>
          <w:lang w:eastAsia="lv-LV"/>
        </w:rPr>
        <w:t>, Droši un veseli. Ko valstis var darīt, lai nodrošinātu, ka Eiropā tiek ievērotas bez pavadības nepilngadīgo un no vecākiem nošķirtu bērnu labākās intereses (2014)</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 xml:space="preserve">Voko, K., un I. Tahsini, </w:t>
      </w:r>
      <w:r w:rsidRPr="006B796E">
        <w:rPr>
          <w:rFonts w:ascii="Times New Roman" w:eastAsia="Times New Roman" w:hAnsi="Times New Roman" w:cs="Times New Roman"/>
          <w:i/>
          <w:iCs/>
          <w:sz w:val="24"/>
          <w:szCs w:val="24"/>
          <w:lang w:eastAsia="lv-LV"/>
        </w:rPr>
        <w:t>Children on the Move in Albania. Response of Child Protection System to Their Needs. Situational Analysis, Save the Children</w:t>
      </w:r>
      <w:r w:rsidRPr="006B796E">
        <w:rPr>
          <w:rFonts w:ascii="Times New Roman" w:eastAsia="Times New Roman" w:hAnsi="Times New Roman" w:cs="Times New Roman"/>
          <w:sz w:val="24"/>
          <w:szCs w:val="24"/>
          <w:lang w:eastAsia="lv-LV"/>
        </w:rPr>
        <w:t xml:space="preserve"> (Tirāna, 2014).</w:t>
      </w:r>
    </w:p>
    <w:p w:rsidR="00B60A1B" w:rsidRDefault="00B60A1B">
      <w:pPr>
        <w:rPr>
          <w:rFonts w:ascii="Times New Roman" w:eastAsia="Times New Roman" w:hAnsi="Times New Roman" w:cs="Times New Roman"/>
          <w:b/>
          <w:bCs/>
          <w:sz w:val="24"/>
          <w:szCs w:val="28"/>
          <w:lang w:eastAsia="lv-LV"/>
        </w:rPr>
      </w:pPr>
      <w:r>
        <w:rPr>
          <w:rFonts w:ascii="Times New Roman" w:eastAsia="Times New Roman" w:hAnsi="Times New Roman" w:cs="Times New Roman"/>
          <w:b/>
          <w:bCs/>
          <w:sz w:val="24"/>
          <w:szCs w:val="28"/>
          <w:lang w:eastAsia="lv-LV"/>
        </w:rPr>
        <w:br w:type="page"/>
      </w:r>
    </w:p>
    <w:p w:rsidR="00D6592D" w:rsidRPr="002F1BEE" w:rsidRDefault="00D6592D" w:rsidP="006B796E">
      <w:pPr>
        <w:widowControl w:val="0"/>
        <w:spacing w:after="0" w:line="240" w:lineRule="auto"/>
        <w:jc w:val="both"/>
        <w:rPr>
          <w:rFonts w:ascii="Times New Roman" w:eastAsia="Times New Roman" w:hAnsi="Times New Roman" w:cs="Times New Roman"/>
          <w:b/>
          <w:bCs/>
          <w:sz w:val="28"/>
          <w:szCs w:val="28"/>
          <w:lang w:eastAsia="lv-LV"/>
        </w:rPr>
      </w:pPr>
      <w:r w:rsidRPr="002F1BEE">
        <w:rPr>
          <w:rFonts w:ascii="Times New Roman" w:eastAsia="Times New Roman" w:hAnsi="Times New Roman" w:cs="Times New Roman"/>
          <w:b/>
          <w:bCs/>
          <w:sz w:val="28"/>
          <w:szCs w:val="28"/>
          <w:lang w:eastAsia="lv-LV"/>
        </w:rPr>
        <w:lastRenderedPageBreak/>
        <w:t>Mūsu publikācijas</w:t>
      </w:r>
    </w:p>
    <w:p w:rsidR="00B60A1B" w:rsidRDefault="00B60A1B"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Visas publikācijas ir pieejamas interneta vietnē http://www.osce.org/cthb</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Speciālo pētījumu sērijas</w:t>
      </w: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97"/>
        <w:gridCol w:w="3021"/>
        <w:gridCol w:w="3043"/>
      </w:tblGrid>
      <w:tr w:rsidR="00AA75EA" w:rsidRPr="000E2D02" w:rsidTr="00AA75EA">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70" w:dyaOrig="2745">
                <v:shape id="_x0000_i1066" type="#_x0000_t75" style="width:103.25pt;height:137.2pt" o:ole="">
                  <v:imagedata r:id="rId41" o:title=""/>
                </v:shape>
                <o:OLEObject Type="Embed" ProgID="PBrush" ShapeID="_x0000_i1066" DrawAspect="Content" ObjectID="_1624471414" r:id="rId42"/>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100" w:dyaOrig="2745">
                <v:shape id="_x0000_i1067" type="#_x0000_t75" style="width:105.3pt;height:137.2pt" o:ole="">
                  <v:imagedata r:id="rId43" o:title=""/>
                </v:shape>
                <o:OLEObject Type="Embed" ProgID="PBrush" ShapeID="_x0000_i1067" DrawAspect="Content" ObjectID="_1624471415" r:id="rId44"/>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70" w:dyaOrig="2715">
                <v:shape id="_x0000_i1068" type="#_x0000_t75" style="width:103.25pt;height:135.85pt" o:ole="">
                  <v:imagedata r:id="rId45" o:title=""/>
                </v:shape>
                <o:OLEObject Type="Embed" ProgID="PBrush" ShapeID="_x0000_i1068" DrawAspect="Content" ObjectID="_1624471416" r:id="rId46"/>
              </w:object>
            </w:r>
          </w:p>
        </w:tc>
      </w:tr>
      <w:tr w:rsidR="00AA75EA" w:rsidRPr="000E2D02" w:rsidTr="00AA75EA">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9</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Bērnu tirdzniecība un bērnu aizsardzība. Nodrošināt, ka bērnu aizsardzības mehānismi aizsargā to bērnu tiesības, kas ir cilvēku tirdzniecības upuri, un nodrošina viņu vajadzības, 2018</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8</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Pilsoniskās sabiedrības izšķirīgā loma cilvēku tirdzniecības novēršanā, 2018</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7</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Izbeidzot ekspluatāciju. Nodrošinot, ka uzņēmumi neveicina cilvēku tirdzniecību, – valstu un privātā sektora pienākumi, 2014</w:t>
            </w:r>
          </w:p>
        </w:tc>
      </w:tr>
      <w:tr w:rsidR="00AA75EA" w:rsidRPr="000E2D02" w:rsidTr="00AA75EA">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40" w:dyaOrig="2745">
                <v:shape id="_x0000_i1069" type="#_x0000_t75" style="width:101.9pt;height:137.2pt" o:ole="">
                  <v:imagedata r:id="rId47" o:title=""/>
                </v:shape>
                <o:OLEObject Type="Embed" ProgID="PBrush" ShapeID="_x0000_i1069" DrawAspect="Content" ObjectID="_1624471417" r:id="rId48"/>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70" w:dyaOrig="2760">
                <v:shape id="_x0000_i1070" type="#_x0000_t75" style="width:103.25pt;height:137.9pt" o:ole="">
                  <v:imagedata r:id="rId49" o:title=""/>
                </v:shape>
                <o:OLEObject Type="Embed" ProgID="PBrush" ShapeID="_x0000_i1070" DrawAspect="Content" ObjectID="_1624471418" r:id="rId50"/>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85" w:dyaOrig="2730">
                <v:shape id="_x0000_i1071" type="#_x0000_t75" style="width:103.9pt;height:136.55pt" o:ole="">
                  <v:imagedata r:id="rId51" o:title=""/>
                </v:shape>
                <o:OLEObject Type="Embed" ProgID="PBrush" ShapeID="_x0000_i1071" DrawAspect="Content" ObjectID="_1624471419" r:id="rId52"/>
              </w:object>
            </w:r>
          </w:p>
        </w:tc>
      </w:tr>
      <w:tr w:rsidR="00AA75EA" w:rsidRPr="000E2D02" w:rsidTr="00AA75EA">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6</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Cilvēku tirdzniecība orgānu izņemšanas nolūkā EDSO reģionā, 2013</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5</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Cilvēku tirdzniecība, kas izpaužas kā spīdzināšana un citu veidu ļaunprātīga izturēšanās, 2013</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4</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Neaizsargāts darbs, neredzamā ekspluatācija – cilvēku tirdzniecība mājkalpībai (EN/RU/FR), 2010</w:t>
            </w:r>
          </w:p>
        </w:tc>
      </w:tr>
      <w:tr w:rsidR="00AA75EA" w:rsidRPr="000E2D02" w:rsidTr="00AA75EA">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40" w:dyaOrig="2700">
                <v:shape id="_x0000_i1072" type="#_x0000_t75" style="width:101.9pt;height:135.15pt" o:ole="">
                  <v:imagedata r:id="rId53" o:title=""/>
                </v:shape>
                <o:OLEObject Type="Embed" ProgID="PBrush" ShapeID="_x0000_i1072" DrawAspect="Content" ObjectID="_1624471420" r:id="rId54"/>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40" w:dyaOrig="2730">
                <v:shape id="_x0000_i1073" type="#_x0000_t75" style="width:101.9pt;height:136.55pt" o:ole="">
                  <v:imagedata r:id="rId55" o:title=""/>
                </v:shape>
                <o:OLEObject Type="Embed" ProgID="PBrush" ShapeID="_x0000_i1073" DrawAspect="Content" ObjectID="_1624471421" r:id="rId56"/>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40" w:dyaOrig="2910">
                <v:shape id="_x0000_i1074" type="#_x0000_t75" style="width:101.9pt;height:145.35pt" o:ole="">
                  <v:imagedata r:id="rId57" o:title=""/>
                </v:shape>
                <o:OLEObject Type="Embed" ProgID="PBrush" ShapeID="_x0000_i1074" DrawAspect="Content" ObjectID="_1624471422" r:id="rId58"/>
              </w:object>
            </w:r>
          </w:p>
        </w:tc>
      </w:tr>
      <w:tr w:rsidR="00AA75EA" w:rsidRPr="000E2D02" w:rsidTr="00AA75EA">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3</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Kopsavilkums par izaicinājumiem, kas jārisina saistībā ar cilvēku tirdzniecību darba ekspluatācijai lauksaimniecības nozarē EDSO reģionā, 2009</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2</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Cilvēku tirdzniecība darba ekspluatācijai/piespiedu darbs un vergošana, 2008</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Speciālais pētījums Nr. 1</w:t>
            </w:r>
          </w:p>
          <w:p w:rsidR="00AA75EA" w:rsidRPr="00AA75EA" w:rsidRDefault="00AA75EA" w:rsidP="00AA75EA">
            <w:pPr>
              <w:pStyle w:val="Pamatteksts"/>
              <w:widowControl/>
              <w:kinsoku w:val="0"/>
              <w:overflowPunct w:val="0"/>
              <w:ind w:left="0"/>
              <w:jc w:val="both"/>
              <w:rPr>
                <w:sz w:val="24"/>
                <w:szCs w:val="24"/>
              </w:rPr>
            </w:pPr>
            <w:r w:rsidRPr="006B796E">
              <w:rPr>
                <w:sz w:val="24"/>
                <w:szCs w:val="24"/>
              </w:rPr>
              <w:t>Kopsavilkums par izaicinājumiem, ar ko saskaras, īstenojot tiesiskus atbildes pasākumus uz cilvēku tirdzniecību darba ekspluatācijai EDSO reģionā, 2007</w:t>
            </w:r>
          </w:p>
        </w:tc>
      </w:tr>
    </w:tbl>
    <w:p w:rsidR="00B60A1B" w:rsidRDefault="00B60A1B" w:rsidP="006B796E">
      <w:pPr>
        <w:widowControl w:val="0"/>
        <w:spacing w:after="0" w:line="240" w:lineRule="auto"/>
        <w:jc w:val="both"/>
        <w:rPr>
          <w:rFonts w:ascii="Times New Roman" w:eastAsia="Times New Roman" w:hAnsi="Times New Roman" w:cs="Times New Roman"/>
          <w:b/>
          <w:bCs/>
          <w:sz w:val="24"/>
          <w:szCs w:val="24"/>
          <w:lang w:eastAsia="lv-LV"/>
        </w:rPr>
      </w:pPr>
    </w:p>
    <w:p w:rsidR="00AA75EA" w:rsidRDefault="00AA75EA">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Ikgadējie ziņojumi</w:t>
      </w:r>
    </w:p>
    <w:p w:rsidR="00AA75EA" w:rsidRDefault="00AA75EA" w:rsidP="006B796E">
      <w:pPr>
        <w:widowControl w:val="0"/>
        <w:spacing w:after="0" w:line="240" w:lineRule="auto"/>
        <w:jc w:val="both"/>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34"/>
        <w:gridCol w:w="3012"/>
        <w:gridCol w:w="3015"/>
      </w:tblGrid>
      <w:tr w:rsidR="00AA75EA" w:rsidRPr="000E2D02" w:rsidTr="00AA75EA">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325" w:dyaOrig="2865">
                <v:shape id="_x0000_i1110" type="#_x0000_t75" style="width:116.15pt;height:143.3pt" o:ole="">
                  <v:imagedata r:id="rId59" o:title=""/>
                </v:shape>
                <o:OLEObject Type="Embed" ProgID="PBrush" ShapeID="_x0000_i1110" DrawAspect="Content" ObjectID="_1624471423" r:id="rId60"/>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70" w:dyaOrig="2865">
                <v:shape id="_x0000_i1111" type="#_x0000_t75" style="width:103.25pt;height:143.3pt" o:ole="">
                  <v:imagedata r:id="rId61" o:title=""/>
                </v:shape>
                <o:OLEObject Type="Embed" ProgID="PBrush" ShapeID="_x0000_i1111" DrawAspect="Content" ObjectID="_1624471424" r:id="rId62"/>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40" w:dyaOrig="2865">
                <v:shape id="_x0000_i1112" type="#_x0000_t75" style="width:101.9pt;height:143.3pt" o:ole="">
                  <v:imagedata r:id="rId63" o:title=""/>
                </v:shape>
                <o:OLEObject Type="Embed" ProgID="PBrush" ShapeID="_x0000_i1112" DrawAspect="Content" ObjectID="_1624471425" r:id="rId64"/>
              </w:object>
            </w:r>
          </w:p>
        </w:tc>
      </w:tr>
      <w:tr w:rsidR="00AA75EA" w:rsidRPr="000E2D02" w:rsidTr="00AA75EA">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2016.–2017. gada ziņojums</w:t>
            </w:r>
          </w:p>
          <w:p w:rsidR="00AA75EA" w:rsidRPr="000E2D02" w:rsidRDefault="00AA75EA" w:rsidP="00AA75EA">
            <w:pPr>
              <w:pStyle w:val="Pamatteksts"/>
              <w:widowControl/>
              <w:kinsoku w:val="0"/>
              <w:overflowPunct w:val="0"/>
              <w:ind w:left="0"/>
              <w:jc w:val="both"/>
              <w:rPr>
                <w:noProof/>
                <w:sz w:val="24"/>
                <w:szCs w:val="24"/>
                <w:lang w:val="en-US"/>
              </w:rPr>
            </w:pPr>
            <w:r w:rsidRPr="006B796E">
              <w:rPr>
                <w:sz w:val="24"/>
                <w:szCs w:val="24"/>
              </w:rPr>
              <w:t>EDSO Cilvēku tirdzniecības apkarošanas īpašais pārstāvis un koordinators</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2014.–2015. gada ziņojums</w:t>
            </w:r>
          </w:p>
          <w:p w:rsidR="00AA75EA" w:rsidRPr="000E2D02" w:rsidRDefault="00AA75EA" w:rsidP="00AA75EA">
            <w:pPr>
              <w:pStyle w:val="Pamatteksts"/>
              <w:widowControl/>
              <w:kinsoku w:val="0"/>
              <w:overflowPunct w:val="0"/>
              <w:ind w:left="0"/>
              <w:jc w:val="both"/>
              <w:rPr>
                <w:bCs/>
                <w:noProof/>
                <w:sz w:val="24"/>
                <w:szCs w:val="24"/>
                <w:lang w:val="en-US"/>
              </w:rPr>
            </w:pPr>
            <w:r w:rsidRPr="006B796E">
              <w:rPr>
                <w:sz w:val="24"/>
                <w:szCs w:val="24"/>
              </w:rPr>
              <w:t>EDSO Cilvēku tirdzniecības apkarošanas īpašais pārstāvis un koordinators</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2013. gada ziņojums</w:t>
            </w:r>
          </w:p>
          <w:p w:rsidR="00AA75EA" w:rsidRPr="000E2D02" w:rsidRDefault="00AA75EA" w:rsidP="00AA75EA">
            <w:pPr>
              <w:pStyle w:val="Pamatteksts"/>
              <w:widowControl/>
              <w:kinsoku w:val="0"/>
              <w:overflowPunct w:val="0"/>
              <w:ind w:left="0"/>
              <w:jc w:val="both"/>
              <w:rPr>
                <w:noProof/>
                <w:sz w:val="24"/>
                <w:szCs w:val="24"/>
                <w:lang w:val="en-US"/>
              </w:rPr>
            </w:pPr>
            <w:r w:rsidRPr="006B796E">
              <w:rPr>
                <w:sz w:val="24"/>
                <w:szCs w:val="24"/>
              </w:rPr>
              <w:t>Novēršot cilvēku tirdzniecību un ekspluatāciju – cilvēktiesības, sociālais taisnīgums un tiesiskums</w:t>
            </w:r>
          </w:p>
        </w:tc>
      </w:tr>
      <w:tr w:rsidR="00AA75EA" w:rsidRPr="000E2D02" w:rsidTr="00AA75EA">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70" w:dyaOrig="2880">
                <v:shape id="_x0000_i1113" type="#_x0000_t75" style="width:103.25pt;height:2in" o:ole="">
                  <v:imagedata r:id="rId65" o:title=""/>
                </v:shape>
                <o:OLEObject Type="Embed" ProgID="PBrush" ShapeID="_x0000_i1113" DrawAspect="Content" ObjectID="_1624471426" r:id="rId66"/>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70" w:dyaOrig="2880">
                <v:shape id="_x0000_i1114" type="#_x0000_t75" style="width:103.25pt;height:2in" o:ole="">
                  <v:imagedata r:id="rId67" o:title=""/>
                </v:shape>
                <o:OLEObject Type="Embed" ProgID="PBrush" ShapeID="_x0000_i1114" DrawAspect="Content" ObjectID="_1624471427" r:id="rId68"/>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85" w:dyaOrig="2880">
                <v:shape id="_x0000_i1115" type="#_x0000_t75" style="width:103.9pt;height:2in" o:ole="">
                  <v:imagedata r:id="rId69" o:title=""/>
                </v:shape>
                <o:OLEObject Type="Embed" ProgID="PBrush" ShapeID="_x0000_i1115" DrawAspect="Content" ObjectID="_1624471428" r:id="rId70"/>
              </w:object>
            </w:r>
          </w:p>
        </w:tc>
      </w:tr>
      <w:tr w:rsidR="00AA75EA" w:rsidRPr="000E2D02" w:rsidTr="00AA75EA">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b/>
                <w:bCs/>
                <w:sz w:val="24"/>
                <w:szCs w:val="24"/>
                <w:lang w:eastAsia="lv-LV"/>
              </w:rPr>
              <w:t>2012. gada ziņojums</w:t>
            </w:r>
          </w:p>
          <w:p w:rsidR="00AA75EA" w:rsidRPr="000E2D02" w:rsidRDefault="00AA75EA" w:rsidP="00AA75EA">
            <w:pPr>
              <w:pStyle w:val="Pamatteksts"/>
              <w:widowControl/>
              <w:kinsoku w:val="0"/>
              <w:overflowPunct w:val="0"/>
              <w:ind w:left="0"/>
              <w:jc w:val="both"/>
              <w:rPr>
                <w:bCs/>
                <w:noProof/>
                <w:sz w:val="24"/>
                <w:szCs w:val="24"/>
                <w:lang w:val="en-US"/>
              </w:rPr>
            </w:pPr>
            <w:r w:rsidRPr="006B796E">
              <w:rPr>
                <w:sz w:val="24"/>
                <w:szCs w:val="24"/>
              </w:rPr>
              <w:t>Apkarojot cilvēku tirdzniecību kā mūsdienu verdzības formu – diskriminācijas aizliegums un pilnvarojums</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2011. gada ziņojums</w:t>
            </w:r>
          </w:p>
          <w:p w:rsidR="00AA75EA" w:rsidRPr="000E2D02" w:rsidRDefault="00AA75EA" w:rsidP="00AA75EA">
            <w:pPr>
              <w:pStyle w:val="Pamatteksts"/>
              <w:widowControl/>
              <w:kinsoku w:val="0"/>
              <w:overflowPunct w:val="0"/>
              <w:ind w:left="0"/>
              <w:jc w:val="both"/>
              <w:rPr>
                <w:bCs/>
                <w:noProof/>
                <w:sz w:val="24"/>
                <w:szCs w:val="24"/>
                <w:lang w:val="en-US"/>
              </w:rPr>
            </w:pPr>
            <w:r w:rsidRPr="006B796E">
              <w:rPr>
                <w:sz w:val="24"/>
                <w:szCs w:val="24"/>
              </w:rPr>
              <w:t>Novēršanas pasākumu programma – cilvēku tirdzniecība darba ekspluatācijai</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2010. gada ziņojums</w:t>
            </w:r>
          </w:p>
          <w:p w:rsidR="00AA75EA" w:rsidRPr="000E2D02" w:rsidRDefault="00AA75EA" w:rsidP="00AA75EA">
            <w:pPr>
              <w:pStyle w:val="Pamatteksts"/>
              <w:widowControl/>
              <w:kinsoku w:val="0"/>
              <w:overflowPunct w:val="0"/>
              <w:ind w:left="0"/>
              <w:jc w:val="both"/>
              <w:rPr>
                <w:bCs/>
                <w:noProof/>
                <w:sz w:val="24"/>
                <w:szCs w:val="24"/>
                <w:lang w:val="en-US"/>
              </w:rPr>
            </w:pPr>
            <w:r w:rsidRPr="006B796E">
              <w:rPr>
                <w:sz w:val="24"/>
                <w:szCs w:val="24"/>
              </w:rPr>
              <w:t>Apkarojot cilvēku tirdzniecību kā mūsdienu verdzības formu – tiesību, brīvību un drošības jautājums</w:t>
            </w:r>
          </w:p>
        </w:tc>
      </w:tr>
      <w:tr w:rsidR="00AA75EA" w:rsidRPr="000E2D02" w:rsidTr="00AA75EA">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70" w:dyaOrig="2865">
                <v:shape id="_x0000_i1116" type="#_x0000_t75" style="width:103.25pt;height:143.3pt" o:ole="">
                  <v:imagedata r:id="rId71" o:title=""/>
                </v:shape>
                <o:OLEObject Type="Embed" ProgID="PBrush" ShapeID="_x0000_i1116" DrawAspect="Content" ObjectID="_1624471429" r:id="rId72"/>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040" w:dyaOrig="2895">
                <v:shape id="_x0000_i1117" type="#_x0000_t75" style="width:101.9pt;height:144.7pt" o:ole="">
                  <v:imagedata r:id="rId73" o:title=""/>
                </v:shape>
                <o:OLEObject Type="Embed" ProgID="PBrush" ShapeID="_x0000_i1117" DrawAspect="Content" ObjectID="_1624471430" r:id="rId74"/>
              </w:object>
            </w:r>
          </w:p>
        </w:tc>
        <w:tc>
          <w:tcPr>
            <w:tcW w:w="3096" w:type="dxa"/>
          </w:tcPr>
          <w:p w:rsidR="00AA75EA" w:rsidRPr="000E2D02" w:rsidRDefault="00AA75EA" w:rsidP="00757159">
            <w:pPr>
              <w:pStyle w:val="Pamatteksts"/>
              <w:widowControl/>
              <w:kinsoku w:val="0"/>
              <w:overflowPunct w:val="0"/>
              <w:ind w:left="0"/>
              <w:jc w:val="center"/>
              <w:rPr>
                <w:bCs/>
                <w:noProof/>
                <w:sz w:val="24"/>
                <w:szCs w:val="24"/>
                <w:lang w:val="en-US"/>
              </w:rPr>
            </w:pPr>
            <w:r w:rsidRPr="000E2D02">
              <w:rPr>
                <w:noProof/>
                <w:lang w:val="en-US"/>
              </w:rPr>
              <w:object w:dxaOrig="2100" w:dyaOrig="2865">
                <v:shape id="_x0000_i1118" type="#_x0000_t75" style="width:105.3pt;height:143.3pt" o:ole="">
                  <v:imagedata r:id="rId75" o:title=""/>
                </v:shape>
                <o:OLEObject Type="Embed" ProgID="PBrush" ShapeID="_x0000_i1118" DrawAspect="Content" ObjectID="_1624471431" r:id="rId76"/>
              </w:object>
            </w:r>
          </w:p>
        </w:tc>
      </w:tr>
      <w:tr w:rsidR="00AA75EA" w:rsidRPr="000E2D02" w:rsidTr="00AA75EA">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2009. gada ziņojums</w:t>
            </w:r>
          </w:p>
          <w:p w:rsidR="00AA75EA" w:rsidRPr="000E2D02" w:rsidRDefault="00AA75EA" w:rsidP="00AA75EA">
            <w:pPr>
              <w:pStyle w:val="Pamatteksts"/>
              <w:widowControl/>
              <w:kinsoku w:val="0"/>
              <w:overflowPunct w:val="0"/>
              <w:ind w:left="0"/>
              <w:jc w:val="both"/>
              <w:rPr>
                <w:bCs/>
                <w:noProof/>
                <w:sz w:val="24"/>
                <w:szCs w:val="24"/>
                <w:lang w:val="en-US"/>
              </w:rPr>
            </w:pPr>
            <w:r w:rsidRPr="006B796E">
              <w:rPr>
                <w:sz w:val="24"/>
                <w:szCs w:val="24"/>
              </w:rPr>
              <w:t>Programma pārmaiņu īstenošanai – ieviešot platformu rīcībai pret cilvēku tirdzniecību</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2008. gada ziņojums</w:t>
            </w:r>
          </w:p>
          <w:p w:rsidR="00AA75EA" w:rsidRPr="000E2D02" w:rsidRDefault="00AA75EA" w:rsidP="00AA75EA">
            <w:pPr>
              <w:pStyle w:val="Pamatteksts"/>
              <w:widowControl/>
              <w:kinsoku w:val="0"/>
              <w:overflowPunct w:val="0"/>
              <w:ind w:left="0"/>
              <w:jc w:val="both"/>
              <w:rPr>
                <w:bCs/>
                <w:noProof/>
                <w:sz w:val="24"/>
                <w:szCs w:val="24"/>
                <w:lang w:val="en-US"/>
              </w:rPr>
            </w:pPr>
            <w:r w:rsidRPr="006B796E">
              <w:rPr>
                <w:sz w:val="24"/>
                <w:szCs w:val="24"/>
              </w:rPr>
              <w:t>Centieni novērst cilvēku tirdzniecību EDSO reģionā – koordinēšanas un ziņošanas mehānismi</w:t>
            </w:r>
            <w:r w:rsidRPr="000E2D02">
              <w:rPr>
                <w:bCs/>
                <w:noProof/>
                <w:sz w:val="24"/>
                <w:szCs w:val="24"/>
                <w:lang w:val="en-US"/>
              </w:rPr>
              <w:t xml:space="preserve"> </w:t>
            </w:r>
          </w:p>
        </w:tc>
        <w:tc>
          <w:tcPr>
            <w:tcW w:w="3096" w:type="dxa"/>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2007. gada ziņojums</w:t>
            </w:r>
          </w:p>
          <w:p w:rsidR="00AA75EA" w:rsidRPr="000E2D02" w:rsidRDefault="00AA75EA" w:rsidP="00AA75EA">
            <w:pPr>
              <w:pStyle w:val="Pamatteksts"/>
              <w:widowControl/>
              <w:kinsoku w:val="0"/>
              <w:overflowPunct w:val="0"/>
              <w:ind w:left="0"/>
              <w:jc w:val="both"/>
              <w:rPr>
                <w:bCs/>
                <w:noProof/>
                <w:sz w:val="24"/>
                <w:szCs w:val="24"/>
                <w:lang w:val="en-US"/>
              </w:rPr>
            </w:pPr>
            <w:r w:rsidRPr="006B796E">
              <w:rPr>
                <w:sz w:val="24"/>
                <w:szCs w:val="24"/>
              </w:rPr>
              <w:t>Rīcības platforma</w:t>
            </w:r>
            <w:r w:rsidRPr="000E2D02">
              <w:rPr>
                <w:bCs/>
                <w:noProof/>
                <w:sz w:val="24"/>
                <w:szCs w:val="24"/>
                <w:lang w:val="en-US"/>
              </w:rPr>
              <w:t xml:space="preserve"> </w:t>
            </w:r>
          </w:p>
        </w:tc>
      </w:tr>
    </w:tbl>
    <w:p w:rsidR="00AA75EA" w:rsidRDefault="00AA75EA" w:rsidP="006B796E">
      <w:pPr>
        <w:widowControl w:val="0"/>
        <w:spacing w:after="0" w:line="240" w:lineRule="auto"/>
        <w:jc w:val="both"/>
        <w:rPr>
          <w:rFonts w:ascii="Times New Roman" w:eastAsia="Times New Roman" w:hAnsi="Times New Roman" w:cs="Times New Roman"/>
          <w:b/>
          <w:bCs/>
          <w:sz w:val="24"/>
          <w:szCs w:val="24"/>
          <w:lang w:eastAsia="lv-LV"/>
        </w:rPr>
      </w:pPr>
    </w:p>
    <w:p w:rsidR="00AA75EA" w:rsidRDefault="00AA75EA">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br w:type="page"/>
      </w:r>
    </w:p>
    <w:p w:rsidR="00D6592D" w:rsidRPr="006B796E" w:rsidRDefault="00D6592D" w:rsidP="006B796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lastRenderedPageBreak/>
        <w:t>Citas publikācijas</w:t>
      </w:r>
    </w:p>
    <w:p w:rsidR="00AA75EA" w:rsidRDefault="00AA75EA" w:rsidP="006B796E">
      <w:pPr>
        <w:widowControl w:val="0"/>
        <w:spacing w:after="0" w:line="240" w:lineRule="auto"/>
        <w:jc w:val="both"/>
        <w:rPr>
          <w:rFonts w:ascii="Times New Roman" w:eastAsia="Times New Roman" w:hAnsi="Times New Roman" w:cs="Times New Roman"/>
          <w:b/>
          <w:bCs/>
          <w:sz w:val="24"/>
          <w:szCs w:val="24"/>
          <w:lang w:eastAsia="lv-LV"/>
        </w:rPr>
      </w:pPr>
    </w:p>
    <w:p w:rsidR="00AA75EA" w:rsidRDefault="00AA75EA" w:rsidP="006B796E">
      <w:pPr>
        <w:widowControl w:val="0"/>
        <w:spacing w:after="0" w:line="240" w:lineRule="auto"/>
        <w:jc w:val="both"/>
        <w:rPr>
          <w:rFonts w:ascii="Times New Roman" w:eastAsia="Times New Roman" w:hAnsi="Times New Roman" w:cs="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49"/>
        <w:gridCol w:w="2105"/>
        <w:gridCol w:w="2702"/>
        <w:gridCol w:w="2105"/>
      </w:tblGrid>
      <w:tr w:rsidR="00AA75EA" w:rsidRPr="000E2D02" w:rsidTr="00AA75EA">
        <w:trPr>
          <w:jc w:val="center"/>
        </w:trPr>
        <w:tc>
          <w:tcPr>
            <w:tcW w:w="2316"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055" w:dyaOrig="2730">
                <v:shape id="_x0000_i1136" type="#_x0000_t75" style="width:102.55pt;height:136.55pt" o:ole="">
                  <v:imagedata r:id="rId77" o:title=""/>
                </v:shape>
                <o:OLEObject Type="Embed" ProgID="PBrush" ShapeID="_x0000_i1136" DrawAspect="Content" ObjectID="_1624471432" r:id="rId78"/>
              </w:object>
            </w:r>
          </w:p>
        </w:tc>
        <w:tc>
          <w:tcPr>
            <w:tcW w:w="2271"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055" w:dyaOrig="2880">
                <v:shape id="_x0000_i1137" type="#_x0000_t75" style="width:102.55pt;height:2in" o:ole="">
                  <v:imagedata r:id="rId79" o:title=""/>
                </v:shape>
                <o:OLEObject Type="Embed" ProgID="PBrush" ShapeID="_x0000_i1137" DrawAspect="Content" ObjectID="_1624471433" r:id="rId80"/>
              </w:object>
            </w:r>
          </w:p>
        </w:tc>
        <w:tc>
          <w:tcPr>
            <w:tcW w:w="2977"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070" w:dyaOrig="2520">
                <v:shape id="_x0000_i1138" type="#_x0000_t75" style="width:103.25pt;height:126.35pt" o:ole="">
                  <v:imagedata r:id="rId81" o:title=""/>
                </v:shape>
                <o:OLEObject Type="Embed" ProgID="PBrush" ShapeID="_x0000_i1138" DrawAspect="Content" ObjectID="_1624471434" r:id="rId82"/>
              </w:object>
            </w:r>
          </w:p>
        </w:tc>
        <w:tc>
          <w:tcPr>
            <w:tcW w:w="2271"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055" w:dyaOrig="2745">
                <v:shape id="_x0000_i1139" type="#_x0000_t75" style="width:102.55pt;height:137.2pt" o:ole="">
                  <v:imagedata r:id="rId83" o:title=""/>
                </v:shape>
                <o:OLEObject Type="Embed" ProgID="PBrush" ShapeID="_x0000_i1139" DrawAspect="Content" ObjectID="_1624471435" r:id="rId84"/>
              </w:object>
            </w:r>
          </w:p>
        </w:tc>
      </w:tr>
      <w:tr w:rsidR="00AA75EA" w:rsidRPr="000E2D02" w:rsidTr="00AA75EA">
        <w:trPr>
          <w:jc w:val="center"/>
        </w:trPr>
        <w:tc>
          <w:tcPr>
            <w:tcW w:w="2316" w:type="dxa"/>
            <w:shd w:val="clear" w:color="auto" w:fill="auto"/>
          </w:tcPr>
          <w:p w:rsidR="00AA75EA" w:rsidRPr="006B796E" w:rsidRDefault="00AA75EA" w:rsidP="00AA75EA">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2018</w:t>
            </w:r>
          </w:p>
          <w:p w:rsidR="00AA75EA" w:rsidRPr="000E2D02" w:rsidRDefault="00AA75EA" w:rsidP="00AA75EA">
            <w:pPr>
              <w:pStyle w:val="Pamatteksts"/>
              <w:widowControl/>
              <w:kinsoku w:val="0"/>
              <w:overflowPunct w:val="0"/>
              <w:ind w:left="0"/>
              <w:rPr>
                <w:b/>
                <w:bCs/>
                <w:noProof/>
                <w:sz w:val="24"/>
                <w:szCs w:val="24"/>
                <w:lang w:val="en-US"/>
              </w:rPr>
            </w:pPr>
            <w:r w:rsidRPr="006B796E">
              <w:rPr>
                <w:sz w:val="24"/>
                <w:szCs w:val="24"/>
              </w:rPr>
              <w:t>Attiecīgie atsauces materiāli un resursi par darbaspēka ētisku ieguvi un cilvēku tirdzniecības novēršanu darba ekspluatācijai piegādes ķēdēs</w:t>
            </w:r>
          </w:p>
        </w:tc>
        <w:tc>
          <w:tcPr>
            <w:tcW w:w="2271"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2018</w:t>
            </w:r>
          </w:p>
          <w:p w:rsidR="00AA75EA" w:rsidRPr="00AA75EA" w:rsidRDefault="00F253CE" w:rsidP="00F253CE">
            <w:pPr>
              <w:pStyle w:val="Pamatteksts"/>
              <w:widowControl/>
              <w:kinsoku w:val="0"/>
              <w:overflowPunct w:val="0"/>
              <w:ind w:left="0"/>
              <w:jc w:val="both"/>
              <w:rPr>
                <w:noProof/>
                <w:sz w:val="24"/>
                <w:szCs w:val="24"/>
                <w:lang w:val="en-US"/>
              </w:rPr>
            </w:pPr>
            <w:r w:rsidRPr="006B796E">
              <w:rPr>
                <w:sz w:val="24"/>
                <w:szCs w:val="24"/>
              </w:rPr>
              <w:t>Tipveida vadlīnijas attiecībā uz valdības pasākumiem, kas veicami, lai novērstu cilvēku tirdzniecību darba ekspluatācijai piegādes ķēdēs</w:t>
            </w:r>
          </w:p>
        </w:tc>
        <w:tc>
          <w:tcPr>
            <w:tcW w:w="2977"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2017</w:t>
            </w:r>
          </w:p>
          <w:p w:rsidR="00AA75EA" w:rsidRPr="00AA75EA" w:rsidRDefault="00F253CE" w:rsidP="00F253CE">
            <w:pPr>
              <w:pStyle w:val="Pamatteksts"/>
              <w:widowControl/>
              <w:kinsoku w:val="0"/>
              <w:overflowPunct w:val="0"/>
              <w:ind w:left="0"/>
              <w:jc w:val="both"/>
              <w:rPr>
                <w:noProof/>
                <w:sz w:val="24"/>
                <w:szCs w:val="24"/>
                <w:lang w:val="en-US"/>
              </w:rPr>
            </w:pPr>
            <w:r w:rsidRPr="006B796E">
              <w:rPr>
                <w:sz w:val="24"/>
                <w:szCs w:val="24"/>
              </w:rPr>
              <w:t>No uzņemšanas līdz atzīšanai – cilvēku tirdzniecības upuru identificēšana un aizsardzība migrācijas plūsmu sajaukumā</w:t>
            </w:r>
          </w:p>
        </w:tc>
        <w:tc>
          <w:tcPr>
            <w:tcW w:w="2271"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2016</w:t>
            </w:r>
          </w:p>
          <w:p w:rsidR="00AA75EA" w:rsidRPr="000E2D02" w:rsidRDefault="00F253CE" w:rsidP="00F253CE">
            <w:pPr>
              <w:pStyle w:val="Pamatteksts"/>
              <w:widowControl/>
              <w:kinsoku w:val="0"/>
              <w:overflowPunct w:val="0"/>
              <w:ind w:left="0"/>
              <w:rPr>
                <w:b/>
                <w:bCs/>
                <w:noProof/>
                <w:sz w:val="24"/>
                <w:szCs w:val="24"/>
                <w:lang w:val="en-US"/>
              </w:rPr>
            </w:pPr>
            <w:r w:rsidRPr="006B796E">
              <w:rPr>
                <w:sz w:val="24"/>
                <w:szCs w:val="24"/>
              </w:rPr>
              <w:t>Komentārs saistībā ar EDSO Rīcības plānu cilvēku tirdzniecības apkarošanai (EN/RU)</w:t>
            </w:r>
          </w:p>
        </w:tc>
      </w:tr>
      <w:tr w:rsidR="00AA75EA" w:rsidRPr="000E2D02" w:rsidTr="00AA75EA">
        <w:trPr>
          <w:jc w:val="center"/>
        </w:trPr>
        <w:tc>
          <w:tcPr>
            <w:tcW w:w="2316"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085" w:dyaOrig="2745">
                <v:shape id="_x0000_i1140" type="#_x0000_t75" style="width:103.9pt;height:137.2pt" o:ole="">
                  <v:imagedata r:id="rId85" o:title=""/>
                </v:shape>
                <o:OLEObject Type="Embed" ProgID="PBrush" ShapeID="_x0000_i1140" DrawAspect="Content" ObjectID="_1624471436" r:id="rId86"/>
              </w:object>
            </w:r>
          </w:p>
        </w:tc>
        <w:tc>
          <w:tcPr>
            <w:tcW w:w="2271"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1710" w:dyaOrig="2475">
                <v:shape id="_x0000_i1141" type="#_x0000_t75" style="width:85.6pt;height:123.6pt" o:ole="">
                  <v:imagedata r:id="rId87" o:title=""/>
                </v:shape>
                <o:OLEObject Type="Embed" ProgID="PBrush" ShapeID="_x0000_i1141" DrawAspect="Content" ObjectID="_1624471437" r:id="rId88"/>
              </w:object>
            </w:r>
          </w:p>
        </w:tc>
        <w:tc>
          <w:tcPr>
            <w:tcW w:w="2977"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085" w:dyaOrig="2700">
                <v:shape id="_x0000_i1142" type="#_x0000_t75" style="width:103.9pt;height:135.15pt" o:ole="">
                  <v:imagedata r:id="rId89" o:title=""/>
                </v:shape>
                <o:OLEObject Type="Embed" ProgID="PBrush" ShapeID="_x0000_i1142" DrawAspect="Content" ObjectID="_1624471438" r:id="rId90"/>
              </w:object>
            </w:r>
          </w:p>
        </w:tc>
        <w:tc>
          <w:tcPr>
            <w:tcW w:w="2271"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055" w:dyaOrig="2715">
                <v:shape id="_x0000_i1143" type="#_x0000_t75" style="width:102.55pt;height:135.85pt" o:ole="">
                  <v:imagedata r:id="rId91" o:title=""/>
                </v:shape>
                <o:OLEObject Type="Embed" ProgID="PBrush" ShapeID="_x0000_i1143" DrawAspect="Content" ObjectID="_1624471439" r:id="rId92"/>
              </w:object>
            </w:r>
          </w:p>
        </w:tc>
      </w:tr>
      <w:tr w:rsidR="00AA75EA" w:rsidRPr="000E2D02" w:rsidTr="00AA75EA">
        <w:trPr>
          <w:jc w:val="center"/>
        </w:trPr>
        <w:tc>
          <w:tcPr>
            <w:tcW w:w="2316"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2016</w:t>
            </w:r>
          </w:p>
          <w:p w:rsidR="00AA75EA" w:rsidRPr="000E2D02" w:rsidRDefault="00F253CE" w:rsidP="00F253CE">
            <w:pPr>
              <w:pStyle w:val="Pamatteksts"/>
              <w:widowControl/>
              <w:kinsoku w:val="0"/>
              <w:overflowPunct w:val="0"/>
              <w:ind w:left="0"/>
              <w:jc w:val="both"/>
              <w:rPr>
                <w:bCs/>
                <w:noProof/>
                <w:sz w:val="24"/>
                <w:szCs w:val="24"/>
                <w:lang w:val="en-US"/>
              </w:rPr>
            </w:pPr>
            <w:r w:rsidRPr="006B796E">
              <w:rPr>
                <w:sz w:val="24"/>
                <w:szCs w:val="24"/>
              </w:rPr>
              <w:t>2016. gada apsekošanas ziņojums</w:t>
            </w:r>
            <w:r w:rsidRPr="000E2D02">
              <w:rPr>
                <w:bCs/>
                <w:noProof/>
                <w:sz w:val="24"/>
                <w:szCs w:val="24"/>
                <w:lang w:val="en-US"/>
              </w:rPr>
              <w:t xml:space="preserve"> </w:t>
            </w:r>
          </w:p>
        </w:tc>
        <w:tc>
          <w:tcPr>
            <w:tcW w:w="2271"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2014</w:t>
            </w:r>
          </w:p>
          <w:p w:rsidR="00AA75EA" w:rsidRPr="000E2D02" w:rsidRDefault="00F253CE" w:rsidP="00F253CE">
            <w:pPr>
              <w:pStyle w:val="Pamatteksts"/>
              <w:widowControl/>
              <w:kinsoku w:val="0"/>
              <w:overflowPunct w:val="0"/>
              <w:ind w:left="0"/>
              <w:jc w:val="both"/>
              <w:rPr>
                <w:b/>
                <w:bCs/>
                <w:noProof/>
                <w:sz w:val="24"/>
                <w:szCs w:val="24"/>
                <w:lang w:val="en-US"/>
              </w:rPr>
            </w:pPr>
            <w:r w:rsidRPr="006B796E">
              <w:rPr>
                <w:sz w:val="24"/>
                <w:szCs w:val="24"/>
              </w:rPr>
              <w:t>Rokasgrāmata. Kā novērst cilvēku tirdzniecību mājkalpībai diplomātiskā korpusa mājsaimniecībās un aizsargāt privātos mājsaimniecības darbiniekus</w:t>
            </w:r>
          </w:p>
        </w:tc>
        <w:tc>
          <w:tcPr>
            <w:tcW w:w="2977"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2014</w:t>
            </w:r>
          </w:p>
          <w:p w:rsidR="00AA75EA" w:rsidRPr="000E2D02" w:rsidRDefault="00F253CE" w:rsidP="00F253CE">
            <w:pPr>
              <w:pStyle w:val="Pamatteksts"/>
              <w:widowControl/>
              <w:kinsoku w:val="0"/>
              <w:overflowPunct w:val="0"/>
              <w:ind w:left="0"/>
              <w:jc w:val="both"/>
              <w:rPr>
                <w:b/>
                <w:bCs/>
                <w:noProof/>
                <w:sz w:val="24"/>
                <w:szCs w:val="24"/>
                <w:lang w:val="en-US"/>
              </w:rPr>
            </w:pPr>
            <w:r w:rsidRPr="006B796E">
              <w:rPr>
                <w:sz w:val="24"/>
                <w:szCs w:val="24"/>
              </w:rPr>
              <w:t xml:space="preserve">Piesaistot noziedzīgi iegūtu līdzekļu legalizācijas novēršanas režīmus, lai novērstu cilvēku tirdzniecību, </w:t>
            </w:r>
            <w:r w:rsidRPr="006B796E">
              <w:rPr>
                <w:i/>
                <w:iCs/>
                <w:sz w:val="24"/>
                <w:szCs w:val="24"/>
              </w:rPr>
              <w:t>OCEEA/OSR/TNTD/SPMU</w:t>
            </w:r>
          </w:p>
        </w:tc>
        <w:tc>
          <w:tcPr>
            <w:tcW w:w="2271"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2013</w:t>
            </w:r>
          </w:p>
          <w:p w:rsidR="00AA75EA" w:rsidRPr="000E2D02" w:rsidRDefault="00F253CE" w:rsidP="00F253CE">
            <w:pPr>
              <w:pStyle w:val="Pamatteksts"/>
              <w:widowControl/>
              <w:kinsoku w:val="0"/>
              <w:overflowPunct w:val="0"/>
              <w:ind w:left="0"/>
              <w:jc w:val="both"/>
              <w:rPr>
                <w:b/>
                <w:bCs/>
                <w:noProof/>
                <w:sz w:val="24"/>
                <w:szCs w:val="24"/>
                <w:lang w:val="en-US"/>
              </w:rPr>
            </w:pPr>
            <w:r w:rsidRPr="006B796E">
              <w:rPr>
                <w:sz w:val="24"/>
                <w:szCs w:val="24"/>
              </w:rPr>
              <w:t>Veicināt sadarbību, lai novērstu cilvēku tirdzniecību Vidusjūras reģionā</w:t>
            </w:r>
          </w:p>
        </w:tc>
      </w:tr>
      <w:tr w:rsidR="00AA75EA" w:rsidRPr="000E2D02" w:rsidTr="00AA75EA">
        <w:trPr>
          <w:jc w:val="center"/>
        </w:trPr>
        <w:tc>
          <w:tcPr>
            <w:tcW w:w="2316"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100" w:dyaOrig="2700">
                <v:shape id="_x0000_i1144" type="#_x0000_t75" style="width:105.3pt;height:135.15pt" o:ole="">
                  <v:imagedata r:id="rId93" o:title=""/>
                </v:shape>
                <o:OLEObject Type="Embed" ProgID="PBrush" ShapeID="_x0000_i1144" DrawAspect="Content" ObjectID="_1624471440" r:id="rId94"/>
              </w:object>
            </w:r>
          </w:p>
        </w:tc>
        <w:tc>
          <w:tcPr>
            <w:tcW w:w="2271"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r w:rsidRPr="000E2D02">
              <w:rPr>
                <w:noProof/>
                <w:lang w:val="en-US"/>
              </w:rPr>
              <w:object w:dxaOrig="2055" w:dyaOrig="2865">
                <v:shape id="_x0000_i1145" type="#_x0000_t75" style="width:102.55pt;height:143.3pt" o:ole="">
                  <v:imagedata r:id="rId95" o:title=""/>
                </v:shape>
                <o:OLEObject Type="Embed" ProgID="PBrush" ShapeID="_x0000_i1145" DrawAspect="Content" ObjectID="_1624471441" r:id="rId96"/>
              </w:object>
            </w:r>
          </w:p>
        </w:tc>
        <w:tc>
          <w:tcPr>
            <w:tcW w:w="2977"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p>
        </w:tc>
        <w:tc>
          <w:tcPr>
            <w:tcW w:w="2271" w:type="dxa"/>
            <w:shd w:val="clear" w:color="auto" w:fill="auto"/>
          </w:tcPr>
          <w:p w:rsidR="00AA75EA" w:rsidRPr="000E2D02" w:rsidRDefault="00AA75EA" w:rsidP="00757159">
            <w:pPr>
              <w:pStyle w:val="Pamatteksts"/>
              <w:widowControl/>
              <w:kinsoku w:val="0"/>
              <w:overflowPunct w:val="0"/>
              <w:ind w:left="0"/>
              <w:jc w:val="center"/>
              <w:rPr>
                <w:b/>
                <w:bCs/>
                <w:noProof/>
                <w:sz w:val="24"/>
                <w:szCs w:val="24"/>
                <w:lang w:val="en-US"/>
              </w:rPr>
            </w:pPr>
          </w:p>
        </w:tc>
      </w:tr>
      <w:tr w:rsidR="00AA75EA" w:rsidRPr="000E2D02" w:rsidTr="00AA75EA">
        <w:trPr>
          <w:jc w:val="center"/>
        </w:trPr>
        <w:tc>
          <w:tcPr>
            <w:tcW w:w="2316"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2013</w:t>
            </w:r>
          </w:p>
          <w:p w:rsidR="00AA75EA" w:rsidRPr="000E2D02" w:rsidRDefault="00F253CE" w:rsidP="00F253CE">
            <w:pPr>
              <w:pStyle w:val="Pamatteksts"/>
              <w:widowControl/>
              <w:kinsoku w:val="0"/>
              <w:overflowPunct w:val="0"/>
              <w:ind w:left="0"/>
              <w:jc w:val="both"/>
              <w:rPr>
                <w:b/>
                <w:bCs/>
                <w:noProof/>
                <w:sz w:val="24"/>
                <w:szCs w:val="24"/>
                <w:lang w:val="en-US"/>
              </w:rPr>
            </w:pPr>
            <w:r w:rsidRPr="006B796E">
              <w:rPr>
                <w:sz w:val="24"/>
                <w:szCs w:val="24"/>
              </w:rPr>
              <w:t>Politika un likumdošanas ieteikumi, lai efektīvi īstenotu nesodīšanas noteikumu attiecībā uz cilvēku tirdzniecības upuriem</w:t>
            </w:r>
            <w:r w:rsidRPr="000E2D02">
              <w:rPr>
                <w:b/>
                <w:bCs/>
                <w:noProof/>
                <w:sz w:val="24"/>
                <w:szCs w:val="24"/>
                <w:lang w:val="en-US"/>
              </w:rPr>
              <w:t xml:space="preserve"> </w:t>
            </w:r>
          </w:p>
        </w:tc>
        <w:tc>
          <w:tcPr>
            <w:tcW w:w="2271" w:type="dxa"/>
            <w:shd w:val="clear" w:color="auto" w:fill="auto"/>
          </w:tcPr>
          <w:p w:rsidR="00F253CE" w:rsidRPr="006B796E" w:rsidRDefault="00F253CE" w:rsidP="00F253CE">
            <w:pPr>
              <w:widowControl w:val="0"/>
              <w:spacing w:after="0" w:line="240" w:lineRule="auto"/>
              <w:jc w:val="both"/>
              <w:rPr>
                <w:rFonts w:ascii="Times New Roman" w:eastAsia="Times New Roman" w:hAnsi="Times New Roman" w:cs="Times New Roman"/>
                <w:b/>
                <w:bCs/>
                <w:sz w:val="24"/>
                <w:szCs w:val="24"/>
                <w:lang w:eastAsia="lv-LV"/>
              </w:rPr>
            </w:pPr>
            <w:r w:rsidRPr="006B796E">
              <w:rPr>
                <w:rFonts w:ascii="Times New Roman" w:eastAsia="Times New Roman" w:hAnsi="Times New Roman" w:cs="Times New Roman"/>
                <w:b/>
                <w:bCs/>
                <w:sz w:val="24"/>
                <w:szCs w:val="24"/>
                <w:lang w:eastAsia="lv-LV"/>
              </w:rPr>
              <w:t>2010</w:t>
            </w:r>
          </w:p>
          <w:p w:rsidR="00AA75EA" w:rsidRPr="000E2D02" w:rsidRDefault="00F253CE" w:rsidP="00F253CE">
            <w:pPr>
              <w:pStyle w:val="Pamatteksts"/>
              <w:widowControl/>
              <w:kinsoku w:val="0"/>
              <w:overflowPunct w:val="0"/>
              <w:ind w:left="0"/>
              <w:jc w:val="both"/>
              <w:rPr>
                <w:b/>
                <w:bCs/>
                <w:noProof/>
                <w:sz w:val="24"/>
                <w:szCs w:val="24"/>
                <w:lang w:val="en-US"/>
              </w:rPr>
            </w:pPr>
            <w:r w:rsidRPr="006B796E">
              <w:rPr>
                <w:sz w:val="24"/>
                <w:szCs w:val="24"/>
              </w:rPr>
              <w:t xml:space="preserve">Cilvēku tirdzniecības biznesa modeļa analīze, lai labāk novērstu noziegumu, </w:t>
            </w:r>
            <w:r w:rsidRPr="006B796E">
              <w:rPr>
                <w:i/>
                <w:iCs/>
                <w:sz w:val="24"/>
                <w:szCs w:val="24"/>
              </w:rPr>
              <w:t>OSR/UN.GIFT</w:t>
            </w:r>
            <w:r w:rsidRPr="006B796E">
              <w:rPr>
                <w:sz w:val="24"/>
                <w:szCs w:val="24"/>
              </w:rPr>
              <w:t xml:space="preserve"> (EN/RU)</w:t>
            </w:r>
          </w:p>
        </w:tc>
        <w:tc>
          <w:tcPr>
            <w:tcW w:w="2977" w:type="dxa"/>
            <w:shd w:val="clear" w:color="auto" w:fill="auto"/>
          </w:tcPr>
          <w:p w:rsidR="00AA75EA" w:rsidRPr="000E2D02" w:rsidRDefault="00AA75EA" w:rsidP="00757159">
            <w:pPr>
              <w:pStyle w:val="Pamatteksts"/>
              <w:widowControl/>
              <w:kinsoku w:val="0"/>
              <w:overflowPunct w:val="0"/>
              <w:ind w:left="0"/>
              <w:jc w:val="both"/>
              <w:rPr>
                <w:b/>
                <w:bCs/>
                <w:noProof/>
                <w:sz w:val="24"/>
                <w:szCs w:val="24"/>
                <w:lang w:val="en-US"/>
              </w:rPr>
            </w:pPr>
          </w:p>
        </w:tc>
        <w:tc>
          <w:tcPr>
            <w:tcW w:w="2271" w:type="dxa"/>
            <w:shd w:val="clear" w:color="auto" w:fill="auto"/>
          </w:tcPr>
          <w:p w:rsidR="00AA75EA" w:rsidRPr="000E2D02" w:rsidRDefault="00AA75EA" w:rsidP="00757159">
            <w:pPr>
              <w:pStyle w:val="Pamatteksts"/>
              <w:widowControl/>
              <w:kinsoku w:val="0"/>
              <w:overflowPunct w:val="0"/>
              <w:ind w:left="0"/>
              <w:jc w:val="both"/>
              <w:rPr>
                <w:b/>
                <w:bCs/>
                <w:noProof/>
                <w:sz w:val="24"/>
                <w:szCs w:val="24"/>
                <w:lang w:val="en-US"/>
              </w:rPr>
            </w:pPr>
          </w:p>
        </w:tc>
      </w:tr>
    </w:tbl>
    <w:p w:rsidR="00AA75EA" w:rsidRDefault="00AA75EA" w:rsidP="006B796E">
      <w:pPr>
        <w:widowControl w:val="0"/>
        <w:spacing w:after="0" w:line="240" w:lineRule="auto"/>
        <w:jc w:val="both"/>
        <w:rPr>
          <w:rFonts w:ascii="Times New Roman" w:eastAsia="Times New Roman" w:hAnsi="Times New Roman" w:cs="Times New Roman"/>
          <w:b/>
          <w:bCs/>
          <w:sz w:val="24"/>
          <w:szCs w:val="24"/>
          <w:lang w:eastAsia="lv-LV"/>
        </w:rPr>
      </w:pPr>
    </w:p>
    <w:p w:rsidR="00F253CE" w:rsidRDefault="00F253CE">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rsidR="00D6592D" w:rsidRPr="002F1BEE" w:rsidRDefault="00D6592D" w:rsidP="006B796E">
      <w:pPr>
        <w:widowControl w:val="0"/>
        <w:spacing w:after="0" w:line="240" w:lineRule="auto"/>
        <w:jc w:val="both"/>
        <w:rPr>
          <w:rFonts w:ascii="Times New Roman" w:eastAsia="Times New Roman" w:hAnsi="Times New Roman" w:cs="Times New Roman"/>
          <w:b/>
          <w:bCs/>
          <w:sz w:val="28"/>
          <w:szCs w:val="28"/>
          <w:lang w:eastAsia="lv-LV"/>
        </w:rPr>
      </w:pPr>
      <w:r w:rsidRPr="002F1BEE">
        <w:rPr>
          <w:rFonts w:ascii="Times New Roman" w:eastAsia="Times New Roman" w:hAnsi="Times New Roman" w:cs="Times New Roman"/>
          <w:b/>
          <w:bCs/>
          <w:sz w:val="28"/>
          <w:szCs w:val="28"/>
          <w:lang w:eastAsia="lv-LV"/>
        </w:rPr>
        <w:lastRenderedPageBreak/>
        <w:t>Piezīmes</w:t>
      </w:r>
    </w:p>
    <w:p w:rsidR="00F253CE" w:rsidRDefault="00F253C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Drošības un sadarbības organizācija darbojas stabilitātes, labklājības un demokrātijas veicināšanai 57 valstīs, īstenojot politisko dialogu par kopīgajām vērtībām un īstenojot praktisku darbu, kas rada paliekošas izmaiņas.</w:t>
      </w: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Cilvēku tirdzniecības apkarošanas īpašā pārstāvja un koordinatora birojs</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i/>
          <w:iCs/>
          <w:sz w:val="24"/>
          <w:szCs w:val="24"/>
          <w:lang w:eastAsia="lv-LV"/>
        </w:rPr>
        <w:t>Wallnerstr.</w:t>
      </w:r>
      <w:r w:rsidRPr="006B796E">
        <w:rPr>
          <w:rFonts w:ascii="Times New Roman" w:eastAsia="Times New Roman" w:hAnsi="Times New Roman" w:cs="Times New Roman"/>
          <w:sz w:val="24"/>
          <w:szCs w:val="24"/>
          <w:lang w:eastAsia="lv-LV"/>
        </w:rPr>
        <w:t xml:space="preserve"> 6, 1010 </w:t>
      </w:r>
      <w:r w:rsidRPr="006B796E">
        <w:rPr>
          <w:rFonts w:ascii="Times New Roman" w:eastAsia="Times New Roman" w:hAnsi="Times New Roman" w:cs="Times New Roman"/>
          <w:i/>
          <w:iCs/>
          <w:sz w:val="24"/>
          <w:szCs w:val="24"/>
          <w:lang w:eastAsia="lv-LV"/>
        </w:rPr>
        <w:t>Vienna, Austria</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Tālr.: + 43 1 51436 6664</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Fakss: + 43 1 51436 6299</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e-pasts: info-cthb@osce.org</w:t>
      </w: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www.osce.org/cthb</w:t>
      </w: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2F1BEE" w:rsidRDefault="002F1BE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r w:rsidRPr="000E2D02">
        <w:rPr>
          <w:noProof/>
          <w:sz w:val="24"/>
          <w:szCs w:val="24"/>
          <w:lang w:eastAsia="lv-LV"/>
        </w:rPr>
        <w:drawing>
          <wp:inline distT="0" distB="0" distL="0" distR="0">
            <wp:extent cx="2993390" cy="44005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3390" cy="440055"/>
                    </a:xfrm>
                    <a:prstGeom prst="rect">
                      <a:avLst/>
                    </a:prstGeom>
                    <a:noFill/>
                    <a:ln>
                      <a:noFill/>
                    </a:ln>
                  </pic:spPr>
                </pic:pic>
              </a:graphicData>
            </a:graphic>
          </wp:inline>
        </w:drawing>
      </w:r>
    </w:p>
    <w:p w:rsidR="00F253CE" w:rsidRDefault="00F253CE" w:rsidP="006B796E">
      <w:pPr>
        <w:widowControl w:val="0"/>
        <w:spacing w:after="0" w:line="240" w:lineRule="auto"/>
        <w:jc w:val="both"/>
        <w:rPr>
          <w:rFonts w:ascii="Times New Roman" w:eastAsia="Times New Roman" w:hAnsi="Times New Roman" w:cs="Times New Roman"/>
          <w:sz w:val="24"/>
          <w:szCs w:val="24"/>
          <w:lang w:eastAsia="lv-LV"/>
        </w:rPr>
      </w:pPr>
    </w:p>
    <w:p w:rsidR="00D6592D" w:rsidRPr="006B796E" w:rsidRDefault="00D6592D" w:rsidP="006B796E">
      <w:pPr>
        <w:widowControl w:val="0"/>
        <w:spacing w:after="0" w:line="240" w:lineRule="auto"/>
        <w:jc w:val="both"/>
        <w:rPr>
          <w:rFonts w:ascii="Times New Roman" w:eastAsia="Times New Roman" w:hAnsi="Times New Roman" w:cs="Times New Roman"/>
          <w:sz w:val="24"/>
          <w:szCs w:val="24"/>
          <w:lang w:eastAsia="lv-LV"/>
        </w:rPr>
      </w:pPr>
      <w:r w:rsidRPr="006B796E">
        <w:rPr>
          <w:rFonts w:ascii="Times New Roman" w:eastAsia="Times New Roman" w:hAnsi="Times New Roman" w:cs="Times New Roman"/>
          <w:sz w:val="24"/>
          <w:szCs w:val="24"/>
          <w:lang w:eastAsia="lv-LV"/>
        </w:rPr>
        <w:t>Eiropas Drošības un sadarbības organizācija</w:t>
      </w:r>
    </w:p>
    <w:p w:rsidR="00C663F0" w:rsidRPr="006B796E" w:rsidRDefault="00C663F0" w:rsidP="006B796E">
      <w:pPr>
        <w:widowControl w:val="0"/>
        <w:spacing w:after="0" w:line="240" w:lineRule="auto"/>
        <w:jc w:val="both"/>
        <w:rPr>
          <w:rFonts w:ascii="Times New Roman" w:hAnsi="Times New Roman"/>
          <w:sz w:val="24"/>
        </w:rPr>
      </w:pPr>
    </w:p>
    <w:sectPr w:rsidR="00C663F0" w:rsidRPr="006B796E" w:rsidSect="006B796E">
      <w:headerReference w:type="default" r:id="rId97"/>
      <w:footerReference w:type="default" r:id="rId98"/>
      <w:headerReference w:type="first" r:id="rId99"/>
      <w:footerReference w:type="first" r:id="rId10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759" w:rsidRDefault="00281759" w:rsidP="00173D80">
      <w:pPr>
        <w:spacing w:after="0" w:line="240" w:lineRule="auto"/>
      </w:pPr>
      <w:r>
        <w:separator/>
      </w:r>
    </w:p>
  </w:endnote>
  <w:endnote w:type="continuationSeparator" w:id="0">
    <w:p w:rsidR="00281759" w:rsidRDefault="00281759" w:rsidP="0017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3CE" w:rsidRPr="00F253CE" w:rsidRDefault="00F253CE" w:rsidP="00F253CE">
    <w:pPr>
      <w:pStyle w:val="Galvene"/>
      <w:widowControl w:val="0"/>
      <w:tabs>
        <w:tab w:val="clear" w:pos="4153"/>
        <w:tab w:val="clear" w:pos="8306"/>
        <w:tab w:val="left" w:pos="9072"/>
      </w:tabs>
      <w:rPr>
        <w:rStyle w:val="Lappusesnumurs"/>
        <w:rFonts w:ascii="Times New Roman" w:hAnsi="Times New Roman" w:cs="Times New Roman"/>
        <w:sz w:val="20"/>
        <w:szCs w:val="18"/>
      </w:rPr>
    </w:pPr>
  </w:p>
  <w:p w:rsidR="00F253CE" w:rsidRPr="00F253CE" w:rsidRDefault="00F253CE" w:rsidP="00F253CE">
    <w:pPr>
      <w:pStyle w:val="Galvene"/>
      <w:widowControl w:val="0"/>
      <w:tabs>
        <w:tab w:val="clear" w:pos="4153"/>
        <w:tab w:val="clear" w:pos="8306"/>
        <w:tab w:val="right" w:leader="underscore" w:pos="9072"/>
      </w:tabs>
      <w:rPr>
        <w:rStyle w:val="Lappusesnumurs"/>
        <w:rFonts w:ascii="Times New Roman" w:hAnsi="Times New Roman" w:cs="Times New Roman"/>
        <w:sz w:val="20"/>
        <w:szCs w:val="18"/>
      </w:rPr>
    </w:pPr>
    <w:r w:rsidRPr="00F253CE">
      <w:rPr>
        <w:rStyle w:val="Lappusesnumurs"/>
        <w:rFonts w:ascii="Times New Roman" w:hAnsi="Times New Roman" w:cs="Times New Roman"/>
        <w:sz w:val="20"/>
        <w:szCs w:val="18"/>
      </w:rPr>
      <w:tab/>
    </w:r>
  </w:p>
  <w:p w:rsidR="00F253CE" w:rsidRPr="00F253CE" w:rsidRDefault="00F253CE" w:rsidP="00F253CE">
    <w:pPr>
      <w:pStyle w:val="Galvene"/>
      <w:widowControl w:val="0"/>
      <w:tabs>
        <w:tab w:val="clear" w:pos="4153"/>
        <w:tab w:val="clear" w:pos="8306"/>
        <w:tab w:val="right" w:pos="9072"/>
      </w:tabs>
      <w:rPr>
        <w:rStyle w:val="Lappusesnumurs"/>
        <w:rFonts w:ascii="Times New Roman" w:hAnsi="Times New Roman" w:cs="Times New Roman"/>
        <w:sz w:val="20"/>
        <w:szCs w:val="18"/>
      </w:rPr>
    </w:pPr>
  </w:p>
  <w:p w:rsidR="00F253CE" w:rsidRPr="00F253CE" w:rsidRDefault="00F253CE" w:rsidP="00F253CE">
    <w:pPr>
      <w:pStyle w:val="Kjene"/>
      <w:widowControl w:val="0"/>
      <w:tabs>
        <w:tab w:val="clear" w:pos="4153"/>
        <w:tab w:val="clear" w:pos="8306"/>
        <w:tab w:val="right" w:pos="9072"/>
      </w:tabs>
      <w:rPr>
        <w:rFonts w:ascii="Times New Roman" w:hAnsi="Times New Roman" w:cs="Times New Roman"/>
        <w:sz w:val="20"/>
        <w:szCs w:val="18"/>
      </w:rPr>
    </w:pPr>
    <w:r w:rsidRPr="00F253CE">
      <w:rPr>
        <w:rFonts w:ascii="Times New Roman" w:hAnsi="Times New Roman" w:cs="Times New Roman"/>
        <w:noProof/>
        <w:sz w:val="20"/>
        <w:szCs w:val="18"/>
      </w:rPr>
      <w:t xml:space="preserve">Tulkojums </w:t>
    </w:r>
    <w:r w:rsidRPr="00F253CE">
      <w:rPr>
        <w:rFonts w:ascii="Times New Roman" w:hAnsi="Times New Roman" w:cs="Times New Roman"/>
        <w:noProof/>
        <w:sz w:val="20"/>
        <w:szCs w:val="18"/>
      </w:rPr>
      <w:fldChar w:fldCharType="begin"/>
    </w:r>
    <w:r w:rsidRPr="00F253CE">
      <w:rPr>
        <w:rFonts w:ascii="Times New Roman" w:hAnsi="Times New Roman" w:cs="Times New Roman"/>
        <w:noProof/>
        <w:sz w:val="20"/>
        <w:szCs w:val="18"/>
      </w:rPr>
      <w:instrText>symbol 211 \f "Symbol" \s 9</w:instrText>
    </w:r>
    <w:r w:rsidRPr="00F253CE">
      <w:rPr>
        <w:rFonts w:ascii="Times New Roman" w:hAnsi="Times New Roman" w:cs="Times New Roman"/>
        <w:noProof/>
        <w:sz w:val="20"/>
        <w:szCs w:val="18"/>
      </w:rPr>
      <w:fldChar w:fldCharType="separate"/>
    </w:r>
    <w:r w:rsidRPr="00F253CE">
      <w:rPr>
        <w:rFonts w:ascii="Times New Roman" w:hAnsi="Times New Roman" w:cs="Times New Roman"/>
        <w:noProof/>
        <w:sz w:val="20"/>
        <w:szCs w:val="18"/>
      </w:rPr>
      <w:t>Ó</w:t>
    </w:r>
    <w:r w:rsidRPr="00F253CE">
      <w:rPr>
        <w:rFonts w:ascii="Times New Roman" w:hAnsi="Times New Roman" w:cs="Times New Roman"/>
        <w:noProof/>
        <w:sz w:val="20"/>
        <w:szCs w:val="18"/>
      </w:rPr>
      <w:fldChar w:fldCharType="end"/>
    </w:r>
    <w:r w:rsidRPr="00F253CE">
      <w:rPr>
        <w:rFonts w:ascii="Times New Roman" w:hAnsi="Times New Roman" w:cs="Times New Roman"/>
        <w:noProof/>
        <w:sz w:val="20"/>
        <w:szCs w:val="18"/>
      </w:rPr>
      <w:t xml:space="preserve"> Valsts valodas centrs, 2019</w:t>
    </w:r>
    <w:r w:rsidRPr="00F253CE">
      <w:rPr>
        <w:rFonts w:ascii="Times New Roman" w:hAnsi="Times New Roman" w:cs="Times New Roman"/>
        <w:sz w:val="20"/>
        <w:szCs w:val="18"/>
      </w:rPr>
      <w:tab/>
    </w:r>
    <w:r w:rsidRPr="00F253CE">
      <w:rPr>
        <w:rStyle w:val="Lappusesnumurs"/>
        <w:rFonts w:ascii="Times New Roman" w:hAnsi="Times New Roman" w:cs="Times New Roman"/>
        <w:sz w:val="20"/>
        <w:szCs w:val="18"/>
      </w:rPr>
      <w:fldChar w:fldCharType="begin"/>
    </w:r>
    <w:r w:rsidRPr="00F253CE">
      <w:rPr>
        <w:rStyle w:val="Lappusesnumurs"/>
        <w:rFonts w:ascii="Times New Roman" w:hAnsi="Times New Roman" w:cs="Times New Roman"/>
        <w:sz w:val="20"/>
        <w:szCs w:val="18"/>
      </w:rPr>
      <w:instrText xml:space="preserve">page </w:instrText>
    </w:r>
    <w:r w:rsidRPr="00F253CE">
      <w:rPr>
        <w:rStyle w:val="Lappusesnumurs"/>
        <w:rFonts w:ascii="Times New Roman" w:hAnsi="Times New Roman" w:cs="Times New Roman"/>
        <w:sz w:val="20"/>
        <w:szCs w:val="18"/>
      </w:rPr>
      <w:fldChar w:fldCharType="separate"/>
    </w:r>
    <w:r w:rsidR="00644116">
      <w:rPr>
        <w:rStyle w:val="Lappusesnumurs"/>
        <w:rFonts w:ascii="Times New Roman" w:hAnsi="Times New Roman" w:cs="Times New Roman"/>
        <w:noProof/>
        <w:sz w:val="20"/>
        <w:szCs w:val="18"/>
      </w:rPr>
      <w:t>21</w:t>
    </w:r>
    <w:r w:rsidRPr="00F253CE">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3CE" w:rsidRPr="00F253CE" w:rsidRDefault="00F253CE" w:rsidP="00F253CE">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F253CE" w:rsidRPr="00F253CE" w:rsidRDefault="00F253CE" w:rsidP="00F253CE">
    <w:pPr>
      <w:pStyle w:val="Galvene"/>
      <w:tabs>
        <w:tab w:val="clear" w:pos="4153"/>
        <w:tab w:val="clear" w:pos="8306"/>
        <w:tab w:val="left" w:leader="underscore" w:pos="9072"/>
      </w:tabs>
      <w:rPr>
        <w:rStyle w:val="Lappusesnumurs"/>
        <w:rFonts w:ascii="Times New Roman" w:hAnsi="Times New Roman" w:cs="Times New Roman"/>
        <w:sz w:val="20"/>
        <w:szCs w:val="18"/>
      </w:rPr>
    </w:pPr>
    <w:r w:rsidRPr="00F253CE">
      <w:rPr>
        <w:rStyle w:val="Lappusesnumurs"/>
        <w:rFonts w:ascii="Times New Roman" w:hAnsi="Times New Roman" w:cs="Times New Roman"/>
        <w:sz w:val="20"/>
        <w:szCs w:val="18"/>
      </w:rPr>
      <w:tab/>
    </w:r>
  </w:p>
  <w:p w:rsidR="00F253CE" w:rsidRPr="00F253CE" w:rsidRDefault="00F253CE" w:rsidP="00F253CE">
    <w:pPr>
      <w:pStyle w:val="Galvene"/>
      <w:tabs>
        <w:tab w:val="clear" w:pos="4153"/>
        <w:tab w:val="clear" w:pos="8306"/>
        <w:tab w:val="left" w:pos="9072"/>
      </w:tabs>
      <w:rPr>
        <w:rStyle w:val="Lappusesnumurs"/>
        <w:rFonts w:ascii="Times New Roman" w:hAnsi="Times New Roman" w:cs="Times New Roman"/>
        <w:sz w:val="20"/>
        <w:szCs w:val="18"/>
      </w:rPr>
    </w:pPr>
  </w:p>
  <w:p w:rsidR="00F253CE" w:rsidRPr="00F253CE" w:rsidRDefault="00F253CE" w:rsidP="00F253CE">
    <w:pPr>
      <w:pStyle w:val="Kjene"/>
      <w:rPr>
        <w:rFonts w:ascii="Times New Roman" w:hAnsi="Times New Roman" w:cs="Times New Roman"/>
        <w:sz w:val="20"/>
        <w:szCs w:val="18"/>
      </w:rPr>
    </w:pPr>
    <w:r w:rsidRPr="00F253CE">
      <w:rPr>
        <w:rFonts w:ascii="Times New Roman" w:hAnsi="Times New Roman" w:cs="Times New Roman"/>
        <w:noProof/>
        <w:sz w:val="20"/>
        <w:szCs w:val="18"/>
      </w:rPr>
      <w:t xml:space="preserve">Tulkojums </w:t>
    </w:r>
    <w:r w:rsidRPr="00F253CE">
      <w:rPr>
        <w:rFonts w:ascii="Times New Roman" w:hAnsi="Times New Roman" w:cs="Times New Roman"/>
        <w:noProof/>
        <w:sz w:val="20"/>
        <w:szCs w:val="18"/>
      </w:rPr>
      <w:fldChar w:fldCharType="begin"/>
    </w:r>
    <w:r w:rsidRPr="00F253CE">
      <w:rPr>
        <w:rFonts w:ascii="Times New Roman" w:hAnsi="Times New Roman" w:cs="Times New Roman"/>
        <w:noProof/>
        <w:sz w:val="20"/>
        <w:szCs w:val="18"/>
      </w:rPr>
      <w:instrText>symbol 211 \f "Symbol" \s 9</w:instrText>
    </w:r>
    <w:r w:rsidRPr="00F253CE">
      <w:rPr>
        <w:rFonts w:ascii="Times New Roman" w:hAnsi="Times New Roman" w:cs="Times New Roman"/>
        <w:noProof/>
        <w:sz w:val="20"/>
        <w:szCs w:val="18"/>
      </w:rPr>
      <w:fldChar w:fldCharType="separate"/>
    </w:r>
    <w:r w:rsidRPr="00F253CE">
      <w:rPr>
        <w:rFonts w:ascii="Times New Roman" w:hAnsi="Times New Roman" w:cs="Times New Roman"/>
        <w:noProof/>
        <w:sz w:val="20"/>
        <w:szCs w:val="18"/>
      </w:rPr>
      <w:t>Ó</w:t>
    </w:r>
    <w:r w:rsidRPr="00F253CE">
      <w:rPr>
        <w:rFonts w:ascii="Times New Roman" w:hAnsi="Times New Roman" w:cs="Times New Roman"/>
        <w:noProof/>
        <w:sz w:val="20"/>
        <w:szCs w:val="18"/>
      </w:rPr>
      <w:fldChar w:fldCharType="end"/>
    </w:r>
    <w:r w:rsidRPr="00F253CE">
      <w:rPr>
        <w:rFonts w:ascii="Times New Roman" w:hAnsi="Times New Roman" w:cs="Times New Roman"/>
        <w:noProof/>
        <w:sz w:val="20"/>
        <w:szCs w:val="18"/>
      </w:rPr>
      <w:t xml:space="preserve"> Valsts valodas centrs, 201</w:t>
    </w:r>
    <w:bookmarkEnd w:id="11"/>
    <w:bookmarkEnd w:id="12"/>
    <w:bookmarkEnd w:id="13"/>
    <w:r w:rsidRPr="00F253CE">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759" w:rsidRDefault="00281759" w:rsidP="00173D80">
      <w:pPr>
        <w:spacing w:after="0" w:line="240" w:lineRule="auto"/>
      </w:pPr>
      <w:r>
        <w:separator/>
      </w:r>
    </w:p>
  </w:footnote>
  <w:footnote w:type="continuationSeparator" w:id="0">
    <w:p w:rsidR="00281759" w:rsidRDefault="00281759" w:rsidP="00173D80">
      <w:pPr>
        <w:spacing w:after="0" w:line="240" w:lineRule="auto"/>
      </w:pPr>
      <w:r>
        <w:continuationSeparator/>
      </w:r>
    </w:p>
  </w:footnote>
  <w:footnote w:id="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Kā noteikts ANO Bērnu tiesību konvencijā (1989), jēdziens “bērns” attiecas uz ikvienu, kas ir jaunāks par 18 gadiem (tas ir, arī uz pusaudžiem līdz 18 gadu vecumam), nevis juridiskais termins “nepilngadīgais”, kas parasti tika izmantots pirms Konvencijas pieņemšanas un ko joprojām izmanto dažos reģionos kā atsauci uz visiem bērniem vai uz bērniem līdz noteiktam vecumam.</w:t>
      </w:r>
    </w:p>
  </w:footnote>
  <w:footnote w:id="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Bērniem, kas ir cilvēku tirdzniecības upuri, individuāli izstrādātos risinājumus EDSO,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un citi agrāk parasti dēvēja par “pastāvīgiem risinājumiem”. Jaunajā vispārējā komentārā, kas tika pieņemts 2017. gada novembrī, Bērnu tiesību komiteja kopā ar otru līguma izpildes uzraudzības ANO struktūru izvēlējās šos risinājumus dēvēt par “visaptverošiem, drošiem un ilgtspējīgiem risinājumiem” nepavadītiem bērniem un bērniem ar ģimenēm. Sk. Kopīgo vispārējo komentāru Nr. 3 (2017), ko sniegusi Visu migrējošo darba ņēmēju un viņu ģimenes locekļu tiesību aizsardzības komiteja, un Nr. 22 (2017), ko sniegusi Bērnu tiesību komiteja par vispārējiem principiem saistībā ar bērnu cilvēktiesībām starptautiskās migrācijas kontekstā (ANO dok. CMW/C/GC/3-CRC/C/GC/22 (2017. gada 16. novembris), 32.j punkts, pilnībā citēts 1. pielikumā.</w:t>
      </w:r>
    </w:p>
  </w:footnote>
  <w:footnote w:id="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Cilvēku tirdzniecības apkarošanas īpašā pārstāvja un koordinatora birojs, 2016. gada apsekošanas ziņojums par centieniem īstenot EDSO saistības un ieteiktos pasākumus cīņai pret cilvēku tirdzniecību [</w:t>
      </w:r>
      <w:r w:rsidRPr="00F253CE">
        <w:rPr>
          <w:rFonts w:ascii="Times New Roman" w:eastAsia="Times New Roman" w:hAnsi="Times New Roman" w:cs="Times New Roman"/>
          <w:i/>
          <w:iCs/>
          <w:sz w:val="20"/>
          <w:szCs w:val="20"/>
          <w:lang w:eastAsia="lv-LV"/>
        </w:rPr>
        <w:t>Survey Report 2016 of Efforts to Implement OSCE Commitments and Recommended Actions to Combat Trafficking in Human Beings</w:t>
      </w:r>
      <w:r w:rsidRPr="00F253CE">
        <w:rPr>
          <w:rFonts w:ascii="Times New Roman" w:eastAsia="Times New Roman" w:hAnsi="Times New Roman" w:cs="Times New Roman"/>
          <w:sz w:val="20"/>
          <w:szCs w:val="20"/>
          <w:lang w:eastAsia="lv-LV"/>
        </w:rPr>
        <w:t>], EDSO, 2016, 21. lpp. (Ieteikumi, kā reaģēt uz bērnu tirdzniecību).</w:t>
      </w:r>
    </w:p>
  </w:footnote>
  <w:footnote w:id="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Jo īpaši turpmāk minētie posmi saistībā ar bērna aizsardzību, kurš, domājams, kļuvis par cilvēku tirdzniecības upuri:</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a) identificēšana (tostarp pasākumi, lai novērstu to, ka bērns, kas ir cilvēku tirdzniecības upuris, tiek nepareizi identificēts vai netiek identificēts par cilvēku tirdzniecībā cietušo);</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b) atbrīvošana no cilvēku tirgotāju vai ekspluatētāju kontroles;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c) sākotnējā (“ārkārtas”) aizsardzība un palīdzība;</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d) vecuma novērtēšana;</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e) aizbildņa iecelšana nepavadītiem vai nošķirtiem bērniem;</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f) tiesībaizsardzības izmeklēšanas procedūras – iztaujāšana un liecības, ko cietušais bērns sniedzis policijai, prokuroram vai tiesai, un aizsardzība visā jebkāda tiesas procesa gaitā.</w:t>
      </w:r>
    </w:p>
  </w:footnote>
  <w:footnote w:id="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Laikā, kad tika publicēta </w:t>
      </w:r>
      <w:r w:rsidRPr="00F253CE">
        <w:rPr>
          <w:rFonts w:ascii="Times New Roman" w:eastAsia="Times New Roman" w:hAnsi="Times New Roman" w:cs="Times New Roman"/>
          <w:i/>
          <w:iCs/>
          <w:sz w:val="20"/>
          <w:szCs w:val="20"/>
          <w:lang w:eastAsia="lv-LV"/>
        </w:rPr>
        <w:t>ODIHR</w:t>
      </w:r>
      <w:r w:rsidRPr="00F253CE">
        <w:rPr>
          <w:rFonts w:ascii="Times New Roman" w:eastAsia="Times New Roman" w:hAnsi="Times New Roman" w:cs="Times New Roman"/>
          <w:sz w:val="20"/>
          <w:szCs w:val="20"/>
          <w:lang w:eastAsia="lv-LV"/>
        </w:rPr>
        <w:t xml:space="preserve"> Rokasgrāmata par mehānismu cietušo nosūtīšanai uz atbalsta dienestiem, tajā nebija “pievērsta īpaša uzmanība bērnu, kas ir cilvēku tirdzniecības upuri, situācijai, lai arī šī grupa bieži vien ir svarīga mērķauditorija, uz kuru vērsts šāda mehānisma darbs.”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xml:space="preserve">Sk. </w:t>
      </w:r>
      <w:r w:rsidRPr="00F253CE">
        <w:rPr>
          <w:rFonts w:ascii="Times New Roman" w:eastAsia="Times New Roman" w:hAnsi="Times New Roman" w:cs="Times New Roman"/>
          <w:i/>
          <w:iCs/>
          <w:sz w:val="20"/>
          <w:szCs w:val="20"/>
          <w:lang w:eastAsia="lv-LV"/>
        </w:rPr>
        <w:t>ODIHR</w:t>
      </w:r>
      <w:r w:rsidRPr="00F253CE">
        <w:rPr>
          <w:rFonts w:ascii="Times New Roman" w:eastAsia="Times New Roman" w:hAnsi="Times New Roman" w:cs="Times New Roman"/>
          <w:sz w:val="20"/>
          <w:szCs w:val="20"/>
          <w:lang w:eastAsia="lv-LV"/>
        </w:rPr>
        <w:t>, Praktiska rokasgrāmata. Nacionālais mehānisms cietušo nosūtīšanai – kopēji centieni aizsargāt cilvēku tirdzniecībā cietušu personu tiesības [</w:t>
      </w:r>
      <w:r w:rsidRPr="00F253CE">
        <w:rPr>
          <w:rFonts w:ascii="Times New Roman" w:eastAsia="Times New Roman" w:hAnsi="Times New Roman" w:cs="Times New Roman"/>
          <w:i/>
          <w:iCs/>
          <w:sz w:val="20"/>
          <w:szCs w:val="20"/>
          <w:lang w:eastAsia="lv-LV"/>
        </w:rPr>
        <w:t>ODIHR, National Referral Mechanisms – Joining Efforts to Protect the Rights of Trafficked Persons:</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A Practical Handbook</w:t>
      </w:r>
      <w:r w:rsidRPr="00F253CE">
        <w:rPr>
          <w:rFonts w:ascii="Times New Roman" w:eastAsia="Times New Roman" w:hAnsi="Times New Roman" w:cs="Times New Roman"/>
          <w:sz w:val="20"/>
          <w:szCs w:val="20"/>
          <w:lang w:eastAsia="lv-LV"/>
        </w:rPr>
        <w:t>] (2004).</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Pieejams: https://www.osce.org/odihr/13967 (piekļūts 2018. gada 17. jūlijā).</w:t>
      </w:r>
    </w:p>
  </w:footnote>
  <w:footnote w:id="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UNICEF, What is Child Protection?</w:t>
      </w:r>
      <w:r w:rsidRPr="00F253CE">
        <w:rPr>
          <w:rFonts w:ascii="Times New Roman" w:eastAsia="Times New Roman" w:hAnsi="Times New Roman" w:cs="Times New Roman"/>
          <w:sz w:val="20"/>
          <w:szCs w:val="20"/>
          <w:lang w:eastAsia="lv-LV"/>
        </w:rPr>
        <w:t> Informatīvā lapa par bērnu aizsardzību (2006).</w:t>
      </w:r>
    </w:p>
    <w:p w:rsidR="00281759" w:rsidRPr="00F253CE" w:rsidRDefault="00281759" w:rsidP="00F253CE">
      <w:pPr>
        <w:pStyle w:val="Vresteksts"/>
        <w:jc w:val="both"/>
        <w:rPr>
          <w:rFonts w:ascii="Times New Roman" w:hAnsi="Times New Roman" w:cs="Times New Roman"/>
        </w:rPr>
      </w:pPr>
      <w:r w:rsidRPr="00F253CE">
        <w:rPr>
          <w:rFonts w:ascii="Times New Roman" w:eastAsia="Times New Roman" w:hAnsi="Times New Roman" w:cs="Times New Roman"/>
          <w:lang w:eastAsia="lv-LV"/>
        </w:rPr>
        <w:t>https://www.unicef.org/protection/files/What_is_Child_Protection.pdf.</w:t>
      </w:r>
    </w:p>
  </w:footnote>
  <w:footnote w:id="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UNICEF’s approach to child protection</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Child protection from violence, exploitation and abuse.</w:t>
      </w:r>
      <w:r w:rsidRPr="00F253CE">
        <w:rPr>
          <w:rFonts w:ascii="Times New Roman" w:eastAsia="Times New Roman" w:hAnsi="Times New Roman" w:cs="Times New Roman"/>
          <w:sz w:val="20"/>
          <w:szCs w:val="20"/>
          <w:lang w:eastAsia="lv-LV"/>
        </w:rPr>
        <w:t> Atjaunināts 2017. gada 28. novembrī.</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https://www.unicef.org/protection/57929_57990.html.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veicina visu bērnu aizsardzības sistēmas komponentu – cilvēkresursu, finanšu, likumu, standartu, pārvaldības, monitoringa un dienestu – stiprināšanu. Atkarībā no valsts konteksta bērnu aizsardzības sistēmas var ietvert sociālās labklājības, izglītības, veselības un drošības nozaru jomas.</w:t>
      </w:r>
    </w:p>
  </w:footnote>
  <w:footnote w:id="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EDSO Demokrātisko institūciju un cilvēktiesību birojs (</w:t>
      </w:r>
      <w:r w:rsidRPr="00F253CE">
        <w:rPr>
          <w:rFonts w:ascii="Times New Roman" w:eastAsia="Times New Roman" w:hAnsi="Times New Roman" w:cs="Times New Roman"/>
          <w:i/>
          <w:iCs/>
          <w:sz w:val="20"/>
          <w:szCs w:val="20"/>
          <w:lang w:eastAsia="lv-LV"/>
        </w:rPr>
        <w:t>ODIHR</w:t>
      </w:r>
      <w:r w:rsidRPr="00F253CE">
        <w:rPr>
          <w:rFonts w:ascii="Times New Roman" w:eastAsia="Times New Roman" w:hAnsi="Times New Roman" w:cs="Times New Roman"/>
          <w:sz w:val="20"/>
          <w:szCs w:val="20"/>
          <w:lang w:eastAsia="lv-LV"/>
        </w:rPr>
        <w:t>), Praktiska rokasgrāmata. Nacionālais mehānisms cietušo nosūtīšanai – kopēji centieni aizsargāt cilvēku tirdzniecībā cietušu personu tiesības [</w:t>
      </w:r>
      <w:r w:rsidRPr="00F253CE">
        <w:rPr>
          <w:rFonts w:ascii="Times New Roman" w:eastAsia="Times New Roman" w:hAnsi="Times New Roman" w:cs="Times New Roman"/>
          <w:i/>
          <w:iCs/>
          <w:sz w:val="20"/>
          <w:szCs w:val="20"/>
          <w:lang w:eastAsia="lv-LV"/>
        </w:rPr>
        <w:t>National Referral Mechanisms – Joining Efforts to Protect the Rights of Trafficked Persons</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A Practical Handbook</w:t>
      </w:r>
      <w:r w:rsidRPr="00F253CE">
        <w:rPr>
          <w:rFonts w:ascii="Times New Roman" w:eastAsia="Times New Roman" w:hAnsi="Times New Roman" w:cs="Times New Roman"/>
          <w:sz w:val="20"/>
          <w:szCs w:val="20"/>
          <w:lang w:eastAsia="lv-LV"/>
        </w:rPr>
        <w:t xml:space="preserve">], EDSO </w:t>
      </w:r>
      <w:r w:rsidRPr="00F253CE">
        <w:rPr>
          <w:rFonts w:ascii="Times New Roman" w:eastAsia="Times New Roman" w:hAnsi="Times New Roman" w:cs="Times New Roman"/>
          <w:i/>
          <w:iCs/>
          <w:sz w:val="20"/>
          <w:szCs w:val="20"/>
          <w:lang w:eastAsia="lv-LV"/>
        </w:rPr>
        <w:t>ODIHR</w:t>
      </w:r>
      <w:r w:rsidRPr="00F253CE">
        <w:rPr>
          <w:rFonts w:ascii="Times New Roman" w:eastAsia="Times New Roman" w:hAnsi="Times New Roman" w:cs="Times New Roman"/>
          <w:sz w:val="20"/>
          <w:szCs w:val="20"/>
          <w:lang w:eastAsia="lv-LV"/>
        </w:rPr>
        <w:t xml:space="preserve"> (Varšava, 2004), 17. lpp.</w:t>
      </w:r>
    </w:p>
  </w:footnote>
  <w:footnote w:id="9">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footnoteRef/>
      </w:r>
      <w:r w:rsidRPr="00F253CE">
        <w:rPr>
          <w:rFonts w:ascii="Times New Roman" w:hAnsi="Times New Roman" w:cs="Times New Roman"/>
        </w:rPr>
        <w:t xml:space="preserve"> </w:t>
      </w:r>
      <w:r w:rsidRPr="00F253CE">
        <w:rPr>
          <w:rFonts w:ascii="Times New Roman" w:eastAsia="Times New Roman" w:hAnsi="Times New Roman" w:cs="Times New Roman"/>
          <w:lang w:eastAsia="lv-LV"/>
        </w:rPr>
        <w:t>Sk. terminu lietojumu ANO Protokola par cilvēku tirdzniecību 3. pantā.</w:t>
      </w:r>
    </w:p>
  </w:footnote>
  <w:footnote w:id="10">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footnoteRef/>
      </w:r>
      <w:r w:rsidRPr="00F253CE">
        <w:rPr>
          <w:rFonts w:ascii="Times New Roman" w:hAnsi="Times New Roman" w:cs="Times New Roman"/>
        </w:rPr>
        <w:t xml:space="preserve"> </w:t>
      </w:r>
      <w:r w:rsidRPr="00F253CE">
        <w:rPr>
          <w:rFonts w:ascii="Times New Roman" w:eastAsia="Times New Roman" w:hAnsi="Times New Roman" w:cs="Times New Roman"/>
          <w:lang w:eastAsia="lv-LV"/>
        </w:rPr>
        <w:t>Citu personu prostitūcija bija iepriekšējās 1949. gada ANO konvencijas priekšmets. Piespiedu darbs ir divu Starptautiskās Darba organizācijas (SDO) konvenciju priekšmets. Verdzība vai verdzībai līdzīgas darbības ir divu ANO konvenciju priekšmets. Orgānu izņemšana komerciāliem mērķiem ir Pasaules Veselības asamblejas (PVO) piezīmes priekšmets.</w:t>
      </w:r>
    </w:p>
  </w:footnote>
  <w:footnote w:id="1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Rokasgrāmata par bērnu – cilvēku tirdzniecības upuru – tiesību aizsardzību Eiropā [</w:t>
      </w:r>
      <w:r w:rsidRPr="00F253CE">
        <w:rPr>
          <w:rFonts w:ascii="Times New Roman" w:eastAsia="Times New Roman" w:hAnsi="Times New Roman" w:cs="Times New Roman"/>
          <w:i/>
          <w:iCs/>
          <w:sz w:val="20"/>
          <w:szCs w:val="20"/>
          <w:lang w:eastAsia="lv-LV"/>
        </w:rPr>
        <w:t>UNICEF, Reference Guide on Protecting the Rights of Child Victims of Trafficking in Europe</w:t>
      </w:r>
      <w:r w:rsidRPr="00F253CE">
        <w:rPr>
          <w:rFonts w:ascii="Times New Roman" w:eastAsia="Times New Roman" w:hAnsi="Times New Roman" w:cs="Times New Roman"/>
          <w:sz w:val="20"/>
          <w:szCs w:val="20"/>
          <w:lang w:eastAsia="lv-LV"/>
        </w:rPr>
        <w:t xml:space="preserve">] (Ženēva, </w:t>
      </w:r>
      <w:r w:rsidRPr="00F253CE">
        <w:rPr>
          <w:rFonts w:ascii="Times New Roman" w:eastAsia="Times New Roman" w:hAnsi="Times New Roman" w:cs="Times New Roman"/>
          <w:i/>
          <w:iCs/>
          <w:sz w:val="20"/>
          <w:szCs w:val="20"/>
          <w:lang w:eastAsia="lv-LV"/>
        </w:rPr>
        <w:t>UNICEF CEE/CIS</w:t>
      </w:r>
      <w:r w:rsidRPr="00F253CE">
        <w:rPr>
          <w:rFonts w:ascii="Times New Roman" w:eastAsia="Times New Roman" w:hAnsi="Times New Roman" w:cs="Times New Roman"/>
          <w:sz w:val="20"/>
          <w:szCs w:val="20"/>
          <w:lang w:eastAsia="lv-LV"/>
        </w:rPr>
        <w:t xml:space="preserve"> birojs, 2006), 14. lpp., http://www.unicef.org/ceecis/protection_4440.html.</w:t>
      </w:r>
    </w:p>
  </w:footnote>
  <w:footnote w:id="1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Bērnu tiesību komitejas Vispārējais komentārs Nr. 6 (2005) “Rīcība attiecībā uz nepavadītiem un nošķirtiem bērniem ārpus viņu izcelsmes valsts”, ANO dok. CRC/GC/2005/6 (2005. gada 1. septembris).</w:t>
      </w:r>
    </w:p>
  </w:footnote>
  <w:footnote w:id="1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Kopīgais vispārējais komentārs Nr. 3 (2017), ko sniegusi Visu migrējošo darba ņēmēju un viņu ģimenes locekļu tiesību aizsardzības komiteja, un Nr. 22 (2017), ko sniegusi Bērnu tiesību komiteja par vispārējiem principiem saistībā ar bērnu cilvēktiesībām starptautiskās migrācijas kontekstā, ANO dok. CMW/C/GC/3-CRC/C/GC/22 (2017. gada 16. novembris),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kā arī abu šo komiteju Kopīgais vispārējais komentārs Nr. 4 (2017), ko sniegusi Visu migrējošo darba ņēmēju un viņu ģimenes locekļu tiesību aizsardzības komiteja, un Nr. 23 (2017), ko sniegusi Bērnu tiesību komiteja par valsts pienākumiem attiecībā uz bērnu cilvēktiesībām saistībā ar starptautisko migrāciju izcelsmes, tranzīta, galamērķa un atpakaļnosūtīšanas valstīs, ANO dok. CMW/C/GC/4-CRC/C/GC/23 (2017. gada 16. novembris).</w:t>
      </w:r>
    </w:p>
  </w:footnote>
  <w:footnote w:id="1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Bērnu tiesību komitejas Vispārējais komentārs Nr. 14 (2013) par bērnu tiesībām uz to, lai primārais apsvērums būtu viņu intereses (3. panta 1. punkts), ANO dok. CRC/C/GC14 (2013. gada 29. maijs).</w:t>
      </w:r>
    </w:p>
  </w:footnote>
  <w:footnote w:id="1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Bērnu tiesību komitejas Vispārējais komentārs Nr. 12 (2009) “Bērna tiesības tikt uzklausītam”, ANO dok. CRC/C/GC/12 (2009. gada 1. jūlijs).</w:t>
      </w:r>
    </w:p>
  </w:footnote>
  <w:footnote w:id="1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Visu migrējošo darba ņēmēju un viņu ģimenes locekļu tiesību aizsardzības komiteja un Bērnu tiesību komiteja (2017), Kopīgais vispārējais komentārs Nr. 4 (2017), ko sniegusi Visu migrējošo darba ņēmēju un viņu ģimenes locekļu tiesību aizsardzības komiteja, un Nr. 23 (2017), ko sniegusi Bērnu tiesību komiteja par valsts pienākumiem attiecībā uz bērnu cilvēktiesībām saistībā ar starptautisko migrāciju izcelsmes, tranzīta, galamērķa un atpakaļnosūtīšanas valstīs, 43. punkts, ANO dok. CMW/C/GC/4-CRC/C/GC/23 (2017. gada 16. novembris). Kopīgā vispārējā komentāra šajā pašā punktā ir uzsvērts, ka tad, “ja ir pieejami dažādi migrācijas statusi, jāpiešķir tāds statuss, kas sniedz lielāko aizsardzību (t. i., patvērums vai pastāvīga uzturēšanās humānu apsvērumu dēļ), un šāda statusa piešķiršana jānosaka katrā atsevišķā gadījumā saskaņā ar bērna interesēm”, un ir jānodrošina, ka “pastāvīgas uzturēšanās statusa piešķiršana vai palīdzība bērniem migrantiem, kas ir pārdošanas, cilvēku tirdzniecības vai citu seksuālās ekspluatācijas veidu upuri, nedrīkst būt atkarīga no kriminālprocesa ierosināšanas vai šo bērnu sadarbības ar tiesībaizsardzības iestādēm”.</w:t>
      </w:r>
    </w:p>
  </w:footnote>
  <w:footnote w:id="17">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footnoteRef/>
      </w:r>
      <w:r w:rsidRPr="00F253CE">
        <w:rPr>
          <w:rFonts w:ascii="Times New Roman" w:hAnsi="Times New Roman" w:cs="Times New Roman"/>
        </w:rPr>
        <w:t xml:space="preserve"> </w:t>
      </w:r>
      <w:r w:rsidRPr="00F253CE">
        <w:rPr>
          <w:rFonts w:ascii="Times New Roman" w:eastAsia="Times New Roman" w:hAnsi="Times New Roman" w:cs="Times New Roman"/>
          <w:lang w:eastAsia="lv-LV"/>
        </w:rPr>
        <w:t>Turpat, 44. punkts.</w:t>
      </w:r>
    </w:p>
  </w:footnote>
  <w:footnote w:id="1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footnoteRef/>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Tie ir šādi (apgrieztā hronoloģiskā secībā):</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1. Ministru padomes Lēmums Nr. 6/17 “Cilvēku tirdzniecības novēršanas centienu stiprināšana” (Vīne, 2017);</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2. Ministru padomes Lēmums Nr. 7/17 “Visu veidu bērnu tirdzniecības, tostarp seksuālas ekspluatācijas, kā arī citu veidu bērnu seksuālas ekspluatācijas apkarošanas centienu stiprināšana” (Vīne, 2017);</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3. Briseles deklarācija “Rezolūcija par bērnu tirdzniecības un ekspluatācijas pornogrāfijā apkarošanu” (2006);</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4. Ministru padomes Lēmums Nr. 15/06 par bērnu seksuālas ekspluatācijas apkarošanu (Brisele, 2006);</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5. Ministru padomes Lēmums Nr. 13/04 “Bērnu, kas ir cilvēku tirdzniecības upuri, īpašās vajadzības būt pasargātiem un saņemt palīdzību” (Sofija, 2004);</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6. Roterdamas deklarācija “Rezolūcija par bērnu tirdzniecības un ekspluatācijas apkarošanu” (2003);</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7. Berlīnes deklarācija “Rezolūcija par cilvēku tirdzniecības, jo īpaši sieviešu un bērnu tirdzniecības, apkarošanu” (2002);</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8. EDSO Parlamentārā asambleja, Sanktpēterburgas deklarācija “Rezolūcija par sieviešu un bērnu tirdzniecību” (1999).</w:t>
      </w:r>
    </w:p>
  </w:footnote>
  <w:footnote w:id="19">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footnoteRef/>
      </w:r>
      <w:r w:rsidRPr="00F253CE">
        <w:rPr>
          <w:rFonts w:ascii="Times New Roman" w:hAnsi="Times New Roman" w:cs="Times New Roman"/>
        </w:rPr>
        <w:t xml:space="preserve"> </w:t>
      </w:r>
      <w:r w:rsidRPr="00F253CE">
        <w:rPr>
          <w:rFonts w:ascii="Times New Roman" w:eastAsia="Times New Roman" w:hAnsi="Times New Roman" w:cs="Times New Roman"/>
          <w:lang w:eastAsia="lv-LV"/>
        </w:rPr>
        <w:t>EDSO Lēmums Nr. 685, Papildinājums EDSO Rīcības plānam cilvēku tirdzniecības apkarošanai – Risinot bērnu, kas ir cilvēku tirdzniecības upuri, īpašās vajadzības būt pasargātiem un saņemt palīdzību (Pastāvīgās padomes Lēmums Nr. 685, 2005. gada 7. jūlijs).</w:t>
      </w:r>
    </w:p>
  </w:footnote>
  <w:footnote w:id="20">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sym w:font="Symbol" w:char="F02A"/>
      </w:r>
      <w:r w:rsidRPr="00F253CE">
        <w:rPr>
          <w:rFonts w:ascii="Times New Roman" w:hAnsi="Times New Roman" w:cs="Times New Roman"/>
        </w:rPr>
        <w:t xml:space="preserve"> Angļu valodas oriģinālā numerācija atšķiras.</w:t>
      </w:r>
    </w:p>
  </w:footnote>
  <w:footnote w:id="2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20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Dienvidaustrumeiropas Stabilitātes pakts, Darba grupa cilvēku tirdzniecības novēršanai. Paziņojums par saistībām attiecībā uz cietušo/liecinieku aizsardzību un bērnu tirdzniecību [</w:t>
      </w:r>
      <w:r w:rsidRPr="00F253CE">
        <w:rPr>
          <w:rFonts w:ascii="Times New Roman" w:eastAsia="Times New Roman" w:hAnsi="Times New Roman" w:cs="Times New Roman"/>
          <w:i/>
          <w:iCs/>
          <w:sz w:val="20"/>
          <w:szCs w:val="20"/>
          <w:lang w:eastAsia="lv-LV"/>
        </w:rPr>
        <w:t>Statement on Commitments on Victim/Witness Protection and Trafficking in Children</w:t>
      </w:r>
      <w:r w:rsidRPr="00F253CE">
        <w:rPr>
          <w:rFonts w:ascii="Times New Roman" w:eastAsia="Times New Roman" w:hAnsi="Times New Roman" w:cs="Times New Roman"/>
          <w:sz w:val="20"/>
          <w:szCs w:val="20"/>
          <w:lang w:eastAsia="lv-LV"/>
        </w:rPr>
        <w:t>]. Sofija, 2003. gada 10. decembris. Pieejams: http://www.legislationline.org/documents/id/4237.</w:t>
      </w:r>
    </w:p>
  </w:footnote>
  <w:footnote w:id="2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21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Vadlīnijas par bērnu, kas ir cilvēku tirdzniecības upuri, aizsardzību.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Tehniskās piezīmes [</w:t>
      </w:r>
      <w:r w:rsidRPr="00F253CE">
        <w:rPr>
          <w:rFonts w:ascii="Times New Roman" w:eastAsia="Times New Roman" w:hAnsi="Times New Roman" w:cs="Times New Roman"/>
          <w:i/>
          <w:iCs/>
          <w:sz w:val="20"/>
          <w:szCs w:val="20"/>
          <w:lang w:eastAsia="lv-LV"/>
        </w:rPr>
        <w:t>Guidelines on the Protection of Child Victims of Trafficking. UNICEF Technical Notes</w:t>
      </w:r>
      <w:r w:rsidRPr="00F253CE">
        <w:rPr>
          <w:rFonts w:ascii="Times New Roman" w:eastAsia="Times New Roman" w:hAnsi="Times New Roman" w:cs="Times New Roman"/>
          <w:sz w:val="20"/>
          <w:szCs w:val="20"/>
          <w:lang w:eastAsia="lv-LV"/>
        </w:rPr>
        <w:t>] (Ņujorka, 2006).</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https://www.unicef.org/protection/Unicef_Victims_Guidelines_en.pdf.</w:t>
      </w:r>
    </w:p>
  </w:footnote>
  <w:footnote w:id="23">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22</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T. i., visaptverošs, drošs un ilgtspējīgs risinājums bērna interesēs.</w:t>
      </w:r>
    </w:p>
  </w:footnote>
  <w:footnote w:id="2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23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ANO Vispārējais rīcības plāns cilvēku tirdzniecības apkarošanai, 37. pants.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ANO Ģenerālās asamblejas rezolūcija 64/293, ANO dok. A/RES/64/293 (2010. gada 12. augusts).</w:t>
      </w:r>
    </w:p>
  </w:footnote>
  <w:footnote w:id="2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24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ANO Pamatnostādnes par bērnu alternatīvo aprūpi. Atzinīgi novērtētas ar Ģenerālās asamblejas Rezolūciju 64/142. ANO dok. A/RES/64/142 (2010. gada 24. februāris). Ģenerālās asamblejas rezolūcijā rosināts “valstis ņemt vērā šīs pamatnostādnes un pievērst tām attiecīgo valsts izpildvaras, likumdevēju un tiesu varas iestāžu, cilvēktiesību aizstāvju un juristu, plašsaziņas līdzekļu un sabiedrības uzmanību”.</w:t>
      </w:r>
    </w:p>
  </w:footnote>
  <w:footnote w:id="2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25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xml:space="preserve">, 4. Vispārējais ziņojums par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xml:space="preserve"> darbībām laikposmā no 2013. gada 1. augusta līdz 2014. gada 30. septembrim (Eiropas Padome, Strasbūra, 2015), 54. punkts.</w:t>
      </w:r>
    </w:p>
  </w:footnote>
  <w:footnote w:id="2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26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xml:space="preserve">, 5. Vispārējais ziņojums par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xml:space="preserve"> darbībām (laikposmā no 2014. gada 1. oktobra līdz 2015. gada 31. decembrim) (Eiropas Padome, Strasbūra, 2016). Tajā tika vērsta uzmanība uz Eiropas Padomes Konvencijas 10. panta 4. punktu, kurā noteikts, ka “tiklīdz bez pavadības atstātais bērns ir identificēts kā upuris, ikviena Puse: a) nodrošina bērna pārstāvībai likumīgo aizbildni, organizāciju vai iestādi, kas rīkojas šī bērna vislabākajās interesēs; b) veic nepieciešamos pasākumus, lai noskaidrotu bērna identitāti un valstisko piederību; c) dara visu, lai atrastu viņa/viņas ģimeni, ja tas ir bērna labākajās interesēs”.</w:t>
      </w:r>
    </w:p>
  </w:footnote>
  <w:footnote w:id="2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27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Termins “pavešana netiklībā” šajā kontekstā attiecas uz darbību vai sekām, kad personas morālas uzvedības standarti tiek mainīti uz amorālas uzvedības standartiem (piemēram, mazs bērns tiek pakļauts pornogrāfijai). Sk. Starpiestāžu darba grupa bērnu seksuālas izmantošanas jautājumos, Terminoloģijas vadlīnijas bērnu aizsardzībai no seksuālas izmantošanas un seksuālas vardarbības, 2016.</w:t>
      </w:r>
    </w:p>
  </w:footnote>
  <w:footnote w:id="2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28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Lansarotes konvencijas 5. pantā “Ar bērniem strādājošu personu pieņemšana darbā, mācības un informētība” noteikts, ka “ikviena Puse veic nepieciešamos normatīvos vai citus pasākumus, lai veicinātu to, ka par bērnu aizsardzību un tiesībām ir informētas personas, kurām ir regulāra saskare ar bērniem izglītības, veselības, sociālās aizsardzības, tiesību un tiesību aizsardzības nozarēs un jomās, kas attiecas uz sportu, kultūru un brīvā laika aktivitātēm.”</w:t>
      </w:r>
    </w:p>
  </w:footnote>
  <w:footnote w:id="30">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29</w:t>
      </w:r>
      <w:r w:rsidRPr="00F253CE">
        <w:rPr>
          <w:rFonts w:ascii="Times New Roman" w:hAnsi="Times New Roman" w:cs="Times New Roman"/>
        </w:rPr>
        <w:t xml:space="preserve"> </w:t>
      </w:r>
      <w:r w:rsidRPr="00F253CE">
        <w:rPr>
          <w:rFonts w:ascii="Times New Roman" w:eastAsia="Times New Roman" w:hAnsi="Times New Roman" w:cs="Times New Roman"/>
          <w:i/>
          <w:iCs/>
          <w:lang w:eastAsia="lv-LV"/>
        </w:rPr>
        <w:t>Программа сотрудничества государств – участников Содружества Независимых Государств в борьбе с торговлей людьми на 2014–2018 годы.</w:t>
      </w:r>
      <w:r w:rsidRPr="00F253CE">
        <w:rPr>
          <w:rFonts w:ascii="Times New Roman" w:eastAsia="Times New Roman" w:hAnsi="Times New Roman" w:cs="Times New Roman"/>
          <w:lang w:eastAsia="lv-LV"/>
        </w:rPr>
        <w:t xml:space="preserve"> http://www.e-cis.info/page.php?id=23806.</w:t>
      </w:r>
    </w:p>
  </w:footnote>
  <w:footnote w:id="31">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30</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Iespējamās struktūras, kuras piedalīsies pārskatīšanā, ir NVS Iekšlietu ministru padome (</w:t>
      </w:r>
      <w:r w:rsidRPr="00F253CE">
        <w:rPr>
          <w:rFonts w:ascii="Times New Roman" w:eastAsia="Times New Roman" w:hAnsi="Times New Roman" w:cs="Times New Roman"/>
          <w:i/>
          <w:iCs/>
          <w:lang w:eastAsia="lv-LV"/>
        </w:rPr>
        <w:t>СМВД</w:t>
      </w:r>
      <w:r w:rsidRPr="00F253CE">
        <w:rPr>
          <w:rFonts w:ascii="Times New Roman" w:eastAsia="Times New Roman" w:hAnsi="Times New Roman" w:cs="Times New Roman"/>
          <w:lang w:eastAsia="lv-LV"/>
        </w:rPr>
        <w:t>), NVS dalībvalstu Migrācijas struktūru vadītāju padome (</w:t>
      </w:r>
      <w:r w:rsidRPr="00F253CE">
        <w:rPr>
          <w:rFonts w:ascii="Times New Roman" w:eastAsia="Times New Roman" w:hAnsi="Times New Roman" w:cs="Times New Roman"/>
          <w:i/>
          <w:iCs/>
          <w:lang w:eastAsia="lv-LV"/>
        </w:rPr>
        <w:t>СРМО</w:t>
      </w:r>
      <w:r w:rsidRPr="00F253CE">
        <w:rPr>
          <w:rFonts w:ascii="Times New Roman" w:eastAsia="Times New Roman" w:hAnsi="Times New Roman" w:cs="Times New Roman"/>
          <w:lang w:eastAsia="lv-LV"/>
        </w:rPr>
        <w:t>), Pierobežas karaspēka vienību komandieru padome (</w:t>
      </w:r>
      <w:r w:rsidRPr="00F253CE">
        <w:rPr>
          <w:rFonts w:ascii="Times New Roman" w:eastAsia="Times New Roman" w:hAnsi="Times New Roman" w:cs="Times New Roman"/>
          <w:i/>
          <w:iCs/>
          <w:lang w:eastAsia="lv-LV"/>
        </w:rPr>
        <w:t>СКПВ</w:t>
      </w:r>
      <w:r w:rsidRPr="00F253CE">
        <w:rPr>
          <w:rFonts w:ascii="Times New Roman" w:eastAsia="Times New Roman" w:hAnsi="Times New Roman" w:cs="Times New Roman"/>
          <w:lang w:eastAsia="lv-LV"/>
        </w:rPr>
        <w:t>) un NVS dalībvalstu Koordinējošā ģenerālprokuroru padome (</w:t>
      </w:r>
      <w:r w:rsidRPr="00F253CE">
        <w:rPr>
          <w:rFonts w:ascii="Times New Roman" w:eastAsia="Times New Roman" w:hAnsi="Times New Roman" w:cs="Times New Roman"/>
          <w:i/>
          <w:iCs/>
          <w:lang w:eastAsia="lv-LV"/>
        </w:rPr>
        <w:t>КСГП</w:t>
      </w:r>
      <w:r w:rsidRPr="00F253CE">
        <w:rPr>
          <w:rFonts w:ascii="Times New Roman" w:eastAsia="Times New Roman" w:hAnsi="Times New Roman" w:cs="Times New Roman"/>
          <w:lang w:eastAsia="lv-LV"/>
        </w:rPr>
        <w:t>).</w:t>
      </w:r>
    </w:p>
  </w:footnote>
  <w:footnote w:id="32">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31</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Paziņojums, ko sniedzis Sergejs Ļebeģevs, Izpildkomitejas priekšsēdētājs un Neatkarīgo Valstu Sadraudzības izpildsekretārs, Alianses pret cilvēku tirdzniecību konferences “Apdraudētie cilvēki. Cīņa pret cilvēku tirdzniecību uz migrācijas ceļiem” atklāšanā. EDSO Dok. PC.DEL/960/15 (2015. gada 6. jūlijs).</w:t>
      </w:r>
    </w:p>
  </w:footnote>
  <w:footnote w:id="3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32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Eiropas Parlamenta un Padomes Direktīva 2011/36/ES (2011. gada 5. aprīlis) par cilvēku tirdzniecības novēršanu un apkarošanu un cietušo aizsardzību, un ar kuru aizstāj Padomes Pamatlēmumu 2002/629/TI.</w:t>
      </w:r>
    </w:p>
  </w:footnote>
  <w:footnote w:id="3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33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 i., šī pati prasība ir kopēta Eiropas Padomes Varšavas konvencijā. ES direktīvas 14. panta 2. punktā noteikts, ka “no brīža, kad iestādes identificējušas bērnu, kas ir cilvēku tirdzniecības upuris, dalībvalstis viņam ieceļ aizbildni vai pārstāvi, ja saskaņā ar attiecīgās valsts tiesību aktiem personām, kam ir vecāku atbildība, interešu konflikts starp tām un bērnu, kas ir cilvēku tirdzniecības upuris, liedz nodrošināt bērna intereses un/vai pārstāvēt bērnu”.</w:t>
      </w:r>
    </w:p>
  </w:footnote>
  <w:footnote w:id="3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34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Eiropas Komisija, Komisijas ziņojums Eiropas Parlamentam un Padomei – Izvērtējums, cik lielā mērā dalībvalstis ir veikušas pasākumus, kas vajadzīgi, lai izpildītu Direktīvu 2011/36/ES par cilvēku tirdzniecības novēršanu un apkarošanu un cietušo aizsardzību, ziņojums sniegts saskaņā ar minētās direktīvas 23. panta 1. punktu,</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xml:space="preserve">ES dok. COM(2016) 722 </w:t>
      </w:r>
      <w:r w:rsidRPr="00F253CE">
        <w:rPr>
          <w:rFonts w:ascii="Times New Roman" w:eastAsia="Times New Roman" w:hAnsi="Times New Roman" w:cs="Times New Roman"/>
          <w:i/>
          <w:iCs/>
          <w:sz w:val="20"/>
          <w:szCs w:val="20"/>
          <w:lang w:eastAsia="lv-LV"/>
        </w:rPr>
        <w:t>final</w:t>
      </w:r>
      <w:r w:rsidRPr="00F253CE">
        <w:rPr>
          <w:rFonts w:ascii="Times New Roman" w:eastAsia="Times New Roman" w:hAnsi="Times New Roman" w:cs="Times New Roman"/>
          <w:sz w:val="20"/>
          <w:szCs w:val="20"/>
          <w:lang w:eastAsia="lv-LV"/>
        </w:rPr>
        <w:t xml:space="preserve"> (2016. gada 2. decembris).</w:t>
      </w:r>
    </w:p>
  </w:footnote>
  <w:footnote w:id="36">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35</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 xml:space="preserve">ES dok. COM(2012) 286 </w:t>
      </w:r>
      <w:r w:rsidRPr="00F253CE">
        <w:rPr>
          <w:rFonts w:ascii="Times New Roman" w:eastAsia="Times New Roman" w:hAnsi="Times New Roman" w:cs="Times New Roman"/>
          <w:i/>
          <w:iCs/>
          <w:lang w:eastAsia="lv-LV"/>
        </w:rPr>
        <w:t>final</w:t>
      </w:r>
      <w:r w:rsidRPr="00F253CE">
        <w:rPr>
          <w:rFonts w:ascii="Times New Roman" w:eastAsia="Times New Roman" w:hAnsi="Times New Roman" w:cs="Times New Roman"/>
          <w:lang w:eastAsia="lv-LV"/>
        </w:rPr>
        <w:t xml:space="preserve"> (2012. gada 19. jūnijs).</w:t>
      </w:r>
    </w:p>
  </w:footnote>
  <w:footnote w:id="3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36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Komisijas paziņojums Eiropas Parlamentam un Padomei, Ziņojums par papildu pasākumiem saistībā ar ES Stratēģiju cilvēku tirdzniecības izskaušanai un turpmāku konkrētu darbību noteikšanu, ES dok. COM(2017) 728 </w:t>
      </w:r>
      <w:r w:rsidRPr="00F253CE">
        <w:rPr>
          <w:rFonts w:ascii="Times New Roman" w:eastAsia="Times New Roman" w:hAnsi="Times New Roman" w:cs="Times New Roman"/>
          <w:i/>
          <w:iCs/>
          <w:sz w:val="20"/>
          <w:szCs w:val="20"/>
          <w:lang w:eastAsia="lv-LV"/>
        </w:rPr>
        <w:t>final</w:t>
      </w:r>
      <w:r w:rsidRPr="00F253CE">
        <w:rPr>
          <w:rFonts w:ascii="Times New Roman" w:eastAsia="Times New Roman" w:hAnsi="Times New Roman" w:cs="Times New Roman"/>
          <w:sz w:val="20"/>
          <w:szCs w:val="20"/>
          <w:lang w:eastAsia="lv-LV"/>
        </w:rPr>
        <w:t xml:space="preserve"> (2017. gada 4. decembris).</w:t>
      </w:r>
    </w:p>
  </w:footnote>
  <w:footnote w:id="38">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37</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Piekļūts http://www.childrenatrisk.eu/blog/hearing-the-childs-story-regional-expert-consultation-to-take-place-in-may-in-oslo-norway/.</w:t>
      </w:r>
    </w:p>
  </w:footnote>
  <w:footnote w:id="3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38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Visu migrējošo darba ņēmēju un viņu ģimenes locekļu tiesību aizsardzības komiteja, kas izveidota saskaņā ar Starptautisko konvenciju par visu migrējošu darba ņēmēju un viņu ģimenes locekļu tiesību aizsardzību (1990).</w:t>
      </w:r>
    </w:p>
  </w:footnote>
  <w:footnote w:id="4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39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Visu migrējošo darba ņēmēju un viņu ģimenes locekļu tiesību aizsardzības komiteja un Bērnu tiesību komiteja (2017), Kopīgais vispārējais komentārs Nr. 3 (2017), ko sniegusi Visu migrējošo darba ņēmēju un viņu ģimenes locekļu tiesību aizsardzības komiteja, un Nr. 22 (2017), ko sniegusi Bērnu tiesību komiteja, par vispārējiem bērnu tiesību principiem saistībā ar starptautisko migrāciju, ANO dok. CMW/C/GC/3-CRC/C/GC/22 (2017. gada 16. novembris), 14. punkts</w:t>
      </w:r>
    </w:p>
  </w:footnote>
  <w:footnote w:id="4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40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Turpat, 32. punkta c) apakšpunkts.</w:t>
      </w:r>
    </w:p>
  </w:footnote>
  <w:footnote w:id="4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41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County Administrative Board of Stockholm, National Referral Mechanism - Protecting and supporting victims of Trafficking in Human Beings in Sweden</w:t>
      </w:r>
      <w:r w:rsidRPr="00F253CE">
        <w:rPr>
          <w:rFonts w:ascii="Times New Roman" w:eastAsia="Times New Roman" w:hAnsi="Times New Roman" w:cs="Times New Roman"/>
          <w:sz w:val="20"/>
          <w:szCs w:val="20"/>
          <w:lang w:eastAsia="lv-LV"/>
        </w:rPr>
        <w:t xml:space="preserve"> (Stokholma, 2016), https://rm.coe.int/168070acc0.</w:t>
      </w:r>
    </w:p>
  </w:footnote>
  <w:footnote w:id="43">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42</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Turpat, 17.–18. lpp.</w:t>
      </w:r>
    </w:p>
  </w:footnote>
  <w:footnote w:id="4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43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Turpat, 31. lpp.</w:t>
      </w:r>
    </w:p>
  </w:footnote>
  <w:footnote w:id="4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44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Olivia Lind Haldorsson</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Barnahus Quality Standards</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Guidance for Multidisciplinary and Interagency Response To Child Victims and Witnesses of Violence</w:t>
      </w:r>
      <w:r w:rsidRPr="00F253CE">
        <w:rPr>
          <w:rFonts w:ascii="Times New Roman" w:eastAsia="Times New Roman" w:hAnsi="Times New Roman" w:cs="Times New Roman"/>
          <w:sz w:val="20"/>
          <w:szCs w:val="20"/>
          <w:lang w:eastAsia="lv-LV"/>
        </w:rPr>
        <w:t xml:space="preserve">, Baltijas jūras valstu padomes sekretariāts un </w:t>
      </w:r>
      <w:r w:rsidRPr="00F253CE">
        <w:rPr>
          <w:rFonts w:ascii="Times New Roman" w:eastAsia="Times New Roman" w:hAnsi="Times New Roman" w:cs="Times New Roman"/>
          <w:i/>
          <w:iCs/>
          <w:sz w:val="20"/>
          <w:szCs w:val="20"/>
          <w:lang w:eastAsia="lv-LV"/>
        </w:rPr>
        <w:t>Child Circle</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Promise Project Series</w:t>
      </w:r>
      <w:r w:rsidRPr="00F253CE">
        <w:rPr>
          <w:rFonts w:ascii="Times New Roman" w:eastAsia="Times New Roman" w:hAnsi="Times New Roman" w:cs="Times New Roman"/>
          <w:sz w:val="20"/>
          <w:szCs w:val="20"/>
          <w:lang w:eastAsia="lv-LV"/>
        </w:rPr>
        <w:t>, 2017.</w:t>
      </w:r>
    </w:p>
  </w:footnote>
  <w:footnote w:id="46">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45</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Turpat.</w:t>
      </w:r>
    </w:p>
  </w:footnote>
  <w:footnote w:id="4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46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Turpat.</w:t>
      </w:r>
    </w:p>
  </w:footnote>
  <w:footnote w:id="4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47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Turpat.</w:t>
      </w:r>
    </w:p>
  </w:footnote>
  <w:footnote w:id="4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48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Rädda Barnen</w:t>
      </w:r>
      <w:r w:rsidRPr="00F253CE">
        <w:rPr>
          <w:rFonts w:ascii="Times New Roman" w:eastAsia="Times New Roman" w:hAnsi="Times New Roman" w:cs="Times New Roman"/>
          <w:sz w:val="20"/>
          <w:szCs w:val="20"/>
          <w:lang w:eastAsia="lv-LV"/>
        </w:rPr>
        <w:t xml:space="preserve"> (“Glābiet bērnus”, Zviedrija), </w:t>
      </w:r>
      <w:r w:rsidRPr="00F253CE">
        <w:rPr>
          <w:rFonts w:ascii="Times New Roman" w:eastAsia="Times New Roman" w:hAnsi="Times New Roman" w:cs="Times New Roman"/>
          <w:i/>
          <w:iCs/>
          <w:sz w:val="20"/>
          <w:szCs w:val="20"/>
          <w:lang w:eastAsia="lv-LV"/>
        </w:rPr>
        <w:t>Inuti ett barnahus – en kvalitetsgranskning av 23 svenska verksamheter</w:t>
      </w:r>
      <w:r w:rsidRPr="00F253CE">
        <w:rPr>
          <w:rFonts w:ascii="Times New Roman" w:eastAsia="Times New Roman" w:hAnsi="Times New Roman" w:cs="Times New Roman"/>
          <w:sz w:val="20"/>
          <w:szCs w:val="20"/>
          <w:lang w:eastAsia="lv-LV"/>
        </w:rPr>
        <w:t xml:space="preserve"> (Bērnu pajumte no iekšienes – 23 Zviedrijas iestāžu kvalitātes pārbaude) (Stokholma, 2013), 21–22. lpp. https://www.raddabarnen.se/Documents/vad-vi-gor/sverige/vald-och-overgrepp/Inuti%20ett%20barnahus%202013.pdf.</w:t>
      </w:r>
    </w:p>
  </w:footnote>
  <w:footnote w:id="50">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49</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Viņš nosauca šādas sešas iestādes – policija, prokuratūra, galvaspilsētas Reikjavikas Policijas departaments, Reikjavikas Universitātes slimnīca (Pediatrijas nodaļa un Bērnu psihiatrijas nodaļa), Vietējo sociālo dienestu direktoru asociācija un bērnu aizsardzības dienesti Reikjavikā.</w:t>
      </w:r>
    </w:p>
  </w:footnote>
  <w:footnote w:id="5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EDSO Rīcības plānā (2003) dalībvalstis tika mudinātas apsvērt iespēju ieviest nogaidīšanas periodu, lai dotu cilvēku tirdzniecības upurim laiku izlemt, liecināt vai neliecināt kriminālprocesā (V.8. daļa). Saskaņā ar Eiropas Padomes Varšavas konvenciju dalībvalstis “paredz vismaz 30 dienu ilgu atkopšanās un nogaidīšanas periodu” (13. pants).</w:t>
      </w:r>
    </w:p>
  </w:footnote>
  <w:footnote w:id="5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Vienkāršākais piemērs, kas raksturo šīs bažas, ir bērns, kas šķietami ir kopā ar saviem vecākiem vai radiniekiem, bet faktiski atrodas cilvēku tirgotāja kontrolē. Tāpēc ir vitāli svarīgi noteikt, vai pieaugušais, kas pavada bērnu, ir viņa īstais radinieks vai tas melo, uzdodoties par vienu no vecākiem vai radinieku. Tas tādā pašā mērā attiecas uz bērnu, kurš redzams pilsētā ubagojam kopā ar sievieti, kas varētu būt un varētu arī nebūt viņa māte, kā arī uz pusaudzi meiteni automašīnā, kura apturēta pie robežšķērsošanas vietas vai policijas kontroles punktā un kuras vadītājs, kas ir jauns vīrietis, apgalvo, ka ir viņas draugs vai brālis.</w:t>
      </w:r>
    </w:p>
  </w:footnote>
  <w:footnote w:id="5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Los Angeles County, Law Enforcement First Responder Protocol for Commercially Sexually Exploited Children</w:t>
      </w:r>
      <w:r w:rsidRPr="00F253CE">
        <w:rPr>
          <w:rFonts w:ascii="Times New Roman" w:eastAsia="Times New Roman" w:hAnsi="Times New Roman" w:cs="Times New Roman"/>
          <w:sz w:val="20"/>
          <w:szCs w:val="20"/>
          <w:lang w:eastAsia="lv-LV"/>
        </w:rPr>
        <w:t xml:space="preserve"> (Kalifornija, 2015), sadaļa </w:t>
      </w:r>
      <w:r w:rsidRPr="00F253CE">
        <w:rPr>
          <w:rFonts w:ascii="Times New Roman" w:eastAsia="Times New Roman" w:hAnsi="Times New Roman" w:cs="Times New Roman"/>
          <w:i/>
          <w:iCs/>
          <w:sz w:val="20"/>
          <w:szCs w:val="20"/>
          <w:lang w:eastAsia="lv-LV"/>
        </w:rPr>
        <w:t>F. Emergency Housing/Shelter Beds</w:t>
      </w:r>
      <w:r w:rsidRPr="00F253CE">
        <w:rPr>
          <w:rFonts w:ascii="Times New Roman" w:eastAsia="Times New Roman" w:hAnsi="Times New Roman" w:cs="Times New Roman"/>
          <w:sz w:val="20"/>
          <w:szCs w:val="20"/>
          <w:lang w:eastAsia="lv-LV"/>
        </w:rPr>
        <w:t>, 24. lpp.</w:t>
      </w:r>
    </w:p>
  </w:footnote>
  <w:footnote w:id="5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EDSO Cilvēku tirdzniecības apkarošanas īpašā pārstāvja un koordinatora birojs (apspriežoties ar Alianses pret cilvēku tirdzniecību ekspertu koordinācijas grupu), Politika un likumdošanas ieteikumi, lai efektīvi īstenotu nesodīšanas noteikumu attiecībā uz cilvēku tirdzniecības upuriem [</w:t>
      </w:r>
      <w:r w:rsidRPr="00F253CE">
        <w:rPr>
          <w:rFonts w:ascii="Times New Roman" w:eastAsia="Times New Roman" w:hAnsi="Times New Roman" w:cs="Times New Roman"/>
          <w:i/>
          <w:iCs/>
          <w:sz w:val="20"/>
          <w:szCs w:val="20"/>
          <w:lang w:eastAsia="lv-LV"/>
        </w:rPr>
        <w:t>Policy and legislative recommendations towards the effective implementation of the non-punishment provision with regard to victims of trafficking</w:t>
      </w:r>
      <w:r w:rsidRPr="00F253CE">
        <w:rPr>
          <w:rFonts w:ascii="Times New Roman" w:eastAsia="Times New Roman" w:hAnsi="Times New Roman" w:cs="Times New Roman"/>
          <w:sz w:val="20"/>
          <w:szCs w:val="20"/>
          <w:lang w:eastAsia="lv-LV"/>
        </w:rPr>
        <w:t xml:space="preserve">] (Vīne, 2013), atsaucoties uz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Rokasgrāmatu par bērnu – cilvēku tirdzniecības upuru – tiesību aizsardzību Eiropā [</w:t>
      </w:r>
      <w:r w:rsidRPr="00F253CE">
        <w:rPr>
          <w:rFonts w:ascii="Times New Roman" w:eastAsia="Times New Roman" w:hAnsi="Times New Roman" w:cs="Times New Roman"/>
          <w:i/>
          <w:iCs/>
          <w:sz w:val="20"/>
          <w:szCs w:val="20"/>
          <w:lang w:eastAsia="lv-LV"/>
        </w:rPr>
        <w:t>UNICEF Reference Guide on Protecting the Rights of Child Victims of Trafficking in Europe</w:t>
      </w:r>
      <w:r w:rsidRPr="00F253CE">
        <w:rPr>
          <w:rFonts w:ascii="Times New Roman" w:eastAsia="Times New Roman" w:hAnsi="Times New Roman" w:cs="Times New Roman"/>
          <w:sz w:val="20"/>
          <w:szCs w:val="20"/>
          <w:lang w:eastAsia="lv-LV"/>
        </w:rPr>
        <w:t>] (Ženēva, 2006), 65. lpp.</w:t>
      </w:r>
    </w:p>
  </w:footnote>
  <w:footnote w:id="5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County Administrative Board of Stockholm, National Referral Mechanism – Protecting and supporting victims of Trafficking in Human Beings in Sweden</w:t>
      </w:r>
      <w:r w:rsidRPr="00F253CE">
        <w:rPr>
          <w:rFonts w:ascii="Times New Roman" w:eastAsia="Times New Roman" w:hAnsi="Times New Roman" w:cs="Times New Roman"/>
          <w:sz w:val="20"/>
          <w:szCs w:val="20"/>
          <w:lang w:eastAsia="lv-LV"/>
        </w:rPr>
        <w:t xml:space="preserve"> (Stokholma, 2016), 29. lpp.</w:t>
      </w:r>
    </w:p>
  </w:footnote>
  <w:footnote w:id="5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Bērnu aizsardzības standarti “Keeping Children Safe” [</w:t>
      </w:r>
      <w:r w:rsidRPr="00F253CE">
        <w:rPr>
          <w:rFonts w:ascii="Times New Roman" w:eastAsia="Times New Roman" w:hAnsi="Times New Roman" w:cs="Times New Roman"/>
          <w:i/>
          <w:iCs/>
          <w:sz w:val="20"/>
          <w:szCs w:val="20"/>
          <w:lang w:eastAsia="lv-LV"/>
        </w:rPr>
        <w:t>Keeping Children Safe, Standards for Child Protection</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Keeping Children Safe Coalition</w:t>
      </w:r>
      <w:r w:rsidRPr="00F253CE">
        <w:rPr>
          <w:rFonts w:ascii="Times New Roman" w:eastAsia="Times New Roman" w:hAnsi="Times New Roman" w:cs="Times New Roman"/>
          <w:sz w:val="20"/>
          <w:szCs w:val="20"/>
          <w:lang w:eastAsia="lv-LV"/>
        </w:rPr>
        <w:t xml:space="preserve"> (2006), pieejams: https://www.keepingchildrensafe.org.uk. Standartu 1. rīks apraksta, kas iestādēm ir jādara, lai bērni būtu drošībā. Standartu 2. rīks (Standartu ieviešanas vadlīnijas) apraksta, kā iestādes var rīkoties, lai ieviestu šos bērnu aizsardzības mehānismus.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Attiecīgi 3., 4. un 5. rīks ir apmācības pakete, DVD un CD-ROM, kur ir uzdevumi un ieteiktie darbsemināri, lai palīdzētu iestādēm uzlabot sava personāla un citu pārstāvju informētības līmeni, prasmes un zināšanas, lai viņi varētu labāk pildīt savus aizsardzības pienākumus.</w:t>
      </w:r>
    </w:p>
  </w:footnote>
  <w:footnote w:id="5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C. Cody, What do we know about... safe accommodation and alternative care for children affected by sexual exploitation and related trafficking?</w:t>
      </w:r>
      <w:r w:rsidRPr="00F253CE">
        <w:rPr>
          <w:rFonts w:ascii="Times New Roman" w:eastAsia="Times New Roman" w:hAnsi="Times New Roman" w:cs="Times New Roman"/>
          <w:sz w:val="20"/>
          <w:szCs w:val="20"/>
          <w:lang w:eastAsia="lv-LV"/>
        </w:rPr>
        <w:t> (Bērnu atlabšanas un reintegrācijas tīkls, 2013), pieejams: https://riselearningnetwork.org/wp-content/uploads/2016/11/What-do-we-know-about...safe-accommodation-and-alternative-care-for-children-affected-by- sexual-exploitation-and-related-trafficking-.pdf.</w:t>
      </w:r>
    </w:p>
  </w:footnote>
  <w:footnote w:id="5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Citējot </w:t>
      </w:r>
      <w:r w:rsidRPr="00F253CE">
        <w:rPr>
          <w:rFonts w:ascii="Times New Roman" w:eastAsia="Times New Roman" w:hAnsi="Times New Roman" w:cs="Times New Roman"/>
          <w:i/>
          <w:iCs/>
          <w:sz w:val="20"/>
          <w:szCs w:val="20"/>
          <w:lang w:eastAsia="lv-LV"/>
        </w:rPr>
        <w:t>H. Beckett, “Not a world away” – The sexual exploitation of children and young people in Northern Ireland, Barnardo’s</w:t>
      </w:r>
      <w:r w:rsidRPr="00F253CE">
        <w:rPr>
          <w:rFonts w:ascii="Times New Roman" w:eastAsia="Times New Roman" w:hAnsi="Times New Roman" w:cs="Times New Roman"/>
          <w:sz w:val="20"/>
          <w:szCs w:val="20"/>
          <w:lang w:eastAsia="lv-LV"/>
        </w:rPr>
        <w:t xml:space="preserve"> (Belfāsta, 2011).</w:t>
      </w:r>
    </w:p>
  </w:footnote>
  <w:footnote w:id="5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Citējot </w:t>
      </w:r>
      <w:r w:rsidRPr="00F253CE">
        <w:rPr>
          <w:rFonts w:ascii="Times New Roman" w:eastAsia="Times New Roman" w:hAnsi="Times New Roman" w:cs="Times New Roman"/>
          <w:i/>
          <w:iCs/>
          <w:sz w:val="20"/>
          <w:szCs w:val="20"/>
          <w:lang w:eastAsia="lv-LV"/>
        </w:rPr>
        <w:t>P. Skidmore, What works in child sexual exploitation: sharing and learning, Barnardo’s</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Barkingside</w:t>
      </w:r>
      <w:r w:rsidRPr="00F253CE">
        <w:rPr>
          <w:rFonts w:ascii="Times New Roman" w:eastAsia="Times New Roman" w:hAnsi="Times New Roman" w:cs="Times New Roman"/>
          <w:sz w:val="20"/>
          <w:szCs w:val="20"/>
          <w:lang w:eastAsia="lv-LV"/>
        </w:rPr>
        <w:t>, 2004).</w:t>
      </w:r>
    </w:p>
  </w:footnote>
  <w:footnote w:id="6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59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Psihomotorikas terapija, saukta arī par </w:t>
      </w:r>
      <w:r w:rsidRPr="00F253CE">
        <w:rPr>
          <w:rFonts w:ascii="Times New Roman" w:eastAsia="Times New Roman" w:hAnsi="Times New Roman" w:cs="Times New Roman"/>
          <w:i/>
          <w:iCs/>
          <w:sz w:val="20"/>
          <w:szCs w:val="20"/>
          <w:lang w:eastAsia="lv-LV"/>
        </w:rPr>
        <w:t>Pesso Boyden System Psychomotor</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PBSP</w:t>
      </w:r>
      <w:r w:rsidRPr="00F253CE">
        <w:rPr>
          <w:rFonts w:ascii="Times New Roman" w:eastAsia="Times New Roman" w:hAnsi="Times New Roman" w:cs="Times New Roman"/>
          <w:sz w:val="20"/>
          <w:szCs w:val="20"/>
          <w:lang w:eastAsia="lv-LV"/>
        </w:rPr>
        <w:t>), “ir ķermeņa un prāta mijiedarbības modelis, kas analizē, kā traumatiskas atmiņas ietekmē šodienu, un palīdz cilvēkiem izstrādāt jaunas atmiņas, lai kompensētu pagātnē piedzīvoto emociju trūkumu.” Sk.: https://www.goodtherapy.org/learn-about-therapy/types/pesso-boyden-system-psychomotor.</w:t>
      </w:r>
    </w:p>
  </w:footnote>
  <w:footnote w:id="6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Ziņojums par Eiropas Padomes Konvencijas par cīņu pret cilvēku tirdzniecību īstenošanu Beļģijā. Otrā novērtēšanas kārta, 2017. Eiropas Padomes dok. GRETA(2017)26, 125. punkts.</w:t>
      </w:r>
    </w:p>
  </w:footnote>
  <w:footnote w:id="6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EDSO Rīcības plāns cilvēku tirdzniecības apkarošanai (Pastāvīgās padomes Lēmums Nr. 557/Rev.1, 2003. gada 24. jūlijs), V.5.1. sadaļa.</w:t>
      </w:r>
    </w:p>
  </w:footnote>
  <w:footnote w:id="6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Cilvēktiesību pamatprincipi, kas jāievēro, atpakaļnosūtot cilvēku tirdzniecības upurus [</w:t>
      </w:r>
      <w:r w:rsidRPr="00F253CE">
        <w:rPr>
          <w:rFonts w:ascii="Times New Roman" w:eastAsia="Times New Roman" w:hAnsi="Times New Roman" w:cs="Times New Roman"/>
          <w:i/>
          <w:iCs/>
          <w:sz w:val="20"/>
          <w:szCs w:val="20"/>
          <w:lang w:eastAsia="lv-LV"/>
        </w:rPr>
        <w:t>ODIHR, Guiding Principles on Human Rights in the Return of Trafficked Persons</w:t>
      </w:r>
      <w:r w:rsidRPr="00F253CE">
        <w:rPr>
          <w:rFonts w:ascii="Times New Roman" w:eastAsia="Times New Roman" w:hAnsi="Times New Roman" w:cs="Times New Roman"/>
          <w:sz w:val="20"/>
          <w:szCs w:val="20"/>
          <w:lang w:eastAsia="lv-LV"/>
        </w:rPr>
        <w:t>] (2014), 4. princips (Īpaši aizsardzības pasākumi, nosūtot atpakaļ cietušos bērnus).</w:t>
      </w:r>
    </w:p>
  </w:footnote>
  <w:footnote w:id="6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Zviedrija, Ārvalstnieku likums, [2005:716], https://www.government.se/contentas sets/784b3d7be3a54a0185f284bbb2683055/aliens-act-2005_716.pdf, 5. nodaļas 15. pants.</w:t>
      </w:r>
    </w:p>
  </w:footnote>
  <w:footnote w:id="6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Zviedrijas Migrācijas aģentūra, Iespējamo cilvēku tirdzniecības gadījumu skaita pieaugums, 2017. gada 12. septembris, https://www.migrationsverket.se/English/ About-the-Migration-Agency/News-archive/News-archive-2017/2017-09-12-Increasing-number-of-suspected-human-trafficking-cases.html.</w:t>
      </w:r>
    </w:p>
  </w:footnote>
  <w:footnote w:id="6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Zviedrijas atbilde uz aptauju, kas izstrādāta, lai novērtētu, kā dalībvalstis īsteno Eiropas Padomes Konvenciju par cīņu pret cilvēku tirdzniecību [</w:t>
      </w:r>
      <w:r w:rsidRPr="00F253CE">
        <w:rPr>
          <w:rFonts w:ascii="Times New Roman" w:eastAsia="Times New Roman" w:hAnsi="Times New Roman" w:cs="Times New Roman"/>
          <w:i/>
          <w:iCs/>
          <w:sz w:val="20"/>
          <w:szCs w:val="20"/>
          <w:lang w:eastAsia="lv-LV"/>
        </w:rPr>
        <w:t>Reply from Sweden to the Questionnaire for the evaluation of the implementation of the Council of Europe Convention on Action against Trafficking in Human Beings by the Parties</w:t>
      </w:r>
      <w:r w:rsidRPr="00F253CE">
        <w:rPr>
          <w:rFonts w:ascii="Times New Roman" w:eastAsia="Times New Roman" w:hAnsi="Times New Roman" w:cs="Times New Roman"/>
          <w:sz w:val="20"/>
          <w:szCs w:val="20"/>
          <w:lang w:eastAsia="lv-LV"/>
        </w:rPr>
        <w:t>], Eiropas Padomes dok. GRETA(2017)19 (2017. gada 19. aprīlis), 21. lpp., https://rm.coe.int/168070acc5.</w:t>
      </w:r>
    </w:p>
  </w:footnote>
  <w:footnote w:id="6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Eiropas Padomes Konvencijas par cīņu pret cilvēku tirdzniecību 10. pants ir vērsts uz “upuru identifikāciju”. Tas attiecas uz procedūrām, kas nepieciešamas, lai nodrošinātu, ka “upuri tiek savlaicīgi identificēti, ņemot vērā upuru – sieviešu un bērnu īpašo stāvokli, un lai attiecīgos gadījumos izsniegtu uzturēšanās atļaujas (..)”. Konkrēti atsaucoties uz jauniešiem, kuru vecums ir neskaidrs, tajā noteikts, ka, “ja upura vecums ir neskaidrs un ir iemesls uzskatīt, ka upuris ir bērns, viņu uzskata par bērnu un viņam vai viņai nodrošina īpašus aizsardzības pasākumus, līdz tiek pārbaudīts viņa/viņas vecums” (10. panta 3. punkts). Tajā ir arī noteikti minimālie pasākumi, kas dalībvalstīm jāveic, ja bez pavadības atstātais bērns ir identificēts kā upuris (10. panta 4. punkts):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“a) nodrošina bērna pārstāvībai likumīgo aizbildni, organizāciju vai iestādi, kas rīkojas šī bērna vislabākajās interesēs;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b) veic nepieciešamos pasākumus, lai noskaidrotu bērna identitāti un valstisko piederību;</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c) dara visu, lai atrastu viņa/viņas ģimeni, ja tas ir bērna labākajās interesēs.” Paskaidrojumā, kas pievienots Konvencijai, attiecībā uz 10. panta 4. punkta c) apakšpunktu ir norādīts, ka “bērna ģimene jāsameklē tikai tad, ja tas ir bērna interesēs, ņemot vērā, ka dažkārt viņa ģimene ir tā, kas ir bērna tirdzniecības avots”.</w:t>
      </w:r>
    </w:p>
  </w:footnote>
  <w:footnote w:id="6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Rokasgrāmata par bērnu – cilvēku tirdzniecības upuru – tiesību aizsardzību Eiropā [</w:t>
      </w:r>
      <w:r w:rsidRPr="00F253CE">
        <w:rPr>
          <w:rFonts w:ascii="Times New Roman" w:eastAsia="Times New Roman" w:hAnsi="Times New Roman" w:cs="Times New Roman"/>
          <w:i/>
          <w:iCs/>
          <w:sz w:val="20"/>
          <w:szCs w:val="20"/>
          <w:lang w:eastAsia="lv-LV"/>
        </w:rPr>
        <w:t>UNICEF, Reference Guide on Protecting the Rights of Child Victims of Trafficking in Europe</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UNICEF CEE/CIS</w:t>
      </w:r>
      <w:r w:rsidRPr="00F253CE">
        <w:rPr>
          <w:rFonts w:ascii="Times New Roman" w:eastAsia="Times New Roman" w:hAnsi="Times New Roman" w:cs="Times New Roman"/>
          <w:sz w:val="20"/>
          <w:szCs w:val="20"/>
          <w:lang w:eastAsia="lv-LV"/>
        </w:rPr>
        <w:t xml:space="preserve"> birojs (Ženēva, 2006).</w:t>
      </w:r>
    </w:p>
  </w:footnote>
  <w:footnote w:id="6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Eiropas Savienības Pamattiesību aģentūra, Aizbildniecība bērniem, kuriem liegta vecāku gādība. Rokasgrāmata aizbildniecības sistēmas stiprināšanai, lai rūpētos par to bērnu īpašajām vajadzībām, kas ir cilvēku tirdzniecības upuri [</w:t>
      </w:r>
      <w:r w:rsidRPr="00F253CE">
        <w:rPr>
          <w:rFonts w:ascii="Times New Roman" w:eastAsia="Times New Roman" w:hAnsi="Times New Roman" w:cs="Times New Roman"/>
          <w:i/>
          <w:iCs/>
          <w:sz w:val="20"/>
          <w:szCs w:val="20"/>
          <w:lang w:eastAsia="lv-LV"/>
        </w:rPr>
        <w:t>Guardianship for children deprived of parental care. A handbook to reinforce guardianship systems to cater for the specific needs of child victims of trafficking</w:t>
      </w:r>
      <w:r w:rsidRPr="00F253CE">
        <w:rPr>
          <w:rFonts w:ascii="Times New Roman" w:eastAsia="Times New Roman" w:hAnsi="Times New Roman" w:cs="Times New Roman"/>
          <w:sz w:val="20"/>
          <w:szCs w:val="20"/>
          <w:lang w:eastAsia="lv-LV"/>
        </w:rPr>
        <w:t>] (Vīne, 2014).</w:t>
      </w:r>
    </w:p>
  </w:footnote>
  <w:footnote w:id="7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69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xml:space="preserve"> Ziņojums par Itāliju saskaņā ar 7. punktu Darbības noteikumos, kas izstrādāti, lai novērtētu Eiropas Padomes Konvencijas par cīņu pret cilvēku tirdzniecību īstenošanu, Eiropas Padomes dok. GRETA(2016)29</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(2017. gada 30. janvāris).</w:t>
      </w:r>
    </w:p>
  </w:footnote>
  <w:footnote w:id="7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AccoglieRete</w:t>
      </w:r>
      <w:r w:rsidRPr="00F253CE">
        <w:rPr>
          <w:rFonts w:ascii="Times New Roman" w:eastAsia="Times New Roman" w:hAnsi="Times New Roman" w:cs="Times New Roman"/>
          <w:sz w:val="20"/>
          <w:szCs w:val="20"/>
          <w:lang w:eastAsia="lv-LV"/>
        </w:rPr>
        <w:t xml:space="preserve"> tīmekļa vietne: http://www.accoglierete.org/it/. Oriģinālteksts itāļu valodā ir šāds: “</w:t>
      </w:r>
      <w:r w:rsidRPr="00F253CE">
        <w:rPr>
          <w:rFonts w:ascii="Times New Roman" w:eastAsia="Times New Roman" w:hAnsi="Times New Roman" w:cs="Times New Roman"/>
          <w:i/>
          <w:iCs/>
          <w:sz w:val="20"/>
          <w:szCs w:val="20"/>
          <w:lang w:eastAsia="lv-LV"/>
        </w:rPr>
        <w:t>Il tutore è prima di tutto un volontario che dichiara la propria disponibilità nel diventare il rappresentante legale di un minore, portavoce necessario davanti alle istituzioni per curare gli interessi del ragazzo arrivato senza genitori, orfano o vittima della sospensione della patria potestà nei propri confronti.</w:t>
      </w:r>
      <w:r w:rsidRPr="00F253CE">
        <w:rPr>
          <w:rFonts w:ascii="Times New Roman" w:eastAsia="Times New Roman" w:hAnsi="Times New Roman" w:cs="Times New Roman"/>
          <w:sz w:val="20"/>
          <w:szCs w:val="20"/>
          <w:lang w:eastAsia="lv-LV"/>
        </w:rPr>
        <w:t>”</w:t>
      </w:r>
    </w:p>
  </w:footnote>
  <w:footnote w:id="7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2017. gada 7. aprīļa Likuma Nr. 47 </w:t>
      </w:r>
      <w:r w:rsidRPr="00F253CE">
        <w:rPr>
          <w:rFonts w:ascii="Times New Roman" w:eastAsia="Times New Roman" w:hAnsi="Times New Roman" w:cs="Times New Roman"/>
          <w:i/>
          <w:iCs/>
          <w:sz w:val="20"/>
          <w:szCs w:val="20"/>
          <w:lang w:eastAsia="lv-LV"/>
        </w:rPr>
        <w:t>Disposizioni in materia di misure di protezione dei minori stranieri non accompagnati</w:t>
      </w:r>
      <w:r w:rsidRPr="00F253CE">
        <w:rPr>
          <w:rFonts w:ascii="Times New Roman" w:eastAsia="Times New Roman" w:hAnsi="Times New Roman" w:cs="Times New Roman"/>
          <w:sz w:val="20"/>
          <w:szCs w:val="20"/>
          <w:lang w:eastAsia="lv-LV"/>
        </w:rPr>
        <w:t xml:space="preserve"> 11. pants.</w:t>
      </w:r>
    </w:p>
  </w:footnote>
  <w:footnote w:id="7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Bērnu tiesību komitejas Vispārējais komentārs Nr. 12 (2009) “Bērna tiesības tikt uzklausītam”, ANO dok. CRC/C/GC/12 (2009. gada 1. jūlijs).</w:t>
      </w:r>
    </w:p>
  </w:footnote>
  <w:footnote w:id="7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P. Cazenave, Protecting Migrant Children in a Freedom of Movement Area</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Transnational monitoring of return procedures involving Romanian and Bulgarian migrant children in Greece and France, Terre des hommes</w:t>
      </w:r>
      <w:r w:rsidRPr="00F253CE">
        <w:rPr>
          <w:rFonts w:ascii="Times New Roman" w:eastAsia="Times New Roman" w:hAnsi="Times New Roman" w:cs="Times New Roman"/>
          <w:sz w:val="20"/>
          <w:szCs w:val="20"/>
          <w:lang w:eastAsia="lv-LV"/>
        </w:rPr>
        <w:t xml:space="preserve"> (Budapešta, 2012), 40. lpp.</w:t>
      </w:r>
    </w:p>
  </w:footnote>
  <w:footnote w:id="7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Sk. Bērnu tiesību komitejas Vispārējo komentāru Nr. 6 par attieksmi pret nepavadītiem un nošķirtiem bērniem ārpus viņu izcelsmes valsts, </w:t>
      </w:r>
      <w:r w:rsidRPr="00F253CE">
        <w:rPr>
          <w:rFonts w:ascii="Times New Roman" w:eastAsia="Times New Roman" w:hAnsi="Times New Roman" w:cs="Times New Roman"/>
          <w:i/>
          <w:iCs/>
          <w:sz w:val="20"/>
          <w:szCs w:val="20"/>
          <w:lang w:eastAsia="lv-LV"/>
        </w:rPr>
        <w:t>op. cit.</w:t>
      </w:r>
      <w:r w:rsidRPr="00F253CE">
        <w:rPr>
          <w:rFonts w:ascii="Times New Roman" w:eastAsia="Times New Roman" w:hAnsi="Times New Roman" w:cs="Times New Roman"/>
          <w:sz w:val="20"/>
          <w:szCs w:val="20"/>
          <w:lang w:eastAsia="lv-LV"/>
        </w:rPr>
        <w:t>, 84. punkts</w:t>
      </w:r>
    </w:p>
  </w:footnote>
  <w:footnote w:id="7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P. Cazenave, Protecting Migrant Children in a Freedom of Movement Area</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Transnational monitoring of return procedures involving Romanian and Bulgarian migrant children in Greece and France, Terre des hommes</w:t>
      </w:r>
      <w:r w:rsidRPr="00F253CE">
        <w:rPr>
          <w:rFonts w:ascii="Times New Roman" w:eastAsia="Times New Roman" w:hAnsi="Times New Roman" w:cs="Times New Roman"/>
          <w:sz w:val="20"/>
          <w:szCs w:val="20"/>
          <w:lang w:eastAsia="lv-LV"/>
        </w:rPr>
        <w:t xml:space="preserve"> (Budapešta, 2012), 35. lpp.</w:t>
      </w:r>
    </w:p>
  </w:footnote>
  <w:footnote w:id="7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Eiropas Padomes Konvencija par cīņu pret cilvēku tirdzniecību. Paskaidrojums. Eiropas Padomes dok. CM(2005)32 Papildinājums Nr. 2 </w:t>
      </w:r>
      <w:r w:rsidRPr="00F253CE">
        <w:rPr>
          <w:rFonts w:ascii="Times New Roman" w:eastAsia="Times New Roman" w:hAnsi="Times New Roman" w:cs="Times New Roman"/>
          <w:i/>
          <w:iCs/>
          <w:sz w:val="20"/>
          <w:szCs w:val="20"/>
          <w:lang w:eastAsia="lv-LV"/>
        </w:rPr>
        <w:t>final</w:t>
      </w:r>
      <w:r w:rsidRPr="00F253CE">
        <w:rPr>
          <w:rFonts w:ascii="Times New Roman" w:eastAsia="Times New Roman" w:hAnsi="Times New Roman" w:cs="Times New Roman"/>
          <w:sz w:val="20"/>
          <w:szCs w:val="20"/>
          <w:lang w:eastAsia="lv-LV"/>
        </w:rPr>
        <w:t xml:space="preserve"> (2005. gada 3. maijs), 207. punkts.</w:t>
      </w:r>
    </w:p>
  </w:footnote>
  <w:footnote w:id="7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RCM</w:t>
      </w:r>
      <w:r w:rsidRPr="00F253CE">
        <w:rPr>
          <w:rFonts w:ascii="Times New Roman" w:eastAsia="Times New Roman" w:hAnsi="Times New Roman" w:cs="Times New Roman"/>
          <w:sz w:val="20"/>
          <w:szCs w:val="20"/>
          <w:lang w:eastAsia="lv-LV"/>
        </w:rPr>
        <w:t xml:space="preserve"> jeb “Pueblas procesa” valstis ir Amerikas Savienotās Valstis, Beliza, Dominikānas Republika, Hondurasa, Kanāda, Kostarika, Meksika, Nikaragva, Panama un Salvadora.</w:t>
      </w:r>
    </w:p>
  </w:footnote>
  <w:footnote w:id="7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14. pants </w:t>
      </w:r>
      <w:r w:rsidRPr="00F253CE">
        <w:rPr>
          <w:rFonts w:ascii="Times New Roman" w:eastAsia="Times New Roman" w:hAnsi="Times New Roman" w:cs="Times New Roman"/>
          <w:i/>
          <w:iCs/>
          <w:sz w:val="20"/>
          <w:szCs w:val="20"/>
          <w:lang w:eastAsia="lv-LV"/>
        </w:rPr>
        <w:t>RCM</w:t>
      </w:r>
      <w:r w:rsidRPr="00F253CE">
        <w:rPr>
          <w:rFonts w:ascii="Times New Roman" w:eastAsia="Times New Roman" w:hAnsi="Times New Roman" w:cs="Times New Roman"/>
          <w:sz w:val="20"/>
          <w:szCs w:val="20"/>
          <w:lang w:eastAsia="lv-LV"/>
        </w:rPr>
        <w:t xml:space="preserve"> Reģionālajās pamatnostādnēs par īpašu aizsardzību to bērnu repatriācijas gadījumos, kas ir cilvēku tirdzniecības upuri, 2007. gada aprīlis (dokuments apstiprināts Ņuorleānā, ASV, 12. </w:t>
      </w:r>
      <w:r w:rsidRPr="00F253CE">
        <w:rPr>
          <w:rFonts w:ascii="Times New Roman" w:eastAsia="Times New Roman" w:hAnsi="Times New Roman" w:cs="Times New Roman"/>
          <w:i/>
          <w:iCs/>
          <w:sz w:val="20"/>
          <w:szCs w:val="20"/>
          <w:lang w:eastAsia="lv-LV"/>
        </w:rPr>
        <w:t>RCM</w:t>
      </w:r>
      <w:r w:rsidRPr="00F253CE">
        <w:rPr>
          <w:rFonts w:ascii="Times New Roman" w:eastAsia="Times New Roman" w:hAnsi="Times New Roman" w:cs="Times New Roman"/>
          <w:sz w:val="20"/>
          <w:szCs w:val="20"/>
          <w:lang w:eastAsia="lv-LV"/>
        </w:rPr>
        <w:t>), pieejams http://www.ilo.org/ipec/Informationresources/WCMS_IPEC_PUB_11457/lang--en/index.htm.</w:t>
      </w:r>
    </w:p>
  </w:footnote>
  <w:footnote w:id="8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79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ICMPD</w:t>
      </w:r>
      <w:r w:rsidRPr="00F253CE">
        <w:rPr>
          <w:rFonts w:ascii="Times New Roman" w:eastAsia="Times New Roman" w:hAnsi="Times New Roman" w:cs="Times New Roman"/>
          <w:sz w:val="20"/>
          <w:szCs w:val="20"/>
          <w:lang w:eastAsia="lv-LV"/>
        </w:rPr>
        <w:t xml:space="preserve"> ir ieteicis, ka “struktūrām, kas atbild par </w:t>
      </w:r>
      <w:r w:rsidRPr="00F253CE">
        <w:rPr>
          <w:rFonts w:ascii="Times New Roman" w:eastAsia="Times New Roman" w:hAnsi="Times New Roman" w:cs="Times New Roman"/>
          <w:i/>
          <w:iCs/>
          <w:sz w:val="20"/>
          <w:szCs w:val="20"/>
          <w:lang w:eastAsia="lv-LV"/>
        </w:rPr>
        <w:t>NRM</w:t>
      </w:r>
      <w:r w:rsidRPr="00F253CE">
        <w:rPr>
          <w:rFonts w:ascii="Times New Roman" w:eastAsia="Times New Roman" w:hAnsi="Times New Roman" w:cs="Times New Roman"/>
          <w:sz w:val="20"/>
          <w:szCs w:val="20"/>
          <w:lang w:eastAsia="lv-LV"/>
        </w:rPr>
        <w:t xml:space="preserve"> un </w:t>
      </w:r>
      <w:r w:rsidRPr="00F253CE">
        <w:rPr>
          <w:rFonts w:ascii="Times New Roman" w:eastAsia="Times New Roman" w:hAnsi="Times New Roman" w:cs="Times New Roman"/>
          <w:i/>
          <w:iCs/>
          <w:sz w:val="20"/>
          <w:szCs w:val="20"/>
          <w:lang w:eastAsia="lv-LV"/>
        </w:rPr>
        <w:t>TRM</w:t>
      </w:r>
      <w:r w:rsidRPr="00F253CE">
        <w:rPr>
          <w:rFonts w:ascii="Times New Roman" w:eastAsia="Times New Roman" w:hAnsi="Times New Roman" w:cs="Times New Roman"/>
          <w:sz w:val="20"/>
          <w:szCs w:val="20"/>
          <w:lang w:eastAsia="lv-LV"/>
        </w:rPr>
        <w:t>, jānodrošina, ka starptautiskās sadarbības pieprasījumus attiecībā uz bērniem, kas ir cilvēku tirdzniecības upuri, pārvalda viena valsts iestāde”. Sk., </w:t>
      </w:r>
      <w:r w:rsidRPr="00F253CE">
        <w:rPr>
          <w:rFonts w:ascii="Times New Roman" w:eastAsia="Times New Roman" w:hAnsi="Times New Roman" w:cs="Times New Roman"/>
          <w:i/>
          <w:iCs/>
          <w:sz w:val="20"/>
          <w:szCs w:val="20"/>
          <w:lang w:eastAsia="lv-LV"/>
        </w:rPr>
        <w:t>ICMPD, The Way Forward in Establishing Effective Transnational Referral Mechanisms, A Report based on Experiences in Cases of Human Trafficking in South-Eastern Europe</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ICMPD</w:t>
      </w:r>
      <w:r w:rsidRPr="00F253CE">
        <w:rPr>
          <w:rFonts w:ascii="Times New Roman" w:eastAsia="Times New Roman" w:hAnsi="Times New Roman" w:cs="Times New Roman"/>
          <w:sz w:val="20"/>
          <w:szCs w:val="20"/>
          <w:lang w:eastAsia="lv-LV"/>
        </w:rPr>
        <w:t>, 2012) 111. lpp.</w:t>
      </w:r>
    </w:p>
  </w:footnote>
  <w:footnote w:id="8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10. un 11. pants </w:t>
      </w:r>
      <w:r w:rsidRPr="00F253CE">
        <w:rPr>
          <w:rFonts w:ascii="Times New Roman" w:eastAsia="Times New Roman" w:hAnsi="Times New Roman" w:cs="Times New Roman"/>
          <w:i/>
          <w:iCs/>
          <w:sz w:val="20"/>
          <w:szCs w:val="20"/>
          <w:lang w:eastAsia="lv-LV"/>
        </w:rPr>
        <w:t>RCM</w:t>
      </w:r>
      <w:r w:rsidRPr="00F253CE">
        <w:rPr>
          <w:rFonts w:ascii="Times New Roman" w:eastAsia="Times New Roman" w:hAnsi="Times New Roman" w:cs="Times New Roman"/>
          <w:sz w:val="20"/>
          <w:szCs w:val="20"/>
          <w:lang w:eastAsia="lv-LV"/>
        </w:rPr>
        <w:t xml:space="preserve"> Reģionālajās pamatnostādnēs par īpašu aizsardzību to bērnu repatriācijas gadījumos, kas ir cilvēku tirdzniecības upuri, 2007. gada aprīlis (dokuments apstiprināts Ņuorleānā, ASV, 12. </w:t>
      </w:r>
      <w:r w:rsidRPr="00F253CE">
        <w:rPr>
          <w:rFonts w:ascii="Times New Roman" w:eastAsia="Times New Roman" w:hAnsi="Times New Roman" w:cs="Times New Roman"/>
          <w:i/>
          <w:iCs/>
          <w:sz w:val="20"/>
          <w:szCs w:val="20"/>
          <w:lang w:eastAsia="lv-LV"/>
        </w:rPr>
        <w:t>RCM</w:t>
      </w:r>
      <w:r w:rsidRPr="00F253CE">
        <w:rPr>
          <w:rFonts w:ascii="Times New Roman" w:eastAsia="Times New Roman" w:hAnsi="Times New Roman" w:cs="Times New Roman"/>
          <w:sz w:val="20"/>
          <w:szCs w:val="20"/>
          <w:lang w:eastAsia="lv-LV"/>
        </w:rPr>
        <w:t>), pieejams http://www.ilo.org/ipec/Informationresources/WCMS_IPEC_PUB_11457/lang--en/index.htm.</w:t>
      </w:r>
    </w:p>
  </w:footnote>
  <w:footnote w:id="8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P. Cazenave, Protecting Migrant Children in a Freedom of Movement Area</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Transnational monitoring of return procedures involving Romanian and Bulgarian migrant children in Greece and France, Terre des hommes</w:t>
      </w:r>
      <w:r w:rsidRPr="00F253CE">
        <w:rPr>
          <w:rFonts w:ascii="Times New Roman" w:eastAsia="Times New Roman" w:hAnsi="Times New Roman" w:cs="Times New Roman"/>
          <w:sz w:val="20"/>
          <w:szCs w:val="20"/>
          <w:lang w:eastAsia="lv-LV"/>
        </w:rPr>
        <w:t xml:space="preserve"> (Budapešta, 2012), 7. lpp.</w:t>
      </w:r>
    </w:p>
  </w:footnote>
  <w:footnote w:id="8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Abas valstis 2002. gadā noslēdza sākotnējo vienošanos par bērnu repatriāciju. Francijas Parlamentārajā ziņojumā 2010. gadā bija skaidrots, ka “1990. gadu beigās Parīzē darbojās rumāņu jaunieši, kas aplaupīja stāvlaika skaitītājus, un tas bija piesaistījis plašsaziņas līdzekļu un valsts institūciju uzmanību par viņu stāvokli (..). Saskaņā ar 2001. gadā veiktajām aplēsēm Francijas teritorijā bija vismaz 500 Rumānijas nepilngadīgo bez pavadības” (oriģinālteksta neoficiāls tulkojums): </w:t>
      </w:r>
      <w:r w:rsidRPr="00F253CE">
        <w:rPr>
          <w:rFonts w:ascii="Times New Roman" w:eastAsia="Times New Roman" w:hAnsi="Times New Roman" w:cs="Times New Roman"/>
          <w:i/>
          <w:iCs/>
          <w:sz w:val="20"/>
          <w:szCs w:val="20"/>
          <w:lang w:eastAsia="lv-LV"/>
        </w:rPr>
        <w:t>C. Bourragué, Rapport fait au nom de la Commission des affaires étrangères sur le projet de loi, adopté par le Sénat, autorisant l’approbation de l’accord entre le Gouvernement de la République française et le Gouvernement de la Roumanie relatif à une coopération en vue de la protection des mineurs roumains isolés sur le territoire de la République française et à leur retour dans leur pays d’origine ainsi qu’à la lutte contre les réseaux d’exploitation concernant les mineurs.</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Enregistré à la Présidence de l’Assemblée nationale le 5 octobre 2010</w:t>
      </w:r>
      <w:r w:rsidRPr="00F253CE">
        <w:rPr>
          <w:rFonts w:ascii="Times New Roman" w:eastAsia="Times New Roman" w:hAnsi="Times New Roman" w:cs="Times New Roman"/>
          <w:sz w:val="20"/>
          <w:szCs w:val="20"/>
          <w:lang w:eastAsia="lv-LV"/>
        </w:rPr>
        <w:t>).</w:t>
      </w:r>
    </w:p>
  </w:footnote>
  <w:footnote w:id="8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Sk., piemēram, </w:t>
      </w:r>
      <w:r w:rsidRPr="00F253CE">
        <w:rPr>
          <w:rFonts w:ascii="Times New Roman" w:eastAsia="Times New Roman" w:hAnsi="Times New Roman" w:cs="Times New Roman"/>
          <w:i/>
          <w:iCs/>
          <w:sz w:val="20"/>
          <w:szCs w:val="20"/>
          <w:lang w:eastAsia="lv-LV"/>
        </w:rPr>
        <w:t>O. Peyroux un R. Icleanu, Research – Romania</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Diagnosis of the minors originating in Braila and Constanta who are victims of human trafficking</w:t>
      </w:r>
      <w:r w:rsidRPr="00F253CE">
        <w:rPr>
          <w:rFonts w:ascii="Times New Roman" w:eastAsia="Times New Roman" w:hAnsi="Times New Roman" w:cs="Times New Roman"/>
          <w:sz w:val="20"/>
          <w:szCs w:val="20"/>
          <w:lang w:eastAsia="lv-LV"/>
        </w:rPr>
        <w:t xml:space="preserve">, Ārlietu un starptautiskā attīstības ministrija (Francija) un </w:t>
      </w:r>
      <w:r w:rsidRPr="00F253CE">
        <w:rPr>
          <w:rFonts w:ascii="Times New Roman" w:eastAsia="Times New Roman" w:hAnsi="Times New Roman" w:cs="Times New Roman"/>
          <w:i/>
          <w:iCs/>
          <w:sz w:val="20"/>
          <w:szCs w:val="20"/>
          <w:lang w:eastAsia="lv-LV"/>
        </w:rPr>
        <w:t>Terre des Hommes</w:t>
      </w:r>
      <w:r w:rsidRPr="00F253CE">
        <w:rPr>
          <w:rFonts w:ascii="Times New Roman" w:eastAsia="Times New Roman" w:hAnsi="Times New Roman" w:cs="Times New Roman"/>
          <w:sz w:val="20"/>
          <w:szCs w:val="20"/>
          <w:lang w:eastAsia="lv-LV"/>
        </w:rPr>
        <w:t xml:space="preserve"> (2015).</w:t>
      </w:r>
    </w:p>
  </w:footnote>
  <w:footnote w:id="8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Sk. </w:t>
      </w:r>
      <w:r w:rsidRPr="00F253CE">
        <w:rPr>
          <w:rFonts w:ascii="Times New Roman" w:eastAsia="Times New Roman" w:hAnsi="Times New Roman" w:cs="Times New Roman"/>
          <w:i/>
          <w:iCs/>
          <w:sz w:val="20"/>
          <w:szCs w:val="20"/>
          <w:lang w:eastAsia="lv-LV"/>
        </w:rPr>
        <w:t>C. Charpentier, Coopération en Europe du sud-est contre la traite des êtres humains et la criminalité connexe</w:t>
      </w:r>
      <w:r w:rsidRPr="00F253CE">
        <w:rPr>
          <w:rFonts w:ascii="Times New Roman" w:eastAsia="Times New Roman" w:hAnsi="Times New Roman" w:cs="Times New Roman"/>
          <w:sz w:val="20"/>
          <w:szCs w:val="20"/>
          <w:lang w:eastAsia="lv-LV"/>
        </w:rPr>
        <w:t>. 2018. gada programma, kas papildināta ar personīgu saziņu ar autoru (2018. gada 20. jūnijs).</w:t>
      </w:r>
    </w:p>
  </w:footnote>
  <w:footnote w:id="8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P. Cazenave, Protecting Migrant Children in a Freedom of Movement Area</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Transnational monitoring of return procedures involving Romanian and Bulgarian migrant children in Greece and France, Terre des hommes</w:t>
      </w:r>
      <w:r w:rsidRPr="00F253CE">
        <w:rPr>
          <w:rFonts w:ascii="Times New Roman" w:eastAsia="Times New Roman" w:hAnsi="Times New Roman" w:cs="Times New Roman"/>
          <w:sz w:val="20"/>
          <w:szCs w:val="20"/>
          <w:lang w:eastAsia="lv-LV"/>
        </w:rPr>
        <w:t xml:space="preserve"> (Budapešta, 2012), 36. lpp.</w:t>
      </w:r>
    </w:p>
  </w:footnote>
  <w:footnote w:id="8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County Administrative Board of Stockholm, National Referral Mechanism – Protecting and supporting victims of Trafficking in Human Beings in Sweden</w:t>
      </w:r>
      <w:r w:rsidRPr="00F253CE">
        <w:rPr>
          <w:rFonts w:ascii="Times New Roman" w:eastAsia="Times New Roman" w:hAnsi="Times New Roman" w:cs="Times New Roman"/>
          <w:sz w:val="20"/>
          <w:szCs w:val="20"/>
          <w:lang w:eastAsia="lv-LV"/>
        </w:rPr>
        <w:t xml:space="preserve"> (Stokholma, 2016), 20. lpp.</w:t>
      </w:r>
    </w:p>
  </w:footnote>
  <w:footnote w:id="8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Sk. </w:t>
      </w:r>
      <w:r w:rsidRPr="00F253CE">
        <w:rPr>
          <w:rFonts w:ascii="Times New Roman" w:eastAsia="Times New Roman" w:hAnsi="Times New Roman" w:cs="Times New Roman"/>
          <w:i/>
          <w:iCs/>
          <w:sz w:val="20"/>
          <w:szCs w:val="20"/>
          <w:lang w:eastAsia="lv-LV"/>
        </w:rPr>
        <w:t>Kristina Voko and Izela Tahsini, Children on the Move in Albania</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Response of Child Protection System to Their Needs.</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Situational Analysis, Save the Children</w:t>
      </w:r>
      <w:r w:rsidRPr="00F253CE">
        <w:rPr>
          <w:rFonts w:ascii="Times New Roman" w:eastAsia="Times New Roman" w:hAnsi="Times New Roman" w:cs="Times New Roman"/>
          <w:sz w:val="20"/>
          <w:szCs w:val="20"/>
          <w:lang w:eastAsia="lv-LV"/>
        </w:rPr>
        <w:t xml:space="preserve"> (Tirāna, 2014). (https://albania.savethechildren.net/sites/albania.savethechildren.net/files/library/MARIO%20SITAN%20REPORT%20%28eng%29_1.pdf)</w:t>
      </w:r>
    </w:p>
  </w:footnote>
  <w:footnote w:id="8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Šeit ietilpst trīs bērnu grupas – bērni, kas dzīvo uz ielas, bērni, kas strādā uz ielas, un bērni no ģimenēm, kas dzīvo uz ielas.</w:t>
      </w:r>
    </w:p>
  </w:footnote>
  <w:footnote w:id="9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89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Voko/Tahsini, Children on the Move in Albania</w:t>
      </w:r>
      <w:r w:rsidRPr="00F253CE">
        <w:rPr>
          <w:rFonts w:ascii="Times New Roman" w:eastAsia="Times New Roman" w:hAnsi="Times New Roman" w:cs="Times New Roman"/>
          <w:sz w:val="20"/>
          <w:szCs w:val="20"/>
          <w:lang w:eastAsia="lv-LV"/>
        </w:rPr>
        <w:t>, op. cit.</w:t>
      </w:r>
    </w:p>
  </w:footnote>
  <w:footnote w:id="91">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90</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Iekšlietu ministrija un Nacionālais Cilvēku tirdzniecības novēršanas koordinatora birojs, Standartizētas operatīvās procedūras iespējamo cilvēku tirdzniecības upuru identifikācijai un nosūtīšanai (Tirāna, 2011).</w:t>
      </w:r>
    </w:p>
  </w:footnote>
  <w:footnote w:id="9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Ekspertu darbības grupa pret cilvēku tirdzniecību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Ziņojums par Eiropas Padomes Konvencijas par cīņu pret cilvēku tirdzniecību īstenošanu Albānijā. Otrā novērtēšanas kārta.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xml:space="preserve"> dok. GRETA(2016)6 (Strasbūra, 2016. gada jūnijs).</w:t>
      </w:r>
    </w:p>
  </w:footnote>
  <w:footnote w:id="9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Sociālo lietu un vienlīdzīgu iespēju nodrošināšanas ministrija (Albānija),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un </w:t>
      </w:r>
      <w:r w:rsidRPr="00F253CE">
        <w:rPr>
          <w:rFonts w:ascii="Times New Roman" w:eastAsia="Times New Roman" w:hAnsi="Times New Roman" w:cs="Times New Roman"/>
          <w:i/>
          <w:iCs/>
          <w:sz w:val="20"/>
          <w:szCs w:val="20"/>
          <w:lang w:eastAsia="lv-LV"/>
        </w:rPr>
        <w:t>Terre des hommes</w:t>
      </w:r>
      <w:r w:rsidRPr="00F253CE">
        <w:rPr>
          <w:rFonts w:ascii="Times New Roman" w:eastAsia="Times New Roman" w:hAnsi="Times New Roman" w:cs="Times New Roman"/>
          <w:sz w:val="20"/>
          <w:szCs w:val="20"/>
          <w:lang w:eastAsia="lv-LV"/>
        </w:rPr>
        <w:t>, Darba protokols strādājošo bērnu aizsardzībai (Tirāna, 2010) http://lastradainternational.org/lsidocs/1047_CPW_Protocol_ENG_original.pdf. Protokols tika izstrādāts ar mērķi palīdzēt Bērnu aizsardzības vienības personālam:</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saprast, kas ir bērnu aizsardzība;</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sniegt norādes par bērnu aizsardzības darbinieku darbu un mudināt viņus izmantot standartizētas pieejas;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ieviest bērna interešu principu;</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izveidot daudznozaru darba praksi, lai aizsargātu bērnus;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īstenot lietu pārvaldību kā līdzekli, lai identificētu, izstrādātu un pārskatītu aizsardzības pasākumus, kas veikti attiecībā uz atsevišķiem bērniem;</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nodrošināt uzticamu datu vākšanas sistēmu.</w:t>
      </w:r>
    </w:p>
  </w:footnote>
  <w:footnote w:id="9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Vadlīnijas un apmācība bija paredzēta šādām struktūrām:</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pašvaldības vienību darbiniekiem, kas strādā bērnu aizsardzības jomā;</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policijai;</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sociālo dienestu darbiniekiem, kas strādā pašvaldību grupās un dienas aprūpes centros;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valsts sociālo dienestu darbiniekiem;</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sociālajiem darbiniekiem, kas strādā nevalstiskajā sektorā (NVO);</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psihologiem un sociālajiem darbiniekiem skolās un pedagogiem izglītības iestādēs;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veselības aprūpes darbiniekiem;</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darba inspektoriem un</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citiem bērnu aizsardzības speciālistiem, ņemot vērā konkrētās vajadzības lietās, kurās iesaistīti ielu bērni.</w:t>
      </w:r>
    </w:p>
  </w:footnote>
  <w:footnote w:id="9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Ekspertu darbības grupa pret cilvēku tirdzniecību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Ziņojums par Eiropas Padomes Konvencijas par cīņu pret cilvēku tirdzniecību īstenošanu Albānijā. Otrā novērtēšanas kārta. Eiropas Padomes dok. GRETA(2016)6, (Strasbūra, 2016. gada jūnijs).</w:t>
      </w:r>
    </w:p>
  </w:footnote>
  <w:footnote w:id="9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2017. gadā Albānijā tika pieņemts arī jauns bērnu aizsardzības likums (Likums Nr. 18/2017 par bērnu tiesībām un aizsardzību; sk. turpmāk 5.1. sadaļu), kurā noteikts, kā jārīkojas iestādēm, kad ir pamats aizdomām par ielu bērna ekspluatāciju (64. pants). Tajā noteikts, ka darbiniekiem, kas strādā bērnu aizsardzības jomā, ir jāveic sākotnējais novērtējums un, ja nepieciešams, jāstrādā kopā ar citiem darbiniekiem starpnozaru tehniskajā grupā (t. i., daudznozaru grupā), lai izstrādātu bērna individuālo aizsardzības plānu. Ir paredzētas vairākas iespējas, tostarp nodrošina, ka bērns tiek reģistrēts skolā un/vai bērns regulāri apmeklē skolu; sniedz atbalstu mācībās, izmantojot īpašus skolotājus vai klases; aizliedz bērnam uzturēties konkrētās vietās; sniedz psiholoģiskās konsultācijas un nodrošina ārstēšanu, ja tas ir nepieciešams.</w:t>
      </w:r>
    </w:p>
  </w:footnote>
  <w:footnote w:id="9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Centrs “Pagriežams galds” ārvalstu nepilngadīgiem bērniem bez pavadības [</w:t>
      </w:r>
      <w:r w:rsidRPr="00F253CE">
        <w:rPr>
          <w:rFonts w:ascii="Times New Roman" w:eastAsia="Times New Roman" w:hAnsi="Times New Roman" w:cs="Times New Roman"/>
          <w:i/>
          <w:iCs/>
          <w:sz w:val="20"/>
          <w:szCs w:val="20"/>
          <w:lang w:eastAsia="lv-LV"/>
        </w:rPr>
        <w:t>Drehscheibe für unbegleitete minderjährige Fremde</w:t>
      </w:r>
      <w:r w:rsidRPr="00F253CE">
        <w:rPr>
          <w:rFonts w:ascii="Times New Roman" w:eastAsia="Times New Roman" w:hAnsi="Times New Roman" w:cs="Times New Roman"/>
          <w:sz w:val="20"/>
          <w:szCs w:val="20"/>
          <w:lang w:eastAsia="lv-LV"/>
        </w:rPr>
        <w:t>]. Tas tiek klasificēts kā Vīnes Jauniešu un ģimenes biroja sociāli pedagoģiskā iestāde.</w:t>
      </w:r>
    </w:p>
  </w:footnote>
  <w:footnote w:id="9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Ziņas par bērniem, kas nosūtīti uz centru “</w:t>
      </w:r>
      <w:r w:rsidRPr="00F253CE">
        <w:rPr>
          <w:rFonts w:ascii="Times New Roman" w:eastAsia="Times New Roman" w:hAnsi="Times New Roman" w:cs="Times New Roman"/>
          <w:i/>
          <w:iCs/>
          <w:sz w:val="20"/>
          <w:szCs w:val="20"/>
          <w:lang w:eastAsia="lv-LV"/>
        </w:rPr>
        <w:t>Drehscheibe</w:t>
      </w:r>
      <w:r w:rsidRPr="00F253CE">
        <w:rPr>
          <w:rFonts w:ascii="Times New Roman" w:eastAsia="Times New Roman" w:hAnsi="Times New Roman" w:cs="Times New Roman"/>
          <w:sz w:val="20"/>
          <w:szCs w:val="20"/>
          <w:lang w:eastAsia="lv-LV"/>
        </w:rPr>
        <w:t>”, tika sniegtas Vīnes Bērnu, kas ir cilvēku tirdzniecības upuri, centrā [</w:t>
      </w:r>
      <w:r w:rsidRPr="00F253CE">
        <w:rPr>
          <w:rFonts w:ascii="Times New Roman" w:eastAsia="Times New Roman" w:hAnsi="Times New Roman" w:cs="Times New Roman"/>
          <w:i/>
          <w:iCs/>
          <w:sz w:val="20"/>
          <w:szCs w:val="20"/>
          <w:lang w:eastAsia="lv-LV"/>
        </w:rPr>
        <w:t>Zentrum für unbegleitete minderjährige Opfer von Kinderhandel “Drehscheibe”</w:t>
      </w:r>
      <w:r w:rsidRPr="00F253CE">
        <w:rPr>
          <w:rFonts w:ascii="Times New Roman" w:eastAsia="Times New Roman" w:hAnsi="Times New Roman" w:cs="Times New Roman"/>
          <w:sz w:val="20"/>
          <w:szCs w:val="20"/>
          <w:lang w:eastAsia="lv-LV"/>
        </w:rPr>
        <w:t>] (Vīne, 2009):http://cor.europa.eu/en/archived/documents/2fe0f4f1-7dd3-4089-931f-1c0b33eb60b0.pdf.</w:t>
      </w:r>
    </w:p>
  </w:footnote>
  <w:footnote w:id="9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A. Nonchev and M. Mancheva, Assisting and Reintegrating Child Victims of Trafficking – Improving Policy and Practice in the EU Member States, Center for the Study of Democracy</w:t>
      </w:r>
      <w:r w:rsidRPr="00F253CE">
        <w:rPr>
          <w:rFonts w:ascii="Times New Roman" w:eastAsia="Times New Roman" w:hAnsi="Times New Roman" w:cs="Times New Roman"/>
          <w:sz w:val="20"/>
          <w:szCs w:val="20"/>
          <w:lang w:eastAsia="lv-LV"/>
        </w:rPr>
        <w:t xml:space="preserve"> (Sofija, 2013). www.csd.bg/fileSrc.php?id=21295</w:t>
      </w:r>
    </w:p>
  </w:footnote>
  <w:footnote w:id="10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99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S. Koppenberg, Unbegleitete Minderjährige in Österreich.</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Rechtsrahmen, Praxis und Statistiken, IOM</w:t>
      </w:r>
      <w:r w:rsidRPr="00F253CE">
        <w:rPr>
          <w:rFonts w:ascii="Times New Roman" w:eastAsia="Times New Roman" w:hAnsi="Times New Roman" w:cs="Times New Roman"/>
          <w:sz w:val="20"/>
          <w:szCs w:val="20"/>
          <w:lang w:eastAsia="lv-LV"/>
        </w:rPr>
        <w:t xml:space="preserve"> (Vīne, 2014), 64. lpp.: http://www.emn.at/wp-content/uploads/2017/01/EMN_UAM-Study2104_AT_EMN_NCP_de.pdf.</w:t>
      </w:r>
    </w:p>
  </w:footnote>
  <w:footnote w:id="10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6. pants (Bērna interešu piemērošana), Likums Nr. 18/2017 par bērna tiesībām un aizsardzību (Tirāna, 2017. gada maijs).</w:t>
      </w:r>
    </w:p>
  </w:footnote>
  <w:footnote w:id="10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Sk. http://www.consultant.ru/document/cons_doc_LAW_19558.</w:t>
      </w:r>
    </w:p>
  </w:footnote>
  <w:footnote w:id="10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Ar 2001. un 2004. gada grozījumiem; sk. https://www.lawmix.ru/mskzk/13639.</w:t>
      </w:r>
    </w:p>
  </w:footnote>
  <w:footnote w:id="10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Bērnu tiesību komitejas Vispārējais komentārs Nr. 14 (2013) par bērnu tiesībām uz to, lai primārais apsvērums būtu viņu intereses (3. panta 1. punkts), ANO dok. CRC/C/GC14 (2013. gada 29. Maijs).</w:t>
      </w:r>
    </w:p>
  </w:footnote>
  <w:footnote w:id="10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Bērnu tiesību komitejas Vispārējais komentārs Nr. 6 (2005) “Rīcība attiecībā uz nepavadītiem un nošķirtiem bērniem ārpus viņu izcelsmes valsts” (2005) ANO dok. CRC/GC/2005/6 (2005. gada 1. septembris), 19. punkts. Sk. arī Bērnu tiesību komitejas Vispārējais komentārs Nr. 14 (2013) par bērnu tiesībām uz to, lai primārais apsvērums būtu viņu intereses (3. panta 1. punkts), ANO dok. CRC/C/GC14 (2013. gada 29. maijs).</w:t>
      </w:r>
    </w:p>
  </w:footnote>
  <w:footnote w:id="10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UNHCR</w:t>
      </w:r>
      <w:r w:rsidRPr="00F253CE">
        <w:rPr>
          <w:rFonts w:ascii="Times New Roman" w:eastAsia="Times New Roman" w:hAnsi="Times New Roman" w:cs="Times New Roman"/>
          <w:sz w:val="20"/>
          <w:szCs w:val="20"/>
          <w:lang w:eastAsia="lv-LV"/>
        </w:rPr>
        <w:t xml:space="preserve"> un Starptautiskā glābšanas komiteja, Nozares rokasgrāmata </w:t>
      </w:r>
      <w:r w:rsidRPr="00F253CE">
        <w:rPr>
          <w:rFonts w:ascii="Times New Roman" w:eastAsia="Times New Roman" w:hAnsi="Times New Roman" w:cs="Times New Roman"/>
          <w:i/>
          <w:iCs/>
          <w:sz w:val="20"/>
          <w:szCs w:val="20"/>
          <w:lang w:eastAsia="lv-LV"/>
        </w:rPr>
        <w:t>UNHCR BID</w:t>
      </w:r>
      <w:r w:rsidRPr="00F253CE">
        <w:rPr>
          <w:rFonts w:ascii="Times New Roman" w:eastAsia="Times New Roman" w:hAnsi="Times New Roman" w:cs="Times New Roman"/>
          <w:sz w:val="20"/>
          <w:szCs w:val="20"/>
          <w:lang w:eastAsia="lv-LV"/>
        </w:rPr>
        <w:t xml:space="preserve"> vadlīniju īstenošanai [</w:t>
      </w:r>
      <w:r w:rsidRPr="00F253CE">
        <w:rPr>
          <w:rFonts w:ascii="Times New Roman" w:eastAsia="Times New Roman" w:hAnsi="Times New Roman" w:cs="Times New Roman"/>
          <w:i/>
          <w:iCs/>
          <w:sz w:val="20"/>
          <w:szCs w:val="20"/>
          <w:lang w:eastAsia="lv-LV"/>
        </w:rPr>
        <w:t>Field Handbook for the Implementation of UNHCR BID Guidelines</w:t>
      </w:r>
      <w:r w:rsidRPr="00F253CE">
        <w:rPr>
          <w:rFonts w:ascii="Times New Roman" w:eastAsia="Times New Roman" w:hAnsi="Times New Roman" w:cs="Times New Roman"/>
          <w:sz w:val="20"/>
          <w:szCs w:val="20"/>
          <w:lang w:eastAsia="lv-LV"/>
        </w:rPr>
        <w:t>] (Ženēva, 2011), 112. lpp.</w:t>
      </w:r>
    </w:p>
  </w:footnote>
  <w:footnote w:id="10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Turpat.</w:t>
      </w:r>
    </w:p>
  </w:footnote>
  <w:footnote w:id="10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Kopīgais vispārējais komentārs Nr. 3 (2017), ko sniegusi Visu migrējošo darba ņēmēju un viņu ģimenes locekļu tiesību aizsardzības komiteja, un Nr. 22 (2017), ko sniegusi Bērnu tiesību komiteja par vispārējiem principiem saistībā ar bērnu cilvēktiesībām starptautiskās migrācijas kontekstā (ANO dok. CMW/C/GC/3-CRC/C/GC/22 (2017. gada 16. novembris).</w:t>
      </w:r>
    </w:p>
  </w:footnote>
  <w:footnote w:id="10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UNHCR</w:t>
      </w:r>
      <w:r w:rsidRPr="00F253CE">
        <w:rPr>
          <w:rFonts w:ascii="Times New Roman" w:eastAsia="Times New Roman" w:hAnsi="Times New Roman" w:cs="Times New Roman"/>
          <w:sz w:val="20"/>
          <w:szCs w:val="20"/>
          <w:lang w:eastAsia="lv-LV"/>
        </w:rPr>
        <w:t xml:space="preserve"> un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Droši un veseli. Ko valstis var darīt, lai nodrošinātu, ka Eiropā tiek ievērotas bez pavadības nepilngadīgo un no vecākiem nošķirtu bērnu labākās intereses (2014).</w:t>
      </w:r>
    </w:p>
  </w:footnote>
  <w:footnote w:id="11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109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N. Finch, Better support, better protection:</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Steps lawyers and guardians can take to better identify and protect trafficked children, ECPAT UK</w:t>
      </w:r>
      <w:r w:rsidRPr="00F253CE">
        <w:rPr>
          <w:rFonts w:ascii="Times New Roman" w:eastAsia="Times New Roman" w:hAnsi="Times New Roman" w:cs="Times New Roman"/>
          <w:sz w:val="20"/>
          <w:szCs w:val="20"/>
          <w:lang w:eastAsia="lv-LV"/>
        </w:rPr>
        <w:t xml:space="preserve"> (Londona, 2016).</w:t>
      </w:r>
    </w:p>
  </w:footnote>
  <w:footnote w:id="11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Šķiet, ir maz pieejamu jaunāko datu. 2010. gada ziņojumā ir norādīts, ka tikai 12 no 27 ES dalībvalstīm bija izstrādātas standartizētas procedūras par ārvalstu bērnu (tostarp bērnu, kas ir cilvēku tirdzniecības upuri) interešu noteikšanu un ka tikai 9 dalībvalstīs 2008.–2009. gadā šī procedūra bija praksē novērota. Sk. E-piezīmes, Ziņojums par cilvēku tirdzniecības novēršanas politikas un intervences pasākumu īstenošanu 27 ES dalībvalstīs no cilvēktiesību skatupunkta (2008 un 2009), </w:t>
      </w:r>
      <w:r w:rsidRPr="00F253CE">
        <w:rPr>
          <w:rFonts w:ascii="Times New Roman" w:eastAsia="Times New Roman" w:hAnsi="Times New Roman" w:cs="Times New Roman"/>
          <w:i/>
          <w:iCs/>
          <w:sz w:val="20"/>
          <w:szCs w:val="20"/>
          <w:lang w:eastAsia="lv-LV"/>
        </w:rPr>
        <w:t>Associazione On the Road (Martinsicuro</w:t>
      </w:r>
      <w:r w:rsidRPr="00F253CE">
        <w:rPr>
          <w:rFonts w:ascii="Times New Roman" w:eastAsia="Times New Roman" w:hAnsi="Times New Roman" w:cs="Times New Roman"/>
          <w:sz w:val="20"/>
          <w:szCs w:val="20"/>
          <w:lang w:eastAsia="lv-LV"/>
        </w:rPr>
        <w:t xml:space="preserve"> [Itālija], 2010), 90. lpp.</w:t>
      </w:r>
    </w:p>
  </w:footnote>
  <w:footnote w:id="11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Los Angeles County, Law Enforcement First Responder Protocol for Commercially Sexually Exploited Children</w:t>
      </w:r>
      <w:r w:rsidRPr="00F253CE">
        <w:rPr>
          <w:rFonts w:ascii="Times New Roman" w:eastAsia="Times New Roman" w:hAnsi="Times New Roman" w:cs="Times New Roman"/>
          <w:sz w:val="20"/>
          <w:szCs w:val="20"/>
          <w:lang w:eastAsia="lv-LV"/>
        </w:rPr>
        <w:t xml:space="preserve"> (Kalifornija, 2015), F sadaļa. </w:t>
      </w:r>
      <w:r w:rsidRPr="00F253CE">
        <w:rPr>
          <w:rFonts w:ascii="Times New Roman" w:eastAsia="Times New Roman" w:hAnsi="Times New Roman" w:cs="Times New Roman"/>
          <w:i/>
          <w:iCs/>
          <w:sz w:val="20"/>
          <w:szCs w:val="20"/>
          <w:lang w:eastAsia="lv-LV"/>
        </w:rPr>
        <w:t>Emergency Housing/Shelter Beds</w:t>
      </w:r>
      <w:r w:rsidRPr="00F253CE">
        <w:rPr>
          <w:rFonts w:ascii="Times New Roman" w:eastAsia="Times New Roman" w:hAnsi="Times New Roman" w:cs="Times New Roman"/>
          <w:sz w:val="20"/>
          <w:szCs w:val="20"/>
          <w:lang w:eastAsia="lv-LV"/>
        </w:rPr>
        <w:t>, 19. lpp.</w:t>
      </w:r>
    </w:p>
  </w:footnote>
  <w:footnote w:id="11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Proti, Rumānijas mehānisms cietušo nosūtīšanani, valdības Lēmums Nr. 1443/2004 par nepavadītu bērnu un/vai bērnu, kas ir cilvēku tirdzniecības upuri, repatriāciju, valdības Lēmums Nr. 49/2011, ar kuru apstiprina pamata metodiku attiecībā uz vardarb</w:t>
      </w:r>
      <w:bookmarkStart w:id="0" w:name="_GoBack"/>
      <w:bookmarkEnd w:id="0"/>
      <w:r w:rsidRPr="00F253CE">
        <w:rPr>
          <w:rFonts w:ascii="Times New Roman" w:eastAsia="Times New Roman" w:hAnsi="Times New Roman" w:cs="Times New Roman"/>
          <w:sz w:val="20"/>
          <w:szCs w:val="20"/>
          <w:lang w:eastAsia="lv-LV"/>
        </w:rPr>
        <w:t xml:space="preserve">ības pret bērniem un vardarbības ģimenē novēršanu un daudznozaru grupas iejaukšanos šādā gadījumā, kā arī daudznozaru un starpinstitucionālās iejaukšanās metodika gadījumiem, kas saistīti ar bērnu darba ekspluatāciju vai šādas ekspluatācijas risku, bērniem, kas ir cilvēku tirdzniecības upuri, un Rumānijas bērniem migrantiem, kas ir citu veidu vardarbības upuri citās valstīs (citēts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6. ikgadējais ziņojums (Strasbūra, 2017), 123. punkts).</w:t>
      </w:r>
    </w:p>
  </w:footnote>
  <w:footnote w:id="11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EDSO Cilvēku tirdzniecības apkarošanas īpašā pārstāvja un koordinatora birojs, 2016. gada apsekošanas ziņojums par centieniem īstenot EDSO saistības un ieteiktos pasākumus cīņai pret cilvēku tirdzniecību [</w:t>
      </w:r>
      <w:r w:rsidRPr="00F253CE">
        <w:rPr>
          <w:rFonts w:ascii="Times New Roman" w:eastAsia="Times New Roman" w:hAnsi="Times New Roman" w:cs="Times New Roman"/>
          <w:i/>
          <w:iCs/>
          <w:sz w:val="20"/>
          <w:szCs w:val="20"/>
          <w:lang w:eastAsia="lv-LV"/>
        </w:rPr>
        <w:t>Survey Report 2016 of Efforts to Implement OSCE Commitments and Recommended Actions to Combat Trafficking in Human Beings</w:t>
      </w:r>
      <w:r w:rsidRPr="00F253CE">
        <w:rPr>
          <w:rFonts w:ascii="Times New Roman" w:eastAsia="Times New Roman" w:hAnsi="Times New Roman" w:cs="Times New Roman"/>
          <w:sz w:val="20"/>
          <w:szCs w:val="20"/>
          <w:lang w:eastAsia="lv-LV"/>
        </w:rPr>
        <w:t>], EDSO (Vīne, 2016).</w:t>
      </w:r>
    </w:p>
  </w:footnote>
  <w:footnote w:id="11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Starptautiskās Migrācijas organizācijas (</w:t>
      </w:r>
      <w:r w:rsidRPr="00F253CE">
        <w:rPr>
          <w:rFonts w:ascii="Times New Roman" w:eastAsia="Times New Roman" w:hAnsi="Times New Roman" w:cs="Times New Roman"/>
          <w:i/>
          <w:iCs/>
          <w:sz w:val="20"/>
          <w:szCs w:val="20"/>
          <w:lang w:eastAsia="lv-LV"/>
        </w:rPr>
        <w:t>IOM</w:t>
      </w:r>
      <w:r w:rsidRPr="00F253CE">
        <w:rPr>
          <w:rFonts w:ascii="Times New Roman" w:eastAsia="Times New Roman" w:hAnsi="Times New Roman" w:cs="Times New Roman"/>
          <w:sz w:val="20"/>
          <w:szCs w:val="20"/>
          <w:lang w:eastAsia="lv-LV"/>
        </w:rPr>
        <w:t xml:space="preserve">) sniegtie dati par 2005. gadu attiecībā uz 100 bērniem, kuri, domājams, tika nelikumīgi izvesti uz ārvalstīm laikposmā no 2001. gada sākuma līdz 2005. gada septembrim un kuri bija saņēmuši aprūpi </w:t>
      </w:r>
      <w:r w:rsidRPr="00F253CE">
        <w:rPr>
          <w:rFonts w:ascii="Times New Roman" w:eastAsia="Times New Roman" w:hAnsi="Times New Roman" w:cs="Times New Roman"/>
          <w:i/>
          <w:iCs/>
          <w:sz w:val="20"/>
          <w:szCs w:val="20"/>
          <w:lang w:eastAsia="lv-LV"/>
        </w:rPr>
        <w:t>IOM</w:t>
      </w:r>
      <w:r w:rsidRPr="00F253CE">
        <w:rPr>
          <w:rFonts w:ascii="Times New Roman" w:eastAsia="Times New Roman" w:hAnsi="Times New Roman" w:cs="Times New Roman"/>
          <w:sz w:val="20"/>
          <w:szCs w:val="20"/>
          <w:lang w:eastAsia="lv-LV"/>
        </w:rPr>
        <w:t xml:space="preserve"> un</w:t>
      </w:r>
      <w:r w:rsidRPr="00F253CE">
        <w:rPr>
          <w:rFonts w:ascii="Times New Roman" w:eastAsia="Times New Roman" w:hAnsi="Times New Roman" w:cs="Times New Roman"/>
          <w:i/>
          <w:iCs/>
          <w:sz w:val="20"/>
          <w:szCs w:val="20"/>
          <w:lang w:eastAsia="lv-LV"/>
        </w:rPr>
        <w:t xml:space="preserve"> UNICEF</w:t>
      </w:r>
      <w:r w:rsidRPr="00F253CE">
        <w:rPr>
          <w:rFonts w:ascii="Times New Roman" w:eastAsia="Times New Roman" w:hAnsi="Times New Roman" w:cs="Times New Roman"/>
          <w:sz w:val="20"/>
          <w:szCs w:val="20"/>
          <w:lang w:eastAsia="lv-LV"/>
        </w:rPr>
        <w:t xml:space="preserve"> vadītajā izmitināšanas centrā Moldovā, liecina, ka 30 bērni bijuši Krievijā, 20 bērni bijuši cilvēku tirdzniecības upuri pašā Moldovā, 10 bijuši Bosnijā un Hercegovinā un 9 bijuši Polijā. Nākamais lielākais bērnu skaits bija tādās valstīs kā Serbija, Melnkalne un Turcija (katrā valstī 5).</w:t>
      </w:r>
    </w:p>
  </w:footnote>
  <w:footnote w:id="11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Oriģinālteksts moldāvu valodā: </w:t>
      </w:r>
      <w:r w:rsidRPr="00F253CE">
        <w:rPr>
          <w:rFonts w:ascii="Times New Roman" w:eastAsia="Times New Roman" w:hAnsi="Times New Roman" w:cs="Times New Roman"/>
          <w:i/>
          <w:iCs/>
          <w:sz w:val="20"/>
          <w:szCs w:val="20"/>
          <w:lang w:eastAsia="lv-LV"/>
        </w:rPr>
        <w:t>Hotarîre Nr.948 din07.08.2008 pentru aprobarea Regulamentului privind procedura de repatriere a copiilor si adultilor – victime ale traficului de fiinte umane, traficului ilegal de migranti, precum si a copiilor neînsotiti</w:t>
      </w:r>
      <w:r w:rsidRPr="00F253CE">
        <w:rPr>
          <w:rFonts w:ascii="Times New Roman" w:eastAsia="Times New Roman" w:hAnsi="Times New Roman" w:cs="Times New Roman"/>
          <w:sz w:val="20"/>
          <w:szCs w:val="20"/>
          <w:lang w:eastAsia="lv-LV"/>
        </w:rPr>
        <w:t>; piekļūts: http://lex.justice.md/index.php?action=view&amp;view=doc&amp;lang=1&amp;id=328840.</w:t>
      </w:r>
    </w:p>
  </w:footnote>
  <w:footnote w:id="11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Ekspertu darbības grupa pret cilvēku tirdzniecību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Ziņojums par Eiropas Padomes Konvencijas par cīņu pret cilvēku tirdzniecību īstenošanu Moldāvijas Republikā, Eiropas Padomes dok. GRETA(2011)25</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(2012. gada 22. februāris), 136. punkts.</w:t>
      </w:r>
    </w:p>
  </w:footnote>
  <w:footnote w:id="11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Lege Nr. 140 din 14.06.2013 privind protectia speciala a copiilor aflati în situatie de risc si a copiilor separati de parinti</w:t>
      </w:r>
      <w:r w:rsidRPr="00F253CE">
        <w:rPr>
          <w:rFonts w:ascii="Times New Roman" w:eastAsia="Times New Roman" w:hAnsi="Times New Roman" w:cs="Times New Roman"/>
          <w:sz w:val="20"/>
          <w:szCs w:val="20"/>
          <w:lang w:eastAsia="lv-LV"/>
        </w:rPr>
        <w:t>, piekļūts http://lex.justice.md/md/348972.</w:t>
      </w:r>
    </w:p>
  </w:footnote>
  <w:footnote w:id="11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DSAĢM un </w:t>
      </w:r>
      <w:r w:rsidRPr="00F253CE">
        <w:rPr>
          <w:rFonts w:ascii="Times New Roman" w:eastAsia="Times New Roman" w:hAnsi="Times New Roman" w:cs="Times New Roman"/>
          <w:i/>
          <w:iCs/>
          <w:sz w:val="20"/>
          <w:szCs w:val="20"/>
          <w:lang w:eastAsia="lv-LV"/>
        </w:rPr>
        <w:t>Terre des Hommes</w:t>
      </w:r>
      <w:r w:rsidRPr="00F253CE">
        <w:rPr>
          <w:rFonts w:ascii="Times New Roman" w:eastAsia="Times New Roman" w:hAnsi="Times New Roman" w:cs="Times New Roman"/>
          <w:sz w:val="20"/>
          <w:szCs w:val="20"/>
          <w:lang w:eastAsia="lv-LV"/>
        </w:rPr>
        <w:t xml:space="preserve"> (Kišiņeva, 2014). Publicēta arī moldāvu valodā (</w:t>
      </w:r>
      <w:r w:rsidRPr="00F253CE">
        <w:rPr>
          <w:rFonts w:ascii="Times New Roman" w:eastAsia="Times New Roman" w:hAnsi="Times New Roman" w:cs="Times New Roman"/>
          <w:i/>
          <w:iCs/>
          <w:sz w:val="20"/>
          <w:szCs w:val="20"/>
          <w:lang w:eastAsia="lv-LV"/>
        </w:rPr>
        <w:t>Ghidul pentru profesionisti.</w:t>
      </w:r>
      <w:r w:rsidRPr="00F253CE">
        <w:rPr>
          <w:rFonts w:ascii="Times New Roman" w:eastAsia="Times New Roman" w:hAnsi="Times New Roman" w:cs="Times New Roman"/>
          <w:sz w:val="20"/>
          <w:szCs w:val="20"/>
          <w:lang w:eastAsia="lv-LV"/>
        </w:rPr>
        <w:t> </w:t>
      </w:r>
      <w:r w:rsidRPr="00F253CE">
        <w:rPr>
          <w:rFonts w:ascii="Times New Roman" w:eastAsia="Times New Roman" w:hAnsi="Times New Roman" w:cs="Times New Roman"/>
          <w:i/>
          <w:iCs/>
          <w:sz w:val="20"/>
          <w:szCs w:val="20"/>
          <w:lang w:eastAsia="lv-LV"/>
        </w:rPr>
        <w:t>Managementul Cazului pentru copii identificati fara însotitori legali pe teritoriile altor state</w:t>
      </w:r>
      <w:r w:rsidRPr="00F253CE">
        <w:rPr>
          <w:rFonts w:ascii="Times New Roman" w:eastAsia="Times New Roman" w:hAnsi="Times New Roman" w:cs="Times New Roman"/>
          <w:sz w:val="20"/>
          <w:szCs w:val="20"/>
          <w:lang w:eastAsia="lv-LV"/>
        </w:rPr>
        <w:t>: http://tdh-moldova.md/media/files/files/ghid_profesionishti_ro_8146391.pdf) un krievu valodā (</w:t>
      </w:r>
      <w:r w:rsidRPr="00F253CE">
        <w:rPr>
          <w:rFonts w:ascii="Times New Roman" w:eastAsia="Times New Roman" w:hAnsi="Times New Roman" w:cs="Times New Roman"/>
          <w:i/>
          <w:iCs/>
          <w:sz w:val="20"/>
          <w:szCs w:val="20"/>
          <w:lang w:eastAsia="lv-LV"/>
        </w:rPr>
        <w:t>Профессиональное Руководство:</w:t>
      </w:r>
      <w:r w:rsidRPr="00F253CE">
        <w:rPr>
          <w:rFonts w:ascii="Times New Roman" w:eastAsia="Times New Roman" w:hAnsi="Times New Roman" w:cs="Times New Roman"/>
          <w:sz w:val="20"/>
          <w:szCs w:val="20"/>
          <w:lang w:eastAsia="lv-LV"/>
        </w:rPr>
        <w:t xml:space="preserve"> http://childhub.org/sites/default/files/library/attachments/ghid_profesionishti_ru.pdf).</w:t>
      </w:r>
    </w:p>
  </w:footnote>
  <w:footnote w:id="12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119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I.A. Aļeksejeva un I.G. Novoseļskis, “Kā uzklausīt bērnu” [</w:t>
      </w:r>
      <w:r w:rsidRPr="00F253CE">
        <w:rPr>
          <w:rFonts w:ascii="Times New Roman" w:eastAsia="Times New Roman" w:hAnsi="Times New Roman" w:cs="Times New Roman"/>
          <w:i/>
          <w:iCs/>
          <w:sz w:val="20"/>
          <w:szCs w:val="20"/>
          <w:lang w:eastAsia="lv-LV"/>
        </w:rPr>
        <w:t>И.А. Алексеева &amp; И.Г. Новосельский, Как Усльішать Ребенка</w:t>
      </w:r>
      <w:r w:rsidRPr="00F253CE">
        <w:rPr>
          <w:rFonts w:ascii="Times New Roman" w:eastAsia="Times New Roman" w:hAnsi="Times New Roman" w:cs="Times New Roman"/>
          <w:sz w:val="20"/>
          <w:szCs w:val="20"/>
          <w:lang w:eastAsia="lv-LV"/>
        </w:rPr>
        <w:t xml:space="preserve">], (1. sējums speciālistiem un 2. sējums “Ilustrēti norādījumi” (bērniem)), Krievijas Nacionālais cietsirdīgas attieksmes pret bērniem novēršanas fonds, </w:t>
      </w:r>
      <w:r w:rsidRPr="00F253CE">
        <w:rPr>
          <w:rFonts w:ascii="Times New Roman" w:eastAsia="Times New Roman" w:hAnsi="Times New Roman" w:cs="Times New Roman"/>
          <w:i/>
          <w:iCs/>
          <w:sz w:val="20"/>
          <w:szCs w:val="20"/>
          <w:lang w:eastAsia="lv-LV"/>
        </w:rPr>
        <w:t>Terre des Hommes</w:t>
      </w:r>
      <w:r w:rsidRPr="00F253CE">
        <w:rPr>
          <w:rFonts w:ascii="Times New Roman" w:eastAsia="Times New Roman" w:hAnsi="Times New Roman" w:cs="Times New Roman"/>
          <w:sz w:val="20"/>
          <w:szCs w:val="20"/>
          <w:lang w:eastAsia="lv-LV"/>
        </w:rPr>
        <w:t xml:space="preserve"> un </w:t>
      </w:r>
      <w:r w:rsidRPr="00F253CE">
        <w:rPr>
          <w:rFonts w:ascii="Times New Roman" w:eastAsia="Times New Roman" w:hAnsi="Times New Roman" w:cs="Times New Roman"/>
          <w:i/>
          <w:iCs/>
          <w:sz w:val="20"/>
          <w:szCs w:val="20"/>
          <w:lang w:eastAsia="lv-LV"/>
        </w:rPr>
        <w:t>SDC</w:t>
      </w:r>
      <w:r w:rsidRPr="00F253CE">
        <w:rPr>
          <w:rFonts w:ascii="Times New Roman" w:eastAsia="Times New Roman" w:hAnsi="Times New Roman" w:cs="Times New Roman"/>
          <w:sz w:val="20"/>
          <w:szCs w:val="20"/>
          <w:lang w:eastAsia="lv-LV"/>
        </w:rPr>
        <w:t xml:space="preserve"> (Maskava, 2012). http://docplayer. ru/46931124-I-a-alekseeva-i-g-novoselskiy-kak-uslyshat-rebenka.html.</w:t>
      </w:r>
    </w:p>
  </w:footnote>
  <w:footnote w:id="12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120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E. Delap and J. Wedge, Reintegration Guidelines, Inter-agency group on children’s reintegration</w:t>
      </w:r>
      <w:r w:rsidRPr="00F253CE">
        <w:rPr>
          <w:rFonts w:ascii="Times New Roman" w:eastAsia="Times New Roman" w:hAnsi="Times New Roman" w:cs="Times New Roman"/>
          <w:sz w:val="20"/>
          <w:szCs w:val="20"/>
          <w:lang w:eastAsia="lv-LV"/>
        </w:rPr>
        <w:t xml:space="preserve"> (Londona, 2016).</w:t>
      </w:r>
    </w:p>
  </w:footnote>
  <w:footnote w:id="12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121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R. Surtees, Ethical principles in the re/integration of trafficked persons</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Experiences from the Balkans, Nexus Institute and the King Baudouin Foundation</w:t>
      </w:r>
      <w:r w:rsidRPr="00F253CE">
        <w:rPr>
          <w:rFonts w:ascii="Times New Roman" w:eastAsia="Times New Roman" w:hAnsi="Times New Roman" w:cs="Times New Roman"/>
          <w:sz w:val="20"/>
          <w:szCs w:val="20"/>
          <w:lang w:eastAsia="lv-LV"/>
        </w:rPr>
        <w:t xml:space="preserve"> (Vašingtona un Brisele, 2013).</w:t>
      </w:r>
    </w:p>
  </w:footnote>
  <w:footnote w:id="123">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122</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Tas ir, bērnam tiek lūgts izteikt viedokli, un tas tiek ņemts vērā.</w:t>
      </w:r>
    </w:p>
  </w:footnote>
  <w:footnote w:id="124">
    <w:p w:rsidR="00281759" w:rsidRPr="00F253CE" w:rsidRDefault="00281759" w:rsidP="00F253CE">
      <w:pPr>
        <w:pStyle w:val="Vresteksts"/>
        <w:jc w:val="both"/>
        <w:rPr>
          <w:rFonts w:ascii="Times New Roman" w:hAnsi="Times New Roman" w:cs="Times New Roman"/>
        </w:rPr>
      </w:pPr>
      <w:r w:rsidRPr="00F253CE">
        <w:rPr>
          <w:rStyle w:val="Vresatsauce"/>
          <w:rFonts w:ascii="Times New Roman" w:hAnsi="Times New Roman" w:cs="Times New Roman"/>
        </w:rPr>
        <w:t>123</w:t>
      </w:r>
      <w:r w:rsidRPr="00F253CE">
        <w:rPr>
          <w:rFonts w:ascii="Times New Roman" w:hAnsi="Times New Roman" w:cs="Times New Roman"/>
        </w:rPr>
        <w:t xml:space="preserve"> </w:t>
      </w:r>
      <w:r w:rsidRPr="00F253CE">
        <w:rPr>
          <w:rFonts w:ascii="Times New Roman" w:eastAsia="Times New Roman" w:hAnsi="Times New Roman" w:cs="Times New Roman"/>
          <w:i/>
          <w:iCs/>
          <w:lang w:eastAsia="lv-LV"/>
        </w:rPr>
        <w:t>County Administrative Board of Stockholm, National Referral Mechanism – Protecting and supporting victims of Trafficking in Human Beings in Sweden</w:t>
      </w:r>
      <w:r w:rsidRPr="00F253CE">
        <w:rPr>
          <w:rFonts w:ascii="Times New Roman" w:eastAsia="Times New Roman" w:hAnsi="Times New Roman" w:cs="Times New Roman"/>
          <w:lang w:eastAsia="lv-LV"/>
        </w:rPr>
        <w:t xml:space="preserve"> (Stokholma, 2016), 32. lpp.</w:t>
      </w:r>
    </w:p>
  </w:footnote>
  <w:footnote w:id="12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124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Ziņojums, ko sagatavojis īpašais referents par bērnu tirdzniecību, bērnu prostitūciju un bērnu pornogrāfiju </w:t>
      </w:r>
      <w:r w:rsidRPr="00F253CE">
        <w:rPr>
          <w:rFonts w:ascii="Times New Roman" w:eastAsia="Times New Roman" w:hAnsi="Times New Roman" w:cs="Times New Roman"/>
          <w:i/>
          <w:iCs/>
          <w:sz w:val="20"/>
          <w:szCs w:val="20"/>
          <w:lang w:eastAsia="lv-LV"/>
        </w:rPr>
        <w:t>Najat Maalla M’jid</w:t>
      </w:r>
      <w:r w:rsidRPr="00F253CE">
        <w:rPr>
          <w:rFonts w:ascii="Times New Roman" w:eastAsia="Times New Roman" w:hAnsi="Times New Roman" w:cs="Times New Roman"/>
          <w:sz w:val="20"/>
          <w:szCs w:val="20"/>
          <w:lang w:eastAsia="lv-LV"/>
        </w:rPr>
        <w:t>. Papildinājums. Misija uz Kirgizstānu (2013. gada 15.–26. aprīlis), ANO dok. A/HRC/25/48/Add.1 (2013. gada 23. decembris), 78. punkts.</w:t>
      </w:r>
    </w:p>
  </w:footnote>
  <w:footnote w:id="12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125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Ministru komitejas Ieteikums CM/Rec(2007)9 dalībvalstīm par dzīves plāniem migranta statusā esošām nepavadītām nepilngadīgām personām (Ministru komiteja pieņēma 2007. gada 12. jūlijā) un tā pielikums.</w:t>
      </w:r>
    </w:p>
  </w:footnote>
  <w:footnote w:id="12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126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ANO Pamatnostādņu par bērnu alternatīvo aprūpi 29. pantā šie pieci aprūpes veidi ir sniegti sīkākā izklāstā.</w:t>
      </w:r>
    </w:p>
  </w:footnote>
  <w:footnote w:id="12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127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Sk. </w:t>
      </w:r>
      <w:r w:rsidRPr="00F253CE">
        <w:rPr>
          <w:rFonts w:ascii="Times New Roman" w:eastAsia="Times New Roman" w:hAnsi="Times New Roman" w:cs="Times New Roman"/>
          <w:i/>
          <w:iCs/>
          <w:sz w:val="20"/>
          <w:szCs w:val="20"/>
          <w:lang w:eastAsia="lv-LV"/>
        </w:rPr>
        <w:t>P. Cazenave,</w:t>
      </w:r>
      <w:r w:rsidRPr="00F253CE">
        <w:rPr>
          <w:rFonts w:ascii="Times New Roman" w:eastAsia="Times New Roman" w:hAnsi="Times New Roman" w:cs="Times New Roman"/>
          <w:sz w:val="20"/>
          <w:szCs w:val="20"/>
          <w:lang w:eastAsia="lv-LV"/>
        </w:rPr>
        <w:t xml:space="preserve"> “Reģionālais ziņojums par </w:t>
      </w:r>
      <w:r w:rsidRPr="00F253CE">
        <w:rPr>
          <w:rFonts w:ascii="Times New Roman" w:eastAsia="Times New Roman" w:hAnsi="Times New Roman" w:cs="Times New Roman"/>
          <w:i/>
          <w:iCs/>
          <w:sz w:val="20"/>
          <w:szCs w:val="20"/>
          <w:lang w:eastAsia="lv-LV"/>
        </w:rPr>
        <w:t>UNICEF</w:t>
      </w:r>
      <w:r w:rsidRPr="00F253CE">
        <w:rPr>
          <w:rFonts w:ascii="Times New Roman" w:eastAsia="Times New Roman" w:hAnsi="Times New Roman" w:cs="Times New Roman"/>
          <w:sz w:val="20"/>
          <w:szCs w:val="20"/>
          <w:lang w:eastAsia="lv-LV"/>
        </w:rPr>
        <w:t xml:space="preserve"> Vadlīniju īstenošanu bērnu, kas ir cilvēku tirdzniecības upuri, tiesību aizsardzībai Dienvidaustrumeiropā. Situācijas novērtējums Albānijā, Kosovā un Bijušajā Dienvidslāvijas Republikā” [</w:t>
      </w:r>
      <w:r w:rsidRPr="00F253CE">
        <w:rPr>
          <w:rFonts w:ascii="Times New Roman" w:eastAsia="Times New Roman" w:hAnsi="Times New Roman" w:cs="Times New Roman"/>
          <w:i/>
          <w:iCs/>
          <w:sz w:val="20"/>
          <w:szCs w:val="20"/>
          <w:lang w:eastAsia="lv-LV"/>
        </w:rPr>
        <w:t>“Regional report on the implementation of the UNICEF guidelines for the protection of the rights of child victims of trafficking in South Eastern Europe. Assessment of the situation in Albania, Kosovo and the Former Yugoslav Republic of Macedonia”</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Terre des Hommes</w:t>
      </w:r>
      <w:r w:rsidRPr="00F253CE">
        <w:rPr>
          <w:rFonts w:ascii="Times New Roman" w:eastAsia="Times New Roman" w:hAnsi="Times New Roman" w:cs="Times New Roman"/>
          <w:sz w:val="20"/>
          <w:szCs w:val="20"/>
          <w:lang w:eastAsia="lv-LV"/>
        </w:rPr>
        <w:t xml:space="preserve"> (Losana, 2010).</w:t>
      </w:r>
    </w:p>
  </w:footnote>
  <w:footnote w:id="12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128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Sk., piemēram, </w:t>
      </w:r>
      <w:r w:rsidRPr="00F253CE">
        <w:rPr>
          <w:rFonts w:ascii="Times New Roman" w:eastAsia="Times New Roman" w:hAnsi="Times New Roman" w:cs="Times New Roman"/>
          <w:i/>
          <w:iCs/>
          <w:sz w:val="20"/>
          <w:szCs w:val="20"/>
          <w:lang w:eastAsia="lv-LV"/>
        </w:rPr>
        <w:t>Shuker, Evaluation of Barnardo’s Safe Accommodation Project for Sexually Exploited and Trafficked Young People</w:t>
      </w:r>
      <w:r w:rsidRPr="00F253CE">
        <w:rPr>
          <w:rFonts w:ascii="Times New Roman" w:eastAsia="Times New Roman" w:hAnsi="Times New Roman" w:cs="Times New Roman"/>
          <w:sz w:val="20"/>
          <w:szCs w:val="20"/>
          <w:lang w:eastAsia="lv-LV"/>
        </w:rPr>
        <w:t>, Bedforšīras Universitātes Lietišķo sociālo pētījumu institūts (Lutona, 2013). http://www.barnardos.org.uk/barnardo27s-sa-project-evaluation-full-report 3_.pdf.</w:t>
      </w:r>
    </w:p>
  </w:footnote>
  <w:footnote w:id="13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129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Missing Children in Europe, “Europol confirms the disappearance of 10,000 migrant children in Europe”</w:t>
      </w:r>
      <w:r w:rsidRPr="00F253CE">
        <w:rPr>
          <w:rFonts w:ascii="Times New Roman" w:eastAsia="Times New Roman" w:hAnsi="Times New Roman" w:cs="Times New Roman"/>
          <w:sz w:val="20"/>
          <w:szCs w:val="20"/>
          <w:lang w:eastAsia="lv-LV"/>
        </w:rPr>
        <w:t xml:space="preserve"> (2016. gada janvāris), http://missingchildreneurope.eu/news/Post/1023/Europol-confirms-the-disappearance-of-10-000-migrant-children-in-Europe. Turpmākajā konferences ziņojumā, ko sniegusi organizācija </w:t>
      </w:r>
      <w:r w:rsidRPr="00F253CE">
        <w:rPr>
          <w:rFonts w:ascii="Times New Roman" w:eastAsia="Times New Roman" w:hAnsi="Times New Roman" w:cs="Times New Roman"/>
          <w:i/>
          <w:iCs/>
          <w:sz w:val="20"/>
          <w:szCs w:val="20"/>
          <w:lang w:eastAsia="lv-LV"/>
        </w:rPr>
        <w:t>Missing Children in Europe</w:t>
      </w:r>
      <w:r w:rsidRPr="00F253CE">
        <w:rPr>
          <w:rFonts w:ascii="Times New Roman" w:eastAsia="Times New Roman" w:hAnsi="Times New Roman" w:cs="Times New Roman"/>
          <w:sz w:val="20"/>
          <w:szCs w:val="20"/>
          <w:lang w:eastAsia="lv-LV"/>
        </w:rPr>
        <w:t xml:space="preserve"> (Pazudis migrācijā – strādājot kopā, lai pasargātu bērnus no pazušanas. Konferences secinājumi. [</w:t>
      </w:r>
      <w:r w:rsidRPr="00F253CE">
        <w:rPr>
          <w:rFonts w:ascii="Times New Roman" w:eastAsia="Times New Roman" w:hAnsi="Times New Roman" w:cs="Times New Roman"/>
          <w:i/>
          <w:iCs/>
          <w:sz w:val="20"/>
          <w:szCs w:val="20"/>
          <w:lang w:eastAsia="lv-LV"/>
        </w:rPr>
        <w:t>Lost in Migration: working together in protecting children from disappearance. Conference conclusions.</w:t>
      </w:r>
      <w:r w:rsidRPr="00F253CE">
        <w:rPr>
          <w:rFonts w:ascii="Times New Roman" w:eastAsia="Times New Roman" w:hAnsi="Times New Roman" w:cs="Times New Roman"/>
          <w:sz w:val="20"/>
          <w:szCs w:val="20"/>
          <w:lang w:eastAsia="lv-LV"/>
        </w:rPr>
        <w:t>], 2017. gada janvāris), tika atzīmēts, ka “bērns migrants tiek uzskatīts par bezvēsts prombūtnē esošu, ja valsts iestādes viņu ir reģistrējušas un viņš ir pazudis no viņam sniegtā uzņemšanas/izmitināšanas centra. Bērni pazūd no šiem dienestiem dažādu iemeslu dēļ (tostarp neatbilstīgas un slikti pielāgotas uzņemšanas dēļ, neefektīvu procedūru dēļ, bailēs no deportācijas, vēloties apvienoties ar ģimeni vai draugiem citā valstī utt.).” Ziņojumā arī apgalvots, ka “aizvien lielāks skaits upuru (atkārtoti) kļūst par cilvēku tirdzniecības upuriem”.</w:t>
      </w:r>
    </w:p>
  </w:footnote>
  <w:footnote w:id="131">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Bēgļu un migrantu krīze Eiropā – Reģionālais humānās situācijas atjauninātais ziņojums Nr. 24 [</w:t>
      </w:r>
      <w:r w:rsidRPr="00F253CE">
        <w:rPr>
          <w:rFonts w:ascii="Times New Roman" w:eastAsia="Times New Roman" w:hAnsi="Times New Roman" w:cs="Times New Roman"/>
          <w:i/>
          <w:iCs/>
          <w:sz w:val="20"/>
          <w:szCs w:val="20"/>
          <w:lang w:eastAsia="lv-LV"/>
        </w:rPr>
        <w:t>UNICEF Refugee and Migrant Crisis in Europe: Regional Humanitarian Situation Report Update 24</w:t>
      </w:r>
      <w:r w:rsidRPr="00F253CE">
        <w:rPr>
          <w:rFonts w:ascii="Times New Roman" w:eastAsia="Times New Roman" w:hAnsi="Times New Roman" w:cs="Times New Roman"/>
          <w:sz w:val="20"/>
          <w:szCs w:val="20"/>
          <w:lang w:eastAsia="lv-LV"/>
        </w:rPr>
        <w:t>], 2017. gada 18. jūlijs. https://reliefweb.int/report/greece/unicef-refugee-and-migrant-crisis-europe-regional-humanitarian-situation-report-24-18.</w:t>
      </w:r>
    </w:p>
  </w:footnote>
  <w:footnote w:id="132">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Ziņojums par Eiropas Padomes Konvencijas par cīņu pret cilvēku tirdzniecību īstenošanu Norvēģijā [</w:t>
      </w:r>
      <w:r w:rsidRPr="00F253CE">
        <w:rPr>
          <w:rFonts w:ascii="Times New Roman" w:eastAsia="Times New Roman" w:hAnsi="Times New Roman" w:cs="Times New Roman"/>
          <w:i/>
          <w:iCs/>
          <w:sz w:val="20"/>
          <w:szCs w:val="20"/>
          <w:lang w:eastAsia="lv-LV"/>
        </w:rPr>
        <w:t>Report concerning the implementation of the Council of Europe Convention on Action against Trafficking in Human Beings by Norway</w:t>
      </w:r>
      <w:r w:rsidRPr="00F253CE">
        <w:rPr>
          <w:rFonts w:ascii="Times New Roman" w:eastAsia="Times New Roman" w:hAnsi="Times New Roman" w:cs="Times New Roman"/>
          <w:sz w:val="20"/>
          <w:szCs w:val="20"/>
          <w:lang w:eastAsia="lv-LV"/>
        </w:rPr>
        <w:t>], Pirmā novērtēšanas kārta, Eiropas Padomes dok. GRETA(2013)5 (2013. gada 7. maijs), 178. punkts.</w:t>
      </w:r>
    </w:p>
  </w:footnote>
  <w:footnote w:id="133">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 Ziņojums par Eiropas Padomes Konvencijas par cīņu pret cilvēku tirdzniecību īstenošanu Norvēģijā [</w:t>
      </w:r>
      <w:r w:rsidRPr="00F253CE">
        <w:rPr>
          <w:rFonts w:ascii="Times New Roman" w:eastAsia="Times New Roman" w:hAnsi="Times New Roman" w:cs="Times New Roman"/>
          <w:i/>
          <w:iCs/>
          <w:sz w:val="20"/>
          <w:szCs w:val="20"/>
          <w:lang w:eastAsia="lv-LV"/>
        </w:rPr>
        <w:t>Report concerning the implementation of the Council of Europe Convention on Action against Trafficking in Human Beings by Norway</w:t>
      </w:r>
      <w:r w:rsidRPr="00F253CE">
        <w:rPr>
          <w:rFonts w:ascii="Times New Roman" w:eastAsia="Times New Roman" w:hAnsi="Times New Roman" w:cs="Times New Roman"/>
          <w:sz w:val="20"/>
          <w:szCs w:val="20"/>
          <w:lang w:eastAsia="lv-LV"/>
        </w:rPr>
        <w:t>], Pirmā novērtēšanas kārta, Eiropas Padomes dok. GRETA(2013)5 (2013. gada 7. maijs), 178. punkts.</w:t>
      </w:r>
    </w:p>
  </w:footnote>
  <w:footnote w:id="134">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Turpat, 117. punkts.</w:t>
      </w:r>
    </w:p>
  </w:footnote>
  <w:footnote w:id="135">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Nepavadītu bērnu skaits, kas ir bezvēsts prombūtnē Apvienotajā Karalistē, nav zināms. Vairāki pētnieki ir sazinājušies ar vietējām iestādēm, lai mēģinātu provizoriski noteikt kopskaitu. Piemēram, 2016. gadā pētnieki nonāca pie atziņas, ka no 2253 nepavadītiem bērni, kas kā patvēruma meklētāji atradās vietējās aprūpes iestādēs Anglijā, bija pazuduši vismaz 71 zēns un 4 meitenes (</w:t>
      </w:r>
      <w:r w:rsidRPr="00F253CE">
        <w:rPr>
          <w:rFonts w:ascii="Times New Roman" w:eastAsia="Times New Roman" w:hAnsi="Times New Roman" w:cs="Times New Roman"/>
          <w:i/>
          <w:iCs/>
          <w:sz w:val="20"/>
          <w:szCs w:val="20"/>
          <w:lang w:eastAsia="lv-LV"/>
        </w:rPr>
        <w:t>R. Humphris and N. Sigona, Mapping unaccompanied asylum seeking children in Europe</w:t>
      </w:r>
      <w:r w:rsidRPr="00F253CE">
        <w:rPr>
          <w:rFonts w:ascii="Times New Roman" w:eastAsia="Times New Roman" w:hAnsi="Times New Roman" w:cs="Times New Roman"/>
          <w:sz w:val="20"/>
          <w:szCs w:val="20"/>
          <w:lang w:eastAsia="lv-LV"/>
        </w:rPr>
        <w:t>, 2016). Līdz 2017. gadam darba grupa no vienas NVO, kuras uzmanības centrā ir bērni, kas ir cilvēku tirdzniecības upuri, kopš savu pakalpojumu sākšanas 2007. gada septembrī bija ierosinājusi 1518 cilvēku tirdzniecībā cietušo bērnu lietas. No šiem 1518 bērniem pazuduši bija 74 bērni (</w:t>
      </w:r>
      <w:r w:rsidRPr="00F253CE">
        <w:rPr>
          <w:rFonts w:ascii="Times New Roman" w:eastAsia="Times New Roman" w:hAnsi="Times New Roman" w:cs="Times New Roman"/>
          <w:i/>
          <w:iCs/>
          <w:sz w:val="20"/>
          <w:szCs w:val="20"/>
          <w:lang w:eastAsia="lv-LV"/>
        </w:rPr>
        <w:t>N. Finch, Lighting The Way: Steps that lawyers, legal guardians and child trafficking advocates in the UK can take to better identify and protect children who may have been trafficked</w:t>
      </w:r>
      <w:r w:rsidRPr="00F253CE">
        <w:rPr>
          <w:rFonts w:ascii="Times New Roman" w:eastAsia="Times New Roman" w:hAnsi="Times New Roman" w:cs="Times New Roman"/>
          <w:sz w:val="20"/>
          <w:szCs w:val="20"/>
          <w:lang w:eastAsia="lv-LV"/>
        </w:rPr>
        <w:t xml:space="preserve"> [“Atvieglojot ceļu. Kādus pasākumus var veikt advokāti, likumīgie aizbildņi un bērna, kas ir cilvēku tirdzniecības upuris, aizstāvji AK, lai labāk identificētu un aizsargātu bērnus, kas, iespējams, ir cilvēku tirdzniecības upuri”], ECPAT-UK, (Londona, 2017)).</w:t>
      </w:r>
    </w:p>
  </w:footnote>
  <w:footnote w:id="136">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Northemptonas policija (AK), “Policija lūdz palīdzību 13 Vjetnamas pusaudžu meklēšanā, kas ieradušies AK nelegāli”, 2017. gada 6. decembris. http://www.northants.police.uk/news/2017-12-06/appeal-public%E2%80%99s-help-locate-13-missing-teenagers.</w:t>
      </w:r>
    </w:p>
  </w:footnote>
  <w:footnote w:id="137">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136</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N. Finch, Lighting The Way: Steps that lawyers, legal guardians and child trafficking advocates in the UK can take to better identify and protect children who may have been trafficked</w:t>
      </w:r>
      <w:r w:rsidRPr="00F253CE">
        <w:rPr>
          <w:rFonts w:ascii="Times New Roman" w:eastAsia="Times New Roman" w:hAnsi="Times New Roman" w:cs="Times New Roman"/>
          <w:sz w:val="20"/>
          <w:szCs w:val="20"/>
          <w:lang w:eastAsia="lv-LV"/>
        </w:rPr>
        <w:t>, ECPAT-UK (Londona, 2017), 33. lpp. Nesen, 2018. gada jūnijā, Anglijas un Velsas Apelācijas tiesa izdeva spriedumu, kurā kritizēja to, ka Lielbritānijas iestādes nav nodrošinājušas vjetnamiešu zēnam pienācīgu aizsardzību, kas ir Eiropas Cilvēktiesību konvencijas 4. panta pārkāpums (</w:t>
      </w:r>
      <w:r w:rsidRPr="00F253CE">
        <w:rPr>
          <w:rFonts w:ascii="Times New Roman" w:eastAsia="Times New Roman" w:hAnsi="Times New Roman" w:cs="Times New Roman"/>
          <w:i/>
          <w:iCs/>
          <w:sz w:val="20"/>
          <w:szCs w:val="20"/>
          <w:lang w:eastAsia="lv-LV"/>
        </w:rPr>
        <w:t>R(TDT)</w:t>
      </w:r>
      <w:r w:rsidRPr="00F253CE">
        <w:rPr>
          <w:rFonts w:ascii="Times New Roman" w:eastAsia="Times New Roman" w:hAnsi="Times New Roman" w:cs="Times New Roman"/>
          <w:sz w:val="20"/>
          <w:szCs w:val="20"/>
          <w:lang w:eastAsia="lv-LV"/>
        </w:rPr>
        <w:t xml:space="preserve"> pret Iekšlietu ministrijas valsts sekretāru; [2018] </w:t>
      </w:r>
      <w:r w:rsidRPr="00F253CE">
        <w:rPr>
          <w:rFonts w:ascii="Times New Roman" w:eastAsia="Times New Roman" w:hAnsi="Times New Roman" w:cs="Times New Roman"/>
          <w:i/>
          <w:iCs/>
          <w:sz w:val="20"/>
          <w:szCs w:val="20"/>
          <w:lang w:eastAsia="lv-LV"/>
        </w:rPr>
        <w:t>EWCA Civ</w:t>
      </w:r>
      <w:r w:rsidRPr="00F253CE">
        <w:rPr>
          <w:rFonts w:ascii="Times New Roman" w:eastAsia="Times New Roman" w:hAnsi="Times New Roman" w:cs="Times New Roman"/>
          <w:sz w:val="20"/>
          <w:szCs w:val="20"/>
          <w:lang w:eastAsia="lv-LV"/>
        </w:rPr>
        <w:t xml:space="preserve"> 1395). Attiecīgais zēns ticis aizturēts, pamatojoties uz to, ka ir pieaugušais un ir nelegālais migrants, un pēc tam izlaists no ieslodzījuma, nenodrošinot pienācīgus pasākumus, lai nepieļautu, ka viņš tiek pakļauts darba ekspluatācijai, lai arī bija “ticamas aizdomas”, ka tas tā varētu notikt.</w:t>
      </w:r>
    </w:p>
  </w:footnote>
  <w:footnote w:id="138">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Hilingdonas pašvaldības Bērnu aizsardzības padome, Kopīgais protokols. Bērni un jaunieši, kas aizbēg vai ir bezvēsts prombūtnē no aprūpes iestādes vai mājām [</w:t>
      </w:r>
      <w:r w:rsidRPr="00F253CE">
        <w:rPr>
          <w:rFonts w:ascii="Times New Roman" w:eastAsia="Times New Roman" w:hAnsi="Times New Roman" w:cs="Times New Roman"/>
          <w:i/>
          <w:iCs/>
          <w:sz w:val="20"/>
          <w:szCs w:val="20"/>
          <w:lang w:eastAsia="lv-LV"/>
        </w:rPr>
        <w:t>Hillingdon Local Safeguarding Children Board, Joint Protocol. Children and young people who run away or go missing from care or home</w:t>
      </w:r>
      <w:r w:rsidRPr="00F253CE">
        <w:rPr>
          <w:rFonts w:ascii="Times New Roman" w:eastAsia="Times New Roman" w:hAnsi="Times New Roman" w:cs="Times New Roman"/>
          <w:sz w:val="20"/>
          <w:szCs w:val="20"/>
          <w:lang w:eastAsia="lv-LV"/>
        </w:rPr>
        <w:t>] (Londona, 2014). http://hillingdonchildcare.proceduresonline.com/pdfs/child_yp_runaway.pdf</w:t>
      </w:r>
    </w:p>
  </w:footnote>
  <w:footnote w:id="139">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Novērtējumā būtu jāietver šāda informācija (turpat):</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varbūtība, ka bērns dosies bezvēsts prombūtnē,</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bērna viedoklis;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izvērtējums, kādi pasākumi būtu veicami, lai novērstu bērna došanos bezvēsts prombūtnē;</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kāda līmeņa uzraudzību/atbalstu aprūpes personāls piedāvā sniegt bērnam;</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vecāku/aprūpētāju viedoklis par to, kādas ir viņu bērna vajadzības un kādas darbības ir jāveic, ja bērns ir pazudis;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ja bērns ir pazudis, kāds ir viņa apdraudējuma risks un neaizsargātība;</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izvērtējums, vai ir kādas ārējas ietekmes, kuru dēļ bērns būtu jāizņem bez piekrišanas;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varbūtība, ka bērns tiek slēpts;</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piezīme par 14–16 gadus vecu jauniešu bezvēsts prombūtnes izplatību saskaņā ar kārtējiem statistikas datiem;</w:t>
      </w:r>
    </w:p>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 rīcības (darbības) plāns, kas piemērojams konkrētajam bērnam, jāformulē tā, lai tiktu ietverts bērna bezvēsts prombūtnes gadījums.</w:t>
      </w:r>
    </w:p>
  </w:footnote>
  <w:footnote w:id="140">
    <w:p w:rsidR="00281759" w:rsidRPr="00F253CE" w:rsidRDefault="00281759"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139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N. Finch, Lighting The Way: Steps that lawyers, legal guardians and child trafficking advocates in the UK can take to better identify and protect children who may have been trafficked</w:t>
      </w:r>
      <w:r w:rsidRPr="00F253CE">
        <w:rPr>
          <w:rFonts w:ascii="Times New Roman" w:eastAsia="Times New Roman" w:hAnsi="Times New Roman" w:cs="Times New Roman"/>
          <w:sz w:val="20"/>
          <w:szCs w:val="20"/>
          <w:lang w:eastAsia="lv-LV"/>
        </w:rPr>
        <w:t xml:space="preserve"> ECPAT-UK (Londona, 2017), 36. lpp.</w:t>
      </w:r>
    </w:p>
  </w:footnote>
  <w:footnote w:id="141">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Kopīgais vispārējais komentārs Nr. 3 (2017), ko sniegusi Visu migrējošo darba ņēmēju un viņu ģimenes locekļu tiesību aizsardzības komiteja, un Nr. 22 (2017), ko sniegusi Bērnu tiesību komiteja par vispārējiem principiem saistībā ar bērnu cilvēktiesībām starptautiskās migrācijas kontekstā, ANO dok. CMW/C/GC/3-CRC/C/GC/22</w:t>
      </w:r>
    </w:p>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Fonts w:ascii="Times New Roman" w:eastAsia="Times New Roman" w:hAnsi="Times New Roman" w:cs="Times New Roman"/>
          <w:sz w:val="20"/>
          <w:szCs w:val="20"/>
          <w:lang w:eastAsia="lv-LV"/>
        </w:rPr>
        <w:t>(2017. gada 16. novembris), 32. punkta k</w:t>
      </w:r>
      <w:r w:rsidRPr="00F253CE">
        <w:rPr>
          <w:rFonts w:ascii="Times New Roman" w:eastAsia="Times New Roman" w:hAnsi="Times New Roman" w:cs="Times New Roman"/>
          <w:sz w:val="20"/>
          <w:szCs w:val="20"/>
          <w:lang w:eastAsia="lv-LV"/>
        </w:rPr>
        <w:t>) apakšpunkts.</w:t>
      </w:r>
    </w:p>
  </w:footnote>
  <w:footnote w:id="142">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“Nogādāšana atpakaļ uz izcelsmes valsti nav apsverama, ja tas radītu “pamatotu risku”, ka pēc nogādāšanas atpakaļ tiktu pārkāptas bērna pamata cilvēktiesības, un jo īpaši tad, ja piemēro neizraidīšanas principu” (Bērnu tiesību komiteja, Vispārē</w:t>
      </w:r>
      <w:r w:rsidRPr="00F253CE">
        <w:rPr>
          <w:rFonts w:ascii="Times New Roman" w:eastAsia="Times New Roman" w:hAnsi="Times New Roman" w:cs="Times New Roman"/>
          <w:sz w:val="20"/>
          <w:szCs w:val="20"/>
          <w:lang w:eastAsia="lv-LV"/>
        </w:rPr>
        <w:t>jā komentāra Nr. 6 84. punkts).</w:t>
      </w:r>
    </w:p>
  </w:footnote>
  <w:footnote w:id="143">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Sk. Bērnu tiesību komitejas Vispārējo komentāru Nr. 6 (2005) “Rīcība attiecībā uz nepavadītiem un nošķirtiem bērniem ārpus viņu izcels</w:t>
      </w:r>
      <w:r w:rsidRPr="00F253CE">
        <w:rPr>
          <w:rFonts w:ascii="Times New Roman" w:eastAsia="Times New Roman" w:hAnsi="Times New Roman" w:cs="Times New Roman"/>
          <w:sz w:val="20"/>
          <w:szCs w:val="20"/>
          <w:lang w:eastAsia="lv-LV"/>
        </w:rPr>
        <w:t>mes valsts” (2005), 84. punkts.</w:t>
      </w:r>
    </w:p>
  </w:footnote>
  <w:footnote w:id="144">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Starpiestāžu darba grupa nepavadītu un nošķirtu bērnu jautājumos, Instrumentu kopums attiecībā uz nepavadītiem un nošķirtiem bērniem, Bērnu aizsardzības alianse humānās darbībās [</w:t>
      </w:r>
      <w:r w:rsidRPr="00F253CE">
        <w:rPr>
          <w:rFonts w:ascii="Times New Roman" w:eastAsia="Times New Roman" w:hAnsi="Times New Roman" w:cs="Times New Roman"/>
          <w:i/>
          <w:iCs/>
          <w:sz w:val="20"/>
          <w:szCs w:val="20"/>
          <w:lang w:eastAsia="lv-LV"/>
        </w:rPr>
        <w:t>Inter-agency Working Group on Unaccompanied and Separated Children, Toolkit on Unaccompanied and Separated Children, Alliance for Child Protection in Humanitarian Action</w:t>
      </w:r>
      <w:r w:rsidRPr="00F253CE">
        <w:rPr>
          <w:rFonts w:ascii="Times New Roman" w:eastAsia="Times New Roman" w:hAnsi="Times New Roman" w:cs="Times New Roman"/>
          <w:sz w:val="20"/>
          <w:szCs w:val="20"/>
          <w:lang w:eastAsia="lv-LV"/>
        </w:rPr>
        <w:t>], 2016.</w:t>
      </w:r>
    </w:p>
  </w:footnote>
  <w:footnote w:id="145">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ODIHR</w:t>
      </w:r>
      <w:r w:rsidRPr="00F253CE">
        <w:rPr>
          <w:rFonts w:ascii="Times New Roman" w:eastAsia="Times New Roman" w:hAnsi="Times New Roman" w:cs="Times New Roman"/>
          <w:sz w:val="20"/>
          <w:szCs w:val="20"/>
          <w:lang w:eastAsia="lv-LV"/>
        </w:rPr>
        <w:t>, Cilvēktiesību pamatprincipi attiecībā uz cilvēku tirdzniecības upuru atpakaļnosūtīšanu [</w:t>
      </w:r>
      <w:r w:rsidRPr="00F253CE">
        <w:rPr>
          <w:rFonts w:ascii="Times New Roman" w:eastAsia="Times New Roman" w:hAnsi="Times New Roman" w:cs="Times New Roman"/>
          <w:i/>
          <w:iCs/>
          <w:sz w:val="20"/>
          <w:szCs w:val="20"/>
          <w:lang w:eastAsia="lv-LV"/>
        </w:rPr>
        <w:t>Guiding Principles on Human Rights in the Return of Trafficked Persons</w:t>
      </w:r>
      <w:r w:rsidRPr="00F253CE">
        <w:rPr>
          <w:rFonts w:ascii="Times New Roman" w:eastAsia="Times New Roman" w:hAnsi="Times New Roman" w:cs="Times New Roman"/>
          <w:sz w:val="20"/>
          <w:szCs w:val="20"/>
          <w:lang w:eastAsia="lv-LV"/>
        </w:rPr>
        <w:t>] (2014).</w:t>
      </w:r>
    </w:p>
  </w:footnote>
  <w:footnote w:id="146">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ICMPD</w:t>
      </w:r>
      <w:r w:rsidRPr="00F253CE">
        <w:rPr>
          <w:rFonts w:ascii="Times New Roman" w:eastAsia="Times New Roman" w:hAnsi="Times New Roman" w:cs="Times New Roman"/>
          <w:sz w:val="20"/>
          <w:szCs w:val="20"/>
          <w:lang w:eastAsia="lv-LV"/>
        </w:rPr>
        <w:t>, Vadlīnijas par standartizētajām operatīvajām procedūrām, ar kurām īsteno cilvēku tirdzniecības upuru transnacionālo nosūtīšanas mehānismu [</w:t>
      </w:r>
      <w:r w:rsidRPr="00F253CE">
        <w:rPr>
          <w:rFonts w:ascii="Times New Roman" w:eastAsia="Times New Roman" w:hAnsi="Times New Roman" w:cs="Times New Roman"/>
          <w:i/>
          <w:iCs/>
          <w:sz w:val="20"/>
          <w:szCs w:val="20"/>
          <w:lang w:eastAsia="lv-LV"/>
        </w:rPr>
        <w:t>Guidelines on Standard Operating Procedures for Implementation of the Transnational Referral Mechanism for Victims of Trafficking</w:t>
      </w:r>
      <w:r w:rsidRPr="00F253CE">
        <w:rPr>
          <w:rFonts w:ascii="Times New Roman" w:eastAsia="Times New Roman" w:hAnsi="Times New Roman" w:cs="Times New Roman"/>
          <w:sz w:val="20"/>
          <w:szCs w:val="20"/>
          <w:lang w:eastAsia="lv-LV"/>
        </w:rPr>
        <w:t>] (Vīne, 2009).</w:t>
      </w:r>
    </w:p>
  </w:footnote>
  <w:footnote w:id="147">
    <w:p w:rsidR="00114C5F" w:rsidRPr="00F253CE" w:rsidRDefault="00114C5F" w:rsidP="00F253CE">
      <w:pPr>
        <w:pStyle w:val="Vresteksts"/>
        <w:jc w:val="both"/>
        <w:rPr>
          <w:rFonts w:ascii="Times New Roman" w:hAnsi="Times New Roman" w:cs="Times New Roman"/>
        </w:rPr>
      </w:pPr>
      <w:r w:rsidRPr="00F253CE">
        <w:rPr>
          <w:rStyle w:val="Vresatsauce"/>
          <w:rFonts w:ascii="Times New Roman" w:hAnsi="Times New Roman" w:cs="Times New Roman"/>
        </w:rPr>
        <w:t>146</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Bulgārija, dalībvalstu trešais, ceturtais un piektais periodiskais ziņojums par 2013. gadu (Ziņojums Bērnu tiesību komitejai, saņemts 2014. gada aprīlī). Dalībvalstu ziņojumu izvērtējums saskaņā ar Konvencijas 44. pantu. ANO dok. CRC/C/BGR/3-5 (2015. gada 4. maijs), 335. punkts.</w:t>
      </w:r>
    </w:p>
  </w:footnote>
  <w:footnote w:id="148">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Sākotnējais mehānisms tika pieņemts 2005. gada novembrī. Grozītā redakcija tika pieņemta 2010. gada decembrī. 2010. gada redakcijas teksts bulgāru valodā (</w:t>
      </w:r>
      <w:r w:rsidRPr="00F253CE">
        <w:rPr>
          <w:rFonts w:ascii="Times New Roman" w:eastAsia="Times New Roman" w:hAnsi="Times New Roman" w:cs="Times New Roman"/>
          <w:i/>
          <w:iCs/>
          <w:sz w:val="20"/>
          <w:szCs w:val="20"/>
          <w:lang w:eastAsia="lv-LV"/>
        </w:rPr>
        <w:t>Координационен механизъм за рефериране и обгрижване на случаи на непридружени деца и деца – жертва на трафик, завръщащи се от чужбина</w:t>
      </w:r>
      <w:r w:rsidRPr="00F253CE">
        <w:rPr>
          <w:rFonts w:ascii="Times New Roman" w:eastAsia="Times New Roman" w:hAnsi="Times New Roman" w:cs="Times New Roman"/>
          <w:sz w:val="20"/>
          <w:szCs w:val="20"/>
          <w:lang w:eastAsia="lv-LV"/>
        </w:rPr>
        <w:t xml:space="preserve">) ir pieejams https://www.veliko-tarnovo.bg/media/filer/2014/12/17/koordinacionen-mehanizam.pdf. Tulkojums angļu valodā (teksts bez datuma) – </w:t>
      </w:r>
      <w:r w:rsidRPr="00F253CE">
        <w:rPr>
          <w:rFonts w:ascii="Times New Roman" w:eastAsia="Times New Roman" w:hAnsi="Times New Roman" w:cs="Times New Roman"/>
          <w:i/>
          <w:iCs/>
          <w:sz w:val="20"/>
          <w:szCs w:val="20"/>
          <w:lang w:eastAsia="lv-LV"/>
        </w:rPr>
        <w:t>Co- ordination Mechanism for Referral and Care of Cases of Unaccompanied Children and Child Victims of Trafficking Returning from Abroad</w:t>
      </w:r>
      <w:r w:rsidRPr="00F253CE">
        <w:rPr>
          <w:rFonts w:ascii="Times New Roman" w:eastAsia="Times New Roman" w:hAnsi="Times New Roman" w:cs="Times New Roman"/>
          <w:sz w:val="20"/>
          <w:szCs w:val="20"/>
          <w:lang w:eastAsia="lv-LV"/>
        </w:rPr>
        <w:t xml:space="preserve"> – ir pieejams: http://www.osservatoriointerventitratta.it/files/normativa/Coordination_mechanism_for_referral_care_and_protection_of_repatriated_Bulgarian_UAM_2.pdf.</w:t>
      </w:r>
    </w:p>
  </w:footnote>
  <w:footnote w:id="149">
    <w:p w:rsidR="00114C5F" w:rsidRPr="00F253CE" w:rsidRDefault="00114C5F"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Bulgārija, dalībvalstu trešais, ceturtais un piektais periodiskais ziņojums par 2013. gadu (Ziņojums Bērnu tiesību komitejai, saņemts 2014. gada aprīlī). Dalībvalstu ziņojumu izvērtējums saskaņā ar Konvencijas 44. pantu. ANO dok. CRC/C/BGR/3-5 (2015. gada 4. maijs), 344. punkts.</w:t>
      </w:r>
    </w:p>
  </w:footnote>
  <w:footnote w:id="150">
    <w:p w:rsidR="002430E3" w:rsidRPr="00F253CE" w:rsidRDefault="002430E3"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149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Bulgārija, dalībvalstu trešais, ceturtais un piektais periodiskais ziņojums par 2013. gadu (Ziņojums Bērnu tiesību komitejai, saņemts 2014. gada aprīlī). Dalībvalstu ziņojumu izvērtējums saskaņā ar Konvencijas 44. pantu. ANO dok. CRC/C/BGR/3-5 (2015. gada 4. maijs), 341. punkts.</w:t>
      </w:r>
    </w:p>
  </w:footnote>
  <w:footnote w:id="151">
    <w:p w:rsidR="002430E3" w:rsidRPr="00F253CE" w:rsidRDefault="002430E3"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150</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Turpat.</w:t>
      </w:r>
    </w:p>
  </w:footnote>
  <w:footnote w:id="152">
    <w:p w:rsidR="002430E3" w:rsidRPr="00F253CE" w:rsidRDefault="002430E3"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Saskaņā ar ziņojumu par Bērnu aizsardzības valsts aģentūras nacionālā plāna īstenošanu.</w:t>
      </w:r>
    </w:p>
  </w:footnote>
  <w:footnote w:id="153">
    <w:p w:rsidR="002430E3" w:rsidRPr="00F253CE" w:rsidRDefault="002430E3"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 xml:space="preserve">Bērnu tiesību komiteja un </w:t>
      </w:r>
      <w:r w:rsidRPr="00F253CE">
        <w:rPr>
          <w:rFonts w:ascii="Times New Roman" w:eastAsia="Times New Roman" w:hAnsi="Times New Roman" w:cs="Times New Roman"/>
          <w:i/>
          <w:iCs/>
          <w:sz w:val="20"/>
          <w:szCs w:val="20"/>
          <w:lang w:eastAsia="lv-LV"/>
        </w:rPr>
        <w:t>GRETA</w:t>
      </w:r>
      <w:r w:rsidRPr="00F253CE">
        <w:rPr>
          <w:rFonts w:ascii="Times New Roman" w:eastAsia="Times New Roman" w:hAnsi="Times New Roman" w:cs="Times New Roman"/>
          <w:sz w:val="20"/>
          <w:szCs w:val="20"/>
          <w:lang w:eastAsia="lv-LV"/>
        </w:rPr>
        <w:t>.</w:t>
      </w:r>
    </w:p>
  </w:footnote>
  <w:footnote w:id="154">
    <w:p w:rsidR="002430E3" w:rsidRPr="00F253CE" w:rsidRDefault="002430E3"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Bulgārija, dalībvalstu trešais, ceturtais un piektais periodiskais ziņojums par 2013. gadu (Ziņojums Bērnu tiesību komitejai, saņemts 2014. gada aprīlī). Dalībvalstu ziņojumu izvērtējums saskaņā ar Konvencijas 44. pantu. ANO dok. CRC/C/BGR/3-5 (2015. gada 4. maijs), 342. punkts.</w:t>
      </w:r>
    </w:p>
  </w:footnote>
  <w:footnote w:id="155">
    <w:p w:rsidR="002430E3" w:rsidRPr="00F253CE" w:rsidRDefault="002430E3"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154</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Nolīguma teksts angļu valodā ir pieejams: http://www.legislationline.org/documents/id/5856.</w:t>
      </w:r>
    </w:p>
  </w:footnote>
  <w:footnote w:id="156">
    <w:p w:rsidR="002430E3" w:rsidRPr="00F253CE" w:rsidRDefault="002430E3"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155</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ICMPD, The Way Forward in Establishing Effective Transnational Referral Mechanisms, A Report based on Experiences in Cases of Human Trafficking in South-Eastern Europe</w:t>
      </w:r>
      <w:r w:rsidRPr="00F253CE">
        <w:rPr>
          <w:rFonts w:ascii="Times New Roman" w:eastAsia="Times New Roman" w:hAnsi="Times New Roman" w:cs="Times New Roman"/>
          <w:sz w:val="20"/>
          <w:szCs w:val="20"/>
          <w:lang w:eastAsia="lv-LV"/>
        </w:rPr>
        <w:t xml:space="preserve"> (</w:t>
      </w:r>
      <w:r w:rsidRPr="00F253CE">
        <w:rPr>
          <w:rFonts w:ascii="Times New Roman" w:eastAsia="Times New Roman" w:hAnsi="Times New Roman" w:cs="Times New Roman"/>
          <w:i/>
          <w:iCs/>
          <w:sz w:val="20"/>
          <w:szCs w:val="20"/>
          <w:lang w:eastAsia="lv-LV"/>
        </w:rPr>
        <w:t>ICMPD</w:t>
      </w:r>
      <w:r w:rsidRPr="00F253CE">
        <w:rPr>
          <w:rFonts w:ascii="Times New Roman" w:eastAsia="Times New Roman" w:hAnsi="Times New Roman" w:cs="Times New Roman"/>
          <w:sz w:val="20"/>
          <w:szCs w:val="20"/>
          <w:lang w:eastAsia="lv-LV"/>
        </w:rPr>
        <w:t>, 2012) 111. lpp.</w:t>
      </w:r>
    </w:p>
  </w:footnote>
  <w:footnote w:id="157">
    <w:p w:rsidR="00010697" w:rsidRPr="00F253CE" w:rsidRDefault="00010697" w:rsidP="00F253CE">
      <w:pPr>
        <w:pStyle w:val="Vresteksts"/>
        <w:jc w:val="both"/>
        <w:rPr>
          <w:rFonts w:ascii="Times New Roman" w:hAnsi="Times New Roman" w:cs="Times New Roman"/>
        </w:rPr>
      </w:pPr>
      <w:r w:rsidRPr="00F253CE">
        <w:rPr>
          <w:rStyle w:val="Vresatsauce"/>
          <w:rFonts w:ascii="Times New Roman" w:hAnsi="Times New Roman" w:cs="Times New Roman"/>
        </w:rPr>
        <w:t>156</w:t>
      </w:r>
      <w:r w:rsidRPr="00F253CE">
        <w:rPr>
          <w:rFonts w:ascii="Times New Roman" w:hAnsi="Times New Roman" w:cs="Times New Roman"/>
        </w:rPr>
        <w:t xml:space="preserve"> </w:t>
      </w:r>
      <w:r w:rsidRPr="00F253CE">
        <w:rPr>
          <w:rFonts w:ascii="Times New Roman" w:eastAsia="Times New Roman" w:hAnsi="Times New Roman" w:cs="Times New Roman"/>
          <w:lang w:eastAsia="lv-LV"/>
        </w:rPr>
        <w:t>Volgogradas nolīgums, ko 1993. gada 24. septembrī ir parakstījušas visas NVS valstis, izņemot Turkmenistānu, par NVS dalībvalstu sadarbību jautājumos, kas saistīti ar nepilngadīgo atpakaļnosūtīšanu uz valstīm, kas ir viņu pastāvīgā dzīvesvieta.</w:t>
      </w:r>
    </w:p>
  </w:footnote>
  <w:footnote w:id="158">
    <w:p w:rsidR="00B60A1B" w:rsidRPr="00F253CE" w:rsidRDefault="00B60A1B"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157</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EDSO īpašais pārstāvis, Ziņojums par vizīti Krievijas Federācijā, EDSO dok. SEC.GAL/184/17 (Vīne, 2017).</w:t>
      </w:r>
    </w:p>
  </w:footnote>
  <w:footnote w:id="159">
    <w:p w:rsidR="00B60A1B" w:rsidRPr="00F253CE" w:rsidRDefault="00B60A1B"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158</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Sanktpēterburgas Sarkanā krusta Starptautiskās sadarbības centrs, Sadarbības pasākumu stiprināšana cilvēku tirdzniecības jomā Sanktpēterburgā un Ļeņingradas apgabalā [</w:t>
      </w:r>
      <w:r w:rsidRPr="00F253CE">
        <w:rPr>
          <w:rFonts w:ascii="Times New Roman" w:eastAsia="Times New Roman" w:hAnsi="Times New Roman" w:cs="Times New Roman"/>
          <w:i/>
          <w:iCs/>
          <w:sz w:val="20"/>
          <w:szCs w:val="20"/>
          <w:lang w:eastAsia="lv-LV"/>
        </w:rPr>
        <w:t>St. Petersburg Red Cross Centre for International Co-operation, Strengthening Measures on Co-operation Trafficking in Human Beings in the St. Petersburg and the Leningrad Region</w:t>
      </w:r>
      <w:r w:rsidRPr="00F253CE">
        <w:rPr>
          <w:rFonts w:ascii="Times New Roman" w:eastAsia="Times New Roman" w:hAnsi="Times New Roman" w:cs="Times New Roman"/>
          <w:sz w:val="20"/>
          <w:szCs w:val="20"/>
          <w:lang w:eastAsia="lv-LV"/>
        </w:rPr>
        <w:t>], 2. pielikums (Sanktpēterburga, 2017), http://www.spbredcross.org/images/recomendacii.pdf.</w:t>
      </w:r>
    </w:p>
  </w:footnote>
  <w:footnote w:id="160">
    <w:p w:rsidR="00B60A1B" w:rsidRPr="00F253CE" w:rsidRDefault="00B60A1B"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159</w:t>
      </w:r>
      <w:r w:rsidRPr="00F253CE">
        <w:rPr>
          <w:rFonts w:ascii="Times New Roman" w:hAnsi="Times New Roman" w:cs="Times New Roman"/>
          <w:sz w:val="20"/>
          <w:szCs w:val="20"/>
        </w:rPr>
        <w:t xml:space="preserve"> </w:t>
      </w:r>
      <w:r w:rsidRPr="00F253CE">
        <w:rPr>
          <w:rFonts w:ascii="Times New Roman" w:eastAsia="Times New Roman" w:hAnsi="Times New Roman" w:cs="Times New Roman"/>
          <w:i/>
          <w:iCs/>
          <w:sz w:val="20"/>
          <w:szCs w:val="20"/>
          <w:lang w:eastAsia="lv-LV"/>
        </w:rPr>
        <w:t>IOM</w:t>
      </w:r>
      <w:r w:rsidRPr="00F253CE">
        <w:rPr>
          <w:rFonts w:ascii="Times New Roman" w:eastAsia="Times New Roman" w:hAnsi="Times New Roman" w:cs="Times New Roman"/>
          <w:sz w:val="20"/>
          <w:szCs w:val="20"/>
          <w:lang w:eastAsia="lv-LV"/>
        </w:rPr>
        <w:t xml:space="preserve"> 2018. gada ziņojums par migrāciju pasaulē (Ženēva, 2018), 66. lpp, kurā citēts ANO Ekonomikas un sociālo lietu departamenta (</w:t>
      </w:r>
      <w:r w:rsidRPr="00F253CE">
        <w:rPr>
          <w:rFonts w:ascii="Times New Roman" w:eastAsia="Times New Roman" w:hAnsi="Times New Roman" w:cs="Times New Roman"/>
          <w:i/>
          <w:iCs/>
          <w:sz w:val="20"/>
          <w:szCs w:val="20"/>
          <w:lang w:eastAsia="lv-LV"/>
        </w:rPr>
        <w:t>DESA</w:t>
      </w:r>
      <w:r w:rsidRPr="00F253CE">
        <w:rPr>
          <w:rFonts w:ascii="Times New Roman" w:eastAsia="Times New Roman" w:hAnsi="Times New Roman" w:cs="Times New Roman"/>
          <w:sz w:val="20"/>
          <w:szCs w:val="20"/>
          <w:lang w:eastAsia="lv-LV"/>
        </w:rPr>
        <w:t>) 2015. gada ziņojums par starptautisko migrāciju.</w:t>
      </w:r>
    </w:p>
  </w:footnote>
  <w:footnote w:id="161">
    <w:p w:rsidR="00B60A1B" w:rsidRPr="00F253CE" w:rsidRDefault="00B60A1B" w:rsidP="00F253CE">
      <w:pPr>
        <w:pStyle w:val="Vresteksts"/>
        <w:jc w:val="both"/>
        <w:rPr>
          <w:rFonts w:ascii="Times New Roman" w:hAnsi="Times New Roman" w:cs="Times New Roman"/>
        </w:rPr>
      </w:pPr>
      <w:r w:rsidRPr="00F253CE">
        <w:rPr>
          <w:rStyle w:val="Vresatsauce"/>
          <w:rFonts w:ascii="Times New Roman" w:hAnsi="Times New Roman" w:cs="Times New Roman"/>
        </w:rPr>
        <w:t>160</w:t>
      </w:r>
      <w:r w:rsidRPr="00F253CE">
        <w:rPr>
          <w:rFonts w:ascii="Times New Roman" w:hAnsi="Times New Roman" w:cs="Times New Roman"/>
        </w:rPr>
        <w:t xml:space="preserve"> </w:t>
      </w:r>
      <w:r w:rsidRPr="00F253CE">
        <w:rPr>
          <w:rFonts w:ascii="Times New Roman" w:eastAsia="Times New Roman" w:hAnsi="Times New Roman" w:cs="Times New Roman"/>
          <w:i/>
          <w:iCs/>
          <w:lang w:eastAsia="lv-LV"/>
        </w:rPr>
        <w:t>A. Seifert</w:t>
      </w:r>
      <w:r w:rsidRPr="00F253CE">
        <w:rPr>
          <w:rFonts w:ascii="Times New Roman" w:eastAsia="Times New Roman" w:hAnsi="Times New Roman" w:cs="Times New Roman"/>
          <w:lang w:eastAsia="lv-LV"/>
        </w:rPr>
        <w:t>, “Problēmas saistībā ar migrāciju no Centrālāzijas uz Krieviju” [</w:t>
      </w:r>
      <w:r w:rsidRPr="00F253CE">
        <w:rPr>
          <w:rFonts w:ascii="Times New Roman" w:eastAsia="Times New Roman" w:hAnsi="Times New Roman" w:cs="Times New Roman"/>
          <w:i/>
          <w:iCs/>
          <w:lang w:eastAsia="lv-LV"/>
        </w:rPr>
        <w:t>The problems of Central Asian migration to Russia</w:t>
      </w:r>
      <w:r w:rsidRPr="00F253CE">
        <w:rPr>
          <w:rFonts w:ascii="Times New Roman" w:eastAsia="Times New Roman" w:hAnsi="Times New Roman" w:cs="Times New Roman"/>
          <w:lang w:eastAsia="lv-LV"/>
        </w:rPr>
        <w:t xml:space="preserve">], 2018. gada 12. janvāris (https://doc-research.org/the-problems-of-central-asian-migration-to-russia/), kurā kā avots ir minēts </w:t>
      </w:r>
      <w:r w:rsidRPr="00F253CE">
        <w:rPr>
          <w:rFonts w:ascii="Times New Roman" w:eastAsia="Times New Roman" w:hAnsi="Times New Roman" w:cs="Times New Roman"/>
          <w:i/>
          <w:iCs/>
          <w:lang w:eastAsia="lv-LV"/>
        </w:rPr>
        <w:t>IOM</w:t>
      </w:r>
      <w:r w:rsidRPr="00F253CE">
        <w:rPr>
          <w:rFonts w:ascii="Times New Roman" w:eastAsia="Times New Roman" w:hAnsi="Times New Roman" w:cs="Times New Roman"/>
          <w:lang w:eastAsia="lv-LV"/>
        </w:rPr>
        <w:t xml:space="preserve"> 2018. gada ziņojums par migrāciju pasaulē. Ziņots, ka lielākais skaits (616 000) esot no Kirgizstānas, kur vidējā mēnešalga esot 155 ASV dolāri.</w:t>
      </w:r>
    </w:p>
  </w:footnote>
  <w:footnote w:id="162">
    <w:p w:rsidR="00B60A1B" w:rsidRPr="00F253CE" w:rsidRDefault="00B60A1B"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161</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Neatkarīgo Valstu Sadraudzības dalībvalstu Nolīgums par sadarbību jautājumos, kas attiecas uz nepilngadīgo nosūtīšanu atpakaļ uz viņu pastāvīgās dzīvesvietas valsti (2002), saukts par “Kišiņevas nolīgumu”. Teksts pieejams: http://www</w:t>
      </w:r>
      <w:r w:rsidRPr="00F253CE">
        <w:rPr>
          <w:rFonts w:ascii="Times New Roman" w:eastAsia="Times New Roman" w:hAnsi="Times New Roman" w:cs="Times New Roman"/>
          <w:sz w:val="20"/>
          <w:szCs w:val="20"/>
          <w:lang w:eastAsia="lv-LV"/>
        </w:rPr>
        <w:t>.cis.minsk.by/page.php?id=1462.</w:t>
      </w:r>
    </w:p>
  </w:footnote>
  <w:footnote w:id="163">
    <w:p w:rsidR="00B60A1B" w:rsidRPr="00F253CE" w:rsidRDefault="00B60A1B"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162</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Bērnu tiesību informatīvais tīkls (</w:t>
      </w:r>
      <w:r w:rsidRPr="00F253CE">
        <w:rPr>
          <w:rFonts w:ascii="Times New Roman" w:eastAsia="Times New Roman" w:hAnsi="Times New Roman" w:cs="Times New Roman"/>
          <w:i/>
          <w:iCs/>
          <w:sz w:val="20"/>
          <w:szCs w:val="20"/>
          <w:lang w:eastAsia="lv-LV"/>
        </w:rPr>
        <w:t>CRIN</w:t>
      </w:r>
      <w:r w:rsidRPr="00F253CE">
        <w:rPr>
          <w:rFonts w:ascii="Times New Roman" w:eastAsia="Times New Roman" w:hAnsi="Times New Roman" w:cs="Times New Roman"/>
          <w:sz w:val="20"/>
          <w:szCs w:val="20"/>
          <w:lang w:eastAsia="lv-LV"/>
        </w:rPr>
        <w:t>), “Kā interesēs? Kāda ir likumā noteiktā rīcība attiecībā uz nepavadītiem bērniem?” [</w:t>
      </w:r>
      <w:r w:rsidRPr="00F253CE">
        <w:rPr>
          <w:rFonts w:ascii="Times New Roman" w:eastAsia="Times New Roman" w:hAnsi="Times New Roman" w:cs="Times New Roman"/>
          <w:i/>
          <w:iCs/>
          <w:sz w:val="20"/>
          <w:szCs w:val="20"/>
          <w:lang w:eastAsia="lv-LV"/>
        </w:rPr>
        <w:t>Child Rights Information Network (CRIN), In Whose Interests? How the Law Treats Unaccompanied Children in the Countries of the Commonwealth of Independent States</w:t>
      </w:r>
      <w:r w:rsidRPr="00F253CE">
        <w:rPr>
          <w:rFonts w:ascii="Times New Roman" w:eastAsia="Times New Roman" w:hAnsi="Times New Roman" w:cs="Times New Roman"/>
          <w:sz w:val="20"/>
          <w:szCs w:val="20"/>
          <w:lang w:eastAsia="lv-LV"/>
        </w:rPr>
        <w:t>] (Londona, 2014).</w:t>
      </w:r>
    </w:p>
  </w:footnote>
  <w:footnote w:id="164">
    <w:p w:rsidR="00B60A1B" w:rsidRPr="00F253CE" w:rsidRDefault="00B60A1B" w:rsidP="00F253CE">
      <w:pPr>
        <w:widowControl w:val="0"/>
        <w:spacing w:after="0" w:line="240" w:lineRule="auto"/>
        <w:jc w:val="both"/>
        <w:rPr>
          <w:rFonts w:ascii="Times New Roman" w:eastAsia="Times New Roman" w:hAnsi="Times New Roman" w:cs="Times New Roman"/>
          <w:sz w:val="20"/>
          <w:szCs w:val="20"/>
          <w:lang w:eastAsia="lv-LV"/>
        </w:rPr>
      </w:pPr>
      <w:r w:rsidRPr="00F253CE">
        <w:rPr>
          <w:rStyle w:val="Vresatsauce"/>
          <w:rFonts w:ascii="Times New Roman" w:hAnsi="Times New Roman" w:cs="Times New Roman"/>
          <w:sz w:val="20"/>
          <w:szCs w:val="20"/>
        </w:rPr>
        <w:t>163</w:t>
      </w:r>
      <w:r w:rsidRPr="00F253CE">
        <w:rPr>
          <w:rFonts w:ascii="Times New Roman" w:hAnsi="Times New Roman" w:cs="Times New Roman"/>
          <w:sz w:val="20"/>
          <w:szCs w:val="20"/>
        </w:rPr>
        <w:t xml:space="preserve"> </w:t>
      </w:r>
      <w:r w:rsidRPr="00F253CE">
        <w:rPr>
          <w:rFonts w:ascii="Times New Roman" w:eastAsia="Times New Roman" w:hAnsi="Times New Roman" w:cs="Times New Roman"/>
          <w:sz w:val="20"/>
          <w:szCs w:val="20"/>
          <w:lang w:eastAsia="lv-LV"/>
        </w:rPr>
        <w:t>Kopīgais vispārējais komentārs Nr. 3 (2017), ko sniegusi Visu migrējošo darba ņēmēju un viņu ģimenes locekļu tiesību aizsardzības komiteja, un Nr. 22 (2017), ko sniegusi Bērnu tiesību komiteja par vispārējiem principiem saistībā ar bērnu cilvēktiesībām starptautiskās migrācijas kontekstā, ANO dok. CMW/C/GC/3-CRC/C/GC/22 (2017. gada 16. novembris).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3CE" w:rsidRPr="00F253CE" w:rsidRDefault="00F253CE" w:rsidP="00F253CE">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F253CE" w:rsidRPr="00F253CE" w:rsidRDefault="00F253CE" w:rsidP="00F253CE">
    <w:pPr>
      <w:pStyle w:val="Galvene"/>
      <w:tabs>
        <w:tab w:val="clear" w:pos="4153"/>
        <w:tab w:val="clear" w:pos="8306"/>
        <w:tab w:val="right" w:leader="underscore" w:pos="9072"/>
      </w:tabs>
      <w:rPr>
        <w:rStyle w:val="Lappusesnumurs"/>
        <w:rFonts w:ascii="Times New Roman" w:hAnsi="Times New Roman" w:cs="Times New Roman"/>
        <w:sz w:val="20"/>
        <w:szCs w:val="20"/>
      </w:rPr>
    </w:pPr>
    <w:r w:rsidRPr="00F253CE">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F253CE" w:rsidRPr="00F253CE" w:rsidRDefault="00F253CE" w:rsidP="00F253CE">
    <w:pPr>
      <w:pStyle w:val="Galvene"/>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3CE" w:rsidRPr="00F253CE" w:rsidRDefault="00F253CE" w:rsidP="00F253CE">
    <w:pPr>
      <w:widowControl w:val="0"/>
      <w:pBdr>
        <w:bottom w:val="single" w:sz="12" w:space="5" w:color="auto"/>
      </w:pBdr>
      <w:spacing w:after="0" w:line="240" w:lineRule="auto"/>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F253CE" w:rsidRPr="00F253CE" w:rsidRDefault="00F253CE" w:rsidP="00F253CE">
    <w:pPr>
      <w:pStyle w:val="Galvene"/>
      <w:widowControl w:val="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0BA"/>
    <w:rsid w:val="00010697"/>
    <w:rsid w:val="000877F0"/>
    <w:rsid w:val="000C167A"/>
    <w:rsid w:val="000C6DBB"/>
    <w:rsid w:val="000E498E"/>
    <w:rsid w:val="00114C5F"/>
    <w:rsid w:val="00172885"/>
    <w:rsid w:val="00173D80"/>
    <w:rsid w:val="002430E3"/>
    <w:rsid w:val="002561F2"/>
    <w:rsid w:val="00281759"/>
    <w:rsid w:val="00283717"/>
    <w:rsid w:val="002A0D5B"/>
    <w:rsid w:val="002F1BEE"/>
    <w:rsid w:val="0034577A"/>
    <w:rsid w:val="00383BC5"/>
    <w:rsid w:val="003A543D"/>
    <w:rsid w:val="003C30BA"/>
    <w:rsid w:val="00455234"/>
    <w:rsid w:val="00471650"/>
    <w:rsid w:val="004B7F17"/>
    <w:rsid w:val="004D1DD4"/>
    <w:rsid w:val="00595B0B"/>
    <w:rsid w:val="00644116"/>
    <w:rsid w:val="006B796E"/>
    <w:rsid w:val="00760158"/>
    <w:rsid w:val="007A0EC8"/>
    <w:rsid w:val="0082247B"/>
    <w:rsid w:val="008B3789"/>
    <w:rsid w:val="00AA75EA"/>
    <w:rsid w:val="00B33014"/>
    <w:rsid w:val="00B57AFF"/>
    <w:rsid w:val="00B60A1B"/>
    <w:rsid w:val="00B7131B"/>
    <w:rsid w:val="00C663F0"/>
    <w:rsid w:val="00D6592D"/>
    <w:rsid w:val="00D74C59"/>
    <w:rsid w:val="00D923DD"/>
    <w:rsid w:val="00D94164"/>
    <w:rsid w:val="00DC7F10"/>
    <w:rsid w:val="00DD0CA3"/>
    <w:rsid w:val="00DD1B91"/>
    <w:rsid w:val="00F05F26"/>
    <w:rsid w:val="00F253CE"/>
    <w:rsid w:val="00FB3E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2AF30F04-79BB-4CC3-84A7-71DF89BE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9">
    <w:name w:val="heading 9"/>
    <w:basedOn w:val="Parasts"/>
    <w:next w:val="Parasts"/>
    <w:link w:val="Virsraksts9Rakstz"/>
    <w:uiPriority w:val="1"/>
    <w:qFormat/>
    <w:rsid w:val="0034577A"/>
    <w:pPr>
      <w:widowControl w:val="0"/>
      <w:autoSpaceDE w:val="0"/>
      <w:autoSpaceDN w:val="0"/>
      <w:adjustRightInd w:val="0"/>
      <w:spacing w:after="0" w:line="240" w:lineRule="auto"/>
      <w:ind w:left="453"/>
      <w:outlineLvl w:val="8"/>
    </w:pPr>
    <w:rPr>
      <w:rFonts w:ascii="Arial" w:eastAsia="Times New Roman" w:hAnsi="Arial" w:cs="Arial"/>
      <w:b/>
      <w:bCs/>
      <w:sz w:val="19"/>
      <w:szCs w:val="19"/>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idetransorigin">
    <w:name w:val="hidetransorigin"/>
    <w:basedOn w:val="Noklusjumarindkopasfonts"/>
    <w:rsid w:val="00D6592D"/>
  </w:style>
  <w:style w:type="character" w:customStyle="1" w:styleId="deleted">
    <w:name w:val="deleted"/>
    <w:basedOn w:val="Noklusjumarindkopasfonts"/>
    <w:rsid w:val="00D6592D"/>
  </w:style>
  <w:style w:type="character" w:customStyle="1" w:styleId="inserted">
    <w:name w:val="inserted"/>
    <w:basedOn w:val="Noklusjumarindkopasfonts"/>
    <w:rsid w:val="00D6592D"/>
  </w:style>
  <w:style w:type="character" w:customStyle="1" w:styleId="low">
    <w:name w:val="low"/>
    <w:basedOn w:val="Noklusjumarindkopasfonts"/>
    <w:rsid w:val="00D6592D"/>
  </w:style>
  <w:style w:type="character" w:customStyle="1" w:styleId="Virsraksts9Rakstz">
    <w:name w:val="Virsraksts 9 Rakstz."/>
    <w:basedOn w:val="Noklusjumarindkopasfonts"/>
    <w:link w:val="Virsraksts9"/>
    <w:uiPriority w:val="9"/>
    <w:rsid w:val="0034577A"/>
    <w:rPr>
      <w:rFonts w:ascii="Arial" w:eastAsia="Times New Roman" w:hAnsi="Arial" w:cs="Arial"/>
      <w:b/>
      <w:bCs/>
      <w:sz w:val="19"/>
      <w:szCs w:val="19"/>
      <w:lang w:eastAsia="lv-LV"/>
    </w:rPr>
  </w:style>
  <w:style w:type="paragraph" w:styleId="Pamatteksts">
    <w:name w:val="Body Text"/>
    <w:basedOn w:val="Parasts"/>
    <w:link w:val="PamattekstsRakstz"/>
    <w:uiPriority w:val="1"/>
    <w:qFormat/>
    <w:rsid w:val="0034577A"/>
    <w:pPr>
      <w:widowControl w:val="0"/>
      <w:autoSpaceDE w:val="0"/>
      <w:autoSpaceDN w:val="0"/>
      <w:adjustRightInd w:val="0"/>
      <w:spacing w:after="0" w:line="240" w:lineRule="auto"/>
      <w:ind w:left="110"/>
    </w:pPr>
    <w:rPr>
      <w:rFonts w:ascii="Times New Roman" w:eastAsia="Times New Roman" w:hAnsi="Times New Roman" w:cs="Times New Roman"/>
      <w:sz w:val="19"/>
      <w:szCs w:val="19"/>
      <w:lang w:eastAsia="lv-LV"/>
    </w:rPr>
  </w:style>
  <w:style w:type="character" w:customStyle="1" w:styleId="PamattekstsRakstz">
    <w:name w:val="Pamatteksts Rakstz."/>
    <w:basedOn w:val="Noklusjumarindkopasfonts"/>
    <w:link w:val="Pamatteksts"/>
    <w:uiPriority w:val="99"/>
    <w:rsid w:val="0034577A"/>
    <w:rPr>
      <w:rFonts w:ascii="Times New Roman" w:eastAsia="Times New Roman" w:hAnsi="Times New Roman" w:cs="Times New Roman"/>
      <w:sz w:val="19"/>
      <w:szCs w:val="19"/>
      <w:lang w:eastAsia="lv-LV"/>
    </w:rPr>
  </w:style>
  <w:style w:type="paragraph" w:styleId="Sarakstarindkopa">
    <w:name w:val="List Paragraph"/>
    <w:basedOn w:val="Parasts"/>
    <w:uiPriority w:val="34"/>
    <w:qFormat/>
    <w:rsid w:val="004B7F17"/>
    <w:pPr>
      <w:ind w:left="720"/>
      <w:contextualSpacing/>
    </w:pPr>
  </w:style>
  <w:style w:type="paragraph" w:styleId="Vresteksts">
    <w:name w:val="footnote text"/>
    <w:basedOn w:val="Parasts"/>
    <w:link w:val="VrestekstsRakstz"/>
    <w:uiPriority w:val="99"/>
    <w:semiHidden/>
    <w:unhideWhenUsed/>
    <w:rsid w:val="00173D8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73D80"/>
    <w:rPr>
      <w:sz w:val="20"/>
      <w:szCs w:val="20"/>
    </w:rPr>
  </w:style>
  <w:style w:type="character" w:styleId="Vresatsauce">
    <w:name w:val="footnote reference"/>
    <w:basedOn w:val="Noklusjumarindkopasfonts"/>
    <w:uiPriority w:val="99"/>
    <w:semiHidden/>
    <w:unhideWhenUsed/>
    <w:rsid w:val="00173D80"/>
    <w:rPr>
      <w:vertAlign w:val="superscript"/>
    </w:rPr>
  </w:style>
  <w:style w:type="character" w:styleId="Hipersaite">
    <w:name w:val="Hyperlink"/>
    <w:basedOn w:val="Noklusjumarindkopasfonts"/>
    <w:uiPriority w:val="99"/>
    <w:unhideWhenUsed/>
    <w:rsid w:val="002561F2"/>
    <w:rPr>
      <w:color w:val="0563C1" w:themeColor="hyperlink"/>
      <w:u w:val="single"/>
    </w:rPr>
  </w:style>
  <w:style w:type="table" w:styleId="Reatabula">
    <w:name w:val="Table Grid"/>
    <w:basedOn w:val="Parastatabula"/>
    <w:uiPriority w:val="39"/>
    <w:rsid w:val="00283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114C5F"/>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F253C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3CE"/>
  </w:style>
  <w:style w:type="paragraph" w:styleId="Kjene">
    <w:name w:val="footer"/>
    <w:basedOn w:val="Parasts"/>
    <w:link w:val="KjeneRakstz"/>
    <w:unhideWhenUsed/>
    <w:rsid w:val="00F253C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3CE"/>
  </w:style>
  <w:style w:type="character" w:styleId="Lappusesnumurs">
    <w:name w:val="page number"/>
    <w:basedOn w:val="Noklusjumarindkopasfonts"/>
    <w:semiHidden/>
    <w:rsid w:val="00F25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573771">
      <w:bodyDiv w:val="1"/>
      <w:marLeft w:val="0"/>
      <w:marRight w:val="0"/>
      <w:marTop w:val="0"/>
      <w:marBottom w:val="0"/>
      <w:divBdr>
        <w:top w:val="none" w:sz="0" w:space="0" w:color="auto"/>
        <w:left w:val="none" w:sz="0" w:space="0" w:color="auto"/>
        <w:bottom w:val="none" w:sz="0" w:space="0" w:color="auto"/>
        <w:right w:val="none" w:sz="0" w:space="0" w:color="auto"/>
      </w:divBdr>
      <w:divsChild>
        <w:div w:id="1899779002">
          <w:marLeft w:val="0"/>
          <w:marRight w:val="0"/>
          <w:marTop w:val="0"/>
          <w:marBottom w:val="0"/>
          <w:divBdr>
            <w:top w:val="none" w:sz="0" w:space="0" w:color="auto"/>
            <w:left w:val="none" w:sz="0" w:space="0" w:color="auto"/>
            <w:bottom w:val="none" w:sz="0" w:space="0" w:color="auto"/>
            <w:right w:val="none" w:sz="0" w:space="0" w:color="auto"/>
          </w:divBdr>
          <w:divsChild>
            <w:div w:id="3058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oleObject" Target="embeddings/oleObject11.bin"/><Relationship Id="rId47" Type="http://schemas.openxmlformats.org/officeDocument/2006/relationships/image" Target="media/image28.png"/><Relationship Id="rId50" Type="http://schemas.openxmlformats.org/officeDocument/2006/relationships/oleObject" Target="embeddings/oleObject15.bin"/><Relationship Id="rId55" Type="http://schemas.openxmlformats.org/officeDocument/2006/relationships/image" Target="media/image32.png"/><Relationship Id="rId63" Type="http://schemas.openxmlformats.org/officeDocument/2006/relationships/image" Target="media/image36.png"/><Relationship Id="rId68" Type="http://schemas.openxmlformats.org/officeDocument/2006/relationships/oleObject" Target="embeddings/oleObject24.bin"/><Relationship Id="rId76" Type="http://schemas.openxmlformats.org/officeDocument/2006/relationships/oleObject" Target="embeddings/oleObject28.bin"/><Relationship Id="rId84" Type="http://schemas.openxmlformats.org/officeDocument/2006/relationships/oleObject" Target="embeddings/oleObject32.bin"/><Relationship Id="rId89" Type="http://schemas.openxmlformats.org/officeDocument/2006/relationships/image" Target="media/image49.png"/><Relationship Id="rId97" Type="http://schemas.openxmlformats.org/officeDocument/2006/relationships/header" Target="header1.xml"/><Relationship Id="rId7" Type="http://schemas.openxmlformats.org/officeDocument/2006/relationships/image" Target="media/image1.emf"/><Relationship Id="rId71" Type="http://schemas.openxmlformats.org/officeDocument/2006/relationships/image" Target="media/image40.png"/><Relationship Id="rId92" Type="http://schemas.openxmlformats.org/officeDocument/2006/relationships/oleObject" Target="embeddings/oleObject36.bin"/><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4.png"/><Relationship Id="rId24" Type="http://schemas.openxmlformats.org/officeDocument/2006/relationships/oleObject" Target="embeddings/oleObject8.bin"/><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7.png"/><Relationship Id="rId53" Type="http://schemas.openxmlformats.org/officeDocument/2006/relationships/image" Target="media/image31.png"/><Relationship Id="rId58" Type="http://schemas.openxmlformats.org/officeDocument/2006/relationships/oleObject" Target="embeddings/oleObject19.bin"/><Relationship Id="rId66" Type="http://schemas.openxmlformats.org/officeDocument/2006/relationships/oleObject" Target="embeddings/oleObject23.bin"/><Relationship Id="rId74" Type="http://schemas.openxmlformats.org/officeDocument/2006/relationships/oleObject" Target="embeddings/oleObject27.bin"/><Relationship Id="rId79" Type="http://schemas.openxmlformats.org/officeDocument/2006/relationships/image" Target="media/image44.png"/><Relationship Id="rId87" Type="http://schemas.openxmlformats.org/officeDocument/2006/relationships/image" Target="media/image48.png"/><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5.png"/><Relationship Id="rId82" Type="http://schemas.openxmlformats.org/officeDocument/2006/relationships/oleObject" Target="embeddings/oleObject31.bin"/><Relationship Id="rId90" Type="http://schemas.openxmlformats.org/officeDocument/2006/relationships/oleObject" Target="embeddings/oleObject35.bin"/><Relationship Id="rId95" Type="http://schemas.openxmlformats.org/officeDocument/2006/relationships/image" Target="media/image52.png"/><Relationship Id="rId19" Type="http://schemas.openxmlformats.org/officeDocument/2006/relationships/image" Target="media/image8.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9.emf"/><Relationship Id="rId43" Type="http://schemas.openxmlformats.org/officeDocument/2006/relationships/image" Target="media/image26.png"/><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image" Target="media/image39.png"/><Relationship Id="rId77" Type="http://schemas.openxmlformats.org/officeDocument/2006/relationships/image" Target="media/image43.png"/><Relationship Id="rId100"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image" Target="media/image30.png"/><Relationship Id="rId72" Type="http://schemas.openxmlformats.org/officeDocument/2006/relationships/oleObject" Target="embeddings/oleObject26.bin"/><Relationship Id="rId80" Type="http://schemas.openxmlformats.org/officeDocument/2006/relationships/oleObject" Target="embeddings/oleObject30.bin"/><Relationship Id="rId85" Type="http://schemas.openxmlformats.org/officeDocument/2006/relationships/image" Target="media/image47.png"/><Relationship Id="rId93" Type="http://schemas.openxmlformats.org/officeDocument/2006/relationships/image" Target="media/image51.png"/><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oleObject" Target="embeddings/oleObject13.bin"/><Relationship Id="rId59" Type="http://schemas.openxmlformats.org/officeDocument/2006/relationships/image" Target="media/image34.png"/><Relationship Id="rId67" Type="http://schemas.openxmlformats.org/officeDocument/2006/relationships/image" Target="media/image38.png"/><Relationship Id="rId20" Type="http://schemas.openxmlformats.org/officeDocument/2006/relationships/oleObject" Target="embeddings/oleObject6.bin"/><Relationship Id="rId41" Type="http://schemas.openxmlformats.org/officeDocument/2006/relationships/image" Target="media/image25.png"/><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oleObject" Target="embeddings/oleObject25.bin"/><Relationship Id="rId75" Type="http://schemas.openxmlformats.org/officeDocument/2006/relationships/image" Target="media/image42.png"/><Relationship Id="rId83" Type="http://schemas.openxmlformats.org/officeDocument/2006/relationships/image" Target="media/image46.png"/><Relationship Id="rId88" Type="http://schemas.openxmlformats.org/officeDocument/2006/relationships/oleObject" Target="embeddings/oleObject34.bin"/><Relationship Id="rId91" Type="http://schemas.openxmlformats.org/officeDocument/2006/relationships/image" Target="media/image50.png"/><Relationship Id="rId96"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0.emf"/><Relationship Id="rId49" Type="http://schemas.openxmlformats.org/officeDocument/2006/relationships/image" Target="media/image29.png"/><Relationship Id="rId57" Type="http://schemas.openxmlformats.org/officeDocument/2006/relationships/image" Target="media/image33.png"/><Relationship Id="rId10" Type="http://schemas.openxmlformats.org/officeDocument/2006/relationships/oleObject" Target="embeddings/oleObject1.bin"/><Relationship Id="rId31" Type="http://schemas.openxmlformats.org/officeDocument/2006/relationships/image" Target="media/image15.emf"/><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37.png"/><Relationship Id="rId73" Type="http://schemas.openxmlformats.org/officeDocument/2006/relationships/image" Target="media/image41.png"/><Relationship Id="rId78" Type="http://schemas.openxmlformats.org/officeDocument/2006/relationships/oleObject" Target="embeddings/oleObject29.bin"/><Relationship Id="rId81" Type="http://schemas.openxmlformats.org/officeDocument/2006/relationships/image" Target="media/image45.png"/><Relationship Id="rId86" Type="http://schemas.openxmlformats.org/officeDocument/2006/relationships/oleObject" Target="embeddings/oleObject33.bin"/><Relationship Id="rId94" Type="http://schemas.openxmlformats.org/officeDocument/2006/relationships/oleObject" Target="embeddings/oleObject37.bin"/><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oleObject" Target="embeddings/oleObject5.bin"/><Relationship Id="rId39"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188E9-DC32-4FAD-80DB-61F685211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109</Pages>
  <Words>145603</Words>
  <Characters>82995</Characters>
  <Application>Microsoft Office Word</Application>
  <DocSecurity>0</DocSecurity>
  <Lines>691</Lines>
  <Paragraphs>456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5</cp:revision>
  <dcterms:created xsi:type="dcterms:W3CDTF">2019-07-11T13:20:00Z</dcterms:created>
  <dcterms:modified xsi:type="dcterms:W3CDTF">2019-07-12T18:17:00Z</dcterms:modified>
</cp:coreProperties>
</file>