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r w:rsidRPr="00F253CE">
        <w:rPr>
          <w:rFonts w:ascii="Times New Roman" w:eastAsia="Times New Roman" w:hAnsi="Times New Roman" w:cs="Times New Roman"/>
          <w:noProof/>
          <w:sz w:val="24"/>
          <w:szCs w:val="24"/>
          <w:lang w:eastAsia="lv-LV"/>
        </w:rPr>
        <w:drawing>
          <wp:inline distT="0" distB="0" distL="0" distR="0">
            <wp:extent cx="5760085" cy="6841215"/>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6841215"/>
                    </a:xfrm>
                    <a:prstGeom prst="rect">
                      <a:avLst/>
                    </a:prstGeom>
                    <a:noFill/>
                    <a:ln>
                      <a:noFill/>
                    </a:ln>
                  </pic:spPr>
                </pic:pic>
              </a:graphicData>
            </a:graphic>
          </wp:inline>
        </w:drawing>
      </w: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6B796E" w:rsidRDefault="006B796E" w:rsidP="006B796E">
      <w:pPr>
        <w:widowControl w:val="0"/>
        <w:spacing w:after="0" w:line="240" w:lineRule="auto"/>
        <w:jc w:val="both"/>
        <w:rPr>
          <w:rFonts w:ascii="Times New Roman" w:eastAsia="Times New Roman" w:hAnsi="Times New Roman" w:cs="Times New Roman"/>
          <w:sz w:val="24"/>
          <w:szCs w:val="24"/>
          <w:lang w:eastAsia="lv-LV"/>
        </w:rPr>
      </w:pPr>
    </w:p>
    <w:p w:rsidR="006B796E" w:rsidRDefault="006B796E" w:rsidP="006B796E">
      <w:pPr>
        <w:widowControl w:val="0"/>
        <w:spacing w:after="0" w:line="240" w:lineRule="auto"/>
        <w:jc w:val="both"/>
        <w:rPr>
          <w:rFonts w:ascii="Times New Roman" w:eastAsia="Times New Roman" w:hAnsi="Times New Roman" w:cs="Times New Roman"/>
          <w:sz w:val="24"/>
          <w:szCs w:val="24"/>
          <w:lang w:eastAsia="lv-LV"/>
        </w:rPr>
      </w:pPr>
      <w:r w:rsidRPr="000E2D02">
        <w:rPr>
          <w:noProof/>
          <w:sz w:val="24"/>
          <w:szCs w:val="24"/>
          <w:lang w:eastAsia="lv-LV"/>
        </w:rPr>
        <w:drawing>
          <wp:inline distT="0" distB="0" distL="0" distR="0">
            <wp:extent cx="2987675" cy="436245"/>
            <wp:effectExtent l="0" t="0" r="3175" b="190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7675" cy="436245"/>
                    </a:xfrm>
                    <a:prstGeom prst="rect">
                      <a:avLst/>
                    </a:prstGeom>
                    <a:noFill/>
                    <a:ln>
                      <a:noFill/>
                    </a:ln>
                  </pic:spPr>
                </pic:pic>
              </a:graphicData>
            </a:graphic>
          </wp:inline>
        </w:drawing>
      </w:r>
    </w:p>
    <w:p w:rsidR="006B796E" w:rsidRDefault="006B796E"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Eiropas Drošības un sadarbības organizācija</w:t>
      </w:r>
    </w:p>
    <w:p w:rsidR="006B796E" w:rsidRDefault="006B796E">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lastRenderedPageBreak/>
        <w:t>ISBN: 978-3-903128-17-0</w:t>
      </w:r>
    </w:p>
    <w:p w:rsidR="006B796E" w:rsidRDefault="006B796E"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Publicējis EDSO Cilvēku tirdzniecības apkarošanas īpašā pārstāvja un koordinatora birojs</w:t>
      </w:r>
    </w:p>
    <w:p w:rsidR="006B796E" w:rsidRDefault="006B796E"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Wallnerstr.</w:t>
      </w:r>
      <w:r w:rsidRPr="006B796E">
        <w:rPr>
          <w:rFonts w:ascii="Times New Roman" w:eastAsia="Times New Roman" w:hAnsi="Times New Roman" w:cs="Times New Roman"/>
          <w:sz w:val="24"/>
          <w:szCs w:val="24"/>
          <w:lang w:eastAsia="lv-LV"/>
        </w:rPr>
        <w:t xml:space="preserve"> 6, 1010 </w:t>
      </w:r>
      <w:r w:rsidRPr="006B796E">
        <w:rPr>
          <w:rFonts w:ascii="Times New Roman" w:eastAsia="Times New Roman" w:hAnsi="Times New Roman" w:cs="Times New Roman"/>
          <w:i/>
          <w:iCs/>
          <w:sz w:val="24"/>
          <w:szCs w:val="24"/>
          <w:lang w:eastAsia="lv-LV"/>
        </w:rPr>
        <w:t>Vienna, Austria</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Tālr.: + 43 1 51436 6664</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Fakss: + 43 1 51436 6299</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e-pasts: info-cthb@osce.org</w:t>
      </w:r>
    </w:p>
    <w:p w:rsidR="006B796E" w:rsidRDefault="006B796E"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2018 EDSO/Cilvēku tirdzniecības apkarošanas īpašā pārstāvja un koordinatora birojs</w:t>
      </w:r>
    </w:p>
    <w:p w:rsidR="006B796E" w:rsidRDefault="006B796E"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Autortiesības: “Visas tiesības aizsargātas. Šīs publikācijas saturu var brīvi izmantot un kopēt mācību un citiem nekomerciāliem mērķiem, ja pārpublicētajam materiālam pievienots apliecinājums, ka tā avots ir EDSO/Cilvēku tirdzniecības apkarošanas īpašā pārstāvja un koordinatora birojs.”</w:t>
      </w:r>
    </w:p>
    <w:p w:rsidR="006B796E" w:rsidRDefault="006B796E"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Noformējums: </w:t>
      </w:r>
      <w:r w:rsidRPr="006B796E">
        <w:rPr>
          <w:rFonts w:ascii="Times New Roman" w:eastAsia="Times New Roman" w:hAnsi="Times New Roman" w:cs="Times New Roman"/>
          <w:i/>
          <w:iCs/>
          <w:sz w:val="24"/>
          <w:szCs w:val="24"/>
          <w:lang w:eastAsia="lv-LV"/>
        </w:rPr>
        <w:t>Tina Feiertag</w:t>
      </w:r>
      <w:r w:rsidRPr="006B796E">
        <w:rPr>
          <w:rFonts w:ascii="Times New Roman" w:eastAsia="Times New Roman" w:hAnsi="Times New Roman" w:cs="Times New Roman"/>
          <w:sz w:val="24"/>
          <w:szCs w:val="24"/>
          <w:lang w:eastAsia="lv-LV"/>
        </w:rPr>
        <w:t>, Vīne</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Ilustrācijas: </w:t>
      </w:r>
      <w:r w:rsidRPr="006B796E">
        <w:rPr>
          <w:rFonts w:ascii="Times New Roman" w:eastAsia="Times New Roman" w:hAnsi="Times New Roman" w:cs="Times New Roman"/>
          <w:i/>
          <w:iCs/>
          <w:sz w:val="24"/>
          <w:szCs w:val="24"/>
          <w:lang w:eastAsia="lv-LV"/>
        </w:rPr>
        <w:t>shutterstock</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Fotoattēli: </w:t>
      </w:r>
      <w:r w:rsidRPr="006B796E">
        <w:rPr>
          <w:rFonts w:ascii="Times New Roman" w:eastAsia="Times New Roman" w:hAnsi="Times New Roman" w:cs="Times New Roman"/>
          <w:i/>
          <w:iCs/>
          <w:sz w:val="24"/>
          <w:szCs w:val="24"/>
          <w:lang w:eastAsia="lv-LV"/>
        </w:rPr>
        <w:t>Michael Rodgers, Blanca Tapia</w:t>
      </w:r>
    </w:p>
    <w:p w:rsidR="006B796E" w:rsidRDefault="006B796E"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Citēt: EDSO Cilvēku tirdzniecības apkarošanas īpašā pārstāvja un koordinatora biroja Speciālais pētījums Nr. 9: Bērnu tirdzniecība un bērnu aizsardzība. Nodrošināt, ka bērnu aizsardzības mehānismi aizsargā bērnu, kas ir cilvēku tirdzniecības upuri, tiesības un nodrošina viņu vajadzības</w:t>
      </w:r>
    </w:p>
    <w:p w:rsidR="006B796E" w:rsidRDefault="006B796E" w:rsidP="006B796E">
      <w:pPr>
        <w:widowControl w:val="0"/>
        <w:spacing w:after="0" w:line="240" w:lineRule="auto"/>
        <w:jc w:val="both"/>
        <w:rPr>
          <w:rFonts w:ascii="Times New Roman" w:eastAsia="Times New Roman" w:hAnsi="Times New Roman" w:cs="Times New Roman"/>
          <w:sz w:val="24"/>
          <w:szCs w:val="24"/>
          <w:lang w:eastAsia="lv-LV"/>
        </w:rPr>
      </w:pPr>
    </w:p>
    <w:p w:rsidR="006B796E" w:rsidRDefault="006B796E" w:rsidP="006B796E">
      <w:pPr>
        <w:widowControl w:val="0"/>
        <w:spacing w:after="0" w:line="240" w:lineRule="auto"/>
        <w:jc w:val="both"/>
        <w:rPr>
          <w:rFonts w:ascii="Times New Roman" w:eastAsia="Times New Roman" w:hAnsi="Times New Roman" w:cs="Times New Roman"/>
          <w:sz w:val="24"/>
          <w:szCs w:val="24"/>
          <w:lang w:eastAsia="lv-LV"/>
        </w:rPr>
      </w:pPr>
    </w:p>
    <w:p w:rsidR="006B796E" w:rsidRDefault="006B796E"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Eiropas Drošības un sadarbības organizācija (EDSO) ir Eiropas drošības struktūra, kurā ietilpst 57 dalībvalstis, kas aptver ģeogrāfisko telpu no Vankūveras līdz Vladivostokai. Saskaņā ar ANO Statūtu VIII nodaļu EDSO ir reģionālais nolīgums, kas ir primārais agrīnās brīdināšanas, konfliktu novēršanas, krīžu vadības un pēckonfliktu rehabilitācijas instruments šajā telpā. Tā pieeja drošības jautājumos ir unikāla, jo ir gan visaptveroša, gan uz sadarbību vērsta; visaptveroša tā ir tādā ziņā, ka tiek risinātas trīs drošības dimensijas – cilvēks, politiski militārā dimensija un ekonomikas/vides dimensija. Tāpēc tiek risināts plašs ar drošību saistīto problēmu loks, tostarp cilvēktiesības, ieroču kontrole, uzticības un drošības veidošanas pasākumi, valstu mazākumtautības, demokratizācija, politikas veidošanas stratēģijas, terorisma novēršana un darbības ekonomikas un vides jomā.</w:t>
      </w:r>
    </w:p>
    <w:p w:rsidR="006B796E" w:rsidRDefault="006B796E"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DALĪBVALSTIS: Albānija | Amerikas Savienotās Valstis | Andora | Apvienotā Karaliste | Armēnija | Austrija | Azerbaidžāna | Baltkrievija | Beļģija | Bosnija un Hercegovina | Bulgārija| Čehijas Republika | Dānija | Francija | Grieķija | Gruzija | Horvātija | Igaunija | Islande | Itālija | Īrija | Kanāda | Kazahstāna | Kipra | Kirgizstāna | Krievijas Federācija | Latvija | Lietuva | Lihtenšteina | Luksemburga | Malta | Melnkalne | Moldova | Monako | Mongolija | Nīderlande | Norvēģija | Polija | Portugāle | Rumānija | Sanmarīno | Serbija | Slovākija | Slovēnija | Somija | Spānija | Svētais Krēsls | Šveice | Tadžikistāna | Turcija | Turkmenistāna | Ukraina | Ungārija | Uzbekistāna | Vācija | Ziemeļmaķedonija | Zviedrija</w:t>
      </w:r>
    </w:p>
    <w:p w:rsidR="006B796E" w:rsidRDefault="006B796E"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ĀZIJAS REĢIONA PARTNERVALSTIS: Afganistāna | Austrālija | Japāna | Korejas Republika | Taizeme VIDUSJŪRAS REĢIONA PARTNERVALSTIS: Alžīrija | Ēģipte | Izraēla | Jordānija | Maroka | Tunisija</w:t>
      </w:r>
    </w:p>
    <w:p w:rsidR="006B796E" w:rsidRDefault="006B796E"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lastRenderedPageBreak/>
        <w:t>Šeit publicētie materiāli ir paredzēti tikai vispārējas informācijas nolūkos, tie ir sniegti “tādi, kā ir”, nesniedzot nekāda veida garantijas, tostarp nepielāgojot kādiem konkrētiem nolūkiem. Proti, EDSO nesniedz nekādas garantijas attiecībā uz šajā publikācijā sniegtās informācijas precizitāti un pilnīgumu.</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Šajā pētījumā ir sniegti autoru viedokļi, konstatētie fakti, interpretācijas un secinājumi, un tie var neatbilst EDSO un/vai tās dalībvalstu oficiālajai nostājai. Likumā noteiktajā kārtībā EDSO neuzņemas atbildību par gūtajiem zaudējumiem, kaitējumu, saistībām vai izdevumiem, kas varētu rasties saistībā ar šajā publikācijā ietvertās informācijas izmantošanu vai tās izmantošanas rezultātā.</w:t>
      </w:r>
    </w:p>
    <w:p w:rsidR="0034577A" w:rsidRDefault="0034577A">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lastRenderedPageBreak/>
        <w:t>Cilvēku tirdzniecības apkarošanas īpašā pārstāvja un koordinatora birojs</w:t>
      </w:r>
    </w:p>
    <w:p w:rsidR="0034577A" w:rsidRDefault="0034577A" w:rsidP="006B796E">
      <w:pPr>
        <w:widowControl w:val="0"/>
        <w:spacing w:after="0" w:line="240" w:lineRule="auto"/>
        <w:jc w:val="both"/>
        <w:rPr>
          <w:rFonts w:ascii="Times New Roman" w:eastAsia="Times New Roman" w:hAnsi="Times New Roman" w:cs="Times New Roman"/>
          <w:b/>
          <w:bCs/>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b/>
          <w:bCs/>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b/>
          <w:bCs/>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b/>
          <w:bCs/>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b/>
          <w:bCs/>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b/>
          <w:bCs/>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b/>
          <w:bCs/>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b/>
          <w:bCs/>
          <w:sz w:val="24"/>
          <w:szCs w:val="24"/>
          <w:lang w:eastAsia="lv-LV"/>
        </w:rPr>
      </w:pPr>
    </w:p>
    <w:p w:rsidR="0034577A" w:rsidRDefault="0034577A"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Pr="00F253CE" w:rsidRDefault="00D6592D" w:rsidP="006B796E">
      <w:pPr>
        <w:widowControl w:val="0"/>
        <w:spacing w:after="0" w:line="240" w:lineRule="auto"/>
        <w:jc w:val="both"/>
        <w:rPr>
          <w:rFonts w:ascii="Times New Roman" w:eastAsia="Times New Roman" w:hAnsi="Times New Roman" w:cs="Times New Roman"/>
          <w:b/>
          <w:bCs/>
          <w:sz w:val="36"/>
          <w:szCs w:val="24"/>
          <w:lang w:eastAsia="lv-LV"/>
        </w:rPr>
      </w:pPr>
      <w:r w:rsidRPr="00F253CE">
        <w:rPr>
          <w:rFonts w:ascii="Times New Roman" w:eastAsia="Times New Roman" w:hAnsi="Times New Roman" w:cs="Times New Roman"/>
          <w:b/>
          <w:bCs/>
          <w:sz w:val="36"/>
          <w:szCs w:val="24"/>
          <w:lang w:eastAsia="lv-LV"/>
        </w:rPr>
        <w:t>BĒRNU TIRDZNIECĪBA UN BĒRNU AIZSARDZĪBA.</w:t>
      </w:r>
    </w:p>
    <w:p w:rsidR="0034577A" w:rsidRDefault="0034577A"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F253CE" w:rsidRDefault="00D6592D" w:rsidP="006B796E">
      <w:pPr>
        <w:widowControl w:val="0"/>
        <w:spacing w:after="0" w:line="240" w:lineRule="auto"/>
        <w:jc w:val="both"/>
        <w:rPr>
          <w:rFonts w:ascii="Times New Roman" w:eastAsia="Times New Roman" w:hAnsi="Times New Roman" w:cs="Times New Roman"/>
          <w:sz w:val="28"/>
          <w:szCs w:val="24"/>
          <w:lang w:eastAsia="lv-LV"/>
        </w:rPr>
      </w:pPr>
      <w:r w:rsidRPr="00F253CE">
        <w:rPr>
          <w:rFonts w:ascii="Times New Roman" w:eastAsia="Times New Roman" w:hAnsi="Times New Roman" w:cs="Times New Roman"/>
          <w:sz w:val="28"/>
          <w:szCs w:val="24"/>
          <w:lang w:eastAsia="lv-LV"/>
        </w:rPr>
        <w:t>Nodrošināt, ka bērnu aizsardzības mehānismi aizsargā bērnu, kas ir cilvēku tirdzniecības upuri, tiesības un nodrošina viņu vajadzības</w:t>
      </w:r>
    </w:p>
    <w:p w:rsidR="0034577A" w:rsidRDefault="0034577A" w:rsidP="006B796E">
      <w:pPr>
        <w:widowControl w:val="0"/>
        <w:spacing w:after="0" w:line="240" w:lineRule="auto"/>
        <w:jc w:val="both"/>
        <w:rPr>
          <w:rFonts w:ascii="Times New Roman" w:eastAsia="Times New Roman" w:hAnsi="Times New Roman" w:cs="Times New Roman"/>
          <w:sz w:val="24"/>
          <w:szCs w:val="24"/>
          <w:lang w:eastAsia="lv-LV"/>
        </w:rPr>
      </w:pPr>
    </w:p>
    <w:p w:rsidR="0034577A" w:rsidRDefault="0034577A"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34577A" w:rsidRDefault="0034577A" w:rsidP="006B796E">
      <w:pPr>
        <w:widowControl w:val="0"/>
        <w:spacing w:after="0" w:line="240" w:lineRule="auto"/>
        <w:jc w:val="both"/>
        <w:rPr>
          <w:rFonts w:ascii="Times New Roman" w:eastAsia="Times New Roman" w:hAnsi="Times New Roman" w:cs="Times New Roman"/>
          <w:sz w:val="24"/>
          <w:szCs w:val="24"/>
          <w:lang w:eastAsia="lv-LV"/>
        </w:rPr>
      </w:pPr>
    </w:p>
    <w:p w:rsidR="0034577A" w:rsidRDefault="0034577A" w:rsidP="006B796E">
      <w:pPr>
        <w:widowControl w:val="0"/>
        <w:spacing w:after="0" w:line="240" w:lineRule="auto"/>
        <w:jc w:val="both"/>
        <w:rPr>
          <w:rFonts w:ascii="Times New Roman" w:eastAsia="Times New Roman" w:hAnsi="Times New Roman" w:cs="Times New Roman"/>
          <w:sz w:val="24"/>
          <w:szCs w:val="24"/>
          <w:lang w:eastAsia="lv-LV"/>
        </w:rPr>
      </w:pPr>
      <w:r w:rsidRPr="000E2D02">
        <w:rPr>
          <w:noProof/>
          <w:sz w:val="24"/>
          <w:szCs w:val="24"/>
          <w:lang w:eastAsia="lv-LV"/>
        </w:rPr>
        <w:drawing>
          <wp:inline distT="0" distB="0" distL="0" distR="0">
            <wp:extent cx="2987675" cy="436245"/>
            <wp:effectExtent l="0" t="0" r="3175" b="190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7675" cy="436245"/>
                    </a:xfrm>
                    <a:prstGeom prst="rect">
                      <a:avLst/>
                    </a:prstGeom>
                    <a:noFill/>
                    <a:ln>
                      <a:noFill/>
                    </a:ln>
                  </pic:spPr>
                </pic:pic>
              </a:graphicData>
            </a:graphic>
          </wp:inline>
        </w:drawing>
      </w:r>
    </w:p>
    <w:p w:rsidR="0034577A" w:rsidRDefault="0034577A"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Eiropas Drošības un sadarbības organizācija</w:t>
      </w:r>
    </w:p>
    <w:p w:rsidR="0034577A" w:rsidRDefault="0034577A">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34577A" w:rsidRDefault="0034577A"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F253CE" w:rsidRDefault="00D6592D" w:rsidP="006B796E">
      <w:pPr>
        <w:widowControl w:val="0"/>
        <w:spacing w:after="0" w:line="240" w:lineRule="auto"/>
        <w:jc w:val="both"/>
        <w:rPr>
          <w:rFonts w:ascii="Times New Roman" w:eastAsia="Times New Roman" w:hAnsi="Times New Roman" w:cs="Times New Roman"/>
          <w:sz w:val="28"/>
          <w:szCs w:val="24"/>
          <w:lang w:eastAsia="lv-LV"/>
        </w:rPr>
      </w:pPr>
      <w:r w:rsidRPr="00F253CE">
        <w:rPr>
          <w:rFonts w:ascii="Times New Roman" w:eastAsia="Times New Roman" w:hAnsi="Times New Roman" w:cs="Times New Roman"/>
          <w:sz w:val="28"/>
          <w:szCs w:val="24"/>
          <w:lang w:eastAsia="lv-LV"/>
        </w:rPr>
        <w:t>Saturs</w:t>
      </w:r>
    </w:p>
    <w:p w:rsidR="0034577A" w:rsidRDefault="0034577A" w:rsidP="006B796E">
      <w:pPr>
        <w:widowControl w:val="0"/>
        <w:spacing w:after="0" w:line="240" w:lineRule="auto"/>
        <w:jc w:val="both"/>
        <w:rPr>
          <w:rFonts w:ascii="Times New Roman" w:eastAsia="Times New Roman" w:hAnsi="Times New Roman" w:cs="Times New Roman"/>
          <w:sz w:val="24"/>
          <w:szCs w:val="24"/>
          <w:lang w:eastAsia="lv-LV"/>
        </w:rPr>
      </w:pPr>
    </w:p>
    <w:tbl>
      <w:tblPr>
        <w:tblW w:w="5000" w:type="pct"/>
        <w:tblCellMar>
          <w:top w:w="28" w:type="dxa"/>
          <w:left w:w="28" w:type="dxa"/>
          <w:bottom w:w="28" w:type="dxa"/>
          <w:right w:w="28" w:type="dxa"/>
        </w:tblCellMar>
        <w:tblLook w:val="04A0" w:firstRow="1" w:lastRow="0" w:firstColumn="1" w:lastColumn="0" w:noHBand="0" w:noVBand="1"/>
      </w:tblPr>
      <w:tblGrid>
        <w:gridCol w:w="2203"/>
        <w:gridCol w:w="3434"/>
        <w:gridCol w:w="3434"/>
      </w:tblGrid>
      <w:tr w:rsidR="0034577A" w:rsidRPr="002F1BEE" w:rsidTr="0034577A">
        <w:tc>
          <w:tcPr>
            <w:tcW w:w="1214" w:type="pct"/>
          </w:tcPr>
          <w:p w:rsidR="0034577A" w:rsidRPr="002F1BEE" w:rsidRDefault="0034577A" w:rsidP="0034577A">
            <w:pPr>
              <w:widowControl w:val="0"/>
              <w:spacing w:after="0" w:line="240" w:lineRule="auto"/>
              <w:jc w:val="both"/>
              <w:rPr>
                <w:rFonts w:ascii="Times New Roman" w:eastAsia="Times New Roman" w:hAnsi="Times New Roman" w:cs="Times New Roman"/>
                <w:b/>
                <w:bCs/>
                <w:sz w:val="20"/>
                <w:szCs w:val="20"/>
                <w:lang w:eastAsia="lv-LV"/>
              </w:rPr>
            </w:pPr>
            <w:r w:rsidRPr="002F1BEE">
              <w:rPr>
                <w:rFonts w:ascii="Times New Roman" w:eastAsia="Times New Roman" w:hAnsi="Times New Roman" w:cs="Times New Roman"/>
                <w:b/>
                <w:bCs/>
                <w:sz w:val="20"/>
                <w:szCs w:val="20"/>
                <w:lang w:eastAsia="lv-LV"/>
              </w:rPr>
              <w:t>Akronīmu un saīsinājumu saraksts</w:t>
            </w:r>
          </w:p>
          <w:p w:rsidR="0034577A" w:rsidRPr="002F1BEE" w:rsidRDefault="002F1BEE" w:rsidP="0034577A">
            <w:pPr>
              <w:widowControl w:val="0"/>
              <w:spacing w:after="0" w:line="240" w:lineRule="auto"/>
              <w:jc w:val="both"/>
              <w:rPr>
                <w:rFonts w:ascii="Times New Roman" w:eastAsia="Times New Roman" w:hAnsi="Times New Roman" w:cs="Times New Roman"/>
                <w:bCs/>
                <w:sz w:val="20"/>
                <w:szCs w:val="20"/>
                <w:lang w:eastAsia="lv-LV"/>
              </w:rPr>
            </w:pPr>
            <w:r w:rsidRPr="002F1BEE">
              <w:rPr>
                <w:rFonts w:ascii="Times New Roman" w:eastAsia="Times New Roman" w:hAnsi="Times New Roman" w:cs="Times New Roman"/>
                <w:bCs/>
                <w:sz w:val="20"/>
                <w:szCs w:val="20"/>
                <w:lang w:eastAsia="lv-LV"/>
              </w:rPr>
              <w:t>7. lappuse</w:t>
            </w:r>
          </w:p>
          <w:p w:rsidR="002F1BEE" w:rsidRPr="002F1BEE" w:rsidRDefault="002F1BEE" w:rsidP="0034577A">
            <w:pPr>
              <w:widowControl w:val="0"/>
              <w:spacing w:after="0" w:line="240" w:lineRule="auto"/>
              <w:jc w:val="both"/>
              <w:rPr>
                <w:rFonts w:ascii="Times New Roman" w:eastAsia="Times New Roman" w:hAnsi="Times New Roman" w:cs="Times New Roman"/>
                <w:b/>
                <w:bCs/>
                <w:sz w:val="20"/>
                <w:szCs w:val="20"/>
                <w:lang w:eastAsia="lv-LV"/>
              </w:rPr>
            </w:pPr>
          </w:p>
          <w:p w:rsidR="0034577A" w:rsidRPr="002F1BEE" w:rsidRDefault="0034577A" w:rsidP="0034577A">
            <w:pPr>
              <w:widowControl w:val="0"/>
              <w:spacing w:after="0" w:line="240" w:lineRule="auto"/>
              <w:jc w:val="both"/>
              <w:rPr>
                <w:rFonts w:ascii="Times New Roman" w:eastAsia="Times New Roman" w:hAnsi="Times New Roman" w:cs="Times New Roman"/>
                <w:b/>
                <w:bCs/>
                <w:sz w:val="20"/>
                <w:szCs w:val="20"/>
                <w:lang w:eastAsia="lv-LV"/>
              </w:rPr>
            </w:pPr>
            <w:r w:rsidRPr="002F1BEE">
              <w:rPr>
                <w:rFonts w:ascii="Times New Roman" w:eastAsia="Times New Roman" w:hAnsi="Times New Roman" w:cs="Times New Roman"/>
                <w:b/>
                <w:bCs/>
                <w:sz w:val="20"/>
                <w:szCs w:val="20"/>
                <w:lang w:eastAsia="lv-LV"/>
              </w:rPr>
              <w:t>Glosārijs</w:t>
            </w:r>
          </w:p>
          <w:p w:rsidR="0034577A" w:rsidRPr="002F1BEE" w:rsidRDefault="002F1BEE" w:rsidP="0034577A">
            <w:pPr>
              <w:widowControl w:val="0"/>
              <w:spacing w:after="0" w:line="240" w:lineRule="auto"/>
              <w:jc w:val="both"/>
              <w:rPr>
                <w:rFonts w:ascii="Times New Roman" w:eastAsia="Times New Roman" w:hAnsi="Times New Roman" w:cs="Times New Roman"/>
                <w:bCs/>
                <w:sz w:val="20"/>
                <w:szCs w:val="20"/>
                <w:lang w:eastAsia="lv-LV"/>
              </w:rPr>
            </w:pPr>
            <w:r w:rsidRPr="002F1BEE">
              <w:rPr>
                <w:rFonts w:ascii="Times New Roman" w:eastAsia="Times New Roman" w:hAnsi="Times New Roman" w:cs="Times New Roman"/>
                <w:bCs/>
                <w:sz w:val="20"/>
                <w:szCs w:val="20"/>
                <w:lang w:eastAsia="lv-LV"/>
              </w:rPr>
              <w:t>8. lappuse</w:t>
            </w:r>
          </w:p>
          <w:p w:rsidR="002F1BEE" w:rsidRPr="002F1BEE" w:rsidRDefault="002F1BEE" w:rsidP="0034577A">
            <w:pPr>
              <w:widowControl w:val="0"/>
              <w:spacing w:after="0" w:line="240" w:lineRule="auto"/>
              <w:jc w:val="both"/>
              <w:rPr>
                <w:rFonts w:ascii="Times New Roman" w:eastAsia="Times New Roman" w:hAnsi="Times New Roman" w:cs="Times New Roman"/>
                <w:b/>
                <w:bCs/>
                <w:sz w:val="20"/>
                <w:szCs w:val="20"/>
                <w:lang w:eastAsia="lv-LV"/>
              </w:rPr>
            </w:pPr>
          </w:p>
          <w:p w:rsidR="0034577A" w:rsidRPr="002F1BEE" w:rsidRDefault="0034577A" w:rsidP="0034577A">
            <w:pPr>
              <w:widowControl w:val="0"/>
              <w:spacing w:after="0" w:line="240" w:lineRule="auto"/>
              <w:jc w:val="both"/>
              <w:rPr>
                <w:rFonts w:ascii="Times New Roman" w:eastAsia="Times New Roman" w:hAnsi="Times New Roman" w:cs="Times New Roman"/>
                <w:b/>
                <w:bCs/>
                <w:sz w:val="20"/>
                <w:szCs w:val="20"/>
                <w:lang w:eastAsia="lv-LV"/>
              </w:rPr>
            </w:pPr>
            <w:r w:rsidRPr="002F1BEE">
              <w:rPr>
                <w:rFonts w:ascii="Times New Roman" w:eastAsia="Times New Roman" w:hAnsi="Times New Roman" w:cs="Times New Roman"/>
                <w:b/>
                <w:bCs/>
                <w:sz w:val="20"/>
                <w:szCs w:val="20"/>
                <w:lang w:eastAsia="lv-LV"/>
              </w:rPr>
              <w:t>Priekšvārds</w:t>
            </w:r>
          </w:p>
          <w:p w:rsidR="0034577A" w:rsidRPr="002F1BEE" w:rsidRDefault="002F1BEE" w:rsidP="0034577A">
            <w:pPr>
              <w:widowControl w:val="0"/>
              <w:spacing w:after="0" w:line="240" w:lineRule="auto"/>
              <w:jc w:val="both"/>
              <w:rPr>
                <w:rFonts w:ascii="Times New Roman" w:eastAsia="Times New Roman" w:hAnsi="Times New Roman" w:cs="Times New Roman"/>
                <w:bCs/>
                <w:sz w:val="20"/>
                <w:szCs w:val="20"/>
                <w:lang w:eastAsia="lv-LV"/>
              </w:rPr>
            </w:pPr>
            <w:r w:rsidRPr="002F1BEE">
              <w:rPr>
                <w:rFonts w:ascii="Times New Roman" w:eastAsia="Times New Roman" w:hAnsi="Times New Roman" w:cs="Times New Roman"/>
                <w:bCs/>
                <w:sz w:val="20"/>
                <w:szCs w:val="20"/>
                <w:lang w:eastAsia="lv-LV"/>
              </w:rPr>
              <w:t>15. lappuse</w:t>
            </w:r>
          </w:p>
          <w:p w:rsidR="002F1BEE" w:rsidRPr="002F1BEE" w:rsidRDefault="002F1BEE" w:rsidP="0034577A">
            <w:pPr>
              <w:widowControl w:val="0"/>
              <w:spacing w:after="0" w:line="240" w:lineRule="auto"/>
              <w:jc w:val="both"/>
              <w:rPr>
                <w:rFonts w:ascii="Times New Roman" w:eastAsia="Times New Roman" w:hAnsi="Times New Roman" w:cs="Times New Roman"/>
                <w:b/>
                <w:bCs/>
                <w:sz w:val="20"/>
                <w:szCs w:val="20"/>
                <w:lang w:eastAsia="lv-LV"/>
              </w:rPr>
            </w:pPr>
          </w:p>
          <w:p w:rsidR="0034577A" w:rsidRPr="002F1BEE" w:rsidRDefault="0034577A" w:rsidP="0034577A">
            <w:pPr>
              <w:widowControl w:val="0"/>
              <w:spacing w:after="0" w:line="240" w:lineRule="auto"/>
              <w:jc w:val="both"/>
              <w:rPr>
                <w:rFonts w:ascii="Times New Roman" w:eastAsia="Times New Roman" w:hAnsi="Times New Roman" w:cs="Times New Roman"/>
                <w:b/>
                <w:bCs/>
                <w:sz w:val="20"/>
                <w:szCs w:val="20"/>
                <w:lang w:eastAsia="lv-LV"/>
              </w:rPr>
            </w:pPr>
            <w:r w:rsidRPr="002F1BEE">
              <w:rPr>
                <w:rFonts w:ascii="Times New Roman" w:eastAsia="Times New Roman" w:hAnsi="Times New Roman" w:cs="Times New Roman"/>
                <w:b/>
                <w:bCs/>
                <w:sz w:val="20"/>
                <w:szCs w:val="20"/>
                <w:lang w:eastAsia="lv-LV"/>
              </w:rPr>
              <w:t>Pateicība</w:t>
            </w:r>
          </w:p>
          <w:p w:rsidR="002F1BEE" w:rsidRPr="002F1BEE" w:rsidRDefault="002F1BEE" w:rsidP="0034577A">
            <w:pPr>
              <w:widowControl w:val="0"/>
              <w:spacing w:after="0" w:line="240" w:lineRule="auto"/>
              <w:jc w:val="both"/>
              <w:rPr>
                <w:rFonts w:ascii="Times New Roman" w:eastAsia="Times New Roman" w:hAnsi="Times New Roman" w:cs="Times New Roman"/>
                <w:b/>
                <w:bCs/>
                <w:sz w:val="20"/>
                <w:szCs w:val="20"/>
                <w:lang w:eastAsia="lv-LV"/>
              </w:rPr>
            </w:pPr>
            <w:r w:rsidRPr="002F1BEE">
              <w:rPr>
                <w:rFonts w:ascii="Times New Roman" w:eastAsia="Times New Roman" w:hAnsi="Times New Roman" w:cs="Times New Roman"/>
                <w:bCs/>
                <w:sz w:val="20"/>
                <w:szCs w:val="20"/>
                <w:lang w:eastAsia="lv-LV"/>
              </w:rPr>
              <w:t>17. lappuse</w:t>
            </w:r>
          </w:p>
          <w:p w:rsidR="002F1BEE" w:rsidRPr="002F1BEE" w:rsidRDefault="002F1BEE" w:rsidP="0034577A">
            <w:pPr>
              <w:widowControl w:val="0"/>
              <w:spacing w:after="0" w:line="240" w:lineRule="auto"/>
              <w:jc w:val="both"/>
              <w:rPr>
                <w:rFonts w:ascii="Times New Roman" w:eastAsia="Times New Roman" w:hAnsi="Times New Roman" w:cs="Times New Roman"/>
                <w:b/>
                <w:bCs/>
                <w:sz w:val="20"/>
                <w:szCs w:val="20"/>
                <w:lang w:eastAsia="lv-LV"/>
              </w:rPr>
            </w:pPr>
          </w:p>
          <w:p w:rsidR="0034577A" w:rsidRPr="002F1BEE" w:rsidRDefault="0034577A" w:rsidP="0034577A">
            <w:pPr>
              <w:pStyle w:val="Pamatteksts"/>
              <w:widowControl/>
              <w:kinsoku w:val="0"/>
              <w:overflowPunct w:val="0"/>
              <w:ind w:left="0"/>
              <w:jc w:val="both"/>
              <w:rPr>
                <w:b/>
                <w:bCs/>
                <w:sz w:val="20"/>
                <w:szCs w:val="20"/>
              </w:rPr>
            </w:pPr>
            <w:r w:rsidRPr="002F1BEE">
              <w:rPr>
                <w:b/>
                <w:bCs/>
                <w:sz w:val="20"/>
                <w:szCs w:val="20"/>
              </w:rPr>
              <w:t>Kopsavilkums</w:t>
            </w:r>
          </w:p>
          <w:p w:rsidR="002F1BEE" w:rsidRPr="002F1BEE" w:rsidRDefault="002F1BEE" w:rsidP="0034577A">
            <w:pPr>
              <w:pStyle w:val="Pamatteksts"/>
              <w:widowControl/>
              <w:kinsoku w:val="0"/>
              <w:overflowPunct w:val="0"/>
              <w:ind w:left="0"/>
              <w:jc w:val="both"/>
              <w:rPr>
                <w:noProof/>
                <w:sz w:val="20"/>
                <w:szCs w:val="20"/>
                <w:lang w:val="en-US"/>
              </w:rPr>
            </w:pPr>
            <w:r w:rsidRPr="002F1BEE">
              <w:rPr>
                <w:bCs/>
                <w:sz w:val="20"/>
                <w:szCs w:val="20"/>
              </w:rPr>
              <w:t>18. lappuse</w:t>
            </w:r>
          </w:p>
        </w:tc>
        <w:tc>
          <w:tcPr>
            <w:tcW w:w="1893" w:type="pct"/>
          </w:tcPr>
          <w:p w:rsidR="0034577A" w:rsidRPr="002F1BEE" w:rsidRDefault="0034577A" w:rsidP="00B7131B">
            <w:pPr>
              <w:pStyle w:val="Pamatteksts"/>
              <w:widowControl/>
              <w:kinsoku w:val="0"/>
              <w:overflowPunct w:val="0"/>
              <w:ind w:left="0"/>
              <w:jc w:val="center"/>
              <w:rPr>
                <w:noProof/>
                <w:sz w:val="20"/>
                <w:szCs w:val="20"/>
                <w:lang w:val="en-US"/>
              </w:rPr>
            </w:pPr>
            <w:r w:rsidRPr="002F1BEE">
              <w:rPr>
                <w:noProof/>
                <w:sz w:val="20"/>
                <w:szCs w:val="20"/>
                <w:lang w:val="en-US"/>
              </w:rPr>
              <w:object w:dxaOrig="3750"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9.6pt;height:158.25pt" o:ole="">
                  <v:imagedata r:id="rId9" o:title=""/>
                </v:shape>
                <o:OLEObject Type="Embed" ProgID="PBrush" ShapeID="_x0000_i1029" DrawAspect="Content" ObjectID="_1624471404" r:id="rId10"/>
              </w:object>
            </w:r>
          </w:p>
        </w:tc>
        <w:tc>
          <w:tcPr>
            <w:tcW w:w="1893" w:type="pct"/>
          </w:tcPr>
          <w:p w:rsidR="0034577A" w:rsidRPr="002F1BEE" w:rsidRDefault="0034577A" w:rsidP="00B7131B">
            <w:pPr>
              <w:pStyle w:val="Pamatteksts"/>
              <w:widowControl/>
              <w:kinsoku w:val="0"/>
              <w:overflowPunct w:val="0"/>
              <w:ind w:left="0"/>
              <w:jc w:val="center"/>
              <w:rPr>
                <w:noProof/>
                <w:sz w:val="20"/>
                <w:szCs w:val="20"/>
                <w:lang w:val="en-US"/>
              </w:rPr>
            </w:pPr>
            <w:r w:rsidRPr="002F1BEE">
              <w:rPr>
                <w:noProof/>
                <w:sz w:val="20"/>
                <w:szCs w:val="20"/>
                <w:lang w:val="en-US"/>
              </w:rPr>
              <w:object w:dxaOrig="3735" w:dyaOrig="3735">
                <v:shape id="_x0000_i1030" type="#_x0000_t75" style="width:151.45pt;height:151.45pt" o:ole="">
                  <v:imagedata r:id="rId11" o:title=""/>
                </v:shape>
                <o:OLEObject Type="Embed" ProgID="PBrush" ShapeID="_x0000_i1030" DrawAspect="Content" ObjectID="_1624471405" r:id="rId12"/>
              </w:object>
            </w:r>
          </w:p>
        </w:tc>
      </w:tr>
      <w:tr w:rsidR="0034577A" w:rsidRPr="002F1BEE" w:rsidTr="002F1BEE">
        <w:tc>
          <w:tcPr>
            <w:tcW w:w="1214" w:type="pct"/>
          </w:tcPr>
          <w:p w:rsidR="0034577A" w:rsidRPr="002F1BEE" w:rsidRDefault="0034577A" w:rsidP="00B7131B">
            <w:pPr>
              <w:pStyle w:val="Virsraksts9"/>
              <w:widowControl/>
              <w:kinsoku w:val="0"/>
              <w:overflowPunct w:val="0"/>
              <w:ind w:left="0"/>
              <w:jc w:val="both"/>
              <w:rPr>
                <w:b w:val="0"/>
                <w:noProof/>
                <w:sz w:val="20"/>
                <w:szCs w:val="20"/>
                <w:lang w:val="en-US"/>
              </w:rPr>
            </w:pPr>
          </w:p>
        </w:tc>
        <w:tc>
          <w:tcPr>
            <w:tcW w:w="1893" w:type="pct"/>
          </w:tcPr>
          <w:p w:rsidR="0034577A" w:rsidRPr="002F1BEE" w:rsidRDefault="0034577A" w:rsidP="002F1BEE">
            <w:pPr>
              <w:pStyle w:val="Pamatteksts"/>
              <w:widowControl/>
              <w:kinsoku w:val="0"/>
              <w:overflowPunct w:val="0"/>
              <w:ind w:left="0"/>
              <w:rPr>
                <w:b/>
                <w:bCs/>
                <w:sz w:val="20"/>
                <w:szCs w:val="20"/>
              </w:rPr>
            </w:pPr>
            <w:r w:rsidRPr="002F1BEE">
              <w:rPr>
                <w:b/>
                <w:bCs/>
                <w:sz w:val="20"/>
                <w:szCs w:val="20"/>
              </w:rPr>
              <w:t>Ievads</w:t>
            </w:r>
          </w:p>
          <w:p w:rsidR="002F1BEE" w:rsidRPr="002F1BEE" w:rsidRDefault="002F1BEE" w:rsidP="002F1BEE">
            <w:pPr>
              <w:pStyle w:val="Pamatteksts"/>
              <w:widowControl/>
              <w:kinsoku w:val="0"/>
              <w:overflowPunct w:val="0"/>
              <w:ind w:left="0"/>
              <w:rPr>
                <w:bCs/>
                <w:noProof/>
                <w:sz w:val="20"/>
                <w:szCs w:val="20"/>
                <w:lang w:val="en-US"/>
              </w:rPr>
            </w:pPr>
            <w:r w:rsidRPr="002F1BEE">
              <w:rPr>
                <w:bCs/>
                <w:sz w:val="20"/>
                <w:szCs w:val="20"/>
              </w:rPr>
              <w:t>21. lappuse</w:t>
            </w:r>
          </w:p>
        </w:tc>
        <w:tc>
          <w:tcPr>
            <w:tcW w:w="1893" w:type="pct"/>
          </w:tcPr>
          <w:p w:rsidR="0034577A" w:rsidRPr="002F1BEE" w:rsidRDefault="0034577A" w:rsidP="002F1BEE">
            <w:pPr>
              <w:pStyle w:val="Virsraksts9"/>
              <w:widowControl/>
              <w:kinsoku w:val="0"/>
              <w:overflowPunct w:val="0"/>
              <w:ind w:left="0"/>
              <w:rPr>
                <w:rFonts w:ascii="Times New Roman" w:hAnsi="Times New Roman" w:cs="Times New Roman"/>
                <w:bCs w:val="0"/>
                <w:sz w:val="20"/>
                <w:szCs w:val="20"/>
              </w:rPr>
            </w:pPr>
            <w:r w:rsidRPr="002F1BEE">
              <w:rPr>
                <w:rFonts w:ascii="Times New Roman" w:hAnsi="Times New Roman" w:cs="Times New Roman"/>
                <w:bCs w:val="0"/>
                <w:sz w:val="20"/>
                <w:szCs w:val="20"/>
              </w:rPr>
              <w:t>Bērnu, kas ir cilvēku tirdzniecības upuri, aizsardzības principi</w:t>
            </w:r>
          </w:p>
          <w:p w:rsidR="002F1BEE" w:rsidRPr="002F1BEE" w:rsidRDefault="002F1BEE" w:rsidP="002F1BEE">
            <w:pPr>
              <w:rPr>
                <w:rFonts w:ascii="Times New Roman" w:hAnsi="Times New Roman" w:cs="Times New Roman"/>
                <w:sz w:val="20"/>
                <w:szCs w:val="20"/>
                <w:lang w:eastAsia="lv-LV"/>
              </w:rPr>
            </w:pPr>
            <w:r w:rsidRPr="002F1BEE">
              <w:rPr>
                <w:rFonts w:ascii="Times New Roman" w:hAnsi="Times New Roman" w:cs="Times New Roman"/>
                <w:sz w:val="20"/>
                <w:szCs w:val="20"/>
                <w:lang w:eastAsia="lv-LV"/>
              </w:rPr>
              <w:t>28. lappuse</w:t>
            </w:r>
          </w:p>
        </w:tc>
      </w:tr>
      <w:tr w:rsidR="0034577A" w:rsidRPr="002F1BEE" w:rsidTr="0034577A">
        <w:tc>
          <w:tcPr>
            <w:tcW w:w="1214" w:type="pct"/>
          </w:tcPr>
          <w:p w:rsidR="0034577A" w:rsidRPr="002F1BEE" w:rsidRDefault="0034577A" w:rsidP="00B7131B">
            <w:pPr>
              <w:pStyle w:val="Virsraksts9"/>
              <w:widowControl/>
              <w:kinsoku w:val="0"/>
              <w:overflowPunct w:val="0"/>
              <w:ind w:left="0"/>
              <w:jc w:val="both"/>
              <w:rPr>
                <w:b w:val="0"/>
                <w:noProof/>
                <w:sz w:val="20"/>
                <w:szCs w:val="20"/>
                <w:lang w:val="en-US"/>
              </w:rPr>
            </w:pPr>
          </w:p>
        </w:tc>
        <w:tc>
          <w:tcPr>
            <w:tcW w:w="1893" w:type="pct"/>
          </w:tcPr>
          <w:p w:rsidR="0034577A" w:rsidRPr="002F1BEE" w:rsidRDefault="0034577A" w:rsidP="00B7131B">
            <w:pPr>
              <w:pStyle w:val="Pamatteksts"/>
              <w:widowControl/>
              <w:kinsoku w:val="0"/>
              <w:overflowPunct w:val="0"/>
              <w:ind w:left="0"/>
              <w:jc w:val="center"/>
              <w:rPr>
                <w:noProof/>
                <w:sz w:val="20"/>
                <w:szCs w:val="20"/>
                <w:lang w:val="en-US"/>
              </w:rPr>
            </w:pPr>
            <w:r w:rsidRPr="002F1BEE">
              <w:rPr>
                <w:noProof/>
                <w:sz w:val="20"/>
                <w:szCs w:val="20"/>
                <w:lang w:val="en-US"/>
              </w:rPr>
              <w:object w:dxaOrig="3765" w:dyaOrig="3735">
                <v:shape id="_x0000_i1031" type="#_x0000_t75" style="width:156.25pt;height:154.85pt" o:ole="">
                  <v:imagedata r:id="rId13" o:title=""/>
                </v:shape>
                <o:OLEObject Type="Embed" ProgID="PBrush" ShapeID="_x0000_i1031" DrawAspect="Content" ObjectID="_1624471406" r:id="rId14"/>
              </w:object>
            </w:r>
          </w:p>
        </w:tc>
        <w:tc>
          <w:tcPr>
            <w:tcW w:w="1893" w:type="pct"/>
          </w:tcPr>
          <w:p w:rsidR="0034577A" w:rsidRPr="002F1BEE" w:rsidRDefault="0034577A" w:rsidP="00B7131B">
            <w:pPr>
              <w:pStyle w:val="Pamatteksts"/>
              <w:widowControl/>
              <w:kinsoku w:val="0"/>
              <w:overflowPunct w:val="0"/>
              <w:ind w:left="0"/>
              <w:jc w:val="center"/>
              <w:rPr>
                <w:noProof/>
                <w:sz w:val="20"/>
                <w:szCs w:val="20"/>
                <w:lang w:val="en-US"/>
              </w:rPr>
            </w:pPr>
            <w:r w:rsidRPr="002F1BEE">
              <w:rPr>
                <w:noProof/>
                <w:sz w:val="20"/>
                <w:szCs w:val="20"/>
                <w:lang w:val="en-US"/>
              </w:rPr>
              <w:object w:dxaOrig="3825" w:dyaOrig="3690">
                <v:shape id="_x0000_i1032" type="#_x0000_t75" style="width:152.85pt;height:147.4pt" o:ole="">
                  <v:imagedata r:id="rId15" o:title=""/>
                </v:shape>
                <o:OLEObject Type="Embed" ProgID="PBrush" ShapeID="_x0000_i1032" DrawAspect="Content" ObjectID="_1624471407" r:id="rId16"/>
              </w:object>
            </w:r>
          </w:p>
        </w:tc>
      </w:tr>
      <w:tr w:rsidR="0034577A" w:rsidRPr="002F1BEE" w:rsidTr="0034577A">
        <w:tc>
          <w:tcPr>
            <w:tcW w:w="1214" w:type="pct"/>
          </w:tcPr>
          <w:p w:rsidR="0034577A" w:rsidRPr="00D74C59" w:rsidRDefault="0034577A" w:rsidP="00B7131B">
            <w:pPr>
              <w:pStyle w:val="Virsraksts9"/>
              <w:widowControl/>
              <w:kinsoku w:val="0"/>
              <w:overflowPunct w:val="0"/>
              <w:ind w:left="0"/>
              <w:jc w:val="both"/>
              <w:rPr>
                <w:rFonts w:ascii="Times New Roman" w:hAnsi="Times New Roman" w:cs="Times New Roman"/>
                <w:b w:val="0"/>
                <w:bCs w:val="0"/>
                <w:noProof/>
                <w:sz w:val="20"/>
                <w:szCs w:val="20"/>
                <w:lang w:val="en-US"/>
              </w:rPr>
            </w:pPr>
          </w:p>
        </w:tc>
        <w:tc>
          <w:tcPr>
            <w:tcW w:w="1893" w:type="pct"/>
          </w:tcPr>
          <w:p w:rsidR="0034577A" w:rsidRPr="00D74C59" w:rsidRDefault="004D1DD4" w:rsidP="00B7131B">
            <w:pPr>
              <w:pStyle w:val="Virsraksts9"/>
              <w:widowControl/>
              <w:kinsoku w:val="0"/>
              <w:overflowPunct w:val="0"/>
              <w:ind w:left="0"/>
              <w:jc w:val="both"/>
              <w:rPr>
                <w:rFonts w:ascii="Times New Roman" w:hAnsi="Times New Roman" w:cs="Times New Roman"/>
                <w:bCs w:val="0"/>
                <w:sz w:val="20"/>
                <w:szCs w:val="20"/>
              </w:rPr>
            </w:pPr>
            <w:r w:rsidRPr="00D74C59">
              <w:rPr>
                <w:rFonts w:ascii="Times New Roman" w:hAnsi="Times New Roman" w:cs="Times New Roman"/>
                <w:bCs w:val="0"/>
                <w:sz w:val="20"/>
                <w:szCs w:val="20"/>
              </w:rPr>
              <w:t>Lēmumu pieņemšanas process</w:t>
            </w:r>
          </w:p>
          <w:p w:rsidR="00D74C59" w:rsidRPr="00D74C59" w:rsidRDefault="00D74C59" w:rsidP="00D74C59">
            <w:pPr>
              <w:rPr>
                <w:rFonts w:ascii="Times New Roman" w:hAnsi="Times New Roman" w:cs="Times New Roman"/>
                <w:sz w:val="20"/>
                <w:szCs w:val="20"/>
                <w:lang w:eastAsia="lv-LV"/>
              </w:rPr>
            </w:pPr>
            <w:r w:rsidRPr="00D74C59">
              <w:rPr>
                <w:rFonts w:ascii="Times New Roman" w:hAnsi="Times New Roman" w:cs="Times New Roman"/>
                <w:sz w:val="20"/>
                <w:szCs w:val="20"/>
                <w:lang w:eastAsia="lv-LV"/>
              </w:rPr>
              <w:t>66. lappuse</w:t>
            </w:r>
          </w:p>
        </w:tc>
        <w:tc>
          <w:tcPr>
            <w:tcW w:w="1893" w:type="pct"/>
          </w:tcPr>
          <w:p w:rsidR="00D74C59" w:rsidRDefault="00D74C59" w:rsidP="004D1DD4">
            <w:pPr>
              <w:widowControl w:val="0"/>
              <w:spacing w:after="0" w:line="240" w:lineRule="auto"/>
              <w:jc w:val="both"/>
              <w:rPr>
                <w:rFonts w:ascii="Times New Roman" w:eastAsia="Times New Roman" w:hAnsi="Times New Roman" w:cs="Times New Roman"/>
                <w:b/>
                <w:bCs/>
                <w:sz w:val="20"/>
                <w:szCs w:val="20"/>
                <w:lang w:eastAsia="lv-LV"/>
              </w:rPr>
            </w:pPr>
            <w:r w:rsidRPr="002F1BEE">
              <w:rPr>
                <w:rFonts w:ascii="Times New Roman" w:eastAsia="Times New Roman" w:hAnsi="Times New Roman" w:cs="Times New Roman"/>
                <w:b/>
                <w:bCs/>
                <w:sz w:val="20"/>
                <w:szCs w:val="20"/>
                <w:lang w:eastAsia="lv-LV"/>
              </w:rPr>
              <w:t>Lēmumu īstenošana, lai veicinātu bērna atlabšanu</w:t>
            </w:r>
          </w:p>
          <w:p w:rsidR="0034577A" w:rsidRPr="00D74C59" w:rsidRDefault="00D74C59" w:rsidP="004D1DD4">
            <w:pPr>
              <w:widowControl w:val="0"/>
              <w:spacing w:after="0" w:line="240" w:lineRule="auto"/>
              <w:jc w:val="both"/>
              <w:rPr>
                <w:rFonts w:ascii="Times New Roman" w:eastAsia="Times New Roman" w:hAnsi="Times New Roman" w:cs="Times New Roman"/>
                <w:bCs/>
                <w:sz w:val="20"/>
                <w:szCs w:val="20"/>
                <w:lang w:eastAsia="lv-LV"/>
              </w:rPr>
            </w:pPr>
            <w:r>
              <w:rPr>
                <w:rFonts w:ascii="Times New Roman" w:eastAsia="Times New Roman" w:hAnsi="Times New Roman" w:cs="Times New Roman"/>
                <w:bCs/>
                <w:sz w:val="20"/>
                <w:szCs w:val="20"/>
                <w:lang w:eastAsia="lv-LV"/>
              </w:rPr>
              <w:t>74. lappuse</w:t>
            </w:r>
          </w:p>
        </w:tc>
      </w:tr>
    </w:tbl>
    <w:p w:rsidR="00D74C59" w:rsidRDefault="00D74C59" w:rsidP="006B796E">
      <w:pPr>
        <w:widowControl w:val="0"/>
        <w:spacing w:after="0" w:line="240" w:lineRule="auto"/>
        <w:jc w:val="both"/>
        <w:rPr>
          <w:rFonts w:ascii="Times New Roman" w:eastAsia="Times New Roman" w:hAnsi="Times New Roman" w:cs="Times New Roman"/>
          <w:sz w:val="24"/>
          <w:szCs w:val="24"/>
          <w:lang w:eastAsia="lv-LV"/>
        </w:rPr>
      </w:pPr>
    </w:p>
    <w:p w:rsidR="00D74C59" w:rsidRDefault="00D74C59">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D74C59" w:rsidRDefault="00D74C59" w:rsidP="006B796E">
      <w:pPr>
        <w:widowControl w:val="0"/>
        <w:spacing w:after="0" w:line="240" w:lineRule="auto"/>
        <w:jc w:val="both"/>
        <w:rPr>
          <w:rFonts w:ascii="Times New Roman" w:eastAsia="Times New Roman" w:hAnsi="Times New Roman" w:cs="Times New Roman"/>
          <w:sz w:val="24"/>
          <w:szCs w:val="24"/>
          <w:lang w:eastAsia="lv-LV"/>
        </w:rPr>
      </w:pPr>
    </w:p>
    <w:tbl>
      <w:tblPr>
        <w:tblW w:w="5000" w:type="pct"/>
        <w:tblLook w:val="04A0" w:firstRow="1" w:lastRow="0" w:firstColumn="1" w:lastColumn="0" w:noHBand="0" w:noVBand="1"/>
      </w:tblPr>
      <w:tblGrid>
        <w:gridCol w:w="3099"/>
        <w:gridCol w:w="3022"/>
        <w:gridCol w:w="2950"/>
      </w:tblGrid>
      <w:tr w:rsidR="0034577A" w:rsidRPr="002F1BEE" w:rsidTr="00B7131B">
        <w:tc>
          <w:tcPr>
            <w:tcW w:w="1708" w:type="pct"/>
          </w:tcPr>
          <w:p w:rsidR="0034577A" w:rsidRPr="002F1BEE" w:rsidRDefault="0034577A" w:rsidP="00B7131B">
            <w:pPr>
              <w:pStyle w:val="Virsraksts9"/>
              <w:widowControl/>
              <w:kinsoku w:val="0"/>
              <w:overflowPunct w:val="0"/>
              <w:ind w:left="0"/>
              <w:jc w:val="center"/>
              <w:rPr>
                <w:rFonts w:ascii="Times New Roman" w:hAnsi="Times New Roman" w:cs="Times New Roman"/>
                <w:b w:val="0"/>
                <w:noProof/>
                <w:sz w:val="20"/>
                <w:szCs w:val="20"/>
                <w:lang w:val="en-US"/>
              </w:rPr>
            </w:pPr>
            <w:r w:rsidRPr="002F1BEE">
              <w:rPr>
                <w:rFonts w:ascii="Times New Roman" w:hAnsi="Times New Roman" w:cs="Times New Roman"/>
                <w:noProof/>
                <w:sz w:val="20"/>
                <w:szCs w:val="20"/>
                <w:lang w:val="en-US"/>
              </w:rPr>
              <w:object w:dxaOrig="3750" w:dyaOrig="3720">
                <v:shape id="_x0000_i1037" type="#_x0000_t75" style="width:137.2pt;height:135.85pt" o:ole="">
                  <v:imagedata r:id="rId17" o:title=""/>
                </v:shape>
                <o:OLEObject Type="Embed" ProgID="PBrush" ShapeID="_x0000_i1037" DrawAspect="Content" ObjectID="_1624471408" r:id="rId18"/>
              </w:object>
            </w:r>
          </w:p>
        </w:tc>
        <w:tc>
          <w:tcPr>
            <w:tcW w:w="1666" w:type="pct"/>
          </w:tcPr>
          <w:p w:rsidR="0034577A" w:rsidRPr="002F1BEE" w:rsidRDefault="0034577A" w:rsidP="00B7131B">
            <w:pPr>
              <w:pStyle w:val="Pamatteksts"/>
              <w:widowControl/>
              <w:kinsoku w:val="0"/>
              <w:overflowPunct w:val="0"/>
              <w:ind w:left="0"/>
              <w:jc w:val="center"/>
              <w:rPr>
                <w:noProof/>
                <w:sz w:val="20"/>
                <w:szCs w:val="20"/>
                <w:lang w:val="en-US"/>
              </w:rPr>
            </w:pPr>
            <w:r w:rsidRPr="002F1BEE">
              <w:rPr>
                <w:noProof/>
                <w:sz w:val="20"/>
                <w:szCs w:val="20"/>
                <w:lang w:val="en-US"/>
              </w:rPr>
              <w:object w:dxaOrig="3735" w:dyaOrig="3705">
                <v:shape id="_x0000_i1038" type="#_x0000_t75" style="width:134.5pt;height:133.15pt" o:ole="">
                  <v:imagedata r:id="rId19" o:title=""/>
                </v:shape>
                <o:OLEObject Type="Embed" ProgID="PBrush" ShapeID="_x0000_i1038" DrawAspect="Content" ObjectID="_1624471409" r:id="rId20"/>
              </w:object>
            </w:r>
          </w:p>
        </w:tc>
        <w:tc>
          <w:tcPr>
            <w:tcW w:w="1626" w:type="pct"/>
          </w:tcPr>
          <w:p w:rsidR="0034577A" w:rsidRPr="002F1BEE" w:rsidRDefault="0034577A" w:rsidP="00B7131B">
            <w:pPr>
              <w:pStyle w:val="Pamatteksts"/>
              <w:widowControl/>
              <w:kinsoku w:val="0"/>
              <w:overflowPunct w:val="0"/>
              <w:ind w:left="0"/>
              <w:jc w:val="center"/>
              <w:rPr>
                <w:noProof/>
                <w:sz w:val="20"/>
                <w:szCs w:val="20"/>
                <w:lang w:val="en-US"/>
              </w:rPr>
            </w:pPr>
          </w:p>
        </w:tc>
      </w:tr>
      <w:tr w:rsidR="0034577A" w:rsidRPr="002F1BEE" w:rsidTr="00D74C59">
        <w:trPr>
          <w:trHeight w:val="1134"/>
        </w:trPr>
        <w:tc>
          <w:tcPr>
            <w:tcW w:w="1708" w:type="pct"/>
          </w:tcPr>
          <w:p w:rsidR="0034577A" w:rsidRDefault="004D1DD4" w:rsidP="004D1DD4">
            <w:pPr>
              <w:widowControl w:val="0"/>
              <w:spacing w:after="0" w:line="240" w:lineRule="auto"/>
              <w:jc w:val="both"/>
              <w:rPr>
                <w:rFonts w:ascii="Times New Roman" w:eastAsia="Times New Roman" w:hAnsi="Times New Roman" w:cs="Times New Roman"/>
                <w:b/>
                <w:bCs/>
                <w:sz w:val="20"/>
                <w:szCs w:val="20"/>
                <w:lang w:eastAsia="lv-LV"/>
              </w:rPr>
            </w:pPr>
            <w:r w:rsidRPr="002F1BEE">
              <w:rPr>
                <w:rFonts w:ascii="Times New Roman" w:eastAsia="Times New Roman" w:hAnsi="Times New Roman" w:cs="Times New Roman"/>
                <w:b/>
                <w:bCs/>
                <w:sz w:val="20"/>
                <w:szCs w:val="20"/>
                <w:lang w:eastAsia="lv-LV"/>
              </w:rPr>
              <w:t>Kādi lēmumi ir jāpieņem attiecībā uz bērniem, kas ir cilvēku tirdzniecības upuri</w:t>
            </w:r>
          </w:p>
          <w:p w:rsidR="00D74C59" w:rsidRPr="00D74C59" w:rsidRDefault="00D74C59" w:rsidP="004D1DD4">
            <w:pPr>
              <w:widowControl w:val="0"/>
              <w:spacing w:after="0" w:line="240" w:lineRule="auto"/>
              <w:jc w:val="both"/>
              <w:rPr>
                <w:rFonts w:ascii="Times New Roman" w:eastAsia="Times New Roman" w:hAnsi="Times New Roman" w:cs="Times New Roman"/>
                <w:bCs/>
                <w:sz w:val="20"/>
                <w:szCs w:val="20"/>
                <w:lang w:eastAsia="lv-LV"/>
              </w:rPr>
            </w:pPr>
            <w:r>
              <w:rPr>
                <w:rFonts w:ascii="Times New Roman" w:eastAsia="Times New Roman" w:hAnsi="Times New Roman" w:cs="Times New Roman"/>
                <w:bCs/>
                <w:sz w:val="20"/>
                <w:szCs w:val="20"/>
                <w:lang w:eastAsia="lv-LV"/>
              </w:rPr>
              <w:t>43. lappuse</w:t>
            </w:r>
          </w:p>
        </w:tc>
        <w:tc>
          <w:tcPr>
            <w:tcW w:w="1666" w:type="pct"/>
          </w:tcPr>
          <w:p w:rsidR="0034577A" w:rsidRDefault="004D1DD4" w:rsidP="004D1DD4">
            <w:pPr>
              <w:widowControl w:val="0"/>
              <w:spacing w:after="0" w:line="240" w:lineRule="auto"/>
              <w:jc w:val="both"/>
              <w:rPr>
                <w:rFonts w:ascii="Times New Roman" w:eastAsia="Times New Roman" w:hAnsi="Times New Roman" w:cs="Times New Roman"/>
                <w:b/>
                <w:bCs/>
                <w:sz w:val="20"/>
                <w:szCs w:val="20"/>
                <w:lang w:eastAsia="lv-LV"/>
              </w:rPr>
            </w:pPr>
            <w:r w:rsidRPr="002F1BEE">
              <w:rPr>
                <w:rFonts w:ascii="Times New Roman" w:eastAsia="Times New Roman" w:hAnsi="Times New Roman" w:cs="Times New Roman"/>
                <w:b/>
                <w:bCs/>
                <w:sz w:val="20"/>
                <w:szCs w:val="20"/>
                <w:lang w:eastAsia="lv-LV"/>
              </w:rPr>
              <w:t>Priekšnosacījumi, lai pieņemtu galvenos lēmumus par bērniem, kas ir cilvēku tirdzniecības upuri</w:t>
            </w:r>
          </w:p>
          <w:p w:rsidR="00D74C59" w:rsidRPr="00D74C59" w:rsidRDefault="00D74C59" w:rsidP="004D1DD4">
            <w:pPr>
              <w:widowControl w:val="0"/>
              <w:spacing w:after="0" w:line="240" w:lineRule="auto"/>
              <w:jc w:val="both"/>
              <w:rPr>
                <w:rFonts w:ascii="Times New Roman" w:eastAsia="Times New Roman" w:hAnsi="Times New Roman" w:cs="Times New Roman"/>
                <w:bCs/>
                <w:sz w:val="20"/>
                <w:szCs w:val="20"/>
                <w:lang w:eastAsia="lv-LV"/>
              </w:rPr>
            </w:pPr>
            <w:r>
              <w:rPr>
                <w:rFonts w:ascii="Times New Roman" w:eastAsia="Times New Roman" w:hAnsi="Times New Roman" w:cs="Times New Roman"/>
                <w:bCs/>
                <w:sz w:val="20"/>
                <w:szCs w:val="20"/>
                <w:lang w:eastAsia="lv-LV"/>
              </w:rPr>
              <w:t>48. lappuse</w:t>
            </w:r>
          </w:p>
        </w:tc>
        <w:tc>
          <w:tcPr>
            <w:tcW w:w="1626" w:type="pct"/>
          </w:tcPr>
          <w:p w:rsidR="0034577A" w:rsidRPr="002F1BEE" w:rsidRDefault="0034577A" w:rsidP="00B7131B">
            <w:pPr>
              <w:pStyle w:val="Pamatteksts"/>
              <w:widowControl/>
              <w:kinsoku w:val="0"/>
              <w:overflowPunct w:val="0"/>
              <w:ind w:left="0"/>
              <w:jc w:val="both"/>
              <w:rPr>
                <w:noProof/>
                <w:sz w:val="20"/>
                <w:szCs w:val="20"/>
                <w:lang w:val="en-US"/>
              </w:rPr>
            </w:pPr>
          </w:p>
        </w:tc>
      </w:tr>
      <w:tr w:rsidR="0034577A" w:rsidRPr="002F1BEE" w:rsidTr="00B7131B">
        <w:tc>
          <w:tcPr>
            <w:tcW w:w="1708" w:type="pct"/>
          </w:tcPr>
          <w:p w:rsidR="0034577A" w:rsidRPr="002F1BEE" w:rsidRDefault="0034577A" w:rsidP="00B7131B">
            <w:pPr>
              <w:pStyle w:val="Pamatteksts"/>
              <w:widowControl/>
              <w:kinsoku w:val="0"/>
              <w:overflowPunct w:val="0"/>
              <w:ind w:left="0"/>
              <w:jc w:val="center"/>
              <w:rPr>
                <w:noProof/>
                <w:sz w:val="20"/>
                <w:szCs w:val="20"/>
                <w:lang w:val="en-US"/>
              </w:rPr>
            </w:pPr>
            <w:r w:rsidRPr="002F1BEE">
              <w:rPr>
                <w:noProof/>
                <w:sz w:val="20"/>
                <w:szCs w:val="20"/>
                <w:lang w:val="en-US"/>
              </w:rPr>
              <w:object w:dxaOrig="3780" w:dyaOrig="3675">
                <v:shape id="_x0000_i1039" type="#_x0000_t75" style="width:141.95pt;height:137.9pt" o:ole="">
                  <v:imagedata r:id="rId21" o:title=""/>
                </v:shape>
                <o:OLEObject Type="Embed" ProgID="PBrush" ShapeID="_x0000_i1039" DrawAspect="Content" ObjectID="_1624471410" r:id="rId22"/>
              </w:object>
            </w:r>
          </w:p>
        </w:tc>
        <w:tc>
          <w:tcPr>
            <w:tcW w:w="1666" w:type="pct"/>
          </w:tcPr>
          <w:p w:rsidR="0034577A" w:rsidRPr="002F1BEE" w:rsidRDefault="0034577A" w:rsidP="00B7131B">
            <w:pPr>
              <w:pStyle w:val="Pamatteksts"/>
              <w:widowControl/>
              <w:kinsoku w:val="0"/>
              <w:overflowPunct w:val="0"/>
              <w:ind w:left="0"/>
              <w:jc w:val="center"/>
              <w:rPr>
                <w:noProof/>
                <w:sz w:val="20"/>
                <w:szCs w:val="20"/>
                <w:lang w:val="en-US"/>
              </w:rPr>
            </w:pPr>
            <w:r w:rsidRPr="002F1BEE">
              <w:rPr>
                <w:noProof/>
                <w:sz w:val="20"/>
                <w:szCs w:val="20"/>
                <w:lang w:val="en-US"/>
              </w:rPr>
              <w:object w:dxaOrig="3750" w:dyaOrig="3660">
                <v:shape id="_x0000_i1040" type="#_x0000_t75" style="width:137.2pt;height:133.8pt" o:ole="">
                  <v:imagedata r:id="rId23" o:title=""/>
                </v:shape>
                <o:OLEObject Type="Embed" ProgID="PBrush" ShapeID="_x0000_i1040" DrawAspect="Content" ObjectID="_1624471411" r:id="rId24"/>
              </w:object>
            </w:r>
          </w:p>
        </w:tc>
        <w:tc>
          <w:tcPr>
            <w:tcW w:w="1626" w:type="pct"/>
          </w:tcPr>
          <w:p w:rsidR="0034577A" w:rsidRPr="002F1BEE" w:rsidRDefault="0034577A" w:rsidP="00B7131B">
            <w:pPr>
              <w:pStyle w:val="Pamatteksts"/>
              <w:widowControl/>
              <w:kinsoku w:val="0"/>
              <w:overflowPunct w:val="0"/>
              <w:ind w:left="0"/>
              <w:jc w:val="center"/>
              <w:rPr>
                <w:noProof/>
                <w:sz w:val="20"/>
                <w:szCs w:val="20"/>
                <w:lang w:val="en-US"/>
              </w:rPr>
            </w:pPr>
            <w:r w:rsidRPr="002F1BEE">
              <w:rPr>
                <w:noProof/>
                <w:sz w:val="20"/>
                <w:szCs w:val="20"/>
                <w:lang w:val="en-US"/>
              </w:rPr>
              <w:object w:dxaOrig="3780" w:dyaOrig="3690">
                <v:shape id="_x0000_i1041" type="#_x0000_t75" style="width:134.5pt;height:131.1pt" o:ole="">
                  <v:imagedata r:id="rId25" o:title=""/>
                </v:shape>
                <o:OLEObject Type="Embed" ProgID="PBrush" ShapeID="_x0000_i1041" DrawAspect="Content" ObjectID="_1624471412" r:id="rId26"/>
              </w:object>
            </w:r>
          </w:p>
        </w:tc>
      </w:tr>
      <w:tr w:rsidR="0034577A" w:rsidRPr="002F1BEE" w:rsidTr="00B7131B">
        <w:tc>
          <w:tcPr>
            <w:tcW w:w="1708" w:type="pct"/>
          </w:tcPr>
          <w:p w:rsidR="0034577A" w:rsidRDefault="004D1DD4" w:rsidP="004D1DD4">
            <w:pPr>
              <w:widowControl w:val="0"/>
              <w:spacing w:after="0" w:line="240" w:lineRule="auto"/>
              <w:jc w:val="both"/>
              <w:rPr>
                <w:rFonts w:ascii="Times New Roman" w:eastAsia="Times New Roman" w:hAnsi="Times New Roman" w:cs="Times New Roman"/>
                <w:b/>
                <w:bCs/>
                <w:sz w:val="20"/>
                <w:szCs w:val="20"/>
                <w:lang w:eastAsia="lv-LV"/>
              </w:rPr>
            </w:pPr>
            <w:r w:rsidRPr="002F1BEE">
              <w:rPr>
                <w:rFonts w:ascii="Times New Roman" w:eastAsia="Times New Roman" w:hAnsi="Times New Roman" w:cs="Times New Roman"/>
                <w:b/>
                <w:bCs/>
                <w:sz w:val="20"/>
                <w:szCs w:val="20"/>
                <w:lang w:eastAsia="lv-LV"/>
              </w:rPr>
              <w:t>Lēmumu īstenošana par bērnu, kas ir cilvēku tirdzniecības upuri, atpakaļnosūtīšanu uz viņu izcelsmes vietu</w:t>
            </w:r>
          </w:p>
          <w:p w:rsidR="00644116" w:rsidRPr="00644116" w:rsidRDefault="00644116" w:rsidP="004D1DD4">
            <w:pPr>
              <w:widowControl w:val="0"/>
              <w:spacing w:after="0" w:line="240" w:lineRule="auto"/>
              <w:jc w:val="both"/>
              <w:rPr>
                <w:rFonts w:ascii="Times New Roman" w:eastAsia="Times New Roman" w:hAnsi="Times New Roman" w:cs="Times New Roman"/>
                <w:bCs/>
                <w:sz w:val="20"/>
                <w:szCs w:val="20"/>
                <w:lang w:eastAsia="lv-LV"/>
              </w:rPr>
            </w:pPr>
            <w:r>
              <w:rPr>
                <w:rFonts w:ascii="Times New Roman" w:eastAsia="Times New Roman" w:hAnsi="Times New Roman" w:cs="Times New Roman"/>
                <w:bCs/>
                <w:sz w:val="20"/>
                <w:szCs w:val="20"/>
                <w:lang w:eastAsia="lv-LV"/>
              </w:rPr>
              <w:t>82. lappuse</w:t>
            </w:r>
          </w:p>
        </w:tc>
        <w:tc>
          <w:tcPr>
            <w:tcW w:w="1666" w:type="pct"/>
          </w:tcPr>
          <w:p w:rsidR="0034577A" w:rsidRDefault="004D1DD4" w:rsidP="004D1DD4">
            <w:pPr>
              <w:widowControl w:val="0"/>
              <w:spacing w:after="0" w:line="240" w:lineRule="auto"/>
              <w:jc w:val="both"/>
              <w:rPr>
                <w:rFonts w:ascii="Times New Roman" w:eastAsia="Times New Roman" w:hAnsi="Times New Roman" w:cs="Times New Roman"/>
                <w:b/>
                <w:bCs/>
                <w:sz w:val="20"/>
                <w:szCs w:val="20"/>
                <w:lang w:eastAsia="lv-LV"/>
              </w:rPr>
            </w:pPr>
            <w:r w:rsidRPr="002F1BEE">
              <w:rPr>
                <w:rFonts w:ascii="Times New Roman" w:eastAsia="Times New Roman" w:hAnsi="Times New Roman" w:cs="Times New Roman"/>
                <w:b/>
                <w:bCs/>
                <w:sz w:val="20"/>
                <w:szCs w:val="20"/>
                <w:lang w:eastAsia="lv-LV"/>
              </w:rPr>
              <w:t>Secinājumi un ieteikumi</w:t>
            </w:r>
          </w:p>
          <w:p w:rsidR="00644116" w:rsidRPr="00644116" w:rsidRDefault="00644116" w:rsidP="004D1DD4">
            <w:pPr>
              <w:widowControl w:val="0"/>
              <w:spacing w:after="0" w:line="240" w:lineRule="auto"/>
              <w:jc w:val="both"/>
              <w:rPr>
                <w:rFonts w:ascii="Times New Roman" w:eastAsia="Times New Roman" w:hAnsi="Times New Roman" w:cs="Times New Roman"/>
                <w:bCs/>
                <w:sz w:val="20"/>
                <w:szCs w:val="20"/>
                <w:lang w:eastAsia="lv-LV"/>
              </w:rPr>
            </w:pPr>
            <w:r>
              <w:rPr>
                <w:rFonts w:ascii="Times New Roman" w:eastAsia="Times New Roman" w:hAnsi="Times New Roman" w:cs="Times New Roman"/>
                <w:bCs/>
                <w:sz w:val="20"/>
                <w:szCs w:val="20"/>
                <w:lang w:eastAsia="lv-LV"/>
              </w:rPr>
              <w:t>91. lappuse</w:t>
            </w:r>
          </w:p>
        </w:tc>
        <w:tc>
          <w:tcPr>
            <w:tcW w:w="1626" w:type="pct"/>
          </w:tcPr>
          <w:p w:rsidR="004D1DD4" w:rsidRPr="002F1BEE" w:rsidRDefault="004D1DD4" w:rsidP="004D1DD4">
            <w:pPr>
              <w:widowControl w:val="0"/>
              <w:spacing w:after="0" w:line="240" w:lineRule="auto"/>
              <w:jc w:val="both"/>
              <w:rPr>
                <w:rFonts w:ascii="Times New Roman" w:eastAsia="Times New Roman" w:hAnsi="Times New Roman" w:cs="Times New Roman"/>
                <w:b/>
                <w:bCs/>
                <w:sz w:val="20"/>
                <w:szCs w:val="20"/>
                <w:lang w:eastAsia="lv-LV"/>
              </w:rPr>
            </w:pPr>
            <w:r w:rsidRPr="002F1BEE">
              <w:rPr>
                <w:rFonts w:ascii="Times New Roman" w:eastAsia="Times New Roman" w:hAnsi="Times New Roman" w:cs="Times New Roman"/>
                <w:b/>
                <w:bCs/>
                <w:sz w:val="20"/>
                <w:szCs w:val="20"/>
                <w:lang w:eastAsia="lv-LV"/>
              </w:rPr>
              <w:t>1. pielikums</w:t>
            </w:r>
          </w:p>
          <w:p w:rsidR="004D1DD4" w:rsidRDefault="004D1DD4" w:rsidP="004D1DD4">
            <w:pPr>
              <w:widowControl w:val="0"/>
              <w:spacing w:after="0" w:line="240" w:lineRule="auto"/>
              <w:jc w:val="both"/>
              <w:rPr>
                <w:rFonts w:ascii="Times New Roman" w:eastAsia="Times New Roman" w:hAnsi="Times New Roman" w:cs="Times New Roman"/>
                <w:b/>
                <w:bCs/>
                <w:sz w:val="20"/>
                <w:szCs w:val="20"/>
                <w:lang w:eastAsia="lv-LV"/>
              </w:rPr>
            </w:pPr>
            <w:r w:rsidRPr="002F1BEE">
              <w:rPr>
                <w:rFonts w:ascii="Times New Roman" w:eastAsia="Times New Roman" w:hAnsi="Times New Roman" w:cs="Times New Roman"/>
                <w:b/>
                <w:bCs/>
                <w:sz w:val="20"/>
                <w:szCs w:val="20"/>
                <w:lang w:eastAsia="lv-LV"/>
              </w:rPr>
              <w:t>32. pants divu līguma izpildes uzraudzības struktūru Kopīgajam vispārējam komentāram (2017) par bērnu cilvēktiesību vispārējiem principiem saistībā ar starptautisko migrāciju</w:t>
            </w:r>
          </w:p>
          <w:p w:rsidR="00644116" w:rsidRPr="00644116" w:rsidRDefault="00644116" w:rsidP="004D1DD4">
            <w:pPr>
              <w:widowControl w:val="0"/>
              <w:spacing w:after="0" w:line="240" w:lineRule="auto"/>
              <w:jc w:val="both"/>
              <w:rPr>
                <w:rFonts w:ascii="Times New Roman" w:eastAsia="Times New Roman" w:hAnsi="Times New Roman" w:cs="Times New Roman"/>
                <w:bCs/>
                <w:sz w:val="20"/>
                <w:szCs w:val="20"/>
                <w:lang w:eastAsia="lv-LV"/>
              </w:rPr>
            </w:pPr>
            <w:r>
              <w:rPr>
                <w:rFonts w:ascii="Times New Roman" w:eastAsia="Times New Roman" w:hAnsi="Times New Roman" w:cs="Times New Roman"/>
                <w:bCs/>
                <w:sz w:val="20"/>
                <w:szCs w:val="20"/>
                <w:lang w:eastAsia="lv-LV"/>
              </w:rPr>
              <w:t>95. lappuse</w:t>
            </w:r>
          </w:p>
          <w:p w:rsidR="004D1DD4" w:rsidRPr="002F1BEE" w:rsidRDefault="004D1DD4" w:rsidP="004D1DD4">
            <w:pPr>
              <w:widowControl w:val="0"/>
              <w:spacing w:after="0" w:line="240" w:lineRule="auto"/>
              <w:jc w:val="both"/>
              <w:rPr>
                <w:rFonts w:ascii="Times New Roman" w:eastAsia="Times New Roman" w:hAnsi="Times New Roman" w:cs="Times New Roman"/>
                <w:b/>
                <w:bCs/>
                <w:sz w:val="20"/>
                <w:szCs w:val="20"/>
                <w:lang w:eastAsia="lv-LV"/>
              </w:rPr>
            </w:pPr>
          </w:p>
          <w:p w:rsidR="004D1DD4" w:rsidRPr="002F1BEE" w:rsidRDefault="004D1DD4" w:rsidP="004D1DD4">
            <w:pPr>
              <w:widowControl w:val="0"/>
              <w:spacing w:after="0" w:line="240" w:lineRule="auto"/>
              <w:jc w:val="both"/>
              <w:rPr>
                <w:rFonts w:ascii="Times New Roman" w:eastAsia="Times New Roman" w:hAnsi="Times New Roman" w:cs="Times New Roman"/>
                <w:b/>
                <w:bCs/>
                <w:sz w:val="20"/>
                <w:szCs w:val="20"/>
                <w:lang w:eastAsia="lv-LV"/>
              </w:rPr>
            </w:pPr>
            <w:r w:rsidRPr="002F1BEE">
              <w:rPr>
                <w:rFonts w:ascii="Times New Roman" w:eastAsia="Times New Roman" w:hAnsi="Times New Roman" w:cs="Times New Roman"/>
                <w:b/>
                <w:bCs/>
                <w:sz w:val="20"/>
                <w:szCs w:val="20"/>
                <w:lang w:eastAsia="lv-LV"/>
              </w:rPr>
              <w:t>2. pielikums</w:t>
            </w:r>
          </w:p>
          <w:p w:rsidR="004D1DD4" w:rsidRDefault="004D1DD4" w:rsidP="004D1DD4">
            <w:pPr>
              <w:widowControl w:val="0"/>
              <w:spacing w:after="0" w:line="240" w:lineRule="auto"/>
              <w:jc w:val="both"/>
              <w:rPr>
                <w:rFonts w:ascii="Times New Roman" w:eastAsia="Times New Roman" w:hAnsi="Times New Roman" w:cs="Times New Roman"/>
                <w:b/>
                <w:bCs/>
                <w:sz w:val="20"/>
                <w:szCs w:val="20"/>
                <w:lang w:eastAsia="lv-LV"/>
              </w:rPr>
            </w:pPr>
            <w:r w:rsidRPr="002F1BEE">
              <w:rPr>
                <w:rFonts w:ascii="Times New Roman" w:eastAsia="Times New Roman" w:hAnsi="Times New Roman" w:cs="Times New Roman"/>
                <w:b/>
                <w:bCs/>
                <w:i/>
                <w:iCs/>
                <w:sz w:val="20"/>
                <w:szCs w:val="20"/>
                <w:lang w:eastAsia="lv-LV"/>
              </w:rPr>
              <w:t>UNICEF</w:t>
            </w:r>
            <w:r w:rsidRPr="002F1BEE">
              <w:rPr>
                <w:rFonts w:ascii="Times New Roman" w:eastAsia="Times New Roman" w:hAnsi="Times New Roman" w:cs="Times New Roman"/>
                <w:b/>
                <w:bCs/>
                <w:sz w:val="20"/>
                <w:szCs w:val="20"/>
                <w:lang w:eastAsia="lv-LV"/>
              </w:rPr>
              <w:t xml:space="preserve"> tipveida divpusējais nolīgums par sadarbību un savstarpēju juridisko palīdzību, nodrošinot bērnu aizsardzību pret pārrobežu cilvēku tirdzniecību</w:t>
            </w:r>
          </w:p>
          <w:p w:rsidR="00644116" w:rsidRPr="00644116" w:rsidRDefault="00644116" w:rsidP="004D1DD4">
            <w:pPr>
              <w:widowControl w:val="0"/>
              <w:spacing w:after="0" w:line="240" w:lineRule="auto"/>
              <w:jc w:val="both"/>
              <w:rPr>
                <w:rFonts w:ascii="Times New Roman" w:eastAsia="Times New Roman" w:hAnsi="Times New Roman" w:cs="Times New Roman"/>
                <w:bCs/>
                <w:sz w:val="20"/>
                <w:szCs w:val="20"/>
                <w:lang w:eastAsia="lv-LV"/>
              </w:rPr>
            </w:pPr>
            <w:r>
              <w:rPr>
                <w:rFonts w:ascii="Times New Roman" w:eastAsia="Times New Roman" w:hAnsi="Times New Roman" w:cs="Times New Roman"/>
                <w:bCs/>
                <w:sz w:val="20"/>
                <w:szCs w:val="20"/>
                <w:lang w:eastAsia="lv-LV"/>
              </w:rPr>
              <w:t>97. lappuse</w:t>
            </w:r>
          </w:p>
          <w:p w:rsidR="004D1DD4" w:rsidRPr="002F1BEE" w:rsidRDefault="004D1DD4" w:rsidP="004D1DD4">
            <w:pPr>
              <w:widowControl w:val="0"/>
              <w:spacing w:after="0" w:line="240" w:lineRule="auto"/>
              <w:jc w:val="both"/>
              <w:rPr>
                <w:rFonts w:ascii="Times New Roman" w:eastAsia="Times New Roman" w:hAnsi="Times New Roman" w:cs="Times New Roman"/>
                <w:b/>
                <w:bCs/>
                <w:sz w:val="20"/>
                <w:szCs w:val="20"/>
                <w:lang w:eastAsia="lv-LV"/>
              </w:rPr>
            </w:pPr>
          </w:p>
          <w:p w:rsidR="004D1DD4" w:rsidRPr="002F1BEE" w:rsidRDefault="004D1DD4" w:rsidP="004D1DD4">
            <w:pPr>
              <w:widowControl w:val="0"/>
              <w:spacing w:after="0" w:line="240" w:lineRule="auto"/>
              <w:jc w:val="both"/>
              <w:rPr>
                <w:rFonts w:ascii="Times New Roman" w:eastAsia="Times New Roman" w:hAnsi="Times New Roman" w:cs="Times New Roman"/>
                <w:b/>
                <w:bCs/>
                <w:sz w:val="20"/>
                <w:szCs w:val="20"/>
                <w:lang w:eastAsia="lv-LV"/>
              </w:rPr>
            </w:pPr>
            <w:r w:rsidRPr="002F1BEE">
              <w:rPr>
                <w:rFonts w:ascii="Times New Roman" w:eastAsia="Times New Roman" w:hAnsi="Times New Roman" w:cs="Times New Roman"/>
                <w:b/>
                <w:bCs/>
                <w:sz w:val="20"/>
                <w:szCs w:val="20"/>
                <w:lang w:eastAsia="lv-LV"/>
              </w:rPr>
              <w:t>Atsauces</w:t>
            </w:r>
          </w:p>
          <w:p w:rsidR="0034577A" w:rsidRPr="002F1BEE" w:rsidRDefault="00644116" w:rsidP="00B7131B">
            <w:pPr>
              <w:pStyle w:val="Pamatteksts"/>
              <w:widowControl/>
              <w:kinsoku w:val="0"/>
              <w:overflowPunct w:val="0"/>
              <w:ind w:left="0"/>
              <w:jc w:val="both"/>
              <w:rPr>
                <w:noProof/>
                <w:sz w:val="20"/>
                <w:szCs w:val="20"/>
                <w:lang w:val="en-US"/>
              </w:rPr>
            </w:pPr>
            <w:r>
              <w:rPr>
                <w:noProof/>
                <w:sz w:val="20"/>
                <w:szCs w:val="20"/>
                <w:lang w:val="en-US"/>
              </w:rPr>
              <w:t>98. lappuse</w:t>
            </w:r>
          </w:p>
        </w:tc>
      </w:tr>
    </w:tbl>
    <w:p w:rsidR="0034577A" w:rsidRDefault="0034577A" w:rsidP="006B796E">
      <w:pPr>
        <w:widowControl w:val="0"/>
        <w:spacing w:after="0" w:line="240" w:lineRule="auto"/>
        <w:jc w:val="both"/>
        <w:rPr>
          <w:rFonts w:ascii="Times New Roman" w:eastAsia="Times New Roman" w:hAnsi="Times New Roman" w:cs="Times New Roman"/>
          <w:sz w:val="24"/>
          <w:szCs w:val="24"/>
          <w:lang w:eastAsia="lv-LV"/>
        </w:rPr>
      </w:pPr>
    </w:p>
    <w:p w:rsidR="0034577A" w:rsidRDefault="0034577A">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D6592D" w:rsidRPr="00F253CE" w:rsidRDefault="00D6592D" w:rsidP="006B796E">
      <w:pPr>
        <w:widowControl w:val="0"/>
        <w:spacing w:after="0" w:line="240" w:lineRule="auto"/>
        <w:jc w:val="both"/>
        <w:rPr>
          <w:rFonts w:ascii="Times New Roman" w:eastAsia="Times New Roman" w:hAnsi="Times New Roman" w:cs="Times New Roman"/>
          <w:sz w:val="28"/>
          <w:szCs w:val="24"/>
          <w:lang w:eastAsia="lv-LV"/>
        </w:rPr>
      </w:pPr>
      <w:r w:rsidRPr="00F253CE">
        <w:rPr>
          <w:rFonts w:ascii="Times New Roman" w:eastAsia="Times New Roman" w:hAnsi="Times New Roman" w:cs="Times New Roman"/>
          <w:sz w:val="28"/>
          <w:szCs w:val="24"/>
          <w:lang w:eastAsia="lv-LV"/>
        </w:rPr>
        <w:lastRenderedPageBreak/>
        <w:t>Akronīmu saraksts</w:t>
      </w:r>
    </w:p>
    <w:p w:rsidR="00FB3EA0" w:rsidRDefault="00FB3EA0" w:rsidP="006B796E">
      <w:pPr>
        <w:widowControl w:val="0"/>
        <w:spacing w:after="0" w:line="240" w:lineRule="auto"/>
        <w:jc w:val="both"/>
        <w:rPr>
          <w:rFonts w:ascii="Times New Roman" w:eastAsia="Times New Roman" w:hAnsi="Times New Roman" w:cs="Times New Roman"/>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660"/>
        <w:gridCol w:w="7401"/>
      </w:tblGrid>
      <w:tr w:rsidR="003A543D" w:rsidRPr="000E2D02" w:rsidTr="00FB3EA0">
        <w:tc>
          <w:tcPr>
            <w:tcW w:w="916" w:type="pct"/>
          </w:tcPr>
          <w:p w:rsidR="003A543D" w:rsidRPr="000E2D02" w:rsidRDefault="003A543D" w:rsidP="00B7131B">
            <w:pPr>
              <w:pStyle w:val="Pamatteksts"/>
              <w:widowControl/>
              <w:kinsoku w:val="0"/>
              <w:overflowPunct w:val="0"/>
              <w:ind w:left="0"/>
              <w:jc w:val="both"/>
              <w:rPr>
                <w:b/>
                <w:bCs/>
                <w:noProof/>
                <w:sz w:val="24"/>
                <w:szCs w:val="24"/>
                <w:lang w:val="en-US"/>
              </w:rPr>
            </w:pPr>
            <w:r w:rsidRPr="006B796E">
              <w:rPr>
                <w:b/>
                <w:bCs/>
                <w:sz w:val="24"/>
                <w:szCs w:val="24"/>
              </w:rPr>
              <w:t>AK</w:t>
            </w:r>
          </w:p>
        </w:tc>
        <w:tc>
          <w:tcPr>
            <w:tcW w:w="4084" w:type="pct"/>
          </w:tcPr>
          <w:p w:rsidR="003A543D" w:rsidRPr="000E2D02" w:rsidRDefault="003A543D" w:rsidP="00B7131B">
            <w:pPr>
              <w:pStyle w:val="Pamatteksts"/>
              <w:widowControl/>
              <w:kinsoku w:val="0"/>
              <w:overflowPunct w:val="0"/>
              <w:ind w:left="0"/>
              <w:jc w:val="both"/>
              <w:rPr>
                <w:noProof/>
                <w:sz w:val="24"/>
                <w:szCs w:val="24"/>
                <w:lang w:val="en-US"/>
              </w:rPr>
            </w:pPr>
            <w:r w:rsidRPr="006B796E">
              <w:rPr>
                <w:sz w:val="24"/>
                <w:szCs w:val="24"/>
              </w:rPr>
              <w:t>Lielbritānijas un Ziemeļīrijas Apvienotā Karaliste</w:t>
            </w:r>
          </w:p>
        </w:tc>
      </w:tr>
      <w:tr w:rsidR="003A543D" w:rsidRPr="000E2D02" w:rsidTr="00FB3EA0">
        <w:tc>
          <w:tcPr>
            <w:tcW w:w="916" w:type="pct"/>
          </w:tcPr>
          <w:p w:rsidR="003A543D" w:rsidRPr="000E2D02" w:rsidRDefault="003A543D" w:rsidP="00B7131B">
            <w:pPr>
              <w:pStyle w:val="Pamatteksts"/>
              <w:widowControl/>
              <w:kinsoku w:val="0"/>
              <w:overflowPunct w:val="0"/>
              <w:ind w:left="0"/>
              <w:jc w:val="both"/>
              <w:rPr>
                <w:b/>
                <w:bCs/>
                <w:noProof/>
                <w:sz w:val="24"/>
                <w:szCs w:val="24"/>
                <w:lang w:val="en-US"/>
              </w:rPr>
            </w:pPr>
            <w:r w:rsidRPr="006B796E">
              <w:rPr>
                <w:b/>
                <w:bCs/>
                <w:sz w:val="24"/>
                <w:szCs w:val="24"/>
              </w:rPr>
              <w:t>ANO</w:t>
            </w:r>
          </w:p>
        </w:tc>
        <w:tc>
          <w:tcPr>
            <w:tcW w:w="4084" w:type="pct"/>
          </w:tcPr>
          <w:p w:rsidR="003A543D" w:rsidRPr="000E2D02" w:rsidRDefault="003A543D" w:rsidP="00B7131B">
            <w:pPr>
              <w:pStyle w:val="Pamatteksts"/>
              <w:widowControl/>
              <w:kinsoku w:val="0"/>
              <w:overflowPunct w:val="0"/>
              <w:ind w:left="0"/>
              <w:jc w:val="both"/>
              <w:rPr>
                <w:noProof/>
                <w:sz w:val="24"/>
                <w:szCs w:val="24"/>
                <w:lang w:val="en-US"/>
              </w:rPr>
            </w:pPr>
            <w:r w:rsidRPr="006B796E">
              <w:rPr>
                <w:sz w:val="24"/>
                <w:szCs w:val="24"/>
              </w:rPr>
              <w:t>Apvienoto Nāciju Organizācija</w:t>
            </w:r>
          </w:p>
        </w:tc>
      </w:tr>
      <w:tr w:rsidR="003A543D" w:rsidRPr="000E2D02" w:rsidTr="00FB3EA0">
        <w:tc>
          <w:tcPr>
            <w:tcW w:w="916" w:type="pct"/>
          </w:tcPr>
          <w:p w:rsidR="003A543D" w:rsidRPr="000E2D02" w:rsidRDefault="003A543D" w:rsidP="00B7131B">
            <w:pPr>
              <w:pStyle w:val="Pamatteksts"/>
              <w:widowControl/>
              <w:kinsoku w:val="0"/>
              <w:overflowPunct w:val="0"/>
              <w:ind w:left="0"/>
              <w:jc w:val="both"/>
              <w:rPr>
                <w:b/>
                <w:bCs/>
                <w:noProof/>
                <w:sz w:val="24"/>
                <w:szCs w:val="24"/>
                <w:lang w:val="en-US"/>
              </w:rPr>
            </w:pPr>
            <w:r w:rsidRPr="006B796E">
              <w:rPr>
                <w:b/>
                <w:bCs/>
                <w:sz w:val="24"/>
                <w:szCs w:val="24"/>
              </w:rPr>
              <w:t>ASV</w:t>
            </w:r>
          </w:p>
        </w:tc>
        <w:tc>
          <w:tcPr>
            <w:tcW w:w="4084" w:type="pct"/>
          </w:tcPr>
          <w:p w:rsidR="003A543D" w:rsidRPr="000E2D02" w:rsidRDefault="003A543D" w:rsidP="00B7131B">
            <w:pPr>
              <w:pStyle w:val="Pamatteksts"/>
              <w:widowControl/>
              <w:kinsoku w:val="0"/>
              <w:overflowPunct w:val="0"/>
              <w:ind w:left="0"/>
              <w:jc w:val="both"/>
              <w:rPr>
                <w:noProof/>
                <w:sz w:val="24"/>
                <w:szCs w:val="24"/>
                <w:lang w:val="en-US"/>
              </w:rPr>
            </w:pPr>
            <w:r w:rsidRPr="006B796E">
              <w:rPr>
                <w:sz w:val="24"/>
                <w:szCs w:val="24"/>
              </w:rPr>
              <w:t>Amerikas Savienotās Valstis</w:t>
            </w:r>
          </w:p>
        </w:tc>
      </w:tr>
      <w:tr w:rsidR="003A543D" w:rsidRPr="000E2D02" w:rsidTr="00FB3EA0">
        <w:tc>
          <w:tcPr>
            <w:tcW w:w="916" w:type="pct"/>
          </w:tcPr>
          <w:p w:rsidR="003A543D" w:rsidRPr="00FB3EA0" w:rsidRDefault="003A543D" w:rsidP="00B7131B">
            <w:pPr>
              <w:pStyle w:val="Pamatteksts"/>
              <w:widowControl/>
              <w:kinsoku w:val="0"/>
              <w:overflowPunct w:val="0"/>
              <w:ind w:left="0"/>
              <w:jc w:val="both"/>
              <w:rPr>
                <w:b/>
                <w:i/>
                <w:noProof/>
                <w:sz w:val="24"/>
                <w:szCs w:val="24"/>
                <w:lang w:val="en-US"/>
              </w:rPr>
            </w:pPr>
            <w:r w:rsidRPr="00FB3EA0">
              <w:rPr>
                <w:b/>
                <w:i/>
                <w:noProof/>
                <w:sz w:val="24"/>
                <w:szCs w:val="24"/>
                <w:lang w:val="en-US"/>
              </w:rPr>
              <w:t>BIA</w:t>
            </w:r>
          </w:p>
        </w:tc>
        <w:tc>
          <w:tcPr>
            <w:tcW w:w="4084" w:type="pct"/>
          </w:tcPr>
          <w:p w:rsidR="003A543D" w:rsidRPr="000E2D02" w:rsidRDefault="003A543D" w:rsidP="00B7131B">
            <w:pPr>
              <w:pStyle w:val="Pamatteksts"/>
              <w:widowControl/>
              <w:kinsoku w:val="0"/>
              <w:overflowPunct w:val="0"/>
              <w:ind w:left="0"/>
              <w:jc w:val="both"/>
              <w:rPr>
                <w:noProof/>
                <w:sz w:val="24"/>
                <w:szCs w:val="24"/>
                <w:lang w:val="en-US"/>
              </w:rPr>
            </w:pPr>
            <w:r w:rsidRPr="006B796E">
              <w:rPr>
                <w:sz w:val="24"/>
                <w:szCs w:val="24"/>
              </w:rPr>
              <w:t>Interešu novērtējums</w:t>
            </w:r>
          </w:p>
        </w:tc>
      </w:tr>
      <w:tr w:rsidR="003A543D" w:rsidRPr="000E2D02" w:rsidTr="00FB3EA0">
        <w:tc>
          <w:tcPr>
            <w:tcW w:w="916" w:type="pct"/>
          </w:tcPr>
          <w:p w:rsidR="003A543D" w:rsidRPr="00FB3EA0" w:rsidRDefault="003A543D" w:rsidP="00B7131B">
            <w:pPr>
              <w:pStyle w:val="Pamatteksts"/>
              <w:widowControl/>
              <w:kinsoku w:val="0"/>
              <w:overflowPunct w:val="0"/>
              <w:ind w:left="0"/>
              <w:jc w:val="both"/>
              <w:rPr>
                <w:b/>
                <w:i/>
                <w:noProof/>
                <w:sz w:val="24"/>
                <w:szCs w:val="24"/>
                <w:lang w:val="en-US"/>
              </w:rPr>
            </w:pPr>
            <w:r w:rsidRPr="00FB3EA0">
              <w:rPr>
                <w:b/>
                <w:i/>
                <w:noProof/>
                <w:sz w:val="24"/>
                <w:szCs w:val="24"/>
                <w:lang w:val="en-US"/>
              </w:rPr>
              <w:t>BID</w:t>
            </w:r>
          </w:p>
        </w:tc>
        <w:tc>
          <w:tcPr>
            <w:tcW w:w="4084" w:type="pct"/>
          </w:tcPr>
          <w:p w:rsidR="003A543D" w:rsidRPr="000E2D02" w:rsidRDefault="003A543D" w:rsidP="00B7131B">
            <w:pPr>
              <w:pStyle w:val="Pamatteksts"/>
              <w:widowControl/>
              <w:kinsoku w:val="0"/>
              <w:overflowPunct w:val="0"/>
              <w:ind w:left="0"/>
              <w:jc w:val="both"/>
              <w:rPr>
                <w:noProof/>
                <w:sz w:val="24"/>
                <w:szCs w:val="24"/>
                <w:lang w:val="en-US"/>
              </w:rPr>
            </w:pPr>
            <w:r w:rsidRPr="006B796E">
              <w:rPr>
                <w:sz w:val="24"/>
                <w:szCs w:val="24"/>
              </w:rPr>
              <w:t>Interešu noteikšana</w:t>
            </w:r>
          </w:p>
        </w:tc>
      </w:tr>
      <w:tr w:rsidR="003A543D" w:rsidRPr="000E2D02" w:rsidTr="00FB3EA0">
        <w:tc>
          <w:tcPr>
            <w:tcW w:w="916" w:type="pct"/>
          </w:tcPr>
          <w:p w:rsidR="003A543D" w:rsidRPr="000E2D02" w:rsidRDefault="003A543D" w:rsidP="00B7131B">
            <w:pPr>
              <w:pStyle w:val="Pamatteksts"/>
              <w:widowControl/>
              <w:kinsoku w:val="0"/>
              <w:overflowPunct w:val="0"/>
              <w:ind w:left="0"/>
              <w:jc w:val="both"/>
              <w:rPr>
                <w:b/>
                <w:noProof/>
                <w:sz w:val="24"/>
                <w:szCs w:val="24"/>
                <w:lang w:val="en-US"/>
              </w:rPr>
            </w:pPr>
            <w:r w:rsidRPr="006B796E">
              <w:rPr>
                <w:b/>
                <w:bCs/>
                <w:sz w:val="24"/>
                <w:szCs w:val="24"/>
              </w:rPr>
              <w:t>BTK</w:t>
            </w:r>
          </w:p>
        </w:tc>
        <w:tc>
          <w:tcPr>
            <w:tcW w:w="4084" w:type="pct"/>
          </w:tcPr>
          <w:p w:rsidR="003A543D" w:rsidRPr="000E2D02" w:rsidRDefault="003A543D" w:rsidP="00B7131B">
            <w:pPr>
              <w:pStyle w:val="Pamatteksts"/>
              <w:widowControl/>
              <w:kinsoku w:val="0"/>
              <w:overflowPunct w:val="0"/>
              <w:ind w:left="0"/>
              <w:jc w:val="both"/>
              <w:rPr>
                <w:noProof/>
                <w:sz w:val="24"/>
                <w:szCs w:val="24"/>
                <w:lang w:val="en-US"/>
              </w:rPr>
            </w:pPr>
            <w:r w:rsidRPr="006B796E">
              <w:rPr>
                <w:sz w:val="24"/>
                <w:szCs w:val="24"/>
              </w:rPr>
              <w:t>ANO Bērnu tiesību konvencija (1989)</w:t>
            </w:r>
          </w:p>
        </w:tc>
      </w:tr>
      <w:tr w:rsidR="003A543D" w:rsidRPr="000E2D02" w:rsidTr="00FB3EA0">
        <w:tc>
          <w:tcPr>
            <w:tcW w:w="916" w:type="pct"/>
          </w:tcPr>
          <w:p w:rsidR="003A543D" w:rsidRPr="00FB3EA0" w:rsidRDefault="003A543D" w:rsidP="00B7131B">
            <w:pPr>
              <w:pStyle w:val="Pamatteksts"/>
              <w:widowControl/>
              <w:kinsoku w:val="0"/>
              <w:overflowPunct w:val="0"/>
              <w:ind w:left="0"/>
              <w:jc w:val="both"/>
              <w:rPr>
                <w:b/>
                <w:i/>
                <w:noProof/>
                <w:sz w:val="24"/>
                <w:szCs w:val="24"/>
                <w:lang w:val="en-US"/>
              </w:rPr>
            </w:pPr>
            <w:r w:rsidRPr="00FB3EA0">
              <w:rPr>
                <w:b/>
                <w:i/>
                <w:noProof/>
                <w:sz w:val="24"/>
                <w:szCs w:val="24"/>
                <w:lang w:val="en-US"/>
              </w:rPr>
              <w:t>CPU</w:t>
            </w:r>
          </w:p>
        </w:tc>
        <w:tc>
          <w:tcPr>
            <w:tcW w:w="4084" w:type="pct"/>
          </w:tcPr>
          <w:p w:rsidR="003A543D" w:rsidRPr="000E2D02" w:rsidRDefault="003A543D" w:rsidP="00B7131B">
            <w:pPr>
              <w:pStyle w:val="Pamatteksts"/>
              <w:widowControl/>
              <w:kinsoku w:val="0"/>
              <w:overflowPunct w:val="0"/>
              <w:ind w:left="0"/>
              <w:jc w:val="both"/>
              <w:rPr>
                <w:noProof/>
                <w:sz w:val="24"/>
                <w:szCs w:val="24"/>
                <w:lang w:val="en-US"/>
              </w:rPr>
            </w:pPr>
            <w:r w:rsidRPr="006B796E">
              <w:rPr>
                <w:sz w:val="24"/>
                <w:szCs w:val="24"/>
              </w:rPr>
              <w:t>Bērnu aizsardzības vienība</w:t>
            </w:r>
          </w:p>
        </w:tc>
      </w:tr>
      <w:tr w:rsidR="003A543D" w:rsidRPr="000E2D02" w:rsidTr="00FB3EA0">
        <w:tc>
          <w:tcPr>
            <w:tcW w:w="916" w:type="pct"/>
          </w:tcPr>
          <w:p w:rsidR="003A543D" w:rsidRPr="000E2D02" w:rsidRDefault="003A543D" w:rsidP="00B7131B">
            <w:pPr>
              <w:pStyle w:val="Pamatteksts"/>
              <w:widowControl/>
              <w:kinsoku w:val="0"/>
              <w:overflowPunct w:val="0"/>
              <w:ind w:left="0"/>
              <w:jc w:val="both"/>
              <w:rPr>
                <w:b/>
                <w:bCs/>
                <w:noProof/>
                <w:sz w:val="24"/>
                <w:szCs w:val="24"/>
                <w:lang w:val="en-US"/>
              </w:rPr>
            </w:pPr>
            <w:r w:rsidRPr="006B796E">
              <w:rPr>
                <w:b/>
                <w:bCs/>
                <w:sz w:val="24"/>
                <w:szCs w:val="24"/>
              </w:rPr>
              <w:t>CT</w:t>
            </w:r>
          </w:p>
        </w:tc>
        <w:tc>
          <w:tcPr>
            <w:tcW w:w="4084" w:type="pct"/>
          </w:tcPr>
          <w:p w:rsidR="003A543D" w:rsidRPr="000E2D02" w:rsidRDefault="003A543D" w:rsidP="00B7131B">
            <w:pPr>
              <w:pStyle w:val="Pamatteksts"/>
              <w:widowControl/>
              <w:kinsoku w:val="0"/>
              <w:overflowPunct w:val="0"/>
              <w:ind w:left="0"/>
              <w:jc w:val="both"/>
              <w:rPr>
                <w:noProof/>
                <w:sz w:val="24"/>
                <w:szCs w:val="24"/>
                <w:lang w:val="en-US"/>
              </w:rPr>
            </w:pPr>
            <w:r w:rsidRPr="006B796E">
              <w:rPr>
                <w:sz w:val="24"/>
                <w:szCs w:val="24"/>
              </w:rPr>
              <w:t>Cilvēku tirdzniecība</w:t>
            </w:r>
          </w:p>
        </w:tc>
      </w:tr>
      <w:tr w:rsidR="003A543D" w:rsidRPr="000E2D02" w:rsidTr="00FB3EA0">
        <w:tc>
          <w:tcPr>
            <w:tcW w:w="916" w:type="pct"/>
          </w:tcPr>
          <w:p w:rsidR="003A543D" w:rsidRPr="000E2D02" w:rsidRDefault="003A543D" w:rsidP="00B7131B">
            <w:pPr>
              <w:pStyle w:val="Pamatteksts"/>
              <w:widowControl/>
              <w:kinsoku w:val="0"/>
              <w:overflowPunct w:val="0"/>
              <w:ind w:left="0"/>
              <w:jc w:val="both"/>
              <w:rPr>
                <w:b/>
                <w:bCs/>
                <w:noProof/>
                <w:sz w:val="24"/>
                <w:szCs w:val="24"/>
                <w:lang w:val="en-US"/>
              </w:rPr>
            </w:pPr>
            <w:r w:rsidRPr="006B796E">
              <w:rPr>
                <w:b/>
                <w:bCs/>
                <w:sz w:val="24"/>
                <w:szCs w:val="24"/>
              </w:rPr>
              <w:t>EDSO</w:t>
            </w:r>
          </w:p>
        </w:tc>
        <w:tc>
          <w:tcPr>
            <w:tcW w:w="4084" w:type="pct"/>
          </w:tcPr>
          <w:p w:rsidR="003A543D" w:rsidRPr="000E2D02" w:rsidRDefault="003A543D" w:rsidP="00B7131B">
            <w:pPr>
              <w:pStyle w:val="Pamatteksts"/>
              <w:widowControl/>
              <w:kinsoku w:val="0"/>
              <w:overflowPunct w:val="0"/>
              <w:ind w:left="0"/>
              <w:jc w:val="both"/>
              <w:rPr>
                <w:noProof/>
                <w:sz w:val="24"/>
                <w:szCs w:val="24"/>
                <w:lang w:val="en-US"/>
              </w:rPr>
            </w:pPr>
            <w:r w:rsidRPr="006B796E">
              <w:rPr>
                <w:sz w:val="24"/>
                <w:szCs w:val="24"/>
              </w:rPr>
              <w:t>Eiropas Drošības un sadarbības organizācija</w:t>
            </w:r>
          </w:p>
        </w:tc>
      </w:tr>
      <w:tr w:rsidR="003A543D" w:rsidRPr="000E2D02" w:rsidTr="00FB3EA0">
        <w:tc>
          <w:tcPr>
            <w:tcW w:w="916" w:type="pct"/>
          </w:tcPr>
          <w:p w:rsidR="003A543D" w:rsidRPr="000E2D02" w:rsidRDefault="003A543D" w:rsidP="00B7131B">
            <w:pPr>
              <w:pStyle w:val="Pamatteksts"/>
              <w:widowControl/>
              <w:kinsoku w:val="0"/>
              <w:overflowPunct w:val="0"/>
              <w:ind w:left="0"/>
              <w:jc w:val="both"/>
              <w:rPr>
                <w:b/>
                <w:noProof/>
                <w:sz w:val="24"/>
                <w:szCs w:val="24"/>
                <w:lang w:val="en-US"/>
              </w:rPr>
            </w:pPr>
            <w:r w:rsidRPr="006B796E">
              <w:rPr>
                <w:b/>
                <w:bCs/>
                <w:sz w:val="24"/>
                <w:szCs w:val="24"/>
              </w:rPr>
              <w:t>ES</w:t>
            </w:r>
          </w:p>
        </w:tc>
        <w:tc>
          <w:tcPr>
            <w:tcW w:w="4084" w:type="pct"/>
          </w:tcPr>
          <w:p w:rsidR="003A543D" w:rsidRPr="000E2D02" w:rsidRDefault="003A543D" w:rsidP="00B7131B">
            <w:pPr>
              <w:pStyle w:val="Pamatteksts"/>
              <w:widowControl/>
              <w:kinsoku w:val="0"/>
              <w:overflowPunct w:val="0"/>
              <w:ind w:left="0"/>
              <w:jc w:val="both"/>
              <w:rPr>
                <w:noProof/>
                <w:sz w:val="24"/>
                <w:szCs w:val="24"/>
                <w:lang w:val="en-US"/>
              </w:rPr>
            </w:pPr>
            <w:r w:rsidRPr="006B796E">
              <w:rPr>
                <w:sz w:val="24"/>
                <w:szCs w:val="24"/>
              </w:rPr>
              <w:t>Eiropas Savienība</w:t>
            </w:r>
          </w:p>
        </w:tc>
      </w:tr>
      <w:tr w:rsidR="003A543D" w:rsidRPr="000E2D02" w:rsidTr="00FB3EA0">
        <w:tc>
          <w:tcPr>
            <w:tcW w:w="916" w:type="pct"/>
          </w:tcPr>
          <w:p w:rsidR="003A543D" w:rsidRPr="000E2D02" w:rsidRDefault="003A543D" w:rsidP="00B7131B">
            <w:pPr>
              <w:pStyle w:val="Pamatteksts"/>
              <w:widowControl/>
              <w:kinsoku w:val="0"/>
              <w:overflowPunct w:val="0"/>
              <w:ind w:left="0"/>
              <w:jc w:val="both"/>
              <w:rPr>
                <w:b/>
                <w:noProof/>
                <w:sz w:val="24"/>
                <w:szCs w:val="24"/>
                <w:lang w:val="en-US"/>
              </w:rPr>
            </w:pPr>
            <w:r w:rsidRPr="006B796E">
              <w:rPr>
                <w:b/>
                <w:bCs/>
                <w:i/>
                <w:iCs/>
                <w:sz w:val="24"/>
                <w:szCs w:val="24"/>
              </w:rPr>
              <w:t>GRETA</w:t>
            </w:r>
          </w:p>
        </w:tc>
        <w:tc>
          <w:tcPr>
            <w:tcW w:w="4084" w:type="pct"/>
          </w:tcPr>
          <w:p w:rsidR="003A543D" w:rsidRPr="000E2D02" w:rsidRDefault="003A543D" w:rsidP="00B7131B">
            <w:pPr>
              <w:pStyle w:val="Pamatteksts"/>
              <w:widowControl/>
              <w:kinsoku w:val="0"/>
              <w:overflowPunct w:val="0"/>
              <w:ind w:left="0"/>
              <w:jc w:val="both"/>
              <w:rPr>
                <w:noProof/>
                <w:sz w:val="24"/>
                <w:szCs w:val="24"/>
                <w:lang w:val="en-US"/>
              </w:rPr>
            </w:pPr>
            <w:r w:rsidRPr="006B796E">
              <w:rPr>
                <w:sz w:val="24"/>
                <w:szCs w:val="24"/>
              </w:rPr>
              <w:t>Eiropas Padomes Ekspertu darbības grupa pret cilvēku tirdzniecību (līguma izpildes uzraudzības struktūra)</w:t>
            </w:r>
          </w:p>
        </w:tc>
      </w:tr>
      <w:tr w:rsidR="003A543D" w:rsidRPr="000E2D02" w:rsidTr="00FB3EA0">
        <w:tc>
          <w:tcPr>
            <w:tcW w:w="916" w:type="pct"/>
          </w:tcPr>
          <w:p w:rsidR="003A543D" w:rsidRPr="000E2D02" w:rsidRDefault="003A543D" w:rsidP="00B7131B">
            <w:pPr>
              <w:pStyle w:val="Pamatteksts"/>
              <w:widowControl/>
              <w:kinsoku w:val="0"/>
              <w:overflowPunct w:val="0"/>
              <w:ind w:left="0"/>
              <w:jc w:val="both"/>
              <w:rPr>
                <w:b/>
                <w:noProof/>
                <w:sz w:val="24"/>
                <w:szCs w:val="24"/>
                <w:lang w:val="en-US"/>
              </w:rPr>
            </w:pPr>
            <w:r w:rsidRPr="006B796E">
              <w:rPr>
                <w:b/>
                <w:bCs/>
                <w:i/>
                <w:iCs/>
                <w:sz w:val="24"/>
                <w:szCs w:val="24"/>
              </w:rPr>
              <w:t>ICMPD</w:t>
            </w:r>
          </w:p>
        </w:tc>
        <w:tc>
          <w:tcPr>
            <w:tcW w:w="4084" w:type="pct"/>
          </w:tcPr>
          <w:p w:rsidR="003A543D" w:rsidRPr="000E2D02" w:rsidRDefault="003A543D" w:rsidP="00B7131B">
            <w:pPr>
              <w:pStyle w:val="Pamatteksts"/>
              <w:widowControl/>
              <w:kinsoku w:val="0"/>
              <w:overflowPunct w:val="0"/>
              <w:ind w:left="0"/>
              <w:jc w:val="both"/>
              <w:rPr>
                <w:noProof/>
                <w:sz w:val="24"/>
                <w:szCs w:val="24"/>
                <w:lang w:val="en-US"/>
              </w:rPr>
            </w:pPr>
            <w:r w:rsidRPr="006B796E">
              <w:rPr>
                <w:sz w:val="24"/>
                <w:szCs w:val="24"/>
              </w:rPr>
              <w:t>Starptautiskais Migrācijas politikas attīstības centrs</w:t>
            </w:r>
          </w:p>
        </w:tc>
      </w:tr>
      <w:tr w:rsidR="003A543D" w:rsidRPr="000E2D02" w:rsidTr="00FB3EA0">
        <w:tc>
          <w:tcPr>
            <w:tcW w:w="916" w:type="pct"/>
          </w:tcPr>
          <w:p w:rsidR="003A543D" w:rsidRPr="00FB3EA0" w:rsidRDefault="003A543D" w:rsidP="00B7131B">
            <w:pPr>
              <w:pStyle w:val="Pamatteksts"/>
              <w:widowControl/>
              <w:kinsoku w:val="0"/>
              <w:overflowPunct w:val="0"/>
              <w:ind w:left="0"/>
              <w:jc w:val="both"/>
              <w:rPr>
                <w:b/>
                <w:i/>
                <w:noProof/>
                <w:sz w:val="24"/>
                <w:szCs w:val="24"/>
                <w:lang w:val="en-US"/>
              </w:rPr>
            </w:pPr>
            <w:r w:rsidRPr="00FB3EA0">
              <w:rPr>
                <w:b/>
                <w:i/>
                <w:noProof/>
                <w:sz w:val="24"/>
                <w:szCs w:val="24"/>
                <w:lang w:val="en-US"/>
              </w:rPr>
              <w:t>ILO</w:t>
            </w:r>
          </w:p>
        </w:tc>
        <w:tc>
          <w:tcPr>
            <w:tcW w:w="4084" w:type="pct"/>
          </w:tcPr>
          <w:p w:rsidR="003A543D" w:rsidRPr="000E2D02" w:rsidRDefault="003A543D" w:rsidP="00B7131B">
            <w:pPr>
              <w:pStyle w:val="Pamatteksts"/>
              <w:widowControl/>
              <w:kinsoku w:val="0"/>
              <w:overflowPunct w:val="0"/>
              <w:ind w:left="0"/>
              <w:jc w:val="both"/>
              <w:rPr>
                <w:noProof/>
                <w:sz w:val="24"/>
                <w:szCs w:val="24"/>
                <w:lang w:val="en-US"/>
              </w:rPr>
            </w:pPr>
            <w:r w:rsidRPr="006B796E">
              <w:rPr>
                <w:sz w:val="24"/>
                <w:szCs w:val="24"/>
              </w:rPr>
              <w:t>Starptautiskā Darba organizācija (un Starptautiskais Darba birojs)</w:t>
            </w:r>
          </w:p>
        </w:tc>
      </w:tr>
      <w:tr w:rsidR="003A543D" w:rsidRPr="000E2D02" w:rsidTr="00FB3EA0">
        <w:tc>
          <w:tcPr>
            <w:tcW w:w="916" w:type="pct"/>
          </w:tcPr>
          <w:p w:rsidR="003A543D" w:rsidRPr="00FB3EA0" w:rsidRDefault="003A543D" w:rsidP="00B7131B">
            <w:pPr>
              <w:pStyle w:val="Virsraksts9"/>
              <w:widowControl/>
              <w:kinsoku w:val="0"/>
              <w:overflowPunct w:val="0"/>
              <w:ind w:left="0"/>
              <w:jc w:val="both"/>
              <w:rPr>
                <w:rFonts w:ascii="Times New Roman" w:hAnsi="Times New Roman" w:cs="Times New Roman"/>
                <w:i/>
                <w:noProof/>
                <w:sz w:val="24"/>
                <w:szCs w:val="24"/>
                <w:lang w:val="en-US"/>
              </w:rPr>
            </w:pPr>
            <w:r w:rsidRPr="00FB3EA0">
              <w:rPr>
                <w:rFonts w:ascii="Times New Roman" w:hAnsi="Times New Roman" w:cs="Times New Roman"/>
                <w:i/>
                <w:noProof/>
                <w:sz w:val="24"/>
                <w:szCs w:val="24"/>
                <w:lang w:val="en-US"/>
              </w:rPr>
              <w:t>IOM</w:t>
            </w:r>
          </w:p>
        </w:tc>
        <w:tc>
          <w:tcPr>
            <w:tcW w:w="4084" w:type="pct"/>
          </w:tcPr>
          <w:p w:rsidR="003A543D" w:rsidRPr="000E2D02" w:rsidRDefault="003A543D" w:rsidP="00B7131B">
            <w:pPr>
              <w:pStyle w:val="Pamatteksts"/>
              <w:widowControl/>
              <w:kinsoku w:val="0"/>
              <w:overflowPunct w:val="0"/>
              <w:ind w:left="0"/>
              <w:jc w:val="both"/>
              <w:rPr>
                <w:noProof/>
                <w:sz w:val="24"/>
                <w:szCs w:val="24"/>
                <w:lang w:val="en-US"/>
              </w:rPr>
            </w:pPr>
            <w:r w:rsidRPr="006B796E">
              <w:rPr>
                <w:sz w:val="24"/>
                <w:szCs w:val="24"/>
              </w:rPr>
              <w:t>Starptautiskā Migrācijas organizācija</w:t>
            </w:r>
          </w:p>
        </w:tc>
      </w:tr>
      <w:tr w:rsidR="003A543D" w:rsidRPr="000E2D02" w:rsidTr="00FB3EA0">
        <w:tc>
          <w:tcPr>
            <w:tcW w:w="916" w:type="pct"/>
          </w:tcPr>
          <w:p w:rsidR="003A543D" w:rsidRPr="000E2D02" w:rsidRDefault="003A543D" w:rsidP="00B7131B">
            <w:pPr>
              <w:pStyle w:val="Pamatteksts"/>
              <w:widowControl/>
              <w:kinsoku w:val="0"/>
              <w:overflowPunct w:val="0"/>
              <w:ind w:left="0"/>
              <w:jc w:val="both"/>
              <w:rPr>
                <w:b/>
                <w:bCs/>
                <w:noProof/>
                <w:sz w:val="24"/>
                <w:szCs w:val="24"/>
                <w:lang w:val="en-US"/>
              </w:rPr>
            </w:pPr>
            <w:r w:rsidRPr="006B796E">
              <w:rPr>
                <w:b/>
                <w:bCs/>
                <w:sz w:val="24"/>
                <w:szCs w:val="24"/>
              </w:rPr>
              <w:t>Lansarotes konvencija</w:t>
            </w:r>
          </w:p>
        </w:tc>
        <w:tc>
          <w:tcPr>
            <w:tcW w:w="4084" w:type="pct"/>
          </w:tcPr>
          <w:p w:rsidR="003A543D" w:rsidRPr="000E2D02" w:rsidRDefault="003A543D" w:rsidP="00B7131B">
            <w:pPr>
              <w:pStyle w:val="Pamatteksts"/>
              <w:widowControl/>
              <w:kinsoku w:val="0"/>
              <w:overflowPunct w:val="0"/>
              <w:ind w:left="0"/>
              <w:jc w:val="both"/>
              <w:rPr>
                <w:noProof/>
                <w:sz w:val="24"/>
                <w:szCs w:val="24"/>
                <w:lang w:val="en-US"/>
              </w:rPr>
            </w:pPr>
            <w:r w:rsidRPr="006B796E">
              <w:rPr>
                <w:sz w:val="24"/>
                <w:szCs w:val="24"/>
              </w:rPr>
              <w:t>Eiropas Padomes Konvencija par bērnu aizsardzību pret seksuālu izmantošanu un seksuālu vardarbību</w:t>
            </w:r>
          </w:p>
        </w:tc>
      </w:tr>
      <w:tr w:rsidR="003A543D" w:rsidRPr="000E2D02" w:rsidTr="00FB3EA0">
        <w:tc>
          <w:tcPr>
            <w:tcW w:w="916" w:type="pct"/>
          </w:tcPr>
          <w:p w:rsidR="003A543D" w:rsidRPr="00FB3EA0" w:rsidRDefault="003A543D" w:rsidP="00B7131B">
            <w:pPr>
              <w:pStyle w:val="Pamatteksts"/>
              <w:widowControl/>
              <w:kinsoku w:val="0"/>
              <w:overflowPunct w:val="0"/>
              <w:ind w:left="0"/>
              <w:jc w:val="both"/>
              <w:rPr>
                <w:b/>
                <w:bCs/>
                <w:i/>
                <w:noProof/>
                <w:sz w:val="24"/>
                <w:szCs w:val="24"/>
                <w:lang w:val="en-US"/>
              </w:rPr>
            </w:pPr>
            <w:r w:rsidRPr="00FB3EA0">
              <w:rPr>
                <w:b/>
                <w:bCs/>
                <w:i/>
                <w:noProof/>
                <w:sz w:val="24"/>
                <w:szCs w:val="24"/>
                <w:lang w:val="en-US"/>
              </w:rPr>
              <w:t>NRM</w:t>
            </w:r>
          </w:p>
        </w:tc>
        <w:tc>
          <w:tcPr>
            <w:tcW w:w="4084" w:type="pct"/>
          </w:tcPr>
          <w:p w:rsidR="003A543D" w:rsidRPr="000E2D02" w:rsidRDefault="003A543D" w:rsidP="00B7131B">
            <w:pPr>
              <w:pStyle w:val="Pamatteksts"/>
              <w:widowControl/>
              <w:kinsoku w:val="0"/>
              <w:overflowPunct w:val="0"/>
              <w:ind w:left="0"/>
              <w:jc w:val="both"/>
              <w:rPr>
                <w:noProof/>
                <w:sz w:val="24"/>
                <w:szCs w:val="24"/>
                <w:lang w:val="en-US"/>
              </w:rPr>
            </w:pPr>
            <w:r w:rsidRPr="006B796E">
              <w:rPr>
                <w:sz w:val="24"/>
                <w:szCs w:val="24"/>
              </w:rPr>
              <w:t>Nacionālais mehānisms cietušo nosūtīšanai</w:t>
            </w:r>
          </w:p>
        </w:tc>
      </w:tr>
      <w:tr w:rsidR="003A543D" w:rsidRPr="000E2D02" w:rsidTr="00FB3EA0">
        <w:tc>
          <w:tcPr>
            <w:tcW w:w="916" w:type="pct"/>
          </w:tcPr>
          <w:p w:rsidR="003A543D" w:rsidRPr="000E2D02" w:rsidRDefault="003A543D" w:rsidP="00B7131B">
            <w:pPr>
              <w:pStyle w:val="Pamatteksts"/>
              <w:widowControl/>
              <w:kinsoku w:val="0"/>
              <w:overflowPunct w:val="0"/>
              <w:ind w:left="0"/>
              <w:jc w:val="both"/>
              <w:rPr>
                <w:b/>
                <w:bCs/>
                <w:noProof/>
                <w:sz w:val="24"/>
                <w:szCs w:val="24"/>
                <w:lang w:val="en-US"/>
              </w:rPr>
            </w:pPr>
            <w:r w:rsidRPr="006B796E">
              <w:rPr>
                <w:b/>
                <w:bCs/>
                <w:sz w:val="24"/>
                <w:szCs w:val="24"/>
              </w:rPr>
              <w:t>NVO</w:t>
            </w:r>
          </w:p>
        </w:tc>
        <w:tc>
          <w:tcPr>
            <w:tcW w:w="4084" w:type="pct"/>
          </w:tcPr>
          <w:p w:rsidR="003A543D" w:rsidRPr="000E2D02" w:rsidRDefault="003A543D" w:rsidP="00B7131B">
            <w:pPr>
              <w:pStyle w:val="Pamatteksts"/>
              <w:widowControl/>
              <w:kinsoku w:val="0"/>
              <w:overflowPunct w:val="0"/>
              <w:ind w:left="0"/>
              <w:jc w:val="both"/>
              <w:rPr>
                <w:noProof/>
                <w:sz w:val="24"/>
                <w:szCs w:val="24"/>
                <w:lang w:val="en-US"/>
              </w:rPr>
            </w:pPr>
            <w:r w:rsidRPr="006B796E">
              <w:rPr>
                <w:sz w:val="24"/>
                <w:szCs w:val="24"/>
              </w:rPr>
              <w:t>Nevalstiska organizācija</w:t>
            </w:r>
          </w:p>
        </w:tc>
      </w:tr>
      <w:tr w:rsidR="003A543D" w:rsidRPr="000E2D02" w:rsidTr="00FB3EA0">
        <w:tc>
          <w:tcPr>
            <w:tcW w:w="916" w:type="pct"/>
          </w:tcPr>
          <w:p w:rsidR="003A543D" w:rsidRPr="000E2D02" w:rsidRDefault="003A543D" w:rsidP="00B7131B">
            <w:pPr>
              <w:pStyle w:val="Pamatteksts"/>
              <w:widowControl/>
              <w:kinsoku w:val="0"/>
              <w:overflowPunct w:val="0"/>
              <w:ind w:left="0"/>
              <w:jc w:val="both"/>
              <w:rPr>
                <w:b/>
                <w:noProof/>
                <w:sz w:val="24"/>
                <w:szCs w:val="24"/>
                <w:lang w:val="en-US"/>
              </w:rPr>
            </w:pPr>
            <w:r w:rsidRPr="006B796E">
              <w:rPr>
                <w:b/>
                <w:bCs/>
                <w:sz w:val="24"/>
                <w:szCs w:val="24"/>
              </w:rPr>
              <w:t>NVS</w:t>
            </w:r>
          </w:p>
        </w:tc>
        <w:tc>
          <w:tcPr>
            <w:tcW w:w="4084" w:type="pct"/>
          </w:tcPr>
          <w:p w:rsidR="003A543D" w:rsidRPr="000E2D02" w:rsidRDefault="003A543D" w:rsidP="00B7131B">
            <w:pPr>
              <w:pStyle w:val="Pamatteksts"/>
              <w:widowControl/>
              <w:kinsoku w:val="0"/>
              <w:overflowPunct w:val="0"/>
              <w:ind w:left="0"/>
              <w:jc w:val="both"/>
              <w:rPr>
                <w:noProof/>
                <w:sz w:val="24"/>
                <w:szCs w:val="24"/>
                <w:lang w:val="en-US"/>
              </w:rPr>
            </w:pPr>
            <w:r w:rsidRPr="006B796E">
              <w:rPr>
                <w:sz w:val="24"/>
                <w:szCs w:val="24"/>
              </w:rPr>
              <w:t>Neatkarīgo Valstu Sadraudzība</w:t>
            </w:r>
          </w:p>
        </w:tc>
      </w:tr>
      <w:tr w:rsidR="003A543D" w:rsidRPr="000E2D02" w:rsidTr="00FB3EA0">
        <w:tc>
          <w:tcPr>
            <w:tcW w:w="916" w:type="pct"/>
          </w:tcPr>
          <w:p w:rsidR="003A543D" w:rsidRPr="00FB3EA0" w:rsidRDefault="003A543D" w:rsidP="00B7131B">
            <w:pPr>
              <w:pStyle w:val="Pamatteksts"/>
              <w:widowControl/>
              <w:kinsoku w:val="0"/>
              <w:overflowPunct w:val="0"/>
              <w:ind w:left="0"/>
              <w:jc w:val="both"/>
              <w:rPr>
                <w:b/>
                <w:bCs/>
                <w:i/>
                <w:noProof/>
                <w:sz w:val="24"/>
                <w:szCs w:val="24"/>
                <w:lang w:val="en-US"/>
              </w:rPr>
            </w:pPr>
            <w:r w:rsidRPr="00FB3EA0">
              <w:rPr>
                <w:b/>
                <w:bCs/>
                <w:i/>
                <w:noProof/>
                <w:sz w:val="24"/>
                <w:szCs w:val="24"/>
                <w:lang w:val="en-US"/>
              </w:rPr>
              <w:t>ODIHR</w:t>
            </w:r>
          </w:p>
        </w:tc>
        <w:tc>
          <w:tcPr>
            <w:tcW w:w="4084" w:type="pct"/>
          </w:tcPr>
          <w:p w:rsidR="003A543D" w:rsidRPr="000E2D02" w:rsidRDefault="003A543D" w:rsidP="00B7131B">
            <w:pPr>
              <w:pStyle w:val="Pamatteksts"/>
              <w:widowControl/>
              <w:kinsoku w:val="0"/>
              <w:overflowPunct w:val="0"/>
              <w:ind w:left="0"/>
              <w:jc w:val="both"/>
              <w:rPr>
                <w:noProof/>
                <w:sz w:val="24"/>
                <w:szCs w:val="24"/>
                <w:lang w:val="en-US"/>
              </w:rPr>
            </w:pPr>
            <w:r w:rsidRPr="006B796E">
              <w:rPr>
                <w:sz w:val="24"/>
                <w:szCs w:val="24"/>
              </w:rPr>
              <w:t>EDSO Demokrātisku iestāžu un cilvēktiesību birojs</w:t>
            </w:r>
          </w:p>
        </w:tc>
      </w:tr>
      <w:tr w:rsidR="003A543D" w:rsidRPr="000E2D02" w:rsidTr="00FB3EA0">
        <w:tc>
          <w:tcPr>
            <w:tcW w:w="916" w:type="pct"/>
          </w:tcPr>
          <w:p w:rsidR="003A543D" w:rsidRPr="000E2D02" w:rsidRDefault="003A543D" w:rsidP="00B7131B">
            <w:pPr>
              <w:pStyle w:val="Pamatteksts"/>
              <w:widowControl/>
              <w:kinsoku w:val="0"/>
              <w:overflowPunct w:val="0"/>
              <w:ind w:left="0"/>
              <w:jc w:val="both"/>
              <w:rPr>
                <w:b/>
                <w:bCs/>
                <w:noProof/>
                <w:sz w:val="24"/>
                <w:szCs w:val="24"/>
                <w:lang w:val="en-US"/>
              </w:rPr>
            </w:pPr>
            <w:r w:rsidRPr="006B796E">
              <w:rPr>
                <w:b/>
                <w:bCs/>
                <w:i/>
                <w:iCs/>
                <w:sz w:val="24"/>
                <w:szCs w:val="24"/>
              </w:rPr>
              <w:t>OSR/CTHB</w:t>
            </w:r>
          </w:p>
        </w:tc>
        <w:tc>
          <w:tcPr>
            <w:tcW w:w="4084" w:type="pct"/>
          </w:tcPr>
          <w:p w:rsidR="003A543D" w:rsidRPr="000E2D02" w:rsidRDefault="003A543D" w:rsidP="00B7131B">
            <w:pPr>
              <w:pStyle w:val="Pamatteksts"/>
              <w:widowControl/>
              <w:kinsoku w:val="0"/>
              <w:overflowPunct w:val="0"/>
              <w:ind w:left="0"/>
              <w:jc w:val="both"/>
              <w:rPr>
                <w:noProof/>
                <w:sz w:val="24"/>
                <w:szCs w:val="24"/>
                <w:lang w:val="en-US"/>
              </w:rPr>
            </w:pPr>
            <w:r w:rsidRPr="006B796E">
              <w:rPr>
                <w:sz w:val="24"/>
                <w:szCs w:val="24"/>
              </w:rPr>
              <w:t>EDSO Cilvēku tirdzniecības apkarošanas īpašā pārstāvja un koordinatora birojs</w:t>
            </w:r>
          </w:p>
        </w:tc>
      </w:tr>
      <w:tr w:rsidR="003A543D" w:rsidRPr="000E2D02" w:rsidTr="00FB3EA0">
        <w:tc>
          <w:tcPr>
            <w:tcW w:w="916" w:type="pct"/>
          </w:tcPr>
          <w:p w:rsidR="003A543D" w:rsidRPr="00FB3EA0" w:rsidRDefault="003A543D" w:rsidP="00B7131B">
            <w:pPr>
              <w:pStyle w:val="Pamatteksts"/>
              <w:widowControl/>
              <w:kinsoku w:val="0"/>
              <w:overflowPunct w:val="0"/>
              <w:ind w:left="0"/>
              <w:jc w:val="both"/>
              <w:rPr>
                <w:b/>
                <w:bCs/>
                <w:i/>
                <w:noProof/>
                <w:sz w:val="24"/>
                <w:szCs w:val="24"/>
                <w:lang w:val="en-US"/>
              </w:rPr>
            </w:pPr>
            <w:r w:rsidRPr="00FB3EA0">
              <w:rPr>
                <w:b/>
                <w:bCs/>
                <w:i/>
                <w:noProof/>
                <w:sz w:val="24"/>
                <w:szCs w:val="24"/>
                <w:lang w:val="en-US"/>
              </w:rPr>
              <w:t>RCM</w:t>
            </w:r>
          </w:p>
        </w:tc>
        <w:tc>
          <w:tcPr>
            <w:tcW w:w="4084" w:type="pct"/>
          </w:tcPr>
          <w:p w:rsidR="003A543D" w:rsidRPr="000E2D02" w:rsidRDefault="003A543D" w:rsidP="00B7131B">
            <w:pPr>
              <w:pStyle w:val="Pamatteksts"/>
              <w:widowControl/>
              <w:kinsoku w:val="0"/>
              <w:overflowPunct w:val="0"/>
              <w:ind w:left="0"/>
              <w:jc w:val="both"/>
              <w:rPr>
                <w:noProof/>
                <w:sz w:val="24"/>
                <w:szCs w:val="24"/>
                <w:lang w:val="en-US"/>
              </w:rPr>
            </w:pPr>
            <w:r w:rsidRPr="006B796E">
              <w:rPr>
                <w:sz w:val="24"/>
                <w:szCs w:val="24"/>
              </w:rPr>
              <w:t>Reģionālā konference migrācijas jautājumos</w:t>
            </w:r>
          </w:p>
        </w:tc>
      </w:tr>
      <w:tr w:rsidR="003A543D" w:rsidRPr="000E2D02" w:rsidTr="00FB3EA0">
        <w:tc>
          <w:tcPr>
            <w:tcW w:w="916" w:type="pct"/>
          </w:tcPr>
          <w:p w:rsidR="003A543D" w:rsidRPr="00FB3EA0" w:rsidRDefault="003A543D" w:rsidP="00B7131B">
            <w:pPr>
              <w:pStyle w:val="Pamatteksts"/>
              <w:widowControl/>
              <w:kinsoku w:val="0"/>
              <w:overflowPunct w:val="0"/>
              <w:ind w:left="0"/>
              <w:jc w:val="both"/>
              <w:rPr>
                <w:b/>
                <w:bCs/>
                <w:i/>
                <w:noProof/>
                <w:sz w:val="24"/>
                <w:szCs w:val="24"/>
                <w:lang w:val="en-US"/>
              </w:rPr>
            </w:pPr>
            <w:r w:rsidRPr="006B796E">
              <w:rPr>
                <w:b/>
                <w:bCs/>
                <w:i/>
                <w:iCs/>
                <w:sz w:val="24"/>
                <w:szCs w:val="24"/>
              </w:rPr>
              <w:t>SR/CTHB</w:t>
            </w:r>
          </w:p>
        </w:tc>
        <w:tc>
          <w:tcPr>
            <w:tcW w:w="4084" w:type="pct"/>
          </w:tcPr>
          <w:p w:rsidR="003A543D" w:rsidRPr="000E2D02" w:rsidRDefault="003A543D" w:rsidP="00B7131B">
            <w:pPr>
              <w:pStyle w:val="Pamatteksts"/>
              <w:widowControl/>
              <w:kinsoku w:val="0"/>
              <w:overflowPunct w:val="0"/>
              <w:ind w:left="0"/>
              <w:jc w:val="both"/>
              <w:rPr>
                <w:noProof/>
                <w:sz w:val="24"/>
                <w:szCs w:val="24"/>
                <w:lang w:val="en-US"/>
              </w:rPr>
            </w:pPr>
            <w:r w:rsidRPr="006B796E">
              <w:rPr>
                <w:sz w:val="24"/>
                <w:szCs w:val="24"/>
              </w:rPr>
              <w:t>EDSO Cilvēku tirdzniecības apkarošanas īpašais pārstāvis un koordinators</w:t>
            </w:r>
          </w:p>
        </w:tc>
      </w:tr>
      <w:tr w:rsidR="003A543D" w:rsidRPr="000E2D02" w:rsidTr="00FB3EA0">
        <w:tc>
          <w:tcPr>
            <w:tcW w:w="916" w:type="pct"/>
          </w:tcPr>
          <w:p w:rsidR="003A543D" w:rsidRPr="000E2D02" w:rsidRDefault="003A543D" w:rsidP="00B7131B">
            <w:pPr>
              <w:pStyle w:val="Pamatteksts"/>
              <w:widowControl/>
              <w:kinsoku w:val="0"/>
              <w:overflowPunct w:val="0"/>
              <w:ind w:left="0"/>
              <w:jc w:val="both"/>
              <w:rPr>
                <w:b/>
                <w:bCs/>
                <w:noProof/>
                <w:sz w:val="24"/>
                <w:szCs w:val="24"/>
                <w:lang w:val="en-US"/>
              </w:rPr>
            </w:pPr>
            <w:r w:rsidRPr="006B796E">
              <w:rPr>
                <w:b/>
                <w:bCs/>
                <w:i/>
                <w:iCs/>
                <w:sz w:val="24"/>
                <w:szCs w:val="24"/>
              </w:rPr>
              <w:t>UNHCR</w:t>
            </w:r>
          </w:p>
        </w:tc>
        <w:tc>
          <w:tcPr>
            <w:tcW w:w="4084" w:type="pct"/>
          </w:tcPr>
          <w:p w:rsidR="003A543D" w:rsidRPr="000E2D02" w:rsidRDefault="003A543D" w:rsidP="00B7131B">
            <w:pPr>
              <w:pStyle w:val="Pamatteksts"/>
              <w:widowControl/>
              <w:kinsoku w:val="0"/>
              <w:overflowPunct w:val="0"/>
              <w:ind w:left="0"/>
              <w:jc w:val="both"/>
              <w:rPr>
                <w:noProof/>
                <w:sz w:val="24"/>
                <w:szCs w:val="24"/>
                <w:lang w:val="en-US"/>
              </w:rPr>
            </w:pPr>
            <w:r w:rsidRPr="006B796E">
              <w:rPr>
                <w:sz w:val="24"/>
                <w:szCs w:val="24"/>
              </w:rPr>
              <w:t>ANO augstais komisārs bēgļu jautājumos</w:t>
            </w:r>
          </w:p>
        </w:tc>
      </w:tr>
      <w:tr w:rsidR="003A543D" w:rsidRPr="000E2D02" w:rsidTr="00FB3EA0">
        <w:tc>
          <w:tcPr>
            <w:tcW w:w="916" w:type="pct"/>
          </w:tcPr>
          <w:p w:rsidR="003A543D" w:rsidRPr="000E2D02" w:rsidRDefault="003A543D" w:rsidP="00B7131B">
            <w:pPr>
              <w:pStyle w:val="Pamatteksts"/>
              <w:widowControl/>
              <w:kinsoku w:val="0"/>
              <w:overflowPunct w:val="0"/>
              <w:ind w:left="0"/>
              <w:jc w:val="both"/>
              <w:rPr>
                <w:b/>
                <w:bCs/>
                <w:noProof/>
                <w:sz w:val="24"/>
                <w:szCs w:val="24"/>
                <w:lang w:val="en-US"/>
              </w:rPr>
            </w:pPr>
            <w:r w:rsidRPr="006B796E">
              <w:rPr>
                <w:b/>
                <w:bCs/>
                <w:i/>
                <w:iCs/>
                <w:sz w:val="24"/>
                <w:szCs w:val="24"/>
              </w:rPr>
              <w:t>UNICEF</w:t>
            </w:r>
          </w:p>
        </w:tc>
        <w:tc>
          <w:tcPr>
            <w:tcW w:w="4084" w:type="pct"/>
          </w:tcPr>
          <w:p w:rsidR="003A543D" w:rsidRPr="000E2D02" w:rsidRDefault="003A543D" w:rsidP="00B7131B">
            <w:pPr>
              <w:pStyle w:val="Pamatteksts"/>
              <w:widowControl/>
              <w:kinsoku w:val="0"/>
              <w:overflowPunct w:val="0"/>
              <w:ind w:left="0"/>
              <w:jc w:val="both"/>
              <w:rPr>
                <w:noProof/>
                <w:sz w:val="24"/>
                <w:szCs w:val="24"/>
                <w:lang w:val="en-US"/>
              </w:rPr>
            </w:pPr>
            <w:r w:rsidRPr="006B796E">
              <w:rPr>
                <w:sz w:val="24"/>
                <w:szCs w:val="24"/>
              </w:rPr>
              <w:t>ANO Bērnu fonds</w:t>
            </w:r>
          </w:p>
        </w:tc>
      </w:tr>
      <w:tr w:rsidR="003A543D" w:rsidRPr="000E2D02" w:rsidTr="00FB3EA0">
        <w:tc>
          <w:tcPr>
            <w:tcW w:w="916" w:type="pct"/>
          </w:tcPr>
          <w:p w:rsidR="003A543D" w:rsidRPr="000E2D02" w:rsidRDefault="003A543D" w:rsidP="00B7131B">
            <w:pPr>
              <w:pStyle w:val="Pamatteksts"/>
              <w:widowControl/>
              <w:kinsoku w:val="0"/>
              <w:overflowPunct w:val="0"/>
              <w:ind w:left="0"/>
              <w:jc w:val="both"/>
              <w:rPr>
                <w:b/>
                <w:bCs/>
                <w:noProof/>
                <w:sz w:val="24"/>
                <w:szCs w:val="24"/>
                <w:lang w:val="en-US"/>
              </w:rPr>
            </w:pPr>
            <w:r w:rsidRPr="006B796E">
              <w:rPr>
                <w:b/>
                <w:bCs/>
                <w:sz w:val="24"/>
                <w:szCs w:val="24"/>
              </w:rPr>
              <w:t>Varšavas konvencija</w:t>
            </w:r>
          </w:p>
        </w:tc>
        <w:tc>
          <w:tcPr>
            <w:tcW w:w="4084" w:type="pct"/>
          </w:tcPr>
          <w:p w:rsidR="003A543D" w:rsidRPr="000E2D02" w:rsidRDefault="003A543D" w:rsidP="00B7131B">
            <w:pPr>
              <w:pStyle w:val="Pamatteksts"/>
              <w:widowControl/>
              <w:kinsoku w:val="0"/>
              <w:overflowPunct w:val="0"/>
              <w:ind w:left="0"/>
              <w:jc w:val="both"/>
              <w:rPr>
                <w:noProof/>
                <w:sz w:val="24"/>
                <w:szCs w:val="24"/>
                <w:lang w:val="en-US"/>
              </w:rPr>
            </w:pPr>
            <w:r w:rsidRPr="006B796E">
              <w:rPr>
                <w:sz w:val="24"/>
                <w:szCs w:val="24"/>
              </w:rPr>
              <w:t>Eiropas Padomes Konvencija par cīņu pret cilvēku tirdzniecību</w:t>
            </w:r>
          </w:p>
        </w:tc>
      </w:tr>
    </w:tbl>
    <w:p w:rsidR="00FB3EA0" w:rsidRDefault="00FB3EA0" w:rsidP="006B796E">
      <w:pPr>
        <w:widowControl w:val="0"/>
        <w:spacing w:after="0" w:line="240" w:lineRule="auto"/>
        <w:jc w:val="both"/>
        <w:rPr>
          <w:rFonts w:ascii="Times New Roman" w:eastAsia="Times New Roman" w:hAnsi="Times New Roman" w:cs="Times New Roman"/>
          <w:sz w:val="24"/>
          <w:szCs w:val="24"/>
          <w:lang w:eastAsia="lv-LV"/>
        </w:rPr>
      </w:pPr>
    </w:p>
    <w:p w:rsidR="003A543D" w:rsidRDefault="003A543D">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D6592D" w:rsidRPr="00F253CE" w:rsidRDefault="00D6592D" w:rsidP="006B796E">
      <w:pPr>
        <w:widowControl w:val="0"/>
        <w:spacing w:after="0" w:line="240" w:lineRule="auto"/>
        <w:jc w:val="both"/>
        <w:rPr>
          <w:rFonts w:ascii="Times New Roman" w:eastAsia="Times New Roman" w:hAnsi="Times New Roman" w:cs="Times New Roman"/>
          <w:sz w:val="28"/>
          <w:szCs w:val="24"/>
          <w:lang w:eastAsia="lv-LV"/>
        </w:rPr>
      </w:pPr>
      <w:r w:rsidRPr="00F253CE">
        <w:rPr>
          <w:rFonts w:ascii="Times New Roman" w:eastAsia="Times New Roman" w:hAnsi="Times New Roman" w:cs="Times New Roman"/>
          <w:sz w:val="28"/>
          <w:szCs w:val="24"/>
          <w:lang w:eastAsia="lv-LV"/>
        </w:rPr>
        <w:lastRenderedPageBreak/>
        <w:t>Glosārijs</w:t>
      </w:r>
    </w:p>
    <w:p w:rsidR="003A543D" w:rsidRDefault="003A543D" w:rsidP="006B796E">
      <w:pPr>
        <w:widowControl w:val="0"/>
        <w:spacing w:after="0" w:line="240" w:lineRule="auto"/>
        <w:jc w:val="both"/>
        <w:rPr>
          <w:rFonts w:ascii="Times New Roman" w:eastAsia="Times New Roman" w:hAnsi="Times New Roman" w:cs="Times New Roman"/>
          <w:sz w:val="24"/>
          <w:szCs w:val="24"/>
          <w:lang w:eastAsia="lv-LV"/>
        </w:rPr>
      </w:pPr>
    </w:p>
    <w:tbl>
      <w:tblPr>
        <w:tblW w:w="0" w:type="auto"/>
        <w:tblCellMar>
          <w:top w:w="28" w:type="dxa"/>
          <w:left w:w="28" w:type="dxa"/>
          <w:bottom w:w="28" w:type="dxa"/>
          <w:right w:w="28" w:type="dxa"/>
        </w:tblCellMar>
        <w:tblLook w:val="04A0" w:firstRow="1" w:lastRow="0" w:firstColumn="1" w:lastColumn="0" w:noHBand="0" w:noVBand="1"/>
      </w:tblPr>
      <w:tblGrid>
        <w:gridCol w:w="2785"/>
        <w:gridCol w:w="6286"/>
      </w:tblGrid>
      <w:tr w:rsidR="004B7F17" w:rsidRPr="004B7F17" w:rsidTr="00B7131B">
        <w:tc>
          <w:tcPr>
            <w:tcW w:w="2802" w:type="dxa"/>
          </w:tcPr>
          <w:p w:rsidR="004B7F17" w:rsidRPr="004B7F17" w:rsidRDefault="004B7F17" w:rsidP="00B7131B">
            <w:pPr>
              <w:pStyle w:val="Virsraksts9"/>
              <w:widowControl/>
              <w:kinsoku w:val="0"/>
              <w:overflowPunct w:val="0"/>
              <w:ind w:left="0"/>
              <w:jc w:val="both"/>
              <w:rPr>
                <w:rFonts w:ascii="Times New Roman" w:hAnsi="Times New Roman" w:cs="Times New Roman"/>
                <w:noProof/>
                <w:sz w:val="24"/>
                <w:szCs w:val="24"/>
                <w:lang w:val="en-US"/>
              </w:rPr>
            </w:pPr>
            <w:r w:rsidRPr="004B7F17">
              <w:rPr>
                <w:rFonts w:ascii="Times New Roman" w:hAnsi="Times New Roman" w:cs="Times New Roman"/>
                <w:bCs w:val="0"/>
                <w:sz w:val="24"/>
                <w:szCs w:val="24"/>
              </w:rPr>
              <w:t>Vardarbība (pret bērnu)</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Apzināta vai nejauša darbība vai bezdarbība, kuras rezultātā ir nodarīts vai varētu būt nodarīts būtisks kaitējums bērna labklājībai vai attīstībai. Ir četras vardarbības pamatkategorijas – fiziskā, seksuālā, emocionālā (dažkārt saukta psiholoģiskā) vardarbība un nolaidība. Sk. ANO Civilizāciju alianses (</w:t>
            </w:r>
            <w:r w:rsidRPr="004B7F17">
              <w:rPr>
                <w:rFonts w:ascii="Times New Roman" w:eastAsia="Times New Roman" w:hAnsi="Times New Roman" w:cs="Times New Roman"/>
                <w:i/>
                <w:iCs/>
                <w:sz w:val="24"/>
                <w:szCs w:val="24"/>
                <w:lang w:eastAsia="lv-LV"/>
              </w:rPr>
              <w:t>UNAOC</w:t>
            </w:r>
            <w:r w:rsidRPr="004B7F17">
              <w:rPr>
                <w:rFonts w:ascii="Times New Roman" w:eastAsia="Times New Roman" w:hAnsi="Times New Roman" w:cs="Times New Roman"/>
                <w:sz w:val="24"/>
                <w:szCs w:val="24"/>
                <w:lang w:eastAsia="lv-LV"/>
              </w:rPr>
              <w:t xml:space="preserve">) un </w:t>
            </w:r>
            <w:r w:rsidRPr="004B7F17">
              <w:rPr>
                <w:rFonts w:ascii="Times New Roman" w:eastAsia="Times New Roman" w:hAnsi="Times New Roman" w:cs="Times New Roman"/>
                <w:i/>
                <w:iCs/>
                <w:sz w:val="24"/>
                <w:szCs w:val="24"/>
                <w:lang w:eastAsia="lv-LV"/>
              </w:rPr>
              <w:t>Panos Europe</w:t>
            </w:r>
            <w:r w:rsidRPr="004B7F17">
              <w:rPr>
                <w:rFonts w:ascii="Times New Roman" w:eastAsia="Times New Roman" w:hAnsi="Times New Roman" w:cs="Times New Roman"/>
                <w:sz w:val="24"/>
                <w:szCs w:val="24"/>
                <w:lang w:eastAsia="lv-LV"/>
              </w:rPr>
              <w:t xml:space="preserve"> bukletu “Medijiem draudzīgs glosārijs par migrāciju” [</w:t>
            </w:r>
            <w:r w:rsidRPr="004B7F17">
              <w:rPr>
                <w:rFonts w:ascii="Times New Roman" w:eastAsia="Times New Roman" w:hAnsi="Times New Roman" w:cs="Times New Roman"/>
                <w:i/>
                <w:iCs/>
                <w:sz w:val="24"/>
                <w:szCs w:val="24"/>
                <w:lang w:eastAsia="lv-LV"/>
              </w:rPr>
              <w:t>Media-Friendly Glossary on Migration</w:t>
            </w:r>
            <w:r w:rsidRPr="004B7F17">
              <w:rPr>
                <w:rFonts w:ascii="Times New Roman" w:eastAsia="Times New Roman" w:hAnsi="Times New Roman" w:cs="Times New Roman"/>
                <w:sz w:val="24"/>
                <w:szCs w:val="24"/>
                <w:lang w:eastAsia="lv-LV"/>
              </w:rPr>
              <w:t>] (2014).</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hAnsi="Times New Roman" w:cs="Times New Roman"/>
                <w:b/>
                <w:bCs/>
                <w:sz w:val="24"/>
                <w:szCs w:val="24"/>
              </w:rPr>
              <w:t>Aizsardzība</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Visas darbības, kuru mērķis ir panākt, ka tiek pilnībā ievērotas personas tiesības saskaņā ar attiecīgo tiesību aktu burtu un garu (t. i., saskaņā ar starptautiskajām cilvēktiesībām, starptautiskajām humanitārajām tiesībām, [un] starptautiskajām bēgļu tiesībām). Sk. Starpaģentūru pastāvīgās komitejas dokumentu “Aizsardzības politika humānās palīdzības darbībās” [</w:t>
            </w:r>
            <w:r w:rsidRPr="004B7F17">
              <w:rPr>
                <w:rFonts w:ascii="Times New Roman" w:eastAsia="Times New Roman" w:hAnsi="Times New Roman" w:cs="Times New Roman"/>
                <w:i/>
                <w:iCs/>
                <w:sz w:val="24"/>
                <w:szCs w:val="24"/>
                <w:lang w:eastAsia="lv-LV"/>
              </w:rPr>
              <w:t>Policy on Protection in Humanitarian Action</w:t>
            </w:r>
            <w:r w:rsidRPr="004B7F17">
              <w:rPr>
                <w:rFonts w:ascii="Times New Roman" w:eastAsia="Times New Roman" w:hAnsi="Times New Roman" w:cs="Times New Roman"/>
                <w:sz w:val="24"/>
                <w:szCs w:val="24"/>
                <w:lang w:eastAsia="lv-LV"/>
              </w:rPr>
              <w:t>] (2016). Kādu aizsargāt nozīmē atzīt, ka personai ir tiesības un ka iestādēm, kas īsteno varu attiecībā uz šo personu, ir pienākumi, kas ir saistības. Sk. arī “bērnu aizsardzība”.</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hAnsi="Times New Roman" w:cs="Times New Roman"/>
                <w:b/>
                <w:bCs/>
                <w:sz w:val="24"/>
                <w:szCs w:val="24"/>
              </w:rPr>
              <w:t>Atpakaļnosūtīšana</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 xml:space="preserve">Saistībā ar cilvēku tirdzniecību šis termins attiecas uz cilvēku tirdzniecības upuru atpakaļnosūtīšanu no valsts, kurā tie tika identificēti par cilvēku tirdzniecībā cietušajiem, uz savu izcelsmes valsti. Šis process var būt brīvprātīgs, piespiedu kārtā ar atbalsta sniegšanu un pat piespiedu kārtā bez atbalsta sniegšanas. Sk. </w:t>
            </w:r>
            <w:r w:rsidRPr="004B7F17">
              <w:rPr>
                <w:rFonts w:ascii="Times New Roman" w:eastAsia="Times New Roman" w:hAnsi="Times New Roman" w:cs="Times New Roman"/>
                <w:i/>
                <w:iCs/>
                <w:sz w:val="24"/>
                <w:szCs w:val="24"/>
                <w:lang w:eastAsia="lv-LV"/>
              </w:rPr>
              <w:t>ODIHR</w:t>
            </w:r>
            <w:r w:rsidRPr="004B7F17">
              <w:rPr>
                <w:rFonts w:ascii="Times New Roman" w:eastAsia="Times New Roman" w:hAnsi="Times New Roman" w:cs="Times New Roman"/>
                <w:sz w:val="24"/>
                <w:szCs w:val="24"/>
                <w:lang w:eastAsia="lv-LV"/>
              </w:rPr>
              <w:t>, Cilvēktiesību pamatprincipi attiecībā uz cilvēku tirdzniecības upuru atpakaļnosūtīšanu [</w:t>
            </w:r>
            <w:r w:rsidRPr="004B7F17">
              <w:rPr>
                <w:rFonts w:ascii="Times New Roman" w:eastAsia="Times New Roman" w:hAnsi="Times New Roman" w:cs="Times New Roman"/>
                <w:i/>
                <w:iCs/>
                <w:sz w:val="24"/>
                <w:szCs w:val="24"/>
                <w:lang w:eastAsia="lv-LV"/>
              </w:rPr>
              <w:t>ODIHR, Guiding Principles on Human Rights in the Return of Trafficked Persons</w:t>
            </w:r>
            <w:r w:rsidRPr="004B7F17">
              <w:rPr>
                <w:rFonts w:ascii="Times New Roman" w:eastAsia="Times New Roman" w:hAnsi="Times New Roman" w:cs="Times New Roman"/>
                <w:sz w:val="24"/>
                <w:szCs w:val="24"/>
                <w:lang w:eastAsia="lv-LV"/>
              </w:rPr>
              <w:t>] (2014).</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hAnsi="Times New Roman" w:cs="Times New Roman"/>
                <w:b/>
                <w:bCs/>
                <w:sz w:val="24"/>
                <w:szCs w:val="24"/>
              </w:rPr>
              <w:t>Bažas par bērnu drošību</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Pamatots iemesls aizdomām, ka bērnam tiek nodarīts vai varētu būt nodarīts nopietns kaitējums.</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eastAsia="Times New Roman" w:hAnsi="Times New Roman" w:cs="Times New Roman"/>
                <w:b/>
                <w:bCs/>
                <w:sz w:val="24"/>
                <w:szCs w:val="24"/>
                <w:lang w:eastAsia="lv-LV"/>
              </w:rPr>
              <w:t>Be</w:t>
            </w:r>
            <w:r w:rsidRPr="004B7F17">
              <w:rPr>
                <w:rFonts w:ascii="Times New Roman" w:hAnsi="Times New Roman" w:cs="Times New Roman"/>
                <w:b/>
                <w:bCs/>
                <w:sz w:val="24"/>
                <w:szCs w:val="24"/>
              </w:rPr>
              <w:t>z vecāku gādības palikuši bērni</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Bērni, par kuriem visu diennakti negādā vismaz viens no vecākiem vai likumīgais aizbildnis neatkarīgi no situācijas iemesla un apstākļiem. Bērnus, kas nav vecāku gādībā un atrodas ārpus savas pastāvīgās dzīvesvietas valsts vai ir ārkārtas situāciju upuri, parasti definē kā “nepavadītus bērnus” vai “nošķirtus bērnus”. Sk. ANO Pamatnostādnes par bērnu alternatīvo aprūpi (2010).</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hAnsi="Times New Roman" w:cs="Times New Roman"/>
                <w:b/>
                <w:bCs/>
                <w:sz w:val="24"/>
                <w:szCs w:val="24"/>
              </w:rPr>
              <w:t>Bēglis</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 xml:space="preserve">Persona ārpus savas izcelsmes valsts, kas nevar atgriezties šajā valstī, jo tai ir pamatotas bailes par vajāšanu, vai arī tā nespēj vai nevēlas atgriezties, ņemot vērā nopietnu un neselektīvu dzīvības, fiziskās neaizskaramības vai brīvības apdraudējumu, ko rada vispārēja vardarbība vai notikumi, kas būtiski traucē sabiedrisko kārtību. Termina “bēglis” definīcija ir sniegta ANO Konvencijas </w:t>
            </w:r>
            <w:r w:rsidRPr="004B7F17">
              <w:rPr>
                <w:rFonts w:ascii="Times New Roman" w:eastAsia="Times New Roman" w:hAnsi="Times New Roman" w:cs="Times New Roman"/>
                <w:sz w:val="24"/>
                <w:szCs w:val="24"/>
                <w:lang w:eastAsia="lv-LV"/>
              </w:rPr>
              <w:lastRenderedPageBreak/>
              <w:t>par bēgļa statusu (1951) 1. panta A iedaļas 2) punktā.</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hAnsi="Times New Roman" w:cs="Times New Roman"/>
                <w:b/>
                <w:bCs/>
                <w:sz w:val="24"/>
                <w:szCs w:val="24"/>
              </w:rPr>
              <w:lastRenderedPageBreak/>
              <w:t>Bērns</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Ikviena persona līdz 18 gadu vecumam (Apvienoto Nāciju Bērnu tiesību konvencija, 1989). Vārds “bērns” tādējādi attiecināms uz zēniem, meitenēm, pusaudžiem un jauniešiem līdz 18 gadu vecumam.</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hAnsi="Times New Roman" w:cs="Times New Roman"/>
                <w:b/>
                <w:bCs/>
                <w:sz w:val="24"/>
                <w:szCs w:val="24"/>
              </w:rPr>
              <w:t>Bērnu aizsardzība</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To bērnu aizsardzība, kas cieš no vardarbības, ekspluatācijas vai nevērības jebkādā izpausmē vai ir pakļauti šādam riskam. ANO Bērnu tiesību konvencijā ir noteikts, ka valstīm (valdībām) ir jāveic pasākumi, lai ikvienu bērnu aizsargātu “pret fizisku vai psiholoģisku vardarbību, miesas bojājumiem vai nežēlīgu, nevērīgu vai nolaidīgu izturēšanos, sliktu izturēšanos vai ekspluatāciju, tostarp pret seksuālu vardarbību, kamēr viņš ir vecāku, aizbildņu vai jebkuras citas par bērnu atbildīgas personas aprūpē” (19. pants).</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hAnsi="Times New Roman" w:cs="Times New Roman"/>
                <w:b/>
                <w:bCs/>
                <w:sz w:val="24"/>
                <w:szCs w:val="24"/>
              </w:rPr>
              <w:t>Bērnu aizsardzības sistēma</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 xml:space="preserve">Bērnu aizsardzības sistēmas ir tiesību aktu, politisko nostādņu, noteikumu un pakalpojumu kopums, kas nepieciešams visās sociālās aizsardzības nozarēs, jo īpaši sociālās labklājības, izglītības, veselības, aizsardzības un tiesu nozarē, lai novērstu ar aizsardzību saistītos riskus un reaģētu uz tiem. Šīs sistēmas ir sociālās aizsardzības daļa un iziet arī ārpus tās ietvariem. Novēršanas līmenī to mērķis ir atbalstīt un stiprināt ģimenes, lai mazinātu sociālo atstumtību un nošķiršanas, vardarbības un ekspluatācijas riskus. Pienākumi bieži vien ir sadalīti starp valdības iestādēm, un pakalpojumus sniedz vietējās pašvaldības iestādes, nevalstiskie pakalpojumu sniedzēji un kopienas grupas, savstarpēji koordinējot nozares un līmeņus, tostarp parastās nosūtīšanas sistēmas, kas ir bērnu efektīvu aizsardzības sistēmu nepieciešams komponents. Sk. </w:t>
            </w:r>
            <w:r w:rsidRPr="004B7F17">
              <w:rPr>
                <w:rFonts w:ascii="Times New Roman" w:eastAsia="Times New Roman" w:hAnsi="Times New Roman" w:cs="Times New Roman"/>
                <w:i/>
                <w:iCs/>
                <w:sz w:val="24"/>
                <w:szCs w:val="24"/>
                <w:lang w:eastAsia="lv-LV"/>
              </w:rPr>
              <w:t>UNICEF</w:t>
            </w:r>
            <w:r w:rsidRPr="004B7F17">
              <w:rPr>
                <w:rFonts w:ascii="Times New Roman" w:eastAsia="Times New Roman" w:hAnsi="Times New Roman" w:cs="Times New Roman"/>
                <w:sz w:val="24"/>
                <w:szCs w:val="24"/>
                <w:lang w:eastAsia="lv-LV"/>
              </w:rPr>
              <w:t xml:space="preserve"> Bērnu aizsardzības stratēģiju [</w:t>
            </w:r>
            <w:r w:rsidRPr="004B7F17">
              <w:rPr>
                <w:rFonts w:ascii="Times New Roman" w:eastAsia="Times New Roman" w:hAnsi="Times New Roman" w:cs="Times New Roman"/>
                <w:i/>
                <w:iCs/>
                <w:sz w:val="24"/>
                <w:szCs w:val="24"/>
                <w:lang w:eastAsia="lv-LV"/>
              </w:rPr>
              <w:t>UNICEF, Child Protection Strategy</w:t>
            </w:r>
            <w:r w:rsidRPr="004B7F17">
              <w:rPr>
                <w:rFonts w:ascii="Times New Roman" w:eastAsia="Times New Roman" w:hAnsi="Times New Roman" w:cs="Times New Roman"/>
                <w:sz w:val="24"/>
                <w:szCs w:val="24"/>
                <w:lang w:eastAsia="lv-LV"/>
              </w:rPr>
              <w:t>], ANO dok. E/ICEF/2008/5/Rev. 1 (2008. gada 20. maijs).</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hAnsi="Times New Roman" w:cs="Times New Roman"/>
                <w:b/>
                <w:bCs/>
                <w:sz w:val="24"/>
                <w:szCs w:val="24"/>
              </w:rPr>
              <w:t>Cilvēku tirdzniecība</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ANO Protokolā cilvēku, īpaši sieviešu un bērnu, tirdzniecības novēršanai, apspiešanai un sodīšanai, kas pievienots Apvienoto Nāciju Organizācijas Konvencijai pret transnacionālo organizēto noziedzību (2000) (ko sauc arī par “Palermo protokolu”), 3. pantā ir noteikts: “Šajā protokolā:</w:t>
            </w:r>
          </w:p>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p>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 xml:space="preserve">a) “cilvēku tirdzniecība” nozīmē ekspluatācijas nolūkos izdarītu cilvēku savervēšanu, pārvadāšanu, nodošanu, slēpšanu vai saņemšanu, izmantojot spēka pielietošanas draudus vai pielietošanu, vai arī citas piespiešanas, aizvešanas ar varu, krāpšanas, maldināšanas vai viltus formas, izmantojot varas pozīcijas vai arī cilvēku neaizsargātību, vai arī dodot vai saņemot maksājumus vai labumus, lai panāktu kādas tādas personas piekrišanu, kurai ir vara pār citu personu. Ekspluatācija kā minimums ietver citu personu prostitūciju vai citas seksuālās </w:t>
            </w:r>
            <w:r w:rsidRPr="004B7F17">
              <w:rPr>
                <w:rFonts w:ascii="Times New Roman" w:eastAsia="Times New Roman" w:hAnsi="Times New Roman" w:cs="Times New Roman"/>
                <w:sz w:val="24"/>
                <w:szCs w:val="24"/>
                <w:lang w:eastAsia="lv-LV"/>
              </w:rPr>
              <w:lastRenderedPageBreak/>
              <w:t>ekspluatācijas formas, piespiedu darbu vai pakalpojumus, verdzību vai verdzībai līdzīgas formas, kalpību vai orgānu izņemšanu;</w:t>
            </w:r>
          </w:p>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p>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b) cilvēku tirdzniecības upuru piekrišana paredzētajai ekspluatācijai, kas minēta šī panta a) apakšpunktā, netiek ņemta vērā, ja ir ticis pielietots jebkurš no a) apakšpunktā minētajiem līdzekļiem;</w:t>
            </w:r>
          </w:p>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p>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c) bērna vervēšana, pārvadāšana, nodošana, slēpšana vai saņemšana ekspluatācijas nolūkos tiek uzskatīta par “cilvēku tirdzniecību” arī tad, ja tā nav saistīta ar jebkuru šī panta a) apakšpunktā minēto līdzekļu izmantošanu;</w:t>
            </w:r>
          </w:p>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p>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d) “bērns” ir jebkura persona, kas jaunāka par astoņpadsmit gadiem.”</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eastAsia="Times New Roman" w:hAnsi="Times New Roman" w:cs="Times New Roman"/>
                <w:b/>
                <w:bCs/>
                <w:sz w:val="24"/>
                <w:szCs w:val="24"/>
                <w:lang w:eastAsia="lv-LV"/>
              </w:rPr>
              <w:lastRenderedPageBreak/>
              <w:t>Cilvēku t</w:t>
            </w:r>
            <w:r w:rsidRPr="004B7F17">
              <w:rPr>
                <w:rFonts w:ascii="Times New Roman" w:hAnsi="Times New Roman" w:cs="Times New Roman"/>
                <w:b/>
                <w:bCs/>
                <w:sz w:val="24"/>
                <w:szCs w:val="24"/>
              </w:rPr>
              <w:t>irdzniecības iespējamais upuris</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 xml:space="preserve">Persona, attiecībā uz kuru ir pamatots iemesls uzskatīt, ka viņš vai viņa, visticamāk, ir cilvēku tirdzniecības upuris, taču iestādes oficiāli (vēl) nav identificējušas šo faktu vai arī pati persona ir noliegusi, ka tiek oficiāli identificēta par cilvēku tirdzniecības upuri. Tā kā cilvēku tirdzniecības upuri bieži vien izvairās identificēt sevi kā cietušos un oficiālā identifikācija aizņem laiku, terminu “cilvēku tirdzniecības iespējamais upuris” izmanto, lai raksturotu personas, kuras, visticamāk, ir cilvēku tirdzniecības upuri un uz kurām tāpēc jāattiecina cilvēku tirdzniecības novēršanas programmu un pakalpojumu vispārējais tvērums. Sk. </w:t>
            </w:r>
            <w:r w:rsidRPr="004B7F17">
              <w:rPr>
                <w:rFonts w:ascii="Times New Roman" w:eastAsia="Times New Roman" w:hAnsi="Times New Roman" w:cs="Times New Roman"/>
                <w:i/>
                <w:iCs/>
                <w:sz w:val="24"/>
                <w:szCs w:val="24"/>
                <w:lang w:eastAsia="lv-LV"/>
              </w:rPr>
              <w:t>ODIHR</w:t>
            </w:r>
            <w:r w:rsidRPr="004B7F17">
              <w:rPr>
                <w:rFonts w:ascii="Times New Roman" w:eastAsia="Times New Roman" w:hAnsi="Times New Roman" w:cs="Times New Roman"/>
                <w:sz w:val="24"/>
                <w:szCs w:val="24"/>
                <w:lang w:eastAsia="lv-LV"/>
              </w:rPr>
              <w:t>, Rokasgrāmata par nacionālo mehānismu cietušo nosūtīšanai [</w:t>
            </w:r>
            <w:r w:rsidRPr="004B7F17">
              <w:rPr>
                <w:rFonts w:ascii="Times New Roman" w:eastAsia="Times New Roman" w:hAnsi="Times New Roman" w:cs="Times New Roman"/>
                <w:i/>
                <w:iCs/>
                <w:sz w:val="24"/>
                <w:szCs w:val="24"/>
                <w:lang w:eastAsia="lv-LV"/>
              </w:rPr>
              <w:t>ODIHR, National Referral Mechanisms Handbook</w:t>
            </w:r>
            <w:r w:rsidRPr="004B7F17">
              <w:rPr>
                <w:rFonts w:ascii="Times New Roman" w:eastAsia="Times New Roman" w:hAnsi="Times New Roman" w:cs="Times New Roman"/>
                <w:sz w:val="24"/>
                <w:szCs w:val="24"/>
                <w:lang w:eastAsia="lv-LV"/>
              </w:rPr>
              <w:t>] (2004).</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hAnsi="Times New Roman" w:cs="Times New Roman"/>
                <w:b/>
                <w:bCs/>
                <w:sz w:val="24"/>
                <w:szCs w:val="24"/>
              </w:rPr>
              <w:t>Iekšējā cilvēku tirdzniecība</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Kad visi cilvēku tirdzniecības posmi (tostarp, iespējams, ekspluatācija) notiek vienā valstī.</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eastAsia="Times New Roman" w:hAnsi="Times New Roman" w:cs="Times New Roman"/>
                <w:b/>
                <w:bCs/>
                <w:sz w:val="24"/>
                <w:szCs w:val="24"/>
                <w:lang w:eastAsia="lv-LV"/>
              </w:rPr>
              <w:t>Izraidīšana</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 xml:space="preserve">Bēgļa izraidīšana vai atpakaļnosūtīšana uz tādas teritorijas robežu, kur tā dzīvība vai brīvība varētu būt apdraudēta viņa rases, reliģijas, tautības, piederības kādai konkrētai sociālai grupai vai politisko uzskatu dēļ. Saskaņā ar neizraidīšanas principu (sākotnēji starptautiskajās bēgļu tiesībās izmantots jēdziens) valstis nedrīkst izraidīt vai atpakaļnosūtīt ([no franču val.] “refouler”) bēgļus, kuriem ir pamatotas bailes, ka tie pēc atgriešanās tiks vajāti. Šis princips ir starptautisko paražu tiesību daļa un tiek uzskatīts par saistošu visām valstīm neatkarīgi no tā, vai tās ir vai nav ANO Konvencijas par bēgļu statusu (1951) dalībvalstis. Sk. </w:t>
            </w:r>
            <w:r w:rsidRPr="004B7F17">
              <w:rPr>
                <w:rFonts w:ascii="Times New Roman" w:eastAsia="Times New Roman" w:hAnsi="Times New Roman" w:cs="Times New Roman"/>
                <w:i/>
                <w:iCs/>
                <w:sz w:val="24"/>
                <w:szCs w:val="24"/>
                <w:lang w:eastAsia="lv-LV"/>
              </w:rPr>
              <w:t>UNHCR</w:t>
            </w:r>
            <w:r w:rsidRPr="004B7F17">
              <w:rPr>
                <w:rFonts w:ascii="Times New Roman" w:eastAsia="Times New Roman" w:hAnsi="Times New Roman" w:cs="Times New Roman"/>
                <w:sz w:val="24"/>
                <w:szCs w:val="24"/>
                <w:lang w:eastAsia="lv-LV"/>
              </w:rPr>
              <w:t>, Neizraidīšanas princips kā starptautisko paražu tiesību norma [</w:t>
            </w:r>
            <w:r w:rsidRPr="004B7F17">
              <w:rPr>
                <w:rFonts w:ascii="Times New Roman" w:eastAsia="Times New Roman" w:hAnsi="Times New Roman" w:cs="Times New Roman"/>
                <w:i/>
                <w:iCs/>
                <w:sz w:val="24"/>
                <w:szCs w:val="24"/>
                <w:lang w:eastAsia="lv-LV"/>
              </w:rPr>
              <w:t>UNHCR</w:t>
            </w:r>
            <w:r w:rsidRPr="004B7F17">
              <w:rPr>
                <w:rFonts w:ascii="Times New Roman" w:eastAsia="Times New Roman" w:hAnsi="Times New Roman" w:cs="Times New Roman"/>
                <w:sz w:val="24"/>
                <w:szCs w:val="24"/>
                <w:lang w:eastAsia="lv-LV"/>
              </w:rPr>
              <w:t xml:space="preserve">, </w:t>
            </w:r>
            <w:r w:rsidRPr="004B7F17">
              <w:rPr>
                <w:rFonts w:ascii="Times New Roman" w:eastAsia="Times New Roman" w:hAnsi="Times New Roman" w:cs="Times New Roman"/>
                <w:i/>
                <w:iCs/>
                <w:sz w:val="24"/>
                <w:szCs w:val="24"/>
                <w:lang w:eastAsia="lv-LV"/>
              </w:rPr>
              <w:t>The Principle of Non-Refoulement as a Norm of Customary International Law</w:t>
            </w:r>
            <w:r w:rsidRPr="004B7F17">
              <w:rPr>
                <w:rFonts w:ascii="Times New Roman" w:eastAsia="Times New Roman" w:hAnsi="Times New Roman" w:cs="Times New Roman"/>
                <w:sz w:val="24"/>
                <w:szCs w:val="24"/>
                <w:lang w:eastAsia="lv-LV"/>
              </w:rPr>
              <w:t xml:space="preserve">]. Atbilde uz jautājumiem, ko Vācijas Federatīvās Republikas Federālā konstitucionālā tiesa uzdeva </w:t>
            </w:r>
            <w:r w:rsidRPr="004B7F17">
              <w:rPr>
                <w:rFonts w:ascii="Times New Roman" w:eastAsia="Times New Roman" w:hAnsi="Times New Roman" w:cs="Times New Roman"/>
                <w:i/>
                <w:iCs/>
                <w:sz w:val="24"/>
                <w:szCs w:val="24"/>
                <w:lang w:eastAsia="lv-LV"/>
              </w:rPr>
              <w:t>UNHCR</w:t>
            </w:r>
            <w:r w:rsidRPr="004B7F17">
              <w:rPr>
                <w:rFonts w:ascii="Times New Roman" w:eastAsia="Times New Roman" w:hAnsi="Times New Roman" w:cs="Times New Roman"/>
                <w:sz w:val="24"/>
                <w:szCs w:val="24"/>
                <w:lang w:eastAsia="lv-LV"/>
              </w:rPr>
              <w:t xml:space="preserve"> lietās 2 BvR 1938/93, 2 BvR 1953/93, 2 BvR 1954/93, 1994. gada 31. </w:t>
            </w:r>
            <w:r w:rsidRPr="004B7F17">
              <w:rPr>
                <w:rFonts w:ascii="Times New Roman" w:eastAsia="Times New Roman" w:hAnsi="Times New Roman" w:cs="Times New Roman"/>
                <w:sz w:val="24"/>
                <w:szCs w:val="24"/>
                <w:lang w:eastAsia="lv-LV"/>
              </w:rPr>
              <w:lastRenderedPageBreak/>
              <w:t>janvāris.</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hAnsi="Times New Roman" w:cs="Times New Roman"/>
                <w:b/>
                <w:bCs/>
                <w:sz w:val="24"/>
                <w:szCs w:val="24"/>
              </w:rPr>
              <w:lastRenderedPageBreak/>
              <w:t>Jaunatne</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Attiecas uz 15, 16 un 17 gadus veciem bērniem, kā arī uz jauniešiem, kas ir vecumā no 18 līdz 24 gadiem.</w:t>
            </w:r>
          </w:p>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 xml:space="preserve">Sk. terminu “jaunietis”, kā arī </w:t>
            </w:r>
            <w:r w:rsidRPr="004B7F17">
              <w:rPr>
                <w:rFonts w:ascii="Times New Roman" w:eastAsia="Times New Roman" w:hAnsi="Times New Roman" w:cs="Times New Roman"/>
                <w:i/>
                <w:iCs/>
                <w:sz w:val="24"/>
                <w:szCs w:val="24"/>
                <w:lang w:eastAsia="lv-LV"/>
              </w:rPr>
              <w:t>UNESCO</w:t>
            </w:r>
            <w:r w:rsidRPr="004B7F17">
              <w:rPr>
                <w:rFonts w:ascii="Times New Roman" w:eastAsia="Times New Roman" w:hAnsi="Times New Roman" w:cs="Times New Roman"/>
                <w:sz w:val="24"/>
                <w:szCs w:val="24"/>
                <w:lang w:eastAsia="lv-LV"/>
              </w:rPr>
              <w:t xml:space="preserve"> materiālu “</w:t>
            </w:r>
            <w:r w:rsidRPr="004B7F17">
              <w:rPr>
                <w:rFonts w:ascii="Times New Roman" w:eastAsia="Times New Roman" w:hAnsi="Times New Roman" w:cs="Times New Roman"/>
                <w:i/>
                <w:iCs/>
                <w:sz w:val="24"/>
                <w:szCs w:val="24"/>
                <w:lang w:eastAsia="lv-LV"/>
              </w:rPr>
              <w:t>What do we mean by “youth”?</w:t>
            </w:r>
            <w:r w:rsidRPr="004B7F17">
              <w:rPr>
                <w:rFonts w:ascii="Times New Roman" w:eastAsia="Times New Roman" w:hAnsi="Times New Roman" w:cs="Times New Roman"/>
                <w:sz w:val="24"/>
                <w:szCs w:val="24"/>
                <w:lang w:eastAsia="lv-LV"/>
              </w:rPr>
              <w:t>” tīmekļa vietnē http://www.unesco.org/new/en/social-and-human-sciences/themes/youth/youth-definition/</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hAnsi="Times New Roman" w:cs="Times New Roman"/>
                <w:b/>
                <w:bCs/>
                <w:sz w:val="24"/>
                <w:szCs w:val="24"/>
              </w:rPr>
              <w:t>Jaunietis</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Attiecas gan uz bērniem (kas jaunāki par 18 gadiem), gan jauniešiem, kas ir vecumā no 18 līdz 24 gadiem.</w:t>
            </w:r>
          </w:p>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 xml:space="preserve">Sk. </w:t>
            </w:r>
            <w:r w:rsidRPr="004B7F17">
              <w:rPr>
                <w:rFonts w:ascii="Times New Roman" w:eastAsia="Times New Roman" w:hAnsi="Times New Roman" w:cs="Times New Roman"/>
                <w:i/>
                <w:iCs/>
                <w:sz w:val="24"/>
                <w:szCs w:val="24"/>
                <w:lang w:eastAsia="lv-LV"/>
              </w:rPr>
              <w:t>UNICEF</w:t>
            </w:r>
            <w:r w:rsidRPr="004B7F17">
              <w:rPr>
                <w:rFonts w:ascii="Times New Roman" w:eastAsia="Times New Roman" w:hAnsi="Times New Roman" w:cs="Times New Roman"/>
                <w:sz w:val="24"/>
                <w:szCs w:val="24"/>
                <w:lang w:eastAsia="lv-LV"/>
              </w:rPr>
              <w:t xml:space="preserve"> Rokasgrāmatu par bērnu – cilvēku tirdzniecības upuru – tiesību aizsardzību Eiropā [</w:t>
            </w:r>
            <w:r w:rsidRPr="004B7F17">
              <w:rPr>
                <w:rFonts w:ascii="Times New Roman" w:eastAsia="Times New Roman" w:hAnsi="Times New Roman" w:cs="Times New Roman"/>
                <w:i/>
                <w:iCs/>
                <w:sz w:val="24"/>
                <w:szCs w:val="24"/>
                <w:lang w:eastAsia="lv-LV"/>
              </w:rPr>
              <w:t>UNICEF Reference Guide on Protecting the Rights of Child Victims of Trafficking in Europe</w:t>
            </w:r>
            <w:r w:rsidRPr="004B7F17">
              <w:rPr>
                <w:rFonts w:ascii="Times New Roman" w:eastAsia="Times New Roman" w:hAnsi="Times New Roman" w:cs="Times New Roman"/>
                <w:sz w:val="24"/>
                <w:szCs w:val="24"/>
                <w:lang w:eastAsia="lv-LV"/>
              </w:rPr>
              <w:t>] (2006).</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hAnsi="Times New Roman" w:cs="Times New Roman"/>
                <w:b/>
                <w:bCs/>
                <w:sz w:val="24"/>
                <w:szCs w:val="24"/>
              </w:rPr>
              <w:t>Lietu pārvaldība</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Pārvaldības sistēma palīdzības sniegšanai fiziskām personām (piemēram, bērniem, kas ir cilvēku tirdzniecības upuri), ar kuras starpniecību tām (bērniem vai pieaugušajiem) tiek sistemātiski sakārtota šādas palīdzības sniegšana no tās sākuma līdz beigām, tostarp attiecīgās fiziskās personas uzraudzība. “Lietu pārvaldība” ir vispārējs termins, kam nav vienotas definīcijas. Amerikas Lietu pārvaldības savienība [</w:t>
            </w:r>
            <w:r w:rsidRPr="004B7F17">
              <w:rPr>
                <w:rFonts w:ascii="Times New Roman" w:eastAsia="Times New Roman" w:hAnsi="Times New Roman" w:cs="Times New Roman"/>
                <w:i/>
                <w:iCs/>
                <w:sz w:val="24"/>
                <w:szCs w:val="24"/>
                <w:lang w:eastAsia="lv-LV"/>
              </w:rPr>
              <w:t>Case Management Society of America</w:t>
            </w:r>
            <w:r w:rsidRPr="004B7F17">
              <w:rPr>
                <w:rFonts w:ascii="Times New Roman" w:eastAsia="Times New Roman" w:hAnsi="Times New Roman" w:cs="Times New Roman"/>
                <w:sz w:val="24"/>
                <w:szCs w:val="24"/>
                <w:lang w:eastAsia="lv-LV"/>
              </w:rPr>
              <w:t xml:space="preserve"> (</w:t>
            </w:r>
            <w:r w:rsidRPr="004B7F17">
              <w:rPr>
                <w:rFonts w:ascii="Times New Roman" w:eastAsia="Times New Roman" w:hAnsi="Times New Roman" w:cs="Times New Roman"/>
                <w:i/>
                <w:iCs/>
                <w:sz w:val="24"/>
                <w:szCs w:val="24"/>
                <w:lang w:eastAsia="lv-LV"/>
              </w:rPr>
              <w:t>CMSA</w:t>
            </w:r>
            <w:r w:rsidRPr="004B7F17">
              <w:rPr>
                <w:rFonts w:ascii="Times New Roman" w:eastAsia="Times New Roman" w:hAnsi="Times New Roman" w:cs="Times New Roman"/>
                <w:sz w:val="24"/>
                <w:szCs w:val="24"/>
                <w:lang w:eastAsia="lv-LV"/>
              </w:rPr>
              <w:t>)] šo terminu definē šādi: “Vērtēšanas, plānošanas, veicināšanas, aprūpes koordinēšanas, novērtēšanas un konsultāciju par iespējām un pakalpojumiem sniegšanas process, ko īsteno līdzdarbīgā veidā, lai visaptveroši apmierinātu personas un ģimenes ar veselību saistītās vajadzības, izmantojot saziņu un pieejamos resursus kvalitatīva, izmaksu ziņā lietderīga rezultāta veicināšanai” (</w:t>
            </w:r>
            <w:r w:rsidRPr="004B7F17">
              <w:rPr>
                <w:rFonts w:ascii="Times New Roman" w:eastAsia="Times New Roman" w:hAnsi="Times New Roman" w:cs="Times New Roman"/>
                <w:i/>
                <w:iCs/>
                <w:sz w:val="24"/>
                <w:szCs w:val="24"/>
                <w:lang w:eastAsia="lv-LV"/>
              </w:rPr>
              <w:t>CMSA</w:t>
            </w:r>
            <w:r w:rsidRPr="004B7F17">
              <w:rPr>
                <w:rFonts w:ascii="Times New Roman" w:eastAsia="Times New Roman" w:hAnsi="Times New Roman" w:cs="Times New Roman"/>
                <w:sz w:val="24"/>
                <w:szCs w:val="24"/>
                <w:lang w:eastAsia="lv-LV"/>
              </w:rPr>
              <w:t xml:space="preserve"> tīmekļa vietne). Sk. </w:t>
            </w:r>
            <w:r w:rsidRPr="004B7F17">
              <w:rPr>
                <w:rFonts w:ascii="Times New Roman" w:eastAsia="Times New Roman" w:hAnsi="Times New Roman" w:cs="Times New Roman"/>
                <w:i/>
                <w:iCs/>
                <w:sz w:val="24"/>
                <w:szCs w:val="24"/>
                <w:lang w:eastAsia="lv-LV"/>
              </w:rPr>
              <w:t>Ross et al., Case management</w:t>
            </w:r>
            <w:r w:rsidRPr="004B7F17">
              <w:rPr>
                <w:rFonts w:ascii="Times New Roman" w:eastAsia="Times New Roman" w:hAnsi="Times New Roman" w:cs="Times New Roman"/>
                <w:sz w:val="24"/>
                <w:szCs w:val="24"/>
                <w:lang w:eastAsia="lv-LV"/>
              </w:rPr>
              <w:t>. </w:t>
            </w:r>
            <w:r w:rsidRPr="004B7F17">
              <w:rPr>
                <w:rFonts w:ascii="Times New Roman" w:eastAsia="Times New Roman" w:hAnsi="Times New Roman" w:cs="Times New Roman"/>
                <w:i/>
                <w:iCs/>
                <w:sz w:val="24"/>
                <w:szCs w:val="24"/>
                <w:lang w:eastAsia="lv-LV"/>
              </w:rPr>
              <w:t>What it is and how it can best be implemented, King’s Fund</w:t>
            </w:r>
            <w:r w:rsidRPr="004B7F17">
              <w:rPr>
                <w:rFonts w:ascii="Times New Roman" w:eastAsia="Times New Roman" w:hAnsi="Times New Roman" w:cs="Times New Roman"/>
                <w:sz w:val="24"/>
                <w:szCs w:val="24"/>
                <w:lang w:eastAsia="lv-LV"/>
              </w:rPr>
              <w:t xml:space="preserve"> (2011). Lai pārvaldītu lietu un nodotu cietušo dažādiem dienestiem, kas viņam varētu būt nepieciešami vai kuru palīdzību viņš ir tiesīgs saņemt, vispirms izvērtē cietušā vajadzības.</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hAnsi="Times New Roman" w:cs="Times New Roman"/>
                <w:b/>
                <w:bCs/>
                <w:noProof/>
                <w:sz w:val="24"/>
                <w:szCs w:val="24"/>
                <w:lang w:val="en-US"/>
              </w:rPr>
              <w:t>N</w:t>
            </w:r>
            <w:r w:rsidRPr="004B7F17">
              <w:rPr>
                <w:rFonts w:ascii="Times New Roman" w:hAnsi="Times New Roman" w:cs="Times New Roman"/>
                <w:b/>
                <w:bCs/>
                <w:sz w:val="24"/>
                <w:szCs w:val="24"/>
              </w:rPr>
              <w:t xml:space="preserve"> </w:t>
            </w:r>
            <w:r w:rsidRPr="004B7F17">
              <w:rPr>
                <w:rFonts w:ascii="Times New Roman" w:eastAsia="Times New Roman" w:hAnsi="Times New Roman" w:cs="Times New Roman"/>
                <w:b/>
                <w:bCs/>
                <w:sz w:val="24"/>
                <w:szCs w:val="24"/>
                <w:lang w:eastAsia="lv-LV"/>
              </w:rPr>
              <w:t>Nacionālais mehānisms cietušo nosūtīšanai (</w:t>
            </w:r>
            <w:r w:rsidRPr="004B7F17">
              <w:rPr>
                <w:rFonts w:ascii="Times New Roman" w:eastAsia="Times New Roman" w:hAnsi="Times New Roman" w:cs="Times New Roman"/>
                <w:b/>
                <w:bCs/>
                <w:i/>
                <w:iCs/>
                <w:sz w:val="24"/>
                <w:szCs w:val="24"/>
                <w:lang w:eastAsia="lv-LV"/>
              </w:rPr>
              <w:t>NRM</w:t>
            </w:r>
            <w:r w:rsidRPr="004B7F17">
              <w:rPr>
                <w:rFonts w:ascii="Times New Roman" w:hAnsi="Times New Roman" w:cs="Times New Roman"/>
                <w:b/>
                <w:bCs/>
                <w:sz w:val="24"/>
                <w:szCs w:val="24"/>
              </w:rPr>
              <w:t>)</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Nacionālais mehānisms cietušo nosūtīšanai (</w:t>
            </w:r>
            <w:r w:rsidRPr="004B7F17">
              <w:rPr>
                <w:rFonts w:ascii="Times New Roman" w:eastAsia="Times New Roman" w:hAnsi="Times New Roman" w:cs="Times New Roman"/>
                <w:i/>
                <w:iCs/>
                <w:sz w:val="24"/>
                <w:szCs w:val="24"/>
                <w:lang w:eastAsia="lv-LV"/>
              </w:rPr>
              <w:t>NRM</w:t>
            </w:r>
            <w:r w:rsidRPr="004B7F17">
              <w:rPr>
                <w:rFonts w:ascii="Times New Roman" w:eastAsia="Times New Roman" w:hAnsi="Times New Roman" w:cs="Times New Roman"/>
                <w:sz w:val="24"/>
                <w:szCs w:val="24"/>
                <w:lang w:eastAsia="lv-LV"/>
              </w:rPr>
              <w:t>) ir sadarbības kopums, ar kura starpniecību valsts rīcībspēki izpilda savas saistības aizsargāt un veicināt cilvēku tirdzniecības upuru cilvēktiesības, koordinējot savus centienus stratēģiskās partnerattiecībās ar pilsonisko sabiedrību. </w:t>
            </w:r>
            <w:r w:rsidRPr="004B7F17">
              <w:rPr>
                <w:rFonts w:ascii="Times New Roman" w:eastAsia="Times New Roman" w:hAnsi="Times New Roman" w:cs="Times New Roman"/>
                <w:i/>
                <w:iCs/>
                <w:sz w:val="24"/>
                <w:szCs w:val="24"/>
                <w:lang w:eastAsia="lv-LV"/>
              </w:rPr>
              <w:t>NRM</w:t>
            </w:r>
            <w:r w:rsidRPr="004B7F17">
              <w:rPr>
                <w:rFonts w:ascii="Times New Roman" w:eastAsia="Times New Roman" w:hAnsi="Times New Roman" w:cs="Times New Roman"/>
                <w:sz w:val="24"/>
                <w:szCs w:val="24"/>
                <w:lang w:eastAsia="lv-LV"/>
              </w:rPr>
              <w:t xml:space="preserve"> pamatmērķi ir nodrošināt, ka tiek ievērotas cilvēku tirdzniecības upuru cilvēktiesības, un nodrošināt efektīvu veidu, kā nodot cilvēku tirdzniecības upurus dienestiem. Sk. </w:t>
            </w:r>
            <w:r w:rsidRPr="004B7F17">
              <w:rPr>
                <w:rFonts w:ascii="Times New Roman" w:eastAsia="Times New Roman" w:hAnsi="Times New Roman" w:cs="Times New Roman"/>
                <w:i/>
                <w:iCs/>
                <w:sz w:val="24"/>
                <w:szCs w:val="24"/>
                <w:lang w:eastAsia="lv-LV"/>
              </w:rPr>
              <w:t>ODIHR</w:t>
            </w:r>
            <w:r w:rsidRPr="004B7F17">
              <w:rPr>
                <w:rFonts w:ascii="Times New Roman" w:eastAsia="Times New Roman" w:hAnsi="Times New Roman" w:cs="Times New Roman"/>
                <w:sz w:val="24"/>
                <w:szCs w:val="24"/>
                <w:lang w:eastAsia="lv-LV"/>
              </w:rPr>
              <w:t>, Rokasgrāmata par nacionālo mehānismu cietušo nosūtīšanai [</w:t>
            </w:r>
            <w:r w:rsidRPr="004B7F17">
              <w:rPr>
                <w:rFonts w:ascii="Times New Roman" w:eastAsia="Times New Roman" w:hAnsi="Times New Roman" w:cs="Times New Roman"/>
                <w:i/>
                <w:iCs/>
                <w:sz w:val="24"/>
                <w:szCs w:val="24"/>
                <w:lang w:eastAsia="lv-LV"/>
              </w:rPr>
              <w:t>ODIHR, National Referral Mechanisms Handbook</w:t>
            </w:r>
            <w:r w:rsidRPr="004B7F17">
              <w:rPr>
                <w:rFonts w:ascii="Times New Roman" w:eastAsia="Times New Roman" w:hAnsi="Times New Roman" w:cs="Times New Roman"/>
                <w:sz w:val="24"/>
                <w:szCs w:val="24"/>
                <w:lang w:eastAsia="lv-LV"/>
              </w:rPr>
              <w:t>] (2004).</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hAnsi="Times New Roman" w:cs="Times New Roman"/>
                <w:b/>
                <w:bCs/>
                <w:sz w:val="24"/>
                <w:szCs w:val="24"/>
              </w:rPr>
              <w:t>Nepavadīts bērns</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 xml:space="preserve">Nepavadīti bērni (dažkārt dēvēti arī par “nepavadītiem nepilngadīgajiem”) ir bērni bez vecāku gādības, kas atrodas ārpus </w:t>
            </w:r>
            <w:r w:rsidRPr="004B7F17">
              <w:rPr>
                <w:rFonts w:ascii="Times New Roman" w:eastAsia="Times New Roman" w:hAnsi="Times New Roman" w:cs="Times New Roman"/>
                <w:sz w:val="24"/>
                <w:szCs w:val="24"/>
                <w:lang w:eastAsia="lv-LV"/>
              </w:rPr>
              <w:lastRenderedPageBreak/>
              <w:t>savas pastāvīgās mītnes valsts, vai ārkārtas situāciju upuri, kas ir nošķirti no abiem vecākiem un citiem radiniekiem un ko neaprūpē neviens pieaugušais, kuram saskaņā ar likumu vai paražām ir pienākums to darīt.</w:t>
            </w:r>
          </w:p>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Sk. Bērnu tiesību komitejas Vispārējo komentāru Nr. 6 (2005) “Rīcība attiecībā uz nepavadītiem un nošķirtiem bērniem ārpus viņu izcelsmes valsts” (2005).</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hAnsi="Times New Roman" w:cs="Times New Roman"/>
                <w:b/>
                <w:bCs/>
                <w:sz w:val="24"/>
                <w:szCs w:val="24"/>
              </w:rPr>
              <w:lastRenderedPageBreak/>
              <w:t>Nogaidīšanas/atlabšanas periods</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 xml:space="preserve">Laika posms, kas tiek piešķirts cilvēku tirdzniecības upuriem, lai viņi varētu atlabt un izkļūt no noziedzīgas darbības veicēju ietekmes un lai dotu viņiem iespēju pieņemt izsvērtu lēmumu par sadarbošanos ar kompetentajām iestādēm. Sk. </w:t>
            </w:r>
            <w:r w:rsidRPr="004B7F17">
              <w:rPr>
                <w:rFonts w:ascii="Times New Roman" w:eastAsia="Times New Roman" w:hAnsi="Times New Roman" w:cs="Times New Roman"/>
                <w:i/>
                <w:iCs/>
                <w:sz w:val="24"/>
                <w:szCs w:val="24"/>
                <w:lang w:eastAsia="lv-LV"/>
              </w:rPr>
              <w:t>ODIHR</w:t>
            </w:r>
            <w:r w:rsidRPr="004B7F17">
              <w:rPr>
                <w:rFonts w:ascii="Times New Roman" w:eastAsia="Times New Roman" w:hAnsi="Times New Roman" w:cs="Times New Roman"/>
                <w:sz w:val="24"/>
                <w:szCs w:val="24"/>
                <w:lang w:eastAsia="lv-LV"/>
              </w:rPr>
              <w:t>, Cilvēktiesību pamatprincipi attiecībā uz cilvēku tirdzniecības upuru atpakaļnosūtīšanu [</w:t>
            </w:r>
            <w:r w:rsidRPr="004B7F17">
              <w:rPr>
                <w:rFonts w:ascii="Times New Roman" w:eastAsia="Times New Roman" w:hAnsi="Times New Roman" w:cs="Times New Roman"/>
                <w:i/>
                <w:iCs/>
                <w:sz w:val="24"/>
                <w:szCs w:val="24"/>
                <w:lang w:eastAsia="lv-LV"/>
              </w:rPr>
              <w:t>ODIHR, Guiding Principles on Human Rights in the Return of Trafficked Persons</w:t>
            </w:r>
            <w:r w:rsidRPr="004B7F17">
              <w:rPr>
                <w:rFonts w:ascii="Times New Roman" w:eastAsia="Times New Roman" w:hAnsi="Times New Roman" w:cs="Times New Roman"/>
                <w:sz w:val="24"/>
                <w:szCs w:val="24"/>
                <w:lang w:eastAsia="lv-LV"/>
              </w:rPr>
              <w:t>] (2014).</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hAnsi="Times New Roman" w:cs="Times New Roman"/>
                <w:b/>
                <w:bCs/>
                <w:sz w:val="24"/>
                <w:szCs w:val="24"/>
              </w:rPr>
              <w:t>Nošķirts bērns</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Nošķirti bērni ir bērni bez vecāku gādības, kas atrodas ārpus savas ierastās mītnes valsts, vai ārkārtas situāciju upuri, kas kļuvuši nošķirti no abiem vecākiem vai no sava iepriekšējā juridiskā vai ierastā galvenā aprūpētāja, bet ne obligāti no citiem saviem radiniekiem. Šis termins var attiekties arī uz bērniem, kurus pavada citi pieauguši ģimenes locekļi. Sk. Bērnu tiesību komitejas Vispārējo komentāru Nr. 6 (2005) “Rīcība attiecībā uz nepavadītiem un nošķirtiem bērniem ārpus viņu izcelsmes valsts” (2005).</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hAnsi="Times New Roman" w:cs="Times New Roman"/>
                <w:b/>
                <w:bCs/>
                <w:sz w:val="24"/>
                <w:szCs w:val="24"/>
              </w:rPr>
              <w:t>Pastāvīgs risinājums</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 xml:space="preserve">Ilgtermiņa pasākumi, kas veikti attiecībā uz bērnu, kurš kļuvis par cilvēku tirdzniecības upuri. Sk. terminu “risinājums”, kā arī </w:t>
            </w:r>
            <w:r w:rsidRPr="004B7F17">
              <w:rPr>
                <w:rFonts w:ascii="Times New Roman" w:eastAsia="Times New Roman" w:hAnsi="Times New Roman" w:cs="Times New Roman"/>
                <w:i/>
                <w:iCs/>
                <w:sz w:val="24"/>
                <w:szCs w:val="24"/>
                <w:lang w:eastAsia="lv-LV"/>
              </w:rPr>
              <w:t>UNICEF</w:t>
            </w:r>
            <w:r w:rsidRPr="004B7F17">
              <w:rPr>
                <w:rFonts w:ascii="Times New Roman" w:eastAsia="Times New Roman" w:hAnsi="Times New Roman" w:cs="Times New Roman"/>
                <w:sz w:val="24"/>
                <w:szCs w:val="24"/>
                <w:lang w:eastAsia="lv-LV"/>
              </w:rPr>
              <w:t xml:space="preserve"> Rokasgrāmatu par bērnu – cilvēku tirdzniecības upuru – tiesību aizsardzību Eiropā [</w:t>
            </w:r>
            <w:r w:rsidRPr="004B7F17">
              <w:rPr>
                <w:rFonts w:ascii="Times New Roman" w:eastAsia="Times New Roman" w:hAnsi="Times New Roman" w:cs="Times New Roman"/>
                <w:i/>
                <w:iCs/>
                <w:sz w:val="24"/>
                <w:szCs w:val="24"/>
                <w:lang w:eastAsia="lv-LV"/>
              </w:rPr>
              <w:t>UNICEF Reference Guide on Protecting the Rights of Child Victims of Trafficking in Europe</w:t>
            </w:r>
            <w:r w:rsidRPr="004B7F17">
              <w:rPr>
                <w:rFonts w:ascii="Times New Roman" w:eastAsia="Times New Roman" w:hAnsi="Times New Roman" w:cs="Times New Roman"/>
                <w:sz w:val="24"/>
                <w:szCs w:val="24"/>
                <w:lang w:eastAsia="lv-LV"/>
              </w:rPr>
              <w:t>] (2006).</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hAnsi="Times New Roman" w:cs="Times New Roman"/>
                <w:b/>
                <w:bCs/>
                <w:sz w:val="24"/>
                <w:szCs w:val="24"/>
              </w:rPr>
              <w:t>Pusaudzis</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 xml:space="preserve">Persona vecumā no 10 līdz 19 gadiem. Sk. </w:t>
            </w:r>
            <w:r w:rsidRPr="004B7F17">
              <w:rPr>
                <w:rFonts w:ascii="Times New Roman" w:eastAsia="Times New Roman" w:hAnsi="Times New Roman" w:cs="Times New Roman"/>
                <w:i/>
                <w:iCs/>
                <w:sz w:val="24"/>
                <w:szCs w:val="24"/>
                <w:lang w:eastAsia="lv-LV"/>
              </w:rPr>
              <w:t>UNICEF</w:t>
            </w:r>
            <w:r w:rsidRPr="004B7F17">
              <w:rPr>
                <w:rFonts w:ascii="Times New Roman" w:eastAsia="Times New Roman" w:hAnsi="Times New Roman" w:cs="Times New Roman"/>
                <w:sz w:val="24"/>
                <w:szCs w:val="24"/>
                <w:lang w:eastAsia="lv-LV"/>
              </w:rPr>
              <w:t xml:space="preserve"> Rokasgrāmatu par bērnu – cilvēku tirdzniecības upuru – tiesību aizsardzību Eiropā [</w:t>
            </w:r>
            <w:r w:rsidRPr="004B7F17">
              <w:rPr>
                <w:rFonts w:ascii="Times New Roman" w:eastAsia="Times New Roman" w:hAnsi="Times New Roman" w:cs="Times New Roman"/>
                <w:i/>
                <w:iCs/>
                <w:sz w:val="24"/>
                <w:szCs w:val="24"/>
                <w:lang w:eastAsia="lv-LV"/>
              </w:rPr>
              <w:t>UNICEF Reference Guide on Protecting the Rights of Child Victims of Trafficking in Europe</w:t>
            </w:r>
            <w:r w:rsidRPr="004B7F17">
              <w:rPr>
                <w:rFonts w:ascii="Times New Roman" w:eastAsia="Times New Roman" w:hAnsi="Times New Roman" w:cs="Times New Roman"/>
                <w:sz w:val="24"/>
                <w:szCs w:val="24"/>
                <w:lang w:eastAsia="lv-LV"/>
              </w:rPr>
              <w:t>] (2006).</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hAnsi="Times New Roman" w:cs="Times New Roman"/>
                <w:b/>
                <w:bCs/>
                <w:sz w:val="24"/>
                <w:szCs w:val="24"/>
              </w:rPr>
              <w:t>Repatriācija</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Sk. “atpakaļnosūtīšana”.</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widowControl w:val="0"/>
              <w:spacing w:after="0" w:line="240" w:lineRule="auto"/>
              <w:jc w:val="both"/>
              <w:rPr>
                <w:rFonts w:ascii="Times New Roman" w:eastAsia="Times New Roman" w:hAnsi="Times New Roman" w:cs="Times New Roman"/>
                <w:b/>
                <w:bCs/>
                <w:sz w:val="24"/>
                <w:szCs w:val="24"/>
                <w:lang w:eastAsia="lv-LV"/>
              </w:rPr>
            </w:pPr>
            <w:r w:rsidRPr="004B7F17">
              <w:rPr>
                <w:rFonts w:ascii="Times New Roman" w:eastAsia="Times New Roman" w:hAnsi="Times New Roman" w:cs="Times New Roman"/>
                <w:b/>
                <w:bCs/>
                <w:sz w:val="24"/>
                <w:szCs w:val="24"/>
                <w:lang w:eastAsia="lv-LV"/>
              </w:rPr>
              <w:t>Risinājums</w:t>
            </w:r>
          </w:p>
          <w:p w:rsidR="004B7F17" w:rsidRPr="004B7F17" w:rsidRDefault="004B7F17" w:rsidP="00B7131B">
            <w:pPr>
              <w:jc w:val="both"/>
              <w:rPr>
                <w:rFonts w:ascii="Times New Roman" w:hAnsi="Times New Roman" w:cs="Times New Roman"/>
                <w:b/>
                <w:bCs/>
                <w:sz w:val="24"/>
                <w:szCs w:val="24"/>
              </w:rPr>
            </w:pPr>
            <w:r w:rsidRPr="004B7F17">
              <w:rPr>
                <w:rFonts w:ascii="Times New Roman" w:eastAsia="Times New Roman" w:hAnsi="Times New Roman" w:cs="Times New Roman"/>
                <w:b/>
                <w:bCs/>
                <w:sz w:val="24"/>
                <w:szCs w:val="24"/>
                <w:lang w:eastAsia="lv-LV"/>
              </w:rPr>
              <w:t>(attiecībā uz bērnu, kas i</w:t>
            </w:r>
            <w:r w:rsidRPr="004B7F17">
              <w:rPr>
                <w:rFonts w:ascii="Times New Roman" w:hAnsi="Times New Roman" w:cs="Times New Roman"/>
                <w:b/>
                <w:bCs/>
                <w:sz w:val="24"/>
                <w:szCs w:val="24"/>
              </w:rPr>
              <w:t>r cilvēku tirdzniecības upuris)</w:t>
            </w:r>
          </w:p>
        </w:tc>
        <w:tc>
          <w:tcPr>
            <w:tcW w:w="6486" w:type="dxa"/>
          </w:tcPr>
          <w:p w:rsidR="004B7F17" w:rsidRPr="004B7F17" w:rsidRDefault="004B7F17" w:rsidP="00B7131B">
            <w:pPr>
              <w:jc w:val="both"/>
              <w:rPr>
                <w:rFonts w:ascii="Times New Roman" w:hAnsi="Times New Roman" w:cs="Times New Roman"/>
                <w:sz w:val="24"/>
                <w:szCs w:val="24"/>
              </w:rPr>
            </w:pPr>
            <w:r w:rsidRPr="004B7F17">
              <w:rPr>
                <w:rFonts w:ascii="Times New Roman" w:eastAsia="Times New Roman" w:hAnsi="Times New Roman" w:cs="Times New Roman"/>
                <w:sz w:val="24"/>
                <w:szCs w:val="24"/>
                <w:lang w:eastAsia="lv-LV"/>
              </w:rPr>
              <w:t>Visaptverošs, drošs un ilgtspējīgs risinājums attiecībā uz cilvēku tirdzniecībā cietušo bērnu ir tāds risinājums, kas iespējami lielākā apmērā un ilgtermiņā nodrošina bērna intereses un labklājību un ir no šāda viedokļa ilgtspējīgs un drošs. Risinājuma rezultātam jābūt tādam, lai nodrošinātu, ka bērns spēj pieaugt vidē, kas atbilst viņa vajadzībām, un tiek ievērotas viņa tiesības, kas noteiktas Konvencijā par bērnu tiesībām.</w:t>
            </w:r>
          </w:p>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p>
          <w:p w:rsidR="004B7F17" w:rsidRPr="004B7F17" w:rsidRDefault="004B7F17" w:rsidP="00B7131B">
            <w:pPr>
              <w:jc w:val="both"/>
              <w:rPr>
                <w:rFonts w:ascii="Times New Roman" w:hAnsi="Times New Roman" w:cs="Times New Roman"/>
                <w:sz w:val="24"/>
                <w:szCs w:val="24"/>
              </w:rPr>
            </w:pPr>
            <w:r w:rsidRPr="004B7F17">
              <w:rPr>
                <w:rFonts w:ascii="Times New Roman" w:eastAsia="Times New Roman" w:hAnsi="Times New Roman" w:cs="Times New Roman"/>
                <w:sz w:val="24"/>
                <w:szCs w:val="24"/>
                <w:lang w:eastAsia="lv-LV"/>
              </w:rPr>
              <w:lastRenderedPageBreak/>
              <w:t xml:space="preserve">Attiecībā uz šādiem risinājumiem, kas paredzēti cilvēku tirdzniecībā cietušiem bērniem, 2003.–2007. gadā parasti tika izmantots termins “pastāvīgs risinājums” (sk. “Pastāvīga risinājuma īstenošana” </w:t>
            </w:r>
            <w:r w:rsidRPr="004B7F17">
              <w:rPr>
                <w:rFonts w:ascii="Times New Roman" w:eastAsia="Times New Roman" w:hAnsi="Times New Roman" w:cs="Times New Roman"/>
                <w:i/>
                <w:iCs/>
                <w:sz w:val="24"/>
                <w:szCs w:val="24"/>
                <w:lang w:eastAsia="lv-LV"/>
              </w:rPr>
              <w:t>UNICEF</w:t>
            </w:r>
            <w:r w:rsidRPr="004B7F17">
              <w:rPr>
                <w:rFonts w:ascii="Times New Roman" w:eastAsia="Times New Roman" w:hAnsi="Times New Roman" w:cs="Times New Roman"/>
                <w:sz w:val="24"/>
                <w:szCs w:val="24"/>
                <w:lang w:eastAsia="lv-LV"/>
              </w:rPr>
              <w:t xml:space="preserve"> dokumentā “Vadlīnijas par bērnu – cilvēku tirdzniecības upuru – aizsardzību” (2006)). Sākotnēji šis termins tika izstrādāts saistībā ar risinājumiem, kas paredzēti nepavadītiem bērniem bēgļiem.</w:t>
            </w:r>
          </w:p>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p>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Bērniem, kas ir cilvēku tirdzniecības upuri un kas ir ar vai bez pavadoņa, ir pieejamas dažādas iespējas. Pamatprincips ir tāds, ka tām jābūt pielāgotām, lai atbilstu katram konkrētajam bērnam, un ka bērnam, ja vien viņš nav pārāk mazs, jābūt iespējai izteikties, kad tiek lemts par izvēlēto iespēju. Attiecībā uz dažiem risinājumiem iespējas ir ierobežotas saskaņā ar starptautiskajām tiesībām (kas, piemēram, aizliedz izraidīšanu).</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hAnsi="Times New Roman" w:cs="Times New Roman"/>
                <w:b/>
                <w:bCs/>
                <w:sz w:val="24"/>
                <w:szCs w:val="24"/>
              </w:rPr>
              <w:lastRenderedPageBreak/>
              <w:t>Riska novērtējums</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Konkrēta bērna, kas ir cilvēku tirdzniecības upuris, risku novērtējums, ko parasti veic, lai palīdzētu izlemt, kāda pasākumu gaita būtu vispiemērotākā šim bērnam. Novērtējot riskus attiecībā uz cilvēku tirdzniecībā cietušiem bērniem, kas ir gādībā, izpēta, kādos mājas un kopienas apstākļos bērns, visticamāk, atgriezīsies, lai novērtētu, vai tur atgriezties ir bērna interesēs. Parasti to veic par bērna labklājību atbildīgais sociālais dienests vai iestāde bērna atrašanās vietā, un tam ir nepieciešama informācija no bērna izcelsmes valsts iestādes, kas pazīst bērna ģimeni vai tās personas mājvietu, kas gatavojas uzņemties atbildību par šo bērnu (vai iestādi, kas gatavojas to darīt), kā arī apkārtējo kopienu. Riska novērtējums tādējādi atšķiras no parasti policijas veiktā drošības novērtējuma (un to papildina). Sk. Bērnu tiesību komitejas Vispārējo komentāru Nr. 6 (2005) “Rīcība attiecībā uz nepavadītiem un nošķirtiem bērniem ārpus viņu izcelsmes valsts” (2005).</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hAnsi="Times New Roman" w:cs="Times New Roman"/>
                <w:b/>
                <w:bCs/>
                <w:sz w:val="24"/>
                <w:szCs w:val="24"/>
              </w:rPr>
              <w:t>Rūpības pienākums</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Humānās palīdzības organizācijām ir rūpības pienākums pret saņēmējiem un pienākums nodrošināt, ka pret saņēmējiem izturas ar cieņu un godu un ka tiek ievērots noteikts uzvedības standartu minimums. Sk. Starpaģentūru pastāvīgās komitejas darba grupas Ziņojumu par aizsardzību pret seksuālo izmantošanu un vardarbību humāno krīžu laikā [</w:t>
            </w:r>
            <w:r w:rsidRPr="004B7F17">
              <w:rPr>
                <w:rFonts w:ascii="Times New Roman" w:eastAsia="Times New Roman" w:hAnsi="Times New Roman" w:cs="Times New Roman"/>
                <w:i/>
                <w:iCs/>
                <w:sz w:val="24"/>
                <w:szCs w:val="24"/>
                <w:lang w:eastAsia="lv-LV"/>
              </w:rPr>
              <w:t>Report of the Inter-Agency Standing Committee Task Force on Protection of Sexual Exploitation and Abuse in Humanitarian Crises</w:t>
            </w:r>
            <w:r w:rsidRPr="004B7F17">
              <w:rPr>
                <w:rFonts w:ascii="Times New Roman" w:eastAsia="Times New Roman" w:hAnsi="Times New Roman" w:cs="Times New Roman"/>
                <w:sz w:val="24"/>
                <w:szCs w:val="24"/>
                <w:lang w:eastAsia="lv-LV"/>
              </w:rPr>
              <w:t>] (2002). Mērķis ir radīt vidi, kurā humānās krīzes laikā nebūtu seksuālas izmantošanas un vardarbības, integrējot seksuālas izmantošanas un vardarbības novēršanas un reaģēšanas pasākumus visu humānajā jomā strādājošo aizsardzības un palīdzības sniegšanas funkcijās.</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hAnsi="Times New Roman" w:cs="Times New Roman"/>
                <w:b/>
                <w:bCs/>
                <w:sz w:val="24"/>
                <w:szCs w:val="24"/>
              </w:rPr>
              <w:lastRenderedPageBreak/>
              <w:t>Sociālā lietas apstākļu izpēte</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“Riska novērtējuma” daļa attiecībā uz bērnu, kas ir cilvēku tirdzniecības upuris. Tas ir ziņojums, ko sagatavojis bērna aizsardzības vai cits sociālais darbinieks par konkrētās ģimenes apstākļiem (piemēram, bērna vecākiem, aizbildni vai ierasto aprūpētāju) vai citas izmitināšanas vienības (piemēram, aprūpes nama) apstākļiem, lai novērtētu, vai bērnam būtu piemēroti un droši atgriezties atpakaļ vai dzīvot tur.</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eastAsia="Times New Roman" w:hAnsi="Times New Roman" w:cs="Times New Roman"/>
                <w:b/>
                <w:bCs/>
                <w:sz w:val="24"/>
                <w:szCs w:val="24"/>
                <w:lang w:eastAsia="lv-LV"/>
              </w:rPr>
              <w:t>Star</w:t>
            </w:r>
            <w:r w:rsidRPr="004B7F17">
              <w:rPr>
                <w:rFonts w:ascii="Times New Roman" w:hAnsi="Times New Roman" w:cs="Times New Roman"/>
                <w:b/>
                <w:bCs/>
                <w:sz w:val="24"/>
                <w:szCs w:val="24"/>
              </w:rPr>
              <w:t>ptautiskā aizsardzība</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 xml:space="preserve">Starptautiskās sabiedrības īstenotie pasākumi, kuru mērķis, pamatojoties uz starptautiskajām tiesībām, ir aizsargāt to noteiktas kategorijas personu pamattiesības, kuras atrodas ārpus savas izcelsmes valsts un kurām trūkst savas valsts aizsardzības. Sk. </w:t>
            </w:r>
            <w:r w:rsidRPr="004B7F17">
              <w:rPr>
                <w:rFonts w:ascii="Times New Roman" w:eastAsia="Times New Roman" w:hAnsi="Times New Roman" w:cs="Times New Roman"/>
                <w:i/>
                <w:iCs/>
                <w:sz w:val="24"/>
                <w:szCs w:val="24"/>
                <w:lang w:eastAsia="lv-LV"/>
              </w:rPr>
              <w:t>ODIHR</w:t>
            </w:r>
            <w:r w:rsidRPr="004B7F17">
              <w:rPr>
                <w:rFonts w:ascii="Times New Roman" w:eastAsia="Times New Roman" w:hAnsi="Times New Roman" w:cs="Times New Roman"/>
                <w:sz w:val="24"/>
                <w:szCs w:val="24"/>
                <w:lang w:eastAsia="lv-LV"/>
              </w:rPr>
              <w:t>, Cilvēktiesību pamatprincipi attiecībā uz cilvēku tirdzniecības upuru atpakaļnosūtīšanu [</w:t>
            </w:r>
            <w:r w:rsidRPr="004B7F17">
              <w:rPr>
                <w:rFonts w:ascii="Times New Roman" w:eastAsia="Times New Roman" w:hAnsi="Times New Roman" w:cs="Times New Roman"/>
                <w:i/>
                <w:iCs/>
                <w:sz w:val="24"/>
                <w:szCs w:val="24"/>
                <w:lang w:eastAsia="lv-LV"/>
              </w:rPr>
              <w:t>ODIHR, Guiding Principles on Human Rights in the Return of Trafficked Persons</w:t>
            </w:r>
            <w:r w:rsidRPr="004B7F17">
              <w:rPr>
                <w:rFonts w:ascii="Times New Roman" w:eastAsia="Times New Roman" w:hAnsi="Times New Roman" w:cs="Times New Roman"/>
                <w:sz w:val="24"/>
                <w:szCs w:val="24"/>
                <w:lang w:eastAsia="lv-LV"/>
              </w:rPr>
              <w:t>] (2014).</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eastAsia="Times New Roman" w:hAnsi="Times New Roman" w:cs="Times New Roman"/>
                <w:b/>
                <w:bCs/>
                <w:sz w:val="24"/>
                <w:szCs w:val="24"/>
                <w:lang w:eastAsia="lv-LV"/>
              </w:rPr>
              <w:t>Transna</w:t>
            </w:r>
            <w:r w:rsidRPr="004B7F17">
              <w:rPr>
                <w:rFonts w:ascii="Times New Roman" w:hAnsi="Times New Roman" w:cs="Times New Roman"/>
                <w:b/>
                <w:bCs/>
                <w:sz w:val="24"/>
                <w:szCs w:val="24"/>
              </w:rPr>
              <w:t>cionālais nosūtīšanas mehānisms</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 xml:space="preserve">Sadarbības nolīgumā par pārrobežu visaptverošu palīdzību identificētiem vai iespējamiem cilvēku tirdzniecības upuriem (bērniem vai pieaugušajiem) un/vai viņu nodošanu ietverts jēdziens, izmantojot kuru dažādu valstu iesaistītie rīcībspēki pilda savas saistības veicināt un aizsargāt cilvēku tirdzniecībā cietušo personu cilvēktiesības. Sk. </w:t>
            </w:r>
            <w:r w:rsidRPr="004B7F17">
              <w:rPr>
                <w:rFonts w:ascii="Times New Roman" w:eastAsia="Times New Roman" w:hAnsi="Times New Roman" w:cs="Times New Roman"/>
                <w:i/>
                <w:iCs/>
                <w:sz w:val="24"/>
                <w:szCs w:val="24"/>
                <w:lang w:eastAsia="lv-LV"/>
              </w:rPr>
              <w:t>ICMPD</w:t>
            </w:r>
            <w:r w:rsidRPr="004B7F17">
              <w:rPr>
                <w:rFonts w:ascii="Times New Roman" w:eastAsia="Times New Roman" w:hAnsi="Times New Roman" w:cs="Times New Roman"/>
                <w:sz w:val="24"/>
                <w:szCs w:val="24"/>
                <w:lang w:eastAsia="lv-LV"/>
              </w:rPr>
              <w:t xml:space="preserve"> Vadlīnijas par cilvēku tirdzniecībā cietušu personu transnacionālā nosūtīšanas mehānisma izstrādi [</w:t>
            </w:r>
            <w:r w:rsidRPr="004B7F17">
              <w:rPr>
                <w:rFonts w:ascii="Times New Roman" w:eastAsia="Times New Roman" w:hAnsi="Times New Roman" w:cs="Times New Roman"/>
                <w:i/>
                <w:iCs/>
                <w:sz w:val="24"/>
                <w:szCs w:val="24"/>
                <w:lang w:eastAsia="lv-LV"/>
              </w:rPr>
              <w:t>Guidelines for the Development of a Transnational Referral Mechanism for Trafficked Persons in Europe</w:t>
            </w:r>
            <w:r w:rsidRPr="004B7F17">
              <w:rPr>
                <w:rFonts w:ascii="Times New Roman" w:eastAsia="Times New Roman" w:hAnsi="Times New Roman" w:cs="Times New Roman"/>
                <w:sz w:val="24"/>
                <w:szCs w:val="24"/>
                <w:lang w:eastAsia="lv-LV"/>
              </w:rPr>
              <w:t>] (2009).</w:t>
            </w:r>
          </w:p>
          <w:p w:rsidR="004B7F17" w:rsidRPr="004B7F17" w:rsidRDefault="004B7F17" w:rsidP="00B7131B">
            <w:pPr>
              <w:pStyle w:val="Pamatteksts"/>
              <w:widowControl/>
              <w:kinsoku w:val="0"/>
              <w:overflowPunct w:val="0"/>
              <w:ind w:left="0"/>
              <w:jc w:val="both"/>
              <w:rPr>
                <w:noProof/>
                <w:sz w:val="24"/>
                <w:szCs w:val="24"/>
                <w:lang w:val="en-US"/>
              </w:rPr>
            </w:pPr>
          </w:p>
        </w:tc>
      </w:tr>
      <w:tr w:rsidR="004B7F17" w:rsidRPr="004B7F17" w:rsidTr="00B7131B">
        <w:tc>
          <w:tcPr>
            <w:tcW w:w="2802" w:type="dxa"/>
          </w:tcPr>
          <w:p w:rsidR="004B7F17" w:rsidRPr="004B7F17" w:rsidRDefault="004B7F17" w:rsidP="00B7131B">
            <w:pPr>
              <w:jc w:val="both"/>
              <w:rPr>
                <w:rFonts w:ascii="Times New Roman" w:hAnsi="Times New Roman" w:cs="Times New Roman"/>
                <w:b/>
                <w:bCs/>
                <w:sz w:val="24"/>
                <w:szCs w:val="24"/>
              </w:rPr>
            </w:pPr>
            <w:r w:rsidRPr="004B7F17">
              <w:rPr>
                <w:rFonts w:ascii="Times New Roman" w:hAnsi="Times New Roman" w:cs="Times New Roman"/>
                <w:b/>
                <w:bCs/>
                <w:sz w:val="24"/>
                <w:szCs w:val="24"/>
              </w:rPr>
              <w:t>Vērtēšana</w:t>
            </w:r>
          </w:p>
        </w:tc>
        <w:tc>
          <w:tcPr>
            <w:tcW w:w="6486" w:type="dxa"/>
          </w:tcPr>
          <w:p w:rsidR="004B7F17" w:rsidRPr="004B7F17" w:rsidRDefault="004B7F17" w:rsidP="00B7131B">
            <w:pPr>
              <w:widowControl w:val="0"/>
              <w:spacing w:after="0" w:line="240" w:lineRule="auto"/>
              <w:jc w:val="both"/>
              <w:rPr>
                <w:rFonts w:ascii="Times New Roman" w:eastAsia="Times New Roman" w:hAnsi="Times New Roman" w:cs="Times New Roman"/>
                <w:sz w:val="24"/>
                <w:szCs w:val="24"/>
                <w:lang w:eastAsia="lv-LV"/>
              </w:rPr>
            </w:pPr>
            <w:r w:rsidRPr="004B7F17">
              <w:rPr>
                <w:rFonts w:ascii="Times New Roman" w:eastAsia="Times New Roman" w:hAnsi="Times New Roman" w:cs="Times New Roman"/>
                <w:sz w:val="24"/>
                <w:szCs w:val="24"/>
                <w:lang w:eastAsia="lv-LV"/>
              </w:rPr>
              <w:t>Informācijas vākšanas process un tās apzināšana (jo īpaši, lai izstrādātu bērnu vajadzību nodrošināšanas plānu).</w:t>
            </w:r>
          </w:p>
          <w:p w:rsidR="004B7F17" w:rsidRPr="004B7F17" w:rsidRDefault="004B7F17" w:rsidP="00B7131B">
            <w:pPr>
              <w:pStyle w:val="Pamatteksts"/>
              <w:widowControl/>
              <w:kinsoku w:val="0"/>
              <w:overflowPunct w:val="0"/>
              <w:ind w:left="0"/>
              <w:jc w:val="both"/>
              <w:rPr>
                <w:noProof/>
                <w:sz w:val="24"/>
                <w:szCs w:val="24"/>
                <w:lang w:val="en-US"/>
              </w:rPr>
            </w:pPr>
          </w:p>
        </w:tc>
      </w:tr>
    </w:tbl>
    <w:p w:rsidR="003A543D" w:rsidRDefault="003A543D" w:rsidP="006B796E">
      <w:pPr>
        <w:widowControl w:val="0"/>
        <w:spacing w:after="0" w:line="240" w:lineRule="auto"/>
        <w:jc w:val="both"/>
        <w:rPr>
          <w:rFonts w:ascii="Times New Roman" w:eastAsia="Times New Roman" w:hAnsi="Times New Roman" w:cs="Times New Roman"/>
          <w:sz w:val="24"/>
          <w:szCs w:val="24"/>
          <w:lang w:eastAsia="lv-LV"/>
        </w:rPr>
      </w:pPr>
    </w:p>
    <w:p w:rsidR="004B7F17" w:rsidRDefault="004B7F17">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3A543D" w:rsidRDefault="003A543D" w:rsidP="006B796E">
      <w:pPr>
        <w:widowControl w:val="0"/>
        <w:spacing w:after="0" w:line="240" w:lineRule="auto"/>
        <w:jc w:val="both"/>
        <w:rPr>
          <w:rFonts w:ascii="Times New Roman" w:eastAsia="Times New Roman" w:hAnsi="Times New Roman" w:cs="Times New Roman"/>
          <w:sz w:val="24"/>
          <w:szCs w:val="24"/>
          <w:lang w:eastAsia="lv-LV"/>
        </w:rPr>
      </w:pPr>
    </w:p>
    <w:p w:rsidR="003A543D" w:rsidRDefault="004B7F17" w:rsidP="006B796E">
      <w:pPr>
        <w:widowControl w:val="0"/>
        <w:spacing w:after="0" w:line="240" w:lineRule="auto"/>
        <w:jc w:val="both"/>
        <w:rPr>
          <w:rFonts w:ascii="Times New Roman" w:eastAsia="Times New Roman" w:hAnsi="Times New Roman" w:cs="Times New Roman"/>
          <w:sz w:val="24"/>
          <w:szCs w:val="24"/>
          <w:lang w:eastAsia="lv-LV"/>
        </w:rPr>
      </w:pPr>
      <w:r w:rsidRPr="000E2D02">
        <w:rPr>
          <w:noProof/>
          <w:sz w:val="24"/>
          <w:szCs w:val="24"/>
          <w:lang w:eastAsia="lv-LV"/>
        </w:rPr>
        <w:drawing>
          <wp:inline distT="0" distB="0" distL="0" distR="0">
            <wp:extent cx="5720080" cy="1414145"/>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0080" cy="1414145"/>
                    </a:xfrm>
                    <a:prstGeom prst="rect">
                      <a:avLst/>
                    </a:prstGeom>
                    <a:noFill/>
                    <a:ln>
                      <a:noFill/>
                    </a:ln>
                  </pic:spPr>
                </pic:pic>
              </a:graphicData>
            </a:graphic>
          </wp:inline>
        </w:drawing>
      </w:r>
    </w:p>
    <w:p w:rsidR="004B7F17" w:rsidRDefault="004B7F17" w:rsidP="006B796E">
      <w:pPr>
        <w:widowControl w:val="0"/>
        <w:spacing w:after="0" w:line="240" w:lineRule="auto"/>
        <w:jc w:val="both"/>
        <w:rPr>
          <w:rFonts w:ascii="Times New Roman" w:eastAsia="Times New Roman" w:hAnsi="Times New Roman" w:cs="Times New Roman"/>
          <w:color w:val="231F20"/>
          <w:sz w:val="24"/>
          <w:szCs w:val="20"/>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color w:val="231F20"/>
          <w:sz w:val="24"/>
          <w:szCs w:val="20"/>
          <w:lang w:eastAsia="lv-LV"/>
        </w:rPr>
      </w:pPr>
      <w:r w:rsidRPr="006B796E">
        <w:rPr>
          <w:rFonts w:ascii="Times New Roman" w:eastAsia="Times New Roman" w:hAnsi="Times New Roman" w:cs="Times New Roman"/>
          <w:color w:val="231F20"/>
          <w:sz w:val="24"/>
          <w:szCs w:val="20"/>
          <w:lang w:eastAsia="lv-LV"/>
        </w:rPr>
        <w:t>EDSO/Maikls Rodžerss [</w:t>
      </w:r>
      <w:r w:rsidRPr="006B796E">
        <w:rPr>
          <w:rFonts w:ascii="Times New Roman" w:eastAsia="Times New Roman" w:hAnsi="Times New Roman" w:cs="Times New Roman"/>
          <w:i/>
          <w:iCs/>
          <w:color w:val="231F20"/>
          <w:sz w:val="24"/>
          <w:szCs w:val="20"/>
          <w:lang w:eastAsia="lv-LV"/>
        </w:rPr>
        <w:t>Michael Rodgers</w:t>
      </w:r>
      <w:r w:rsidRPr="006B796E">
        <w:rPr>
          <w:rFonts w:ascii="Times New Roman" w:eastAsia="Times New Roman" w:hAnsi="Times New Roman" w:cs="Times New Roman"/>
          <w:color w:val="231F20"/>
          <w:sz w:val="24"/>
          <w:szCs w:val="20"/>
          <w:lang w:eastAsia="lv-LV"/>
        </w:rPr>
        <w:t>]</w:t>
      </w:r>
    </w:p>
    <w:p w:rsidR="00D6592D" w:rsidRDefault="00D6592D" w:rsidP="006B796E">
      <w:pPr>
        <w:widowControl w:val="0"/>
        <w:spacing w:after="0" w:line="240" w:lineRule="auto"/>
        <w:jc w:val="both"/>
        <w:rPr>
          <w:rFonts w:ascii="Times New Roman" w:eastAsia="Times New Roman" w:hAnsi="Times New Roman" w:cs="Times New Roman"/>
          <w:color w:val="231F20"/>
          <w:sz w:val="24"/>
          <w:szCs w:val="20"/>
          <w:lang w:eastAsia="lv-LV"/>
        </w:rPr>
      </w:pPr>
      <w:r w:rsidRPr="006B796E">
        <w:rPr>
          <w:rFonts w:ascii="Times New Roman" w:eastAsia="Times New Roman" w:hAnsi="Times New Roman" w:cs="Times New Roman"/>
          <w:color w:val="231F20"/>
          <w:sz w:val="24"/>
          <w:szCs w:val="20"/>
          <w:lang w:eastAsia="lv-LV"/>
        </w:rPr>
        <w:t>EDSO/Blanka Tapija [</w:t>
      </w:r>
      <w:r w:rsidRPr="006B796E">
        <w:rPr>
          <w:rFonts w:ascii="Times New Roman" w:eastAsia="Times New Roman" w:hAnsi="Times New Roman" w:cs="Times New Roman"/>
          <w:i/>
          <w:iCs/>
          <w:color w:val="231F20"/>
          <w:sz w:val="24"/>
          <w:szCs w:val="20"/>
          <w:lang w:eastAsia="lv-LV"/>
        </w:rPr>
        <w:t>Blanca Tapia</w:t>
      </w:r>
      <w:r w:rsidRPr="006B796E">
        <w:rPr>
          <w:rFonts w:ascii="Times New Roman" w:eastAsia="Times New Roman" w:hAnsi="Times New Roman" w:cs="Times New Roman"/>
          <w:color w:val="231F20"/>
          <w:sz w:val="24"/>
          <w:szCs w:val="20"/>
          <w:lang w:eastAsia="lv-LV"/>
        </w:rPr>
        <w:t>]</w:t>
      </w:r>
    </w:p>
    <w:p w:rsidR="004B7F17" w:rsidRDefault="004B7F17" w:rsidP="006B796E">
      <w:pPr>
        <w:widowControl w:val="0"/>
        <w:spacing w:after="0" w:line="240" w:lineRule="auto"/>
        <w:jc w:val="both"/>
        <w:rPr>
          <w:rFonts w:ascii="Times New Roman" w:eastAsia="Times New Roman" w:hAnsi="Times New Roman" w:cs="Times New Roman"/>
          <w:color w:val="231F20"/>
          <w:sz w:val="24"/>
          <w:szCs w:val="20"/>
          <w:lang w:eastAsia="lv-LV"/>
        </w:rPr>
      </w:pPr>
    </w:p>
    <w:p w:rsidR="004B7F17" w:rsidRPr="006B796E" w:rsidRDefault="004B7F17" w:rsidP="006B796E">
      <w:pPr>
        <w:widowControl w:val="0"/>
        <w:spacing w:after="0" w:line="240" w:lineRule="auto"/>
        <w:jc w:val="both"/>
        <w:rPr>
          <w:rFonts w:ascii="Times New Roman" w:eastAsia="Times New Roman" w:hAnsi="Times New Roman" w:cs="Times New Roman"/>
          <w:color w:val="231F20"/>
          <w:sz w:val="24"/>
          <w:szCs w:val="20"/>
          <w:lang w:eastAsia="lv-LV"/>
        </w:rPr>
      </w:pPr>
    </w:p>
    <w:p w:rsidR="00D6592D" w:rsidRPr="00F253CE" w:rsidRDefault="00D6592D" w:rsidP="006B796E">
      <w:pPr>
        <w:widowControl w:val="0"/>
        <w:spacing w:after="0" w:line="240" w:lineRule="auto"/>
        <w:jc w:val="both"/>
        <w:rPr>
          <w:rFonts w:ascii="Times New Roman" w:eastAsia="Times New Roman" w:hAnsi="Times New Roman" w:cs="Times New Roman"/>
          <w:b/>
          <w:bCs/>
          <w:sz w:val="28"/>
          <w:szCs w:val="24"/>
          <w:lang w:eastAsia="lv-LV"/>
        </w:rPr>
      </w:pPr>
      <w:r w:rsidRPr="00F253CE">
        <w:rPr>
          <w:rFonts w:ascii="Times New Roman" w:eastAsia="Times New Roman" w:hAnsi="Times New Roman" w:cs="Times New Roman"/>
          <w:b/>
          <w:bCs/>
          <w:sz w:val="28"/>
          <w:szCs w:val="24"/>
          <w:lang w:eastAsia="lv-LV"/>
        </w:rPr>
        <w:t>Priekšvārds</w:t>
      </w:r>
    </w:p>
    <w:p w:rsidR="004B7F17" w:rsidRDefault="004B7F17"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Ņemot vērā bērnu paaugstināto neaizsargātību, EDSO daudzus gadus savā cilvēku tirdzniecības programmā priekšplānā ir izvirzījusi bērnu tirdzniecības apkarošanu. Kopš 2003. gadā ir pieņemts EDSO Rīcības plāns cilvēku tirdzniecības apkarošanai un tā turpmākais papildinājums “Par bērnu, kas ir cilvēku tirdzniecības upuri, īpašajām vajadzībām tikt pasargātiem un saņemt palīdzību” [</w:t>
      </w:r>
      <w:r w:rsidRPr="006B796E">
        <w:rPr>
          <w:rFonts w:ascii="Times New Roman" w:eastAsia="Times New Roman" w:hAnsi="Times New Roman" w:cs="Times New Roman"/>
          <w:i/>
          <w:iCs/>
          <w:sz w:val="24"/>
          <w:szCs w:val="24"/>
          <w:lang w:eastAsia="lv-LV"/>
        </w:rPr>
        <w:t>Addendum on Addressing the Special Needs of Child Victims of Trafficking for Protection and Assistance</w:t>
      </w:r>
      <w:r w:rsidRPr="006B796E">
        <w:rPr>
          <w:rFonts w:ascii="Times New Roman" w:eastAsia="Times New Roman" w:hAnsi="Times New Roman" w:cs="Times New Roman"/>
          <w:sz w:val="24"/>
          <w:szCs w:val="24"/>
          <w:lang w:eastAsia="lv-LV"/>
        </w:rPr>
        <w:t>], ir panākts būtisks progress, kā tiek pienācīgi un efektīvi reaģēts uz bērnu tirdzniecību EDSO telpā. Tomēr cilvēku tirdzniecības apkarošanā iesaistītās puses joprojām saskaras ar būtiskiem izaicinājumiem, kā praktiski īstenot savus valsts tiesību aktus un politiskās nostādnes. Joprojām nav sasniegta pilnīga saskaņošana ar EDSO centieniem cilvēku tirdzniecības apkarošanas jomā, jo īpaši attiecībā uz bērniem.</w:t>
      </w:r>
    </w:p>
    <w:p w:rsidR="004B7F17" w:rsidRDefault="004B7F17"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EDSO Alianses pret cilvēku tirdzniecību 17. konferencē tika uzsvērta vajadzība labāk koordinēt valdību centienus bērnu aizsardzības jomā. Efektīvas un funkcionālas bērnu aizsardzības sistēmas var būtiski mazināt cilvēku tirdzniecības riskus un radīt labvēlīgus nosacījumus cilvēku tirdzniecībā cietušo bērnu identificēšanai un palīdzības sniegšanai. Vairākas attiecīgās iesaistītās personas ir uzsvērušas, ka ir jāpievērš vienāda uzmanība visiem “četriem pīlāriem”, proti, novēršanai, aizsardzībai, kriminālvajāšanai un partnerattiecībām, lai nodrošinātu, ka cilvēku tirdzniecības noziegumi tiek risināti visaptverošā un ilgtspējīgā veidā. Lai uzlabotu sadarbību un veicinātu proaktīvus un bērniem piemērotus reaģēšanas pasākumus, mums ir jānodrošina visu cilvēku tirdzniecības apkarošanā iesaistīto pušu savstarpēja saziņa un informācijas apmaiņa. Tam jāattiecas arī uz bērnu aizsardzības dienestiem un pilsoniskās sabiedrības organizācijām izcelsmes, tranzīta un galamērķa valstīs.</w:t>
      </w:r>
    </w:p>
    <w:p w:rsidR="004B7F17" w:rsidRDefault="004B7F17"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Šajā speciālajā pētījumā tiek piedāvāts konkrētu ieteikumu kopums, kuru mērķis ir palīdzēt dalībvalstīm izpildīt savas saistības attiecībā uz cilvēku tirdzniecībā cietušiem bērniem. Pieņemot lēmumus par bērnu pienācīgu aprūpi, izmitināšanu, drošību, repatriāciju un reintegrāciju, primārajam apsvērumam vienmēr jābūt bērnu interešu garantēšanai. Šajā publikācijā galvenā uzmanība pievērsta tam, kā valsts vadītām bērnu aizsardzības iestādēm nodrošināt to bērnu aizsardzību, kas ir cilvēku tirdzniecības upuri. Apkopojot 2017. gada Alianses konferencē konstatētos faktus, šajā pētījumā uzmanība pievērsta lēmumu pieņemšanas procesiem valsts iestādēs. Uzmanība veltīta tam, kā šīs iestādes cenšas nodrošināt visaptverošus, drošus un ilgtspējīgus risinājumus, kas īpaši izstrādāti, lai pasargātu cilvēku tirdzniecībā cietuša bērna intereses.</w:t>
      </w:r>
    </w:p>
    <w:p w:rsidR="004B7F17" w:rsidRDefault="004B7F17"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lastRenderedPageBreak/>
        <w:t>Apzinoties, ka izklāstīto ieteikumu ieviešanai būs nepieciešama politiskā griba, laiks un resursu mobilizēšana, daudznozaru un iekļaujošas pieejas pieņemšana cīņai pret bērnu tirdzniecību tieši un pozitīvi ietekmēs bērnu drošību un labklājību EDSO reģionā. EDSO var būt nozīmīga loma, lai tas notiktu.</w:t>
      </w:r>
    </w:p>
    <w:p w:rsidR="004B7F17" w:rsidRDefault="004B7F17" w:rsidP="006B796E">
      <w:pPr>
        <w:widowControl w:val="0"/>
        <w:spacing w:after="0" w:line="240" w:lineRule="auto"/>
        <w:jc w:val="both"/>
        <w:rPr>
          <w:rFonts w:ascii="Times New Roman" w:eastAsia="Times New Roman" w:hAnsi="Times New Roman" w:cs="Times New Roman"/>
          <w:sz w:val="24"/>
          <w:szCs w:val="24"/>
          <w:lang w:eastAsia="lv-LV"/>
        </w:rPr>
      </w:pPr>
    </w:p>
    <w:tbl>
      <w:tblPr>
        <w:tblW w:w="0" w:type="auto"/>
        <w:tblCellMar>
          <w:top w:w="28" w:type="dxa"/>
          <w:left w:w="28" w:type="dxa"/>
          <w:bottom w:w="28" w:type="dxa"/>
          <w:right w:w="28" w:type="dxa"/>
        </w:tblCellMar>
        <w:tblLook w:val="04A0" w:firstRow="1" w:lastRow="0" w:firstColumn="1" w:lastColumn="0" w:noHBand="0" w:noVBand="1"/>
      </w:tblPr>
      <w:tblGrid>
        <w:gridCol w:w="9071"/>
      </w:tblGrid>
      <w:tr w:rsidR="004B7F17" w:rsidRPr="000E2D02" w:rsidTr="004B7F17">
        <w:tc>
          <w:tcPr>
            <w:tcW w:w="9288" w:type="dxa"/>
          </w:tcPr>
          <w:p w:rsidR="004B7F17" w:rsidRPr="000E2D02" w:rsidRDefault="004B7F17" w:rsidP="00B7131B">
            <w:pPr>
              <w:pStyle w:val="Pamatteksts"/>
              <w:widowControl/>
              <w:kinsoku w:val="0"/>
              <w:overflowPunct w:val="0"/>
              <w:ind w:left="0"/>
              <w:jc w:val="both"/>
              <w:rPr>
                <w:noProof/>
                <w:sz w:val="24"/>
                <w:szCs w:val="24"/>
                <w:lang w:val="en-US"/>
              </w:rPr>
            </w:pPr>
            <w:r w:rsidRPr="000E2D02">
              <w:rPr>
                <w:noProof/>
                <w:lang w:val="en-US"/>
              </w:rPr>
              <w:object w:dxaOrig="2220" w:dyaOrig="765">
                <v:shape id="_x0000_i1057" type="#_x0000_t75" style="width:110.7pt;height:38.05pt" o:ole="">
                  <v:imagedata r:id="rId28" o:title=""/>
                </v:shape>
                <o:OLEObject Type="Embed" ProgID="PBrush" ShapeID="_x0000_i1057" DrawAspect="Content" ObjectID="_1624471413" r:id="rId29"/>
              </w:object>
            </w:r>
          </w:p>
        </w:tc>
      </w:tr>
      <w:tr w:rsidR="004B7F17" w:rsidRPr="000E2D02" w:rsidTr="004B7F17">
        <w:tc>
          <w:tcPr>
            <w:tcW w:w="9288" w:type="dxa"/>
          </w:tcPr>
          <w:p w:rsidR="004B7F17" w:rsidRPr="006B796E" w:rsidRDefault="004B7F17" w:rsidP="004B7F17">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Tomass Gremingers [</w:t>
            </w:r>
            <w:r w:rsidRPr="006B796E">
              <w:rPr>
                <w:rFonts w:ascii="Times New Roman" w:eastAsia="Times New Roman" w:hAnsi="Times New Roman" w:cs="Times New Roman"/>
                <w:b/>
                <w:bCs/>
                <w:i/>
                <w:iCs/>
                <w:sz w:val="24"/>
                <w:szCs w:val="24"/>
                <w:lang w:eastAsia="lv-LV"/>
              </w:rPr>
              <w:t>Thomas Greminger</w:t>
            </w:r>
            <w:r w:rsidRPr="006B796E">
              <w:rPr>
                <w:rFonts w:ascii="Times New Roman" w:eastAsia="Times New Roman" w:hAnsi="Times New Roman" w:cs="Times New Roman"/>
                <w:b/>
                <w:bCs/>
                <w:sz w:val="24"/>
                <w:szCs w:val="24"/>
                <w:lang w:eastAsia="lv-LV"/>
              </w:rPr>
              <w:t>]</w:t>
            </w:r>
          </w:p>
          <w:p w:rsidR="004B7F17" w:rsidRPr="004B7F17" w:rsidRDefault="004B7F17" w:rsidP="004B7F17">
            <w:pPr>
              <w:pStyle w:val="Virsraksts9"/>
              <w:widowControl/>
              <w:kinsoku w:val="0"/>
              <w:overflowPunct w:val="0"/>
              <w:ind w:left="0"/>
              <w:jc w:val="both"/>
              <w:rPr>
                <w:rFonts w:ascii="Times New Roman" w:hAnsi="Times New Roman" w:cs="Times New Roman"/>
                <w:noProof/>
                <w:sz w:val="24"/>
                <w:szCs w:val="24"/>
                <w:lang w:val="en-US"/>
              </w:rPr>
            </w:pPr>
            <w:r w:rsidRPr="004B7F17">
              <w:rPr>
                <w:rFonts w:ascii="Times New Roman" w:hAnsi="Times New Roman" w:cs="Times New Roman"/>
                <w:bCs w:val="0"/>
                <w:sz w:val="24"/>
                <w:szCs w:val="24"/>
              </w:rPr>
              <w:t>EDSO ģenerālsekretārs</w:t>
            </w:r>
          </w:p>
        </w:tc>
      </w:tr>
    </w:tbl>
    <w:p w:rsidR="004B7F17" w:rsidRDefault="004B7F17" w:rsidP="006B796E">
      <w:pPr>
        <w:widowControl w:val="0"/>
        <w:spacing w:after="0" w:line="240" w:lineRule="auto"/>
        <w:jc w:val="both"/>
        <w:rPr>
          <w:rFonts w:ascii="Times New Roman" w:eastAsia="Times New Roman" w:hAnsi="Times New Roman" w:cs="Times New Roman"/>
          <w:sz w:val="24"/>
          <w:szCs w:val="24"/>
          <w:lang w:eastAsia="lv-LV"/>
        </w:rPr>
      </w:pPr>
    </w:p>
    <w:p w:rsidR="004B7F17" w:rsidRDefault="004B7F17">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D6592D" w:rsidRPr="00F253CE" w:rsidRDefault="00D6592D" w:rsidP="006B796E">
      <w:pPr>
        <w:widowControl w:val="0"/>
        <w:spacing w:after="0" w:line="240" w:lineRule="auto"/>
        <w:jc w:val="both"/>
        <w:rPr>
          <w:rFonts w:ascii="Times New Roman" w:eastAsia="Times New Roman" w:hAnsi="Times New Roman" w:cs="Times New Roman"/>
          <w:sz w:val="28"/>
          <w:szCs w:val="24"/>
          <w:lang w:eastAsia="lv-LV"/>
        </w:rPr>
      </w:pPr>
      <w:r w:rsidRPr="00F253CE">
        <w:rPr>
          <w:rFonts w:ascii="Times New Roman" w:eastAsia="Times New Roman" w:hAnsi="Times New Roman" w:cs="Times New Roman"/>
          <w:sz w:val="28"/>
          <w:szCs w:val="24"/>
          <w:lang w:eastAsia="lv-LV"/>
        </w:rPr>
        <w:lastRenderedPageBreak/>
        <w:t>Pateicība</w:t>
      </w:r>
    </w:p>
    <w:p w:rsidR="004B7F17" w:rsidRDefault="004B7F17"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Pirmkārt un galvenokārt EDSO Cilvēku tirdzniecības apkarošanas īpašā pārstāvja un koordinatora birojs vēlētos sirsnīgi pateikties visu EDSO dalībvalstu un sadarbības partneru delegācijām par atbalstu, ko tās sniegušas biroja darbā, un izteikt atzinību to valdībām par centieniem risināt cilvēku tirdzniecības noziegumus iespējami efektīvākā un visaptverošākā veidā, tostarp pievēršot īpašu uzmanību bērnu tirdzniecības postam.</w:t>
      </w:r>
    </w:p>
    <w:p w:rsidR="004B7F17" w:rsidRPr="006B796E" w:rsidRDefault="004B7F17"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Saistībā ar šo publikāciju izsakām ļoti īpašu pateicību šā pētījuma galvenajam izstrādātājam Maikam Dotridžam [</w:t>
      </w:r>
      <w:r w:rsidRPr="006B796E">
        <w:rPr>
          <w:rFonts w:ascii="Times New Roman" w:eastAsia="Times New Roman" w:hAnsi="Times New Roman" w:cs="Times New Roman"/>
          <w:i/>
          <w:iCs/>
          <w:sz w:val="24"/>
          <w:szCs w:val="24"/>
          <w:lang w:eastAsia="lv-LV"/>
        </w:rPr>
        <w:t>Mike Dottridge</w:t>
      </w:r>
      <w:r w:rsidRPr="006B796E">
        <w:rPr>
          <w:rFonts w:ascii="Times New Roman" w:eastAsia="Times New Roman" w:hAnsi="Times New Roman" w:cs="Times New Roman"/>
          <w:sz w:val="24"/>
          <w:szCs w:val="24"/>
          <w:lang w:eastAsia="lv-LV"/>
        </w:rPr>
        <w:t>], kurš kopā ar Alinu Brasoveanu [</w:t>
      </w:r>
      <w:r w:rsidRPr="006B796E">
        <w:rPr>
          <w:rFonts w:ascii="Times New Roman" w:eastAsia="Times New Roman" w:hAnsi="Times New Roman" w:cs="Times New Roman"/>
          <w:i/>
          <w:iCs/>
          <w:sz w:val="24"/>
          <w:szCs w:val="24"/>
          <w:lang w:eastAsia="lv-LV"/>
        </w:rPr>
        <w:t>Alina Brasoveanu</w:t>
      </w:r>
      <w:r w:rsidRPr="006B796E">
        <w:rPr>
          <w:rFonts w:ascii="Times New Roman" w:eastAsia="Times New Roman" w:hAnsi="Times New Roman" w:cs="Times New Roman"/>
          <w:sz w:val="24"/>
          <w:szCs w:val="24"/>
          <w:lang w:eastAsia="lv-LV"/>
        </w:rPr>
        <w:t>] veicis iespaidīgu darbu, sīki izanalizējot pašreizējās problēmas bērnu aizsardzības jomā un cerīgas prakses attiecībā pret esošajiem starptautiskajiem juridiskajiem instrumentiem un citiem attiecīgajiem mehānismiem, kuru mērķis ir atbalstīt pamatprincipu – bērna labāko interešu nodrošināšanu – visā bērna aizsardzības pasākuma īstenošanas procesā.</w:t>
      </w:r>
    </w:p>
    <w:p w:rsidR="004B7F17" w:rsidRPr="006B796E" w:rsidRDefault="004B7F17"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Birojs vēlētos pateikties arī EDSO kolēģiem – Tetjanai Rudenko [</w:t>
      </w:r>
      <w:r w:rsidRPr="006B796E">
        <w:rPr>
          <w:rFonts w:ascii="Times New Roman" w:eastAsia="Times New Roman" w:hAnsi="Times New Roman" w:cs="Times New Roman"/>
          <w:i/>
          <w:iCs/>
          <w:sz w:val="24"/>
          <w:szCs w:val="24"/>
          <w:lang w:eastAsia="lv-LV"/>
        </w:rPr>
        <w:t>Tetiana Rudenko</w:t>
      </w:r>
      <w:r w:rsidRPr="006B796E">
        <w:rPr>
          <w:rFonts w:ascii="Times New Roman" w:eastAsia="Times New Roman" w:hAnsi="Times New Roman" w:cs="Times New Roman"/>
          <w:sz w:val="24"/>
          <w:szCs w:val="24"/>
          <w:lang w:eastAsia="lv-LV"/>
        </w:rPr>
        <w:t>], Žoržīnai Vazai Kabralai [</w:t>
      </w:r>
      <w:r w:rsidRPr="006B796E">
        <w:rPr>
          <w:rFonts w:ascii="Times New Roman" w:eastAsia="Times New Roman" w:hAnsi="Times New Roman" w:cs="Times New Roman"/>
          <w:i/>
          <w:iCs/>
          <w:sz w:val="24"/>
          <w:szCs w:val="24"/>
          <w:lang w:eastAsia="lv-LV"/>
        </w:rPr>
        <w:t>Georgina Vaz Cabral</w:t>
      </w:r>
      <w:r w:rsidRPr="006B796E">
        <w:rPr>
          <w:rFonts w:ascii="Times New Roman" w:eastAsia="Times New Roman" w:hAnsi="Times New Roman" w:cs="Times New Roman"/>
          <w:sz w:val="24"/>
          <w:szCs w:val="24"/>
          <w:lang w:eastAsia="lv-LV"/>
        </w:rPr>
        <w:t>] un Oleksandram Kiriļenko [</w:t>
      </w:r>
      <w:r w:rsidRPr="006B796E">
        <w:rPr>
          <w:rFonts w:ascii="Times New Roman" w:eastAsia="Times New Roman" w:hAnsi="Times New Roman" w:cs="Times New Roman"/>
          <w:i/>
          <w:iCs/>
          <w:sz w:val="24"/>
          <w:szCs w:val="24"/>
          <w:lang w:eastAsia="lv-LV"/>
        </w:rPr>
        <w:t>Oleksandr Kyrylenko</w:t>
      </w:r>
      <w:r w:rsidRPr="006B796E">
        <w:rPr>
          <w:rFonts w:ascii="Times New Roman" w:eastAsia="Times New Roman" w:hAnsi="Times New Roman" w:cs="Times New Roman"/>
          <w:sz w:val="24"/>
          <w:szCs w:val="24"/>
          <w:lang w:eastAsia="lv-LV"/>
        </w:rPr>
        <w:t>], kas vadīja šo izdevumu un nodrošināja nepārtrauktu mūsu koncentrēšanos uz bērnu tirdzniecības apkarošanu, kā arī Sintijai Pekai-Kubačekai [</w:t>
      </w:r>
      <w:r w:rsidRPr="006B796E">
        <w:rPr>
          <w:rFonts w:ascii="Times New Roman" w:eastAsia="Times New Roman" w:hAnsi="Times New Roman" w:cs="Times New Roman"/>
          <w:i/>
          <w:iCs/>
          <w:sz w:val="24"/>
          <w:szCs w:val="24"/>
          <w:lang w:eastAsia="lv-LV"/>
        </w:rPr>
        <w:t>Cynthia Peck-Kubaczek</w:t>
      </w:r>
      <w:r w:rsidRPr="006B796E">
        <w:rPr>
          <w:rFonts w:ascii="Times New Roman" w:eastAsia="Times New Roman" w:hAnsi="Times New Roman" w:cs="Times New Roman"/>
          <w:sz w:val="24"/>
          <w:szCs w:val="24"/>
          <w:lang w:eastAsia="lv-LV"/>
        </w:rPr>
        <w:t>] par teksta rūpīgu rediģēšanu un pārlasīšanu.</w:t>
      </w:r>
    </w:p>
    <w:p w:rsidR="004B7F17" w:rsidRPr="006B796E" w:rsidRDefault="004B7F17"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Visbeidzot ar milzīgu prieku pateicamies arī visiem ekspertiem un partneriem, kas sniedza ieguldījumu mūsu 2017. gada Alianses pret cilvēku tirdzniecību konferencē par bērnu tirdzniecību un bērna labākām interesēm, bez kuru kompetences un nodošanās šim darbam šā pētījuma publikācija nesaņemtu pietiekamu impulsu. Šis pētījums ir veltīts neskaitāmiem bērniem, kuriem nepieciešama mūsu gādība un atbalsts.</w:t>
      </w:r>
    </w:p>
    <w:p w:rsidR="004B7F17" w:rsidRPr="006B796E" w:rsidRDefault="004B7F17"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4B7F17">
      <w:pPr>
        <w:widowControl w:val="0"/>
        <w:spacing w:after="0" w:line="240" w:lineRule="auto"/>
        <w:jc w:val="center"/>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“Šis pētījums ir veltīts neskaitāmiem bērniem, kuriem nepieciešama mūsu gādība un atbalsts.”</w:t>
      </w:r>
    </w:p>
    <w:p w:rsidR="004B7F17" w:rsidRDefault="004B7F17">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D6592D" w:rsidRPr="00F253CE" w:rsidRDefault="00D6592D" w:rsidP="006B796E">
      <w:pPr>
        <w:widowControl w:val="0"/>
        <w:spacing w:after="0" w:line="240" w:lineRule="auto"/>
        <w:jc w:val="both"/>
        <w:rPr>
          <w:rFonts w:ascii="Times New Roman" w:eastAsia="Times New Roman" w:hAnsi="Times New Roman" w:cs="Times New Roman"/>
          <w:sz w:val="28"/>
          <w:szCs w:val="24"/>
          <w:lang w:eastAsia="lv-LV"/>
        </w:rPr>
      </w:pPr>
      <w:r w:rsidRPr="00F253CE">
        <w:rPr>
          <w:rFonts w:ascii="Times New Roman" w:eastAsia="Times New Roman" w:hAnsi="Times New Roman" w:cs="Times New Roman"/>
          <w:sz w:val="28"/>
          <w:szCs w:val="24"/>
          <w:lang w:eastAsia="lv-LV"/>
        </w:rPr>
        <w:lastRenderedPageBreak/>
        <w:t>Kopsavilkums</w:t>
      </w:r>
    </w:p>
    <w:p w:rsidR="004B7F17" w:rsidRDefault="004B7F17"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Šajā speciālajā pētījumā galvenā uzmanība pievērsta tam, kā valsts vadītām bērnu aizsardzības iestādēm nodrošināt cilvēku tirdzniecībā cietušo bērnu aizsardzību. Tajā nav pārskatīti visi pasākumi, kas nepieciešami visos bērna, kas ir cilvēku tirdzniecības upuris, aizsardzības un palīdzības sniegšanas posmos, bet galvenā uzmanība pievērsta turpmāk minētajiem rīcības posmiem:</w:t>
      </w:r>
    </w:p>
    <w:p w:rsidR="004B7F17" w:rsidRPr="006B796E" w:rsidRDefault="004B7F17"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1. Lēmumu pieņemšanas process, kurā izvēlas visaptverošu, drošu un ilgtspējīgu risinājumu bērna interesēs (t. i., risinājumus, kurus dažkārt dēvē par “pastāvīgiem risinājumiem”) attiecībā uz:</w:t>
      </w:r>
    </w:p>
    <w:p w:rsidR="004B7F17" w:rsidRPr="006B796E" w:rsidRDefault="004B7F17"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i) bērniem, kuri ir ārpus savas izcelsmes valsts (nepavadīti, nošķirti vai pavadībā), tostarp attiecībā uz šāda bērna imigrācijas statusa sakārtošanu;</w:t>
      </w:r>
    </w:p>
    <w:p w:rsidR="004B7F17" w:rsidRDefault="004B7F17"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ii) bērniem, kas nav atstājuši savu valsti;</w:t>
      </w:r>
    </w:p>
    <w:p w:rsidR="004B7F17" w:rsidRDefault="004B7F17"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 Šādu risinājumu īstenošana;</w:t>
      </w:r>
    </w:p>
    <w:p w:rsidR="004B7F17" w:rsidRDefault="004B7F17"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3. Vidēja termiņa un ilgtermiņa palīdzības sniegšana, lai nodrošinātu ikviena bērna pienācīgu atlabšanu (“re/integrāciju”) bērna izcelsmes valstī vai vietā, vai kur citur.</w:t>
      </w:r>
    </w:p>
    <w:p w:rsidR="004B7F17" w:rsidRDefault="004B7F17"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Šā pētījuma 2. nodaļā ir noteikti bērna tiesību principi, pamatojoties uz kuriem tiek īstenota cilvēku tirdzniecībā cietušo bērnu aizsardzība. Pirmais un galvenais princips ir tāds, ka visās darbībās, kas skar bērnus (viss, kas tiek darīts, lai aizsargātu cilvēku tirdzniecībā cietušos bērnus vai apkarotu bērnu tirdzniecību), primārajam apsvērumam jābūt bērna interesēm.</w:t>
      </w:r>
    </w:p>
    <w:p w:rsidR="004B7F17" w:rsidRDefault="004B7F17"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Pētījuma 3. nodaļā ir skaidrots, kādi lēmumi kopumā jāpieņem attiecībā uz bērniem, kas ir cilvēku tirdzniecības upuri, un kurā aizsardzības procesa brīdī tie notiek. Tajā uzsvērts, ka bērnu aizsardzības speciālistiem iespēju robežās jāuzņemas vadošā lēmumu pieņemšanas loma, un ir sniegta atsauce uz Zviedrijas Rokasgrāmatu par nacionālo mehānismu cietušo nosūtīšanai, kurā uzsvērti rīcības punkti, kas nepieciešami attiecībā uz bērniem un jauniešiem. Šajā nodaļā ir izvērtēts arī bērnu pajumtes (</w:t>
      </w:r>
      <w:r w:rsidRPr="006B796E">
        <w:rPr>
          <w:rFonts w:ascii="Times New Roman" w:eastAsia="Times New Roman" w:hAnsi="Times New Roman" w:cs="Times New Roman"/>
          <w:i/>
          <w:iCs/>
          <w:sz w:val="24"/>
          <w:szCs w:val="24"/>
          <w:lang w:eastAsia="lv-LV"/>
        </w:rPr>
        <w:t>Barnahus</w:t>
      </w:r>
      <w:r w:rsidRPr="006B796E">
        <w:rPr>
          <w:rFonts w:ascii="Times New Roman" w:eastAsia="Times New Roman" w:hAnsi="Times New Roman" w:cs="Times New Roman"/>
          <w:sz w:val="24"/>
          <w:szCs w:val="24"/>
          <w:lang w:eastAsia="lv-LV"/>
        </w:rPr>
        <w:t>) modelis, ko izmanto, lai censtos nodrošināt, ka cietušie bērni netiek pakļauti atkārtotām iztaujāšanām par tiem pašiem jautājumiem.</w:t>
      </w:r>
    </w:p>
    <w:p w:rsidR="004B7F17" w:rsidRDefault="004B7F17"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Savukārt 4. nodaļā ir sīkāk aprakstīts bērna, kas ir cilvēku tirdzniecības upuris, pagaidu aprūpes posms, proti, periods, kurā bērnu aizsardzības iestādes gatavo galvenos lēmumus, kas ietekmē bērnu. Tiek izvērtēts, vai bērnam, kas ir cilvēku tirdzniecības upuris, jāpiemēro alternatīva aprūpe, un raksturoti ANO Pamatnostādnēs par bērnu alternatīvo aprūpi ieteiktie novērtējuma veidi. Ja attiecībā uz nepavadītiem (vai šķietami nepavadītiem) bērniem tiek konstatēts, ka viņi varētu būt cilvēku tirdzniecības upuri, ANO Pamatnostādnēs noteiktais “obligātuma princips” nozīmē, ka bērnam ir nekavējoties jānodrošina alternatīvā aprūpe. Šādos gadījumos par lēmuma pieņemšanu atbildīgajai iestādei ir jānovērtē riski, ar kuriem saskaras bērns, un tas, kā tie ietekmē šā bērna ievietošanu, reģistrējot visus faktorus, kas ņemti vērā, kad tika lemts par to, kur izvietot bērnu un kādi pasākumi nepieciešami, lai pasargātu viņu no visiem identificētajiem riskiem. Tiek uzsvērts, cik svarīgi ir nepieļaut bērnu, kas iespējami ir cilvēku tirdzniecības upuri, ievietošanu jebkāda veida ieslodzījuma vietā vai cita veida aizturēšanas situāciju. Tiek apspriests arī risks, ka cietušais bērns var tikt pakļauts turpmākai ļaunprātīgai rīcībai patvēruma vietā vai aprūpes namā, kā arī aplūkoti daži pasākumi, kas ir būtiski, lai to novērstu.</w:t>
      </w:r>
    </w:p>
    <w:p w:rsidR="004B7F17" w:rsidRDefault="004B7F17"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lastRenderedPageBreak/>
        <w:t>Pētījuma 5. nodaļā ir izvērtētas bērna intereses un tas, kā izpratni par to, ko tas nozīmē, var īstenot lēmumu pieņemšanas procesā ne tikai valstīs, kur nepavadīti bērni ir identificēti, bet arī bērnu izcelsmes valstīs.</w:t>
      </w:r>
    </w:p>
    <w:p w:rsidR="004B7F17" w:rsidRDefault="004B7F17"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Pētījuma 6. nodaļā ir aplūkota attiecībā uz bērniem, kas ir cilvēku tirdzniecības upuri, pieņemto lēmumu īstenošanas pieredze, īpaši pievēršot uzmanību lietu pārvaldībai un aprūpes plāniem, kas veicina bērnu pienācīgu reintegrāciju. Tajā ir aprakstītas dažas priekšrocības, ko sniedz cilvēku tirdzniecībā cietušā bērna “dzīves plāna” sagatavošana. Ir aplūkoti arī atbilstoši pasākumi, kas veicami, lai mazinātu varbūtību, ka alternatīvās aprūpes iestādē ievietotais bērns, kas ir cilvēku tirdzniecības upuris, varētu no tās aiziet un “pazust”.</w:t>
      </w:r>
    </w:p>
    <w:p w:rsidR="004B7F17" w:rsidRDefault="004B7F17">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4B7F17" w:rsidRDefault="004B7F17" w:rsidP="006B796E">
      <w:pPr>
        <w:widowControl w:val="0"/>
        <w:spacing w:after="0" w:line="240" w:lineRule="auto"/>
        <w:jc w:val="both"/>
        <w:rPr>
          <w:rFonts w:ascii="Times New Roman" w:eastAsia="Times New Roman" w:hAnsi="Times New Roman" w:cs="Times New Roman"/>
          <w:sz w:val="24"/>
          <w:szCs w:val="24"/>
          <w:lang w:eastAsia="lv-LV"/>
        </w:rPr>
      </w:pPr>
      <w:r w:rsidRPr="000E2D02">
        <w:rPr>
          <w:noProof/>
          <w:sz w:val="24"/>
          <w:szCs w:val="24"/>
          <w:lang w:eastAsia="lv-LV"/>
        </w:rPr>
        <w:lastRenderedPageBreak/>
        <w:drawing>
          <wp:inline distT="0" distB="0" distL="0" distR="0">
            <wp:extent cx="5720080" cy="2232660"/>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0080" cy="2232660"/>
                    </a:xfrm>
                    <a:prstGeom prst="rect">
                      <a:avLst/>
                    </a:prstGeom>
                    <a:noFill/>
                    <a:ln>
                      <a:noFill/>
                    </a:ln>
                  </pic:spPr>
                </pic:pic>
              </a:graphicData>
            </a:graphic>
          </wp:inline>
        </w:drawing>
      </w:r>
    </w:p>
    <w:p w:rsidR="004B7F17" w:rsidRDefault="004B7F17"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Alianses pret cilvēku tirdzniecību konference par bērnu tirdzniecību un bērna interesēm, 2017. gads</w:t>
      </w:r>
    </w:p>
    <w:p w:rsidR="004B7F17" w:rsidRDefault="004B7F17" w:rsidP="006B796E">
      <w:pPr>
        <w:widowControl w:val="0"/>
        <w:spacing w:after="0" w:line="240" w:lineRule="auto"/>
        <w:jc w:val="both"/>
        <w:rPr>
          <w:rFonts w:ascii="Times New Roman" w:eastAsia="Times New Roman" w:hAnsi="Times New Roman" w:cs="Times New Roman"/>
          <w:sz w:val="24"/>
          <w:szCs w:val="24"/>
          <w:lang w:eastAsia="lv-LV"/>
        </w:rPr>
      </w:pPr>
    </w:p>
    <w:p w:rsidR="004B7F17" w:rsidRDefault="004B7F17"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Pētījuma 7. nodaļā apkopoti principi, kas attiecas uz cilvēku tirdzniecībā cietušā bērna iespējamo atpakaļnosūtīšanu uz viņa izcelsmes valsti, uzsverot tiesiskās garantijas, kas ir būtiskas. Tajā ir aplūkoti divpusējie un daudzpusējie pamata noteikumi, kas reglamentē nepavadītu bērnu atpakaļnosūtīšanu, un apspriesti gadījumi, kuros bērniem, kas ir cilvēku tirdzniecības upuri, pēc viņu atgriešanās izcelsmes valstī ir piemēroti ierobežojumi.</w:t>
      </w:r>
    </w:p>
    <w:p w:rsidR="004B7F17" w:rsidRPr="006B796E" w:rsidRDefault="004B7F17"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Visbeidzot 8. nodaļā ir sniegti vairāki ieteikumi EDSO dalībvalstīm, atzīmējot, ka tie ir paredzēti, lai papildinātu, nevis aizstātu dalībvalstīm jau iepriekš ieteiktos pasākumus. Šo ieteikumu būtība ir tāda, ka bērnu tirdzniecība jārisina kā bērna aizsardzības jautājums saskaņā ar bērnu aizsardzības pamata noteikumiem, kur bērnu aizsardzības speciālistiem ir vadošā loma visās lēmumu pieņemšanas procedūrās, kas varētu būtiski ietekmēt bērnu, kas ir cilvēku tirdzniecības upuris.</w:t>
      </w:r>
    </w:p>
    <w:p w:rsidR="004B7F17" w:rsidRPr="006B796E" w:rsidRDefault="004B7F17"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Šim speciālajam pētījumam ir divi pielikumi – pirmajā ir citēts Kopīgais vispārējais komentārs, ko 2017. gadā izdeva divas līguma izpildes uzraudzības ANO struktūras, un otrajā ir apkopoti punkti no </w:t>
      </w:r>
      <w:r w:rsidRPr="006B796E">
        <w:rPr>
          <w:rFonts w:ascii="Times New Roman" w:eastAsia="Times New Roman" w:hAnsi="Times New Roman" w:cs="Times New Roman"/>
          <w:i/>
          <w:iCs/>
          <w:sz w:val="24"/>
          <w:szCs w:val="24"/>
          <w:lang w:eastAsia="lv-LV"/>
        </w:rPr>
        <w:t>UNICEF</w:t>
      </w:r>
      <w:r w:rsidRPr="006B796E">
        <w:rPr>
          <w:rFonts w:ascii="Times New Roman" w:eastAsia="Times New Roman" w:hAnsi="Times New Roman" w:cs="Times New Roman"/>
          <w:sz w:val="24"/>
          <w:szCs w:val="24"/>
          <w:lang w:eastAsia="lv-LV"/>
        </w:rPr>
        <w:t xml:space="preserve"> tipveida divpusējā nolīguma, kas attiecas uz cilvēku tirdzniecībā cietušiem bērniem.</w:t>
      </w:r>
    </w:p>
    <w:p w:rsidR="004B7F17" w:rsidRDefault="004B7F17">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F253CE" w:rsidRDefault="00F253CE" w:rsidP="006B796E">
      <w:pPr>
        <w:widowControl w:val="0"/>
        <w:spacing w:after="0" w:line="240" w:lineRule="auto"/>
        <w:jc w:val="both"/>
        <w:rPr>
          <w:rFonts w:ascii="Times New Roman" w:eastAsia="Times New Roman" w:hAnsi="Times New Roman" w:cs="Times New Roman"/>
          <w:sz w:val="28"/>
          <w:szCs w:val="24"/>
          <w:lang w:eastAsia="lv-LV"/>
        </w:rPr>
      </w:pPr>
      <w:r w:rsidRPr="00F253CE">
        <w:rPr>
          <w:rFonts w:ascii="Times New Roman" w:eastAsia="Times New Roman" w:hAnsi="Times New Roman" w:cs="Times New Roman"/>
          <w:noProof/>
          <w:sz w:val="28"/>
          <w:szCs w:val="24"/>
          <w:lang w:eastAsia="lv-LV"/>
        </w:rPr>
        <w:lastRenderedPageBreak/>
        <w:drawing>
          <wp:inline distT="0" distB="0" distL="0" distR="0">
            <wp:extent cx="5760085" cy="7693556"/>
            <wp:effectExtent l="0" t="0" r="0" b="317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7693556"/>
                    </a:xfrm>
                    <a:prstGeom prst="rect">
                      <a:avLst/>
                    </a:prstGeom>
                    <a:noFill/>
                    <a:ln>
                      <a:noFill/>
                    </a:ln>
                  </pic:spPr>
                </pic:pic>
              </a:graphicData>
            </a:graphic>
          </wp:inline>
        </w:drawing>
      </w:r>
    </w:p>
    <w:p w:rsidR="00F253CE" w:rsidRDefault="00F253CE" w:rsidP="006B796E">
      <w:pPr>
        <w:widowControl w:val="0"/>
        <w:spacing w:after="0" w:line="240" w:lineRule="auto"/>
        <w:jc w:val="both"/>
        <w:rPr>
          <w:rFonts w:ascii="Times New Roman" w:eastAsia="Times New Roman" w:hAnsi="Times New Roman" w:cs="Times New Roman"/>
          <w:sz w:val="28"/>
          <w:szCs w:val="24"/>
          <w:lang w:eastAsia="lv-LV"/>
        </w:rPr>
      </w:pPr>
    </w:p>
    <w:p w:rsidR="004B7F17" w:rsidRDefault="004B7F17">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lastRenderedPageBreak/>
        <w:t>Šajā speciālajā pētījumā galvenā uzmanība ir pievērsta cilvēku tirdzniecībā cietušo bērnu aizsardzībai</w:t>
      </w:r>
      <w:r w:rsidR="00173D80">
        <w:rPr>
          <w:rStyle w:val="Vresatsauce"/>
          <w:rFonts w:ascii="Times New Roman" w:eastAsia="Times New Roman" w:hAnsi="Times New Roman" w:cs="Times New Roman"/>
          <w:sz w:val="24"/>
          <w:szCs w:val="24"/>
          <w:lang w:eastAsia="lv-LV"/>
        </w:rPr>
        <w:footnoteReference w:id="1"/>
      </w:r>
      <w:r w:rsidRPr="006B796E">
        <w:rPr>
          <w:rFonts w:ascii="Times New Roman" w:eastAsia="Times New Roman" w:hAnsi="Times New Roman" w:cs="Times New Roman"/>
          <w:sz w:val="24"/>
          <w:szCs w:val="24"/>
          <w:lang w:eastAsia="lv-LV"/>
        </w:rPr>
        <w:t>,</w:t>
      </w:r>
      <w:r w:rsidRPr="006B796E">
        <w:rPr>
          <w:rFonts w:ascii="Times New Roman" w:eastAsia="Times New Roman" w:hAnsi="Times New Roman" w:cs="Times New Roman"/>
          <w:sz w:val="24"/>
          <w:szCs w:val="24"/>
          <w:vertAlign w:val="superscript"/>
          <w:lang w:eastAsia="lv-LV"/>
        </w:rPr>
        <w:t> </w:t>
      </w:r>
      <w:r w:rsidRPr="006B796E">
        <w:rPr>
          <w:rFonts w:ascii="Times New Roman" w:eastAsia="Times New Roman" w:hAnsi="Times New Roman" w:cs="Times New Roman"/>
          <w:sz w:val="24"/>
          <w:szCs w:val="24"/>
          <w:lang w:eastAsia="lv-LV"/>
        </w:rPr>
        <w:t>ko nodrošina bērnu aizsardzības valsts iestādes, jo īpaši saistībā ar valsts iestāžu (vai “likumā noteikto” iestāžu) lēmumu pieņemšanu attiecībā uz visaptverošiem, drošiem un ilgtspējīgiem risinājumiem</w:t>
      </w:r>
      <w:r w:rsidR="00173D80">
        <w:rPr>
          <w:rStyle w:val="Vresatsauce"/>
          <w:rFonts w:ascii="Times New Roman" w:eastAsia="Times New Roman" w:hAnsi="Times New Roman" w:cs="Times New Roman"/>
          <w:sz w:val="24"/>
          <w:szCs w:val="24"/>
          <w:lang w:eastAsia="lv-LV"/>
        </w:rPr>
        <w:footnoteReference w:id="2"/>
      </w:r>
      <w:r w:rsidRPr="006B796E">
        <w:rPr>
          <w:rFonts w:ascii="Times New Roman" w:eastAsia="Times New Roman" w:hAnsi="Times New Roman" w:cs="Times New Roman"/>
          <w:sz w:val="24"/>
          <w:szCs w:val="24"/>
          <w:lang w:eastAsia="lv-LV"/>
        </w:rPr>
        <w:t>,</w:t>
      </w:r>
      <w:r w:rsidRPr="006B796E">
        <w:rPr>
          <w:rFonts w:ascii="Times New Roman" w:eastAsia="Times New Roman" w:hAnsi="Times New Roman" w:cs="Times New Roman"/>
          <w:sz w:val="24"/>
          <w:szCs w:val="24"/>
          <w:vertAlign w:val="superscript"/>
          <w:lang w:eastAsia="lv-LV"/>
        </w:rPr>
        <w:t> </w:t>
      </w:r>
      <w:r w:rsidRPr="006B796E">
        <w:rPr>
          <w:rFonts w:ascii="Times New Roman" w:eastAsia="Times New Roman" w:hAnsi="Times New Roman" w:cs="Times New Roman"/>
          <w:sz w:val="24"/>
          <w:szCs w:val="24"/>
          <w:lang w:eastAsia="lv-LV"/>
        </w:rPr>
        <w:t>kas ir to bērnu interesēs, kuri ir cilvēku tirdzniecības upuri.</w:t>
      </w:r>
    </w:p>
    <w:p w:rsidR="004B7F17" w:rsidRPr="006B796E" w:rsidRDefault="004B7F17" w:rsidP="006B796E">
      <w:pPr>
        <w:widowControl w:val="0"/>
        <w:spacing w:after="0" w:line="240" w:lineRule="auto"/>
        <w:jc w:val="both"/>
        <w:rPr>
          <w:rFonts w:ascii="Times New Roman" w:eastAsia="Times New Roman" w:hAnsi="Times New Roman" w:cs="Times New Roman"/>
          <w:sz w:val="24"/>
          <w:szCs w:val="20"/>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Tajā ir aplūkota valsts bērnu aizsardzības sistēmu loma, lai panāktu, ka bērni, kas ir cilvēku tirdzniecības upuri, varētu atlabt un atsākt dzīvot savu dzīvi. Pētījumā tostarp ir sniegts pārskats par to, kādus pasākumus dalībvalstis ir veikušas un var veikt, lai īstenotu ieteikumu, kas ietverts EDSO 2016. gada ziņojumā par apsekojumu attiecībā uz EDSO Rīcības plāna cilvēku tirdzniecības apkarošanai īstenošanu, proti,</w:t>
      </w:r>
    </w:p>
    <w:p w:rsidR="00173D80" w:rsidRPr="006B796E" w:rsidRDefault="00173D8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“nodrošināt, ka centieni novērst bērnu tirdzniecību un reaģēt uz to ir iekļauti plašākā bērnu aizsardzības satvarā. Tieši valstīm jānodrošina, ka tiesības, kas garantētas ANO Bērnu tiesību konvencijā (BTK), tostarp attiecībā uz bērna interešu noteikšanu, bērnam tiek garantētas neatkarīgi no tā, vai viņam ir piešķirts cilvēku tirdzniecības upura statuss.”</w:t>
      </w:r>
      <w:r w:rsidR="002561F2">
        <w:rPr>
          <w:rStyle w:val="Vresatsauce"/>
          <w:rFonts w:ascii="Times New Roman" w:eastAsia="Times New Roman" w:hAnsi="Times New Roman" w:cs="Times New Roman"/>
          <w:sz w:val="24"/>
          <w:szCs w:val="24"/>
          <w:lang w:eastAsia="lv-LV"/>
        </w:rPr>
        <w:footnoteReference w:id="3"/>
      </w:r>
    </w:p>
    <w:p w:rsidR="00173D80" w:rsidRDefault="00173D8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Alianses pret cilvēku tirdzniecību 17. konferencē “Bērnu tirdzniecība un bērna intereses”, kas notika Vīnē 2017. gada 3.–4. aprīlī, tika apliecināts, ka EDSO ir jāturpina pievērsties tādām tēmām kā apdraudējums bērniem krīzes situācijās, faktori, kas paaugstina bērna neaizsargātību, bērnu aizsardzības esošo sistēmu atbilstība un politiskās nostādnes un pasākumi, kas nodrošina, ka visās darbībās, kas skar bērnus, primārais apsvērums ir bērna intereses.</w:t>
      </w:r>
    </w:p>
    <w:p w:rsidR="002561F2" w:rsidRPr="006B796E" w:rsidRDefault="002561F2"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Šajā speciālajā pētījumā īpaša uzmanība ir pievērsta konkrētiem rīcības posmiem, kas veicami, lai nodrošinātu cilvēku tirdzniecībā cietušo bērnu (kā arī jaunu pieaugušo, kas kļuvuši par tirdzniecības upuriem, būdami bērni) aizsardzību un sniegtu viņiem palīdzību, proti:</w:t>
      </w:r>
    </w:p>
    <w:p w:rsidR="002561F2" w:rsidRPr="006B796E" w:rsidRDefault="002561F2"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1. Lēmumu pieņemšanas process pēc identifikācijas, kurā izvēlas visaptverošu, drošu un ilgtspējīgu risinājumu bērna interesēs (t. i., risinājumu, kuru agrāk dēvēja par “pastāvīgu risinājumu”) attiecībā uz:</w:t>
      </w:r>
    </w:p>
    <w:p w:rsidR="002561F2" w:rsidRPr="006B796E" w:rsidRDefault="002561F2"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i) bērniem, kuri ir ārpus savas izcelsmes valsts (nepavadīti, nošķirti vai pavadībā), tostarp attiecībā uz šādu bērnu imigrācijas statusa sakārtošanu;</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ii) bērniem, kas nav atstājuši savu valsti;</w:t>
      </w:r>
    </w:p>
    <w:p w:rsidR="002561F2" w:rsidRDefault="002561F2"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 Šādu risinājumu īstenošana;</w:t>
      </w:r>
    </w:p>
    <w:p w:rsidR="002561F2" w:rsidRDefault="002561F2"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lastRenderedPageBreak/>
        <w:t>3. Vidēja termiņa un ilgtermiņa palīdzības sniegšana, lai nodrošinātu ikviena bērna pienācīgu atlabšanu (“re/integrāciju”) bērna izcelsmes valstī vai vietā, vai kur citur.</w:t>
      </w:r>
    </w:p>
    <w:p w:rsidR="002561F2" w:rsidRDefault="002561F2"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Tas nozīmē, ka šajā speciālajā pētījumā netiek tieši risināta bērnu, kas ir cilvēku tirdzniecības upuri, aizsardzība agrīnajos posmos, proti, bērnu identifikācija, viņu atbrīvošana no cilvēku tirgotāju kontroles un viņu iesaistīšana krimināltiesību sistēmā nozieguma upuru vai nozieguma liecinieku statusā, tostarp, lai pēdējiem no minētajiem nodrošinātu tiesas pieejamību tiesiskās aizsardzības līdzekļu saņemšanai, kā arī lai nodrošinātu viņu tiesības netikt sodītiem par nelikumīgu iekļūšanu vai dzīvošanu tranzīta un galamērķa valstīs vai par viņu iesaistīšanos nelikumīgās darbībās, ciktāl šī iesaistīšanās ir bijusi cilvēku tirdzniecības tiešas sekas.</w:t>
      </w:r>
      <w:r w:rsidR="002561F2">
        <w:rPr>
          <w:rStyle w:val="Vresatsauce"/>
          <w:rFonts w:ascii="Times New Roman" w:eastAsia="Times New Roman" w:hAnsi="Times New Roman" w:cs="Times New Roman"/>
          <w:sz w:val="24"/>
          <w:szCs w:val="24"/>
          <w:lang w:eastAsia="lv-LV"/>
        </w:rPr>
        <w:footnoteReference w:id="4"/>
      </w:r>
    </w:p>
    <w:p w:rsidR="002561F2" w:rsidRPr="006B796E" w:rsidRDefault="002561F2"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Visbeidzot, īpaši aplūkojot to, kādā veidā valsts bērnu aizsardzības sistēmas var pienācīgi aprīkot, lai pilnībā risinātu bērnu, kas ir cilvēku tirdzniecības upuri, vajadzības, šis pētījums var būt noderīgs, veidojot pamatu cietušo nosūtīšanas mehānismu un bērna labklājībā iesaistīto pušu lielākai sinerģijai. Tam jānodrošina aizsardzības pasākumu savstarpēja papildināmība.</w:t>
      </w:r>
      <w:r w:rsidR="002561F2">
        <w:rPr>
          <w:rStyle w:val="Vresatsauce"/>
          <w:rFonts w:ascii="Times New Roman" w:eastAsia="Times New Roman" w:hAnsi="Times New Roman" w:cs="Times New Roman"/>
          <w:sz w:val="24"/>
          <w:szCs w:val="24"/>
          <w:lang w:eastAsia="lv-LV"/>
        </w:rPr>
        <w:footnoteReference w:id="5"/>
      </w:r>
    </w:p>
    <w:p w:rsidR="002561F2" w:rsidRDefault="002561F2">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lastRenderedPageBreak/>
        <w:t>1.1. Kas ir “bērnu aizsardzība”?</w:t>
      </w:r>
    </w:p>
    <w:p w:rsidR="002561F2" w:rsidRDefault="002561F2"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Apzīmējums “aizsardzība” ietver visus īpašos pasākumus, ko veic, lai nodrošinātu, ka riskam pakļautās personas izmanto tām saskaņā ar starptautiskām konvencijām paredzētās tiesības un palīdzību. Kādu aizsargāt nozīmē, ka tiek atzīts, ka šīm personām ir tiesības un ka iestādēm, kurām ir vara pār šīm personām, ir saistību pienākumi, kā arī tiek nodrošināts, ka šīs saistības tiek pienācīgi un efektīvi īstenotas. ANO Bērnu tiesību konvencijā (1989) ir noteikts, ka valstīm ir jāveic pasākumi, lai ikvienu bērnu aizsargātu “pret jebkāda veida fizisku vai psiholoģisku vardarbību, miesas bojājumiem vai nežēlīgu, nevērīgu vai nolaidīgu izturēšanos, sliktu izturēšanos vai ekspluatāciju, tostarp pret seksuālu vardarbību, kamēr viņš ir vecāku, aizbildņu vai jebkuras citas par bērnu atbildīgas personas aprūpē” (19. pants). ANO Bērnu fonds (</w:t>
      </w:r>
      <w:r w:rsidRPr="006B796E">
        <w:rPr>
          <w:rFonts w:ascii="Times New Roman" w:eastAsia="Times New Roman" w:hAnsi="Times New Roman" w:cs="Times New Roman"/>
          <w:i/>
          <w:iCs/>
          <w:sz w:val="24"/>
          <w:szCs w:val="24"/>
          <w:lang w:eastAsia="lv-LV"/>
        </w:rPr>
        <w:t>UNICEF</w:t>
      </w:r>
      <w:r w:rsidRPr="006B796E">
        <w:rPr>
          <w:rFonts w:ascii="Times New Roman" w:eastAsia="Times New Roman" w:hAnsi="Times New Roman" w:cs="Times New Roman"/>
          <w:sz w:val="24"/>
          <w:szCs w:val="24"/>
          <w:lang w:eastAsia="lv-LV"/>
        </w:rPr>
        <w:t>) izmanto terminu “bērnu aizsardzība”, apzīmējot novēršanas un reaģēšanas pasākumus attiecībā uz vardarbību pret bērniem, kā arī attiecībā uz viņu ekspluatāciju un pret viņiem īstenotu ļaunprātīgu rīcību, tostarp komerciālu seksuālu izmantošanu, bērnu tirdzniecību, bērnu darbu un kaitīgām tradicionālām ieražām, piemēram, bērnu laulību.</w:t>
      </w:r>
      <w:r w:rsidR="002561F2">
        <w:rPr>
          <w:rStyle w:val="Vresatsauce"/>
          <w:rFonts w:ascii="Times New Roman" w:eastAsia="Times New Roman" w:hAnsi="Times New Roman" w:cs="Times New Roman"/>
          <w:sz w:val="24"/>
          <w:szCs w:val="24"/>
          <w:lang w:eastAsia="lv-LV"/>
        </w:rPr>
        <w:footnoteReference w:id="6"/>
      </w:r>
      <w:r w:rsidRPr="006B796E">
        <w:rPr>
          <w:rFonts w:ascii="Times New Roman" w:eastAsia="Times New Roman" w:hAnsi="Times New Roman" w:cs="Times New Roman"/>
          <w:sz w:val="24"/>
          <w:szCs w:val="24"/>
          <w:lang w:eastAsia="lv-LV"/>
        </w:rPr>
        <w:t> </w:t>
      </w:r>
      <w:r w:rsidRPr="006B796E">
        <w:rPr>
          <w:rFonts w:ascii="Times New Roman" w:eastAsia="Times New Roman" w:hAnsi="Times New Roman" w:cs="Times New Roman"/>
          <w:i/>
          <w:iCs/>
          <w:sz w:val="24"/>
          <w:szCs w:val="24"/>
          <w:lang w:eastAsia="lv-LV"/>
        </w:rPr>
        <w:t>UNICEF</w:t>
      </w:r>
      <w:r w:rsidRPr="006B796E">
        <w:rPr>
          <w:rFonts w:ascii="Times New Roman" w:eastAsia="Times New Roman" w:hAnsi="Times New Roman" w:cs="Times New Roman"/>
          <w:sz w:val="24"/>
          <w:szCs w:val="24"/>
          <w:lang w:eastAsia="lv-LV"/>
        </w:rPr>
        <w:t xml:space="preserve"> uzsver, cik nozīmīgi ir saprast pamatcēloņus un risināt tos kopā, nevis atsevišķi, lai valsts bērnu aizsardzības sistēmas varētu risināt visu riska faktoru spektru bērnu dzīvē un viņu ģimenēs.</w:t>
      </w:r>
      <w:r w:rsidR="002561F2">
        <w:rPr>
          <w:rStyle w:val="Vresatsauce"/>
          <w:rFonts w:ascii="Times New Roman" w:eastAsia="Times New Roman" w:hAnsi="Times New Roman" w:cs="Times New Roman"/>
          <w:sz w:val="24"/>
          <w:szCs w:val="24"/>
          <w:lang w:eastAsia="lv-LV"/>
        </w:rPr>
        <w:footnoteReference w:id="7"/>
      </w:r>
    </w:p>
    <w:p w:rsidR="002561F2" w:rsidRDefault="002561F2"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Terminiem “aizsardzība” un “bērnu aizsardzība” tādējādi ir daudz plašāka nozīme, nekā tā ir konkrēti saistībā ar centieniem apturēt cilvēku tirdzniecību, kur termins “aizsardzība” primāri attiecas uz darbībām, kas tiek veiktas, lai sniegtu labumu personai, kuru kontrolē cilvēku tirgotājs vai kura ir kļuvusi par cilvēku tirdzniecības upuri, vai par kuru ir aizdomas, ka tā ir tirdzniecības upuris (EDSO izmanto terminu “domājamais upuris”, kad ir kādas norādes par bērna vai pieaugušā tirdzniecību, bet neapgāžami pierādījumi vēl nav pieejami</w:t>
      </w:r>
      <w:r w:rsidR="002561F2">
        <w:rPr>
          <w:rStyle w:val="Vresatsauce"/>
          <w:rFonts w:ascii="Times New Roman" w:eastAsia="Times New Roman" w:hAnsi="Times New Roman" w:cs="Times New Roman"/>
          <w:sz w:val="24"/>
          <w:szCs w:val="24"/>
          <w:lang w:eastAsia="lv-LV"/>
        </w:rPr>
        <w:footnoteReference w:id="8"/>
      </w:r>
      <w:r w:rsidRPr="006B796E">
        <w:rPr>
          <w:rFonts w:ascii="Times New Roman" w:eastAsia="Times New Roman" w:hAnsi="Times New Roman" w:cs="Times New Roman"/>
          <w:sz w:val="24"/>
          <w:szCs w:val="24"/>
          <w:lang w:eastAsia="lv-LV"/>
        </w:rPr>
        <w:t>). Šajā cilvēku tirdzniecības kontekstā aizsardzība ir pieaugušo vai bērnu aizsardzība no turpmāka kaitējuma nodarīšanas (sākot ar brīdi, kad persona tiek atbrīvota no cilvēku tirgotājiem), atbilstošas palīdzības sniegšana, lai viņi varētu atlabt no nodarītā kaitējuma un atsākt savu dzīvi, un piekļuves nodrošināšana atbilstīgiem tiesību aizsardzības līdzekļiem vai nu ar tiesas starpniecību, vai kā citādi.</w:t>
      </w:r>
    </w:p>
    <w:p w:rsidR="002561F2" w:rsidRPr="006B796E" w:rsidRDefault="002561F2"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Šajā speciālajā pētījumā tiek analizēts, kā valsts bērnu aizsardzības sistēmas var nodrošināt cilvēku tirdzniecībā cietušo bērnu pilnīgu atlabšanu. Lielākā daļa valsts bērnu aizsardzības sistēmu ir izveidotas, lai primāri aizsargātu bērnus, kas ir attiecīgās valsts valstspiederīgie. Tomēr tām ir pienākums aizsargāt visus bērnus, lai arī no kurienes tie būtu, tostarp nepavadītus un nošķirtus bērnus no citām valstīm, vai tie būtu bēgļi, nelegālie migranti vai personas, kas ieradušās valstī, ievērojot visas prasītās procedūras. Dažās valstīs ir izveidotas bērnu aizsardzības aģentūras, savukārt citās izmanto oficiālas tiesībsargājošo iestāžu amatpersonas vai valsts algotus sociālos darbiniekus, kas nodarbojas ar bērnu un pieaugušo aizsardzību. Neatkarīgi no tā, kādas struktūras ir izveidotas, valsts pārvaldei ir pienākums </w:t>
      </w:r>
      <w:r w:rsidRPr="006B796E">
        <w:rPr>
          <w:rFonts w:ascii="Times New Roman" w:eastAsia="Times New Roman" w:hAnsi="Times New Roman" w:cs="Times New Roman"/>
          <w:sz w:val="24"/>
          <w:szCs w:val="24"/>
          <w:lang w:eastAsia="lv-LV"/>
        </w:rPr>
        <w:lastRenderedPageBreak/>
        <w:t>nodrošināt, ka aģentūrām, kas nonāk saskarē ar bērniem vai atbild par bērnus ietekmējošu lēmumu pieņemšanu, ir atbilstoša kompetence un resursi. Šajā pētījumā ir aplūkota to loma un procedūras, kas tām jāievēro.</w:t>
      </w:r>
    </w:p>
    <w:p w:rsidR="002561F2" w:rsidRPr="006B796E" w:rsidRDefault="002561F2"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1.2. Kas ir bērni – cilvēku tirdzniecības upuri? Šo bērnu nošķiršana no citiem bērniem, kas ir cietuši no nozieguma, un no nepavadītiem bērniem, kuri ir grūtos apstākļos</w:t>
      </w:r>
    </w:p>
    <w:p w:rsidR="002561F2" w:rsidRDefault="002561F2"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Kad ANO 2000. gadā pieņēma Protokolu par cilvēku tirdzniecības, jo sevišķi tirdzniecības ar sievietēm un bērniem, novēršanu, apkarošanu un sodīšanu par to (“ANO Protokols par cilvēku tirdzniecību”), kas ir papildinājums ANO Konvencijai pret transnacionālo organizēto noziedzību (2000), viens no trim noteiktajiem mērķiem (2. pants) bija “aizsargāt šīs tirdzniecības upurus un palīdzēt viņiem, pilnībā ievērojot viņu cilvēktiesības”. Divi pārējie mērķi ir novērst un apkarot cilvēku tirdzniecību un veicināt sadarbību starp Dalībvalstīm, lai sasniegtu šos Protokola mērķus.</w:t>
      </w:r>
    </w:p>
    <w:p w:rsidR="002561F2" w:rsidRPr="006B796E" w:rsidRDefault="002561F2"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ANO Protokola par cilvēku tirdzniecību 3. pantā ir ietverta cilvēku tirdzniecības definīcija.</w:t>
      </w:r>
      <w:r w:rsidR="000877F0">
        <w:rPr>
          <w:rStyle w:val="Vresatsauce"/>
          <w:rFonts w:ascii="Times New Roman" w:eastAsia="Times New Roman" w:hAnsi="Times New Roman" w:cs="Times New Roman"/>
          <w:sz w:val="24"/>
          <w:szCs w:val="24"/>
          <w:lang w:eastAsia="lv-LV"/>
        </w:rPr>
        <w:footnoteReference w:id="9"/>
      </w:r>
      <w:r w:rsidRPr="006B796E">
        <w:rPr>
          <w:rFonts w:ascii="Times New Roman" w:eastAsia="Times New Roman" w:hAnsi="Times New Roman" w:cs="Times New Roman"/>
          <w:sz w:val="24"/>
          <w:szCs w:val="24"/>
          <w:lang w:eastAsia="lv-LV"/>
        </w:rPr>
        <w:t> Lai arī ANO Protokols par cilvēku tirdzniecību un saistītā Konvencija pret transnacionālo organizēto noziedzību paredz risināt transnacionālo noziedzību, kurā iesaistītas divas vai vairākas valstis, cilvēku tirdzniecības definīcija attiecas arī uz iekšējo (jeb “iekšzemes”) cilvēku tirdzniecību, kurā bērna vai pieaugušā tirdzniecība notiek, nešķērsojot robežas (piemēram, pašu valstī).</w:t>
      </w:r>
    </w:p>
    <w:p w:rsidR="002561F2" w:rsidRDefault="002561F2"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ANO Protokolā par cilvēku tirdzniecību ir uzskaitītas ekspluatācijas formas, kuras saistībā ar cilvēku tirdzniecību ietver, “kā minimums citu personu prostitūcijas ekspluatāciju vai citas seksuālās ekspluatācijas formas, piespiedu darbu vai pakalpojumus, verdzību vai verdzībai līdzīgas formas, kalpību vai orgānu izņemšanu”. Daži no šiem terminiem bija definēti ANO konvencijās vai starptautiskajos līgumos pirms ANO Protokola par cilvēku tirdzniecību pieņemšanas, savukārt citi termini nebija definēti. ANO Protokolā par cilvēku tirdzniecību ir identificēti trīs elementi, kas raksturo vismaz 18 gadu vecumu sasniegušu pieaugušo cilvēku tirdzniecību:</w:t>
      </w:r>
    </w:p>
    <w:p w:rsidR="000877F0" w:rsidRPr="006B796E"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savervēšana (vai “pārvadāšana, nodošana, slēpšana vai saņemšana”), ko veic starpnieks;</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vardarbīgi kontroles līdzekļi, ko īsteno starpnieks – “izmantojot spēka pielietošanas draudus vai pielietošanu, vai arī citas piespiešanas, aizvešanas ar varu, krāpšanas, maldināšanas vai viltus formas, izmantojot varas pozīcijas vai arī cilvēku neaizsargātību, vai arī dodot vai saņemot maksājumus vai labumus, lai panāktu kādas tādas personas piekrišanu, kurai ir vara pār citu personu, ekspluatācijas nolūkos” – cilvēku savervēšanas, pārvadāšanas, nodošanas, slēpšanas vai saņemšanas procesā;</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turpmāka ekspluatācija vai nodoms ekspluatēt kādā no uzskaitītajiem veidiem, proti, citu personu prostitūcijas ekspluatācija vai citas seksuālās ekspluatācijas formas, piespiedu darbs vai pakalpojumi, verdzība vai verdzībai līdzīgas formas, kalpība vai orgānu izņemšana.</w:t>
      </w:r>
      <w:r w:rsidR="000877F0">
        <w:rPr>
          <w:rStyle w:val="Vresatsauce"/>
          <w:rFonts w:ascii="Times New Roman" w:eastAsia="Times New Roman" w:hAnsi="Times New Roman" w:cs="Times New Roman"/>
          <w:sz w:val="24"/>
          <w:szCs w:val="24"/>
          <w:lang w:eastAsia="lv-LV"/>
        </w:rPr>
        <w:footnoteReference w:id="10"/>
      </w:r>
    </w:p>
    <w:p w:rsidR="000877F0" w:rsidRDefault="000877F0" w:rsidP="006B796E">
      <w:pPr>
        <w:widowControl w:val="0"/>
        <w:spacing w:after="0" w:line="240" w:lineRule="auto"/>
        <w:jc w:val="both"/>
        <w:rPr>
          <w:rFonts w:ascii="Times New Roman" w:eastAsia="Times New Roman" w:hAnsi="Times New Roman" w:cs="Times New Roman"/>
          <w:sz w:val="24"/>
          <w:szCs w:val="20"/>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Attiecībā uz bērniem, ja bērna savervēšanā vai pārvadāšanā tiek izmantoti jebkādi vardarbīgi līdzekļi, kas tiek izmantoti pieaugušo tirdzniecībā (piemēram, draudi, vardarbība, aizvešana ar varu vai maldināšana), uzskatāms, ka tas ir cilvēku tirdzniecības gadījums.</w:t>
      </w:r>
      <w:r w:rsidR="000877F0">
        <w:rPr>
          <w:rStyle w:val="Vresatsauce"/>
          <w:rFonts w:ascii="Times New Roman" w:eastAsia="Times New Roman" w:hAnsi="Times New Roman" w:cs="Times New Roman"/>
          <w:sz w:val="24"/>
          <w:szCs w:val="24"/>
          <w:lang w:eastAsia="lv-LV"/>
        </w:rPr>
        <w:footnoteReference w:id="11"/>
      </w:r>
      <w:r w:rsidRPr="006B796E">
        <w:rPr>
          <w:rFonts w:ascii="Times New Roman" w:eastAsia="Times New Roman" w:hAnsi="Times New Roman" w:cs="Times New Roman"/>
          <w:sz w:val="24"/>
          <w:szCs w:val="24"/>
          <w:lang w:eastAsia="lv-LV"/>
        </w:rPr>
        <w:t xml:space="preserve"> Savukārt ANO </w:t>
      </w:r>
      <w:r w:rsidRPr="006B796E">
        <w:rPr>
          <w:rFonts w:ascii="Times New Roman" w:eastAsia="Times New Roman" w:hAnsi="Times New Roman" w:cs="Times New Roman"/>
          <w:sz w:val="24"/>
          <w:szCs w:val="24"/>
          <w:lang w:eastAsia="lv-LV"/>
        </w:rPr>
        <w:lastRenderedPageBreak/>
        <w:t>Protokolā par cilvēku tirdzniecību ir noteikts, ka arī tad, ja pret bērnu nav piemēroti vardarbīgi līdzekļi, uzskatāms, ka tas ir cilvēku tirdzniecības gadījums. Ja jaunietis, kas ir jaunāks par 18 gadiem, ir savervēts konkrēti ekspluatēšanai (neatkarīgi no tā, vai ir vai nav pārvests uz citu vietu), tas ir pietiekami, lai uzskatītu, ka viņš ir cilvēku tirdzniecības upuris. No otras puses, ja bērna savervēšana vai pārvešana nav bijusi ar mērķi pakļaut viņu kādai no uzskaitītajām ekspluatācijas formām, uzskatāms, ka attiecīgais bērns nav cilvēku tirdzniecības upuris. Tādējādi tiek uzskatīts, ka individuāli bērni migranti, kas dodas ceļā dzīves meklējumos (un, ceļojot vai meklējot darbu, meklē dažādu starpnieku pakalpojumus), nav cilvēku tirdzniecības upuri, ja vien kāda persona nav nodomājusi izmantot šos bērnus ekspluatācijai.</w:t>
      </w:r>
    </w:p>
    <w:p w:rsidR="000877F0" w:rsidRPr="006B796E"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1.3. Šā ziņojuma gatavošanā izmantotās metodes</w:t>
      </w:r>
    </w:p>
    <w:p w:rsidR="000877F0"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Gatavojot šo ziņojumu, īpašajam pārstāvim palīdzību sniedza divi konsultanti. Viņiem tika lūgts pievērsties darbībām, kas veicina bērnu tirdzniecības apkarošanu, kā arī politikai un pasākumiem, kas vērsti uz bērnu interešu stiprināšanu, tostarp uz darbībām, kas stiprina bērnu aizsardzības mehānismus, lai novērstu bērnu tirdzniecību un reaģētu uz to. Jo īpaši viņi tika lūgti apkopot pierādījumus par:</w:t>
      </w:r>
    </w:p>
    <w:p w:rsidR="000877F0" w:rsidRPr="006B796E"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lēmumu pieņemšanas procesiem, kuru rezultātā tiek izstrādāti ilgtspējīgi risinājumi bērnu interesēs, tiklīdz tiek pabeigta bērna, kas ir cilvēku tirdzniecības upuris, sākotnējā identifikācija, pievēršot uzmanību gan bērniem, kas identificēti ārpus savas izcelsmes valsts (nepavadīti vai nošķirti bērni vai bērni ar pavadoni), gan bērniem, kas nav atstājuši savu valsti, un</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ilgtspējīgu risinājumu īstenošanu, tostarp par vidēja termiņa un ilgtermiņa palīdzību, lai nodrošinātu bērna pienācīgu atlabšanu un (re)integrāciju bērna izcelsmes valstī vai citviet.</w:t>
      </w:r>
    </w:p>
    <w:p w:rsidR="000877F0"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Šis speciālais pētījums ir izstrādāts, lielākoties pamatojoties uz (angļu, franču, krievu, moldāvu, rumāņu un spāņu valodā) publicētas informācijas pārskatiem un uz internetā pieejamo informāciju par bērniem, kas cietuši cilvēku tirdzniecībā. Daļa informācijas tika sniegta EDSO Alianses pret cilvēku tirdzniecību 17. konferencē “Bērnu tirdzniecība un bērna labākās intereses”, kas notika Vīnē 2017. gada aprīlī. Papildus pieejamajai publicētajai informācijai EDSO Cilvēku tirdzniecības apkarošanas īpašā pārstāvja un koordinatora birojs sniedza savas vadlīnijas un informāciju.</w:t>
      </w:r>
    </w:p>
    <w:p w:rsidR="000877F0" w:rsidRPr="006B796E"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Gatavojot šo pētījumu, tika aplūkoti dažādi publiskoti avoti. Tie ir šādi:</w:t>
      </w:r>
    </w:p>
    <w:p w:rsidR="000877F0" w:rsidRPr="006B796E"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EDSO publikācijas un pētījumi, jo īpaši ziņojumi par EDSO īpašā pārstāvja valstu vizītēm un EDSO 2016. gada ziņojums par apsekojumu, kas veikts saistībā ar EDSO Rīcības plānu cilvēku tirdzniecības apkarošanai;</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ziņojumi, ko sniegušas starptautiskās un reģionālās līguma izpildes uzraudzības struktūras, piemēram, saskaņā ar Bērnu tiesību konvenciju (BTK) izveidotā Bērnu tiesību komiteja un saskaņā ar Eiropas Padomes Konvenciju par cīņu pret cilvēku tirdzniecību (2005) izveidotā Ekspertu darbības grupa pret cilvēku tirdzniecību (</w:t>
      </w:r>
      <w:r w:rsidRPr="006B796E">
        <w:rPr>
          <w:rFonts w:ascii="Times New Roman" w:eastAsia="Times New Roman" w:hAnsi="Times New Roman" w:cs="Times New Roman"/>
          <w:i/>
          <w:iCs/>
          <w:sz w:val="24"/>
          <w:szCs w:val="24"/>
          <w:lang w:eastAsia="lv-LV"/>
        </w:rPr>
        <w:t>GRETA</w:t>
      </w:r>
      <w:r w:rsidRPr="006B796E">
        <w:rPr>
          <w:rFonts w:ascii="Times New Roman" w:eastAsia="Times New Roman" w:hAnsi="Times New Roman" w:cs="Times New Roman"/>
          <w:sz w:val="24"/>
          <w:szCs w:val="24"/>
          <w:lang w:eastAsia="lv-LV"/>
        </w:rPr>
        <w:t>);</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citi attiecīgie ziņojumi, ko izdevušas reģionālās starpvaldību organizācijas, piemēram, Neatkarīgo Valstu Sadraudzība;</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ziņojumi, ko sagatavojuši ANO īpašie referenti, jo īpaši tie, kuriem piešķirtas pilnvaras gatavot ziņojumus saistībā ar cilvēku tirdzniecību (īpaši sieviešu un bērnu tirdzniecību), bērnu pārdošanu, bērnu prostitūciju un bērnu pornogrāfiju, mūsdienu verdzības veidiem un migrantu cilvēktiesībām;</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lastRenderedPageBreak/>
        <w:t xml:space="preserve">&gt; </w:t>
      </w:r>
      <w:r w:rsidRPr="006B796E">
        <w:rPr>
          <w:rFonts w:ascii="Times New Roman" w:eastAsia="Times New Roman" w:hAnsi="Times New Roman" w:cs="Times New Roman"/>
          <w:sz w:val="24"/>
          <w:szCs w:val="24"/>
          <w:lang w:eastAsia="lv-LV"/>
        </w:rPr>
        <w:t>ziņojumi par Eiropas Komisijas izdoto cilvēku tirdzniecības novēršanas pasākumu īstenošanu;</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EDSO dalībvalstu valsts un vietējo pašvaldības iestāžu publicētie noteikumi par savām nosūtīšanas sistēmām, jo īpaši tām, kurās uzmanība ir pievērsta bērniem;</w:t>
      </w: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ziņojumi, ko sagatavojušas nevalstiskās organizācijas (NVO), akadēmiskās aprindas un citi speciālisti, kas iesaistīti bērnu aizsardzības sistēmu pārraudzībā vai cilvēku tirdzniecības novēršanas pasākumos.</w:t>
      </w:r>
    </w:p>
    <w:p w:rsidR="000877F0" w:rsidRDefault="000877F0">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0877F0" w:rsidRDefault="00F253CE" w:rsidP="00F253CE">
      <w:pPr>
        <w:widowControl w:val="0"/>
        <w:spacing w:after="0" w:line="240" w:lineRule="auto"/>
        <w:jc w:val="center"/>
        <w:rPr>
          <w:rFonts w:ascii="Times New Roman" w:eastAsia="Times New Roman" w:hAnsi="Times New Roman" w:cs="Times New Roman"/>
          <w:sz w:val="24"/>
          <w:szCs w:val="24"/>
          <w:lang w:eastAsia="lv-LV"/>
        </w:rPr>
      </w:pPr>
      <w:r w:rsidRPr="00F253CE">
        <w:rPr>
          <w:rFonts w:ascii="Times New Roman" w:eastAsia="Times New Roman" w:hAnsi="Times New Roman" w:cs="Times New Roman"/>
          <w:noProof/>
          <w:sz w:val="24"/>
          <w:szCs w:val="24"/>
          <w:lang w:eastAsia="lv-LV"/>
        </w:rPr>
        <w:lastRenderedPageBreak/>
        <w:drawing>
          <wp:inline distT="0" distB="0" distL="0" distR="0">
            <wp:extent cx="5760085" cy="7717177"/>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7717177"/>
                    </a:xfrm>
                    <a:prstGeom prst="rect">
                      <a:avLst/>
                    </a:prstGeom>
                    <a:noFill/>
                    <a:ln>
                      <a:noFill/>
                    </a:ln>
                  </pic:spPr>
                </pic:pic>
              </a:graphicData>
            </a:graphic>
          </wp:inline>
        </w:drawing>
      </w: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0877F0" w:rsidRDefault="000877F0">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lastRenderedPageBreak/>
        <w:t>2.1. Bērnu tiesību principi, pamatojoties uz kuriem tiek īstenotas bērnu, kas ir cilvēku tirdzniecības upuri, aizsardzības darbības</w:t>
      </w:r>
    </w:p>
    <w:p w:rsidR="000877F0"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Bērnu, tostarp to bērnu, kas ir cilvēku tirdzniecības upuri, aizsardzības pasākumi jāīsteno, pamatojoties uz principiem, kas ietverti ANO 1989. gada pieņemtajā Bērnu tiesību konvencijā (BTK), kuru ir ratificējušas visas EDSO dalībvalstis, izņemot vienu dalībvalsti. Pirmais un galvenais princips ir tāds, ka visās darbībās, kas ietekmē bērnus (viss, kas tiek darīts, lai aizsargātu cilvēku tirdzniecībā cietušos bērnus vai apkarotu bērnu tirdzniecību), primārajam apsvērumam ir jābūt bērna interesēm (Konvencijas 3. panta 1. punkts). Tas nenozīmē, ka bērna intereses ir vienīgais vērā ņemamais faktors, bet gan to, ka atbildīgajām iestādēm primāri jāizvērtē bērna intereses (nevis lielāka prioritāte jāpiešķir sekundāriem apsvērumiem).</w:t>
      </w:r>
    </w:p>
    <w:p w:rsidR="000877F0" w:rsidRPr="006B796E"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Lai arī, ņemot vērā, ka BTK ir ratificēta gandrīz visā pasaulē, šo principu neviens neapstrīd, daudzās valstīs attiecībā uz cilvēku tirdzniecību izstrādātajās politiskajās nostādnēs un praksē prioritāte tiek piešķirta nozieguma (cilvēku tirdzniecības vai bērnu tirdzniecības) apspiešanai, nepiešķirot tādu pašu prioritāti arī tirdzniecības upuru tiesību un interešu nodrošināšanai. Attiecībā uz bērniem – viņu intereses var izvērtēt tiesībsargājošo iestāžu amatpersonas, kuru mērķis ir atklāt, apsūdzēt un sodīt noziedzniekus, taču, ja bērna intereses nav primārais apsvērums, šo amatpersonu lēmumi un darbības var neatbilst BTK prasībām.</w:t>
      </w:r>
    </w:p>
    <w:p w:rsidR="000877F0" w:rsidRPr="006B796E"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Otrais princips ir tāds, ka bērniem ir tiesības īstenot savas tiesības bez jebkādas diskriminācijas, jo īpaši bez diskriminācijas, pamatojoties uz bērna valstspiederību, tautību vai sociālo izcelsmi. Tas nozīmē, ka bērni, kas nelegāli pārvesti no vienas valsts uz citu, ir tiesīgi īstenot savas tiesības valstī, kuras valstspiederīgie viņi nav.</w:t>
      </w:r>
    </w:p>
    <w:p w:rsidR="000877F0" w:rsidRPr="006B796E"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Trešais princips attiecas uz bērna tiesībām paust savu viedokli un to, ka tas tiek ņemts vērā, jo īpaši, kad valsts iestādes un nevalstiskās organizācijas (NVO) pieņem lēmumus vai nu bērna izcelsmes valstī, vai kādā citā valstī, kurā vai uz kuru bērns ir nelegāli pārvests.</w:t>
      </w:r>
    </w:p>
    <w:p w:rsidR="000877F0" w:rsidRPr="006B796E"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Ceturtais BTK pamatprincips ir tāds, ka bērniem ir tiesības uz dzīvību un valstīm ir pienākums nodrošināt ikviena bērna izdzīvošanu un attīstību (BTK 6. pants). Bērniem ir tiesības arī uz vārda brīvību un biedrošanos, kā arī tiesības pilnībā piedalīties kultūras un mākslas dzīvē (to garantē Konvencijas 13., 15. un 31. pants). Kopā ar 12. pantu šīs tiesības tiek interpretētas tādējādi, ka bērniem ir tiesības līdzdarboties centienos nodrošināt, ka viņu tiesības tiek ievērotas, tostarp tiek pilnveidota bērnu tirdzniecības apturēšanas un šajā tirdzniecībā cietušo aizsardzības politika.</w:t>
      </w:r>
    </w:p>
    <w:p w:rsidR="000877F0" w:rsidRPr="006B796E"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Bērnu tiesību principi</w:t>
      </w:r>
    </w:p>
    <w:p w:rsidR="000877F0" w:rsidRDefault="000877F0" w:rsidP="006B796E">
      <w:pPr>
        <w:widowControl w:val="0"/>
        <w:spacing w:after="0" w:line="240" w:lineRule="auto"/>
        <w:jc w:val="both"/>
        <w:rPr>
          <w:rFonts w:ascii="Times New Roman" w:eastAsia="Times New Roman" w:hAnsi="Times New Roman" w:cs="Times New Roman"/>
          <w:b/>
          <w:bCs/>
          <w:sz w:val="24"/>
          <w:szCs w:val="24"/>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9061"/>
      </w:tblGrid>
      <w:tr w:rsidR="000877F0" w:rsidRPr="000E2D02" w:rsidTr="000877F0">
        <w:tc>
          <w:tcPr>
            <w:tcW w:w="9288" w:type="dxa"/>
            <w:shd w:val="clear" w:color="auto" w:fill="A6A6A6"/>
          </w:tcPr>
          <w:p w:rsidR="000877F0" w:rsidRPr="000E2D02" w:rsidRDefault="000877F0" w:rsidP="00B7131B">
            <w:pPr>
              <w:pStyle w:val="Pamatteksts"/>
              <w:kinsoku w:val="0"/>
              <w:overflowPunct w:val="0"/>
              <w:ind w:left="0"/>
              <w:jc w:val="both"/>
              <w:rPr>
                <w:b/>
                <w:bCs/>
                <w:noProof/>
                <w:sz w:val="24"/>
                <w:szCs w:val="24"/>
                <w:lang w:val="en-US"/>
              </w:rPr>
            </w:pPr>
            <w:r w:rsidRPr="006B796E">
              <w:rPr>
                <w:b/>
                <w:bCs/>
                <w:sz w:val="24"/>
                <w:szCs w:val="24"/>
              </w:rPr>
              <w:t>1. Bērna intereses</w:t>
            </w:r>
          </w:p>
        </w:tc>
      </w:tr>
      <w:tr w:rsidR="000877F0" w:rsidRPr="000E2D02" w:rsidTr="000877F0">
        <w:tc>
          <w:tcPr>
            <w:tcW w:w="9288" w:type="dxa"/>
            <w:shd w:val="clear" w:color="auto" w:fill="D9D9D9"/>
          </w:tcPr>
          <w:p w:rsidR="000877F0" w:rsidRPr="000E2D02" w:rsidRDefault="000877F0" w:rsidP="00B7131B">
            <w:pPr>
              <w:pStyle w:val="Pamatteksts"/>
              <w:kinsoku w:val="0"/>
              <w:overflowPunct w:val="0"/>
              <w:ind w:left="0"/>
              <w:jc w:val="both"/>
              <w:rPr>
                <w:noProof/>
                <w:color w:val="231F20"/>
                <w:sz w:val="24"/>
                <w:szCs w:val="24"/>
                <w:lang w:val="en-US"/>
              </w:rPr>
            </w:pPr>
            <w:r w:rsidRPr="006B796E">
              <w:rPr>
                <w:color w:val="231F20"/>
                <w:sz w:val="24"/>
                <w:szCs w:val="24"/>
              </w:rPr>
              <w:t>“Visās darbībās attiecībā uz bērniem neatkarīgi no tā, vai šīs darbības veic valsts iestādes vai privātas iestādes, kas nodarbojas ar sociālās labklājības jautājumiem, tiesas, administratīvās vai likumdevējas iestādes, primārajam apsvērumam jābūt bērna interesēm” (BTK 3. panta 1. punkts).</w:t>
            </w:r>
          </w:p>
        </w:tc>
      </w:tr>
    </w:tbl>
    <w:p w:rsidR="000877F0" w:rsidRDefault="000877F0" w:rsidP="006B796E">
      <w:pPr>
        <w:widowControl w:val="0"/>
        <w:spacing w:after="0" w:line="240" w:lineRule="auto"/>
        <w:jc w:val="both"/>
        <w:rPr>
          <w:rFonts w:ascii="Times New Roman" w:eastAsia="Times New Roman" w:hAnsi="Times New Roman" w:cs="Times New Roman"/>
          <w:b/>
          <w:bCs/>
          <w:sz w:val="24"/>
          <w:szCs w:val="24"/>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9061"/>
      </w:tblGrid>
      <w:tr w:rsidR="000877F0" w:rsidRPr="000E2D02" w:rsidTr="000877F0">
        <w:tc>
          <w:tcPr>
            <w:tcW w:w="9288" w:type="dxa"/>
            <w:shd w:val="clear" w:color="auto" w:fill="A6A6A6"/>
          </w:tcPr>
          <w:p w:rsidR="000877F0" w:rsidRPr="000E2D02" w:rsidRDefault="000877F0" w:rsidP="00B7131B">
            <w:pPr>
              <w:pStyle w:val="Pamatteksts"/>
              <w:kinsoku w:val="0"/>
              <w:overflowPunct w:val="0"/>
              <w:ind w:left="0"/>
              <w:jc w:val="both"/>
              <w:rPr>
                <w:b/>
                <w:bCs/>
                <w:noProof/>
                <w:sz w:val="24"/>
                <w:szCs w:val="24"/>
                <w:lang w:val="en-US"/>
              </w:rPr>
            </w:pPr>
            <w:r w:rsidRPr="006B796E">
              <w:rPr>
                <w:b/>
                <w:bCs/>
                <w:sz w:val="24"/>
                <w:szCs w:val="24"/>
              </w:rPr>
              <w:t>2. Nediskriminācija</w:t>
            </w:r>
          </w:p>
        </w:tc>
      </w:tr>
      <w:tr w:rsidR="000877F0" w:rsidRPr="000E2D02" w:rsidTr="000877F0">
        <w:tc>
          <w:tcPr>
            <w:tcW w:w="9288" w:type="dxa"/>
            <w:shd w:val="clear" w:color="auto" w:fill="D9D9D9"/>
          </w:tcPr>
          <w:p w:rsidR="000877F0" w:rsidRPr="006B796E" w:rsidRDefault="000877F0" w:rsidP="00B7131B">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“Dalībvalstis respektē un nodrošina visas šajā Konvencijā paredzētās tiesības ikvienam bērnam, uz kuru attiecas to jurisdikcija, bez jebkādas diskriminācijas un neatkarīgi no bērna, viņa vecāku vai aizbildņu rases, ādas krāsas, dzimuma, valodas, reliģiskās piederības, politiskās vai citas pārliecības, nacionālās, etniskās vai sociālās izcelsmes, mantiskā stāvokļa, </w:t>
            </w:r>
            <w:r w:rsidRPr="006B796E">
              <w:rPr>
                <w:rFonts w:ascii="Times New Roman" w:eastAsia="Times New Roman" w:hAnsi="Times New Roman" w:cs="Times New Roman"/>
                <w:sz w:val="24"/>
                <w:szCs w:val="24"/>
                <w:lang w:eastAsia="lv-LV"/>
              </w:rPr>
              <w:lastRenderedPageBreak/>
              <w:t>veselības stāvokļa un dzimšanas apstākļiem vai jebkādiem citiem apstākļiem”</w:t>
            </w:r>
          </w:p>
          <w:p w:rsidR="000877F0" w:rsidRPr="000E2D02" w:rsidRDefault="000877F0" w:rsidP="00B7131B">
            <w:pPr>
              <w:pStyle w:val="Pamatteksts"/>
              <w:kinsoku w:val="0"/>
              <w:overflowPunct w:val="0"/>
              <w:ind w:left="0"/>
              <w:jc w:val="both"/>
              <w:rPr>
                <w:noProof/>
                <w:sz w:val="24"/>
                <w:szCs w:val="24"/>
                <w:lang w:val="en-US"/>
              </w:rPr>
            </w:pPr>
            <w:r w:rsidRPr="006B796E">
              <w:rPr>
                <w:sz w:val="24"/>
                <w:szCs w:val="24"/>
              </w:rPr>
              <w:t>(BTK 2. pants).</w:t>
            </w:r>
          </w:p>
        </w:tc>
      </w:tr>
    </w:tbl>
    <w:p w:rsidR="000877F0" w:rsidRDefault="000877F0" w:rsidP="006B796E">
      <w:pPr>
        <w:widowControl w:val="0"/>
        <w:spacing w:after="0" w:line="240" w:lineRule="auto"/>
        <w:jc w:val="both"/>
        <w:rPr>
          <w:rFonts w:ascii="Times New Roman" w:eastAsia="Times New Roman" w:hAnsi="Times New Roman" w:cs="Times New Roman"/>
          <w:b/>
          <w:bCs/>
          <w:sz w:val="24"/>
          <w:szCs w:val="24"/>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9061"/>
      </w:tblGrid>
      <w:tr w:rsidR="000877F0" w:rsidRPr="000E2D02" w:rsidTr="000877F0">
        <w:tc>
          <w:tcPr>
            <w:tcW w:w="9288" w:type="dxa"/>
            <w:shd w:val="clear" w:color="auto" w:fill="A6A6A6"/>
          </w:tcPr>
          <w:p w:rsidR="000877F0" w:rsidRPr="006B796E" w:rsidRDefault="000877F0" w:rsidP="00B7131B">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3. Bērna viedokļa cienīšana –</w:t>
            </w:r>
          </w:p>
          <w:p w:rsidR="000877F0" w:rsidRPr="000E2D02" w:rsidRDefault="000877F0" w:rsidP="00B7131B">
            <w:pPr>
              <w:pStyle w:val="Pamatteksts"/>
              <w:kinsoku w:val="0"/>
              <w:overflowPunct w:val="0"/>
              <w:ind w:left="0"/>
              <w:jc w:val="both"/>
              <w:rPr>
                <w:b/>
                <w:bCs/>
                <w:noProof/>
                <w:sz w:val="24"/>
                <w:szCs w:val="24"/>
                <w:lang w:val="en-US"/>
              </w:rPr>
            </w:pPr>
            <w:r w:rsidRPr="006B796E">
              <w:rPr>
                <w:b/>
                <w:bCs/>
                <w:sz w:val="24"/>
                <w:szCs w:val="24"/>
              </w:rPr>
              <w:t>ikvienam bērnam ir tiesības tikt uzklausītam, un viņa viedoklis ir jāņem vērā visos jautājumos, kas viņu skar</w:t>
            </w:r>
          </w:p>
        </w:tc>
      </w:tr>
      <w:tr w:rsidR="000877F0" w:rsidRPr="000E2D02" w:rsidTr="000877F0">
        <w:tc>
          <w:tcPr>
            <w:tcW w:w="9288" w:type="dxa"/>
            <w:shd w:val="clear" w:color="auto" w:fill="D9D9D9"/>
          </w:tcPr>
          <w:p w:rsidR="000877F0" w:rsidRPr="006B796E" w:rsidRDefault="000877F0" w:rsidP="00B7131B">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“Dalībvalstis nodrošina, lai ikvienam bērnam, kas ir spējīgs formulēt savu viedokli, būtu tiesības brīvi to paust visos jautājumos, kas viņu skar, turklāt bērna viedoklim jāpievērš pienācīga uzmanība atbilstoši bērna vecumam un brieduma pakāpei”</w:t>
            </w:r>
          </w:p>
          <w:p w:rsidR="000877F0" w:rsidRPr="000E2D02" w:rsidRDefault="000877F0" w:rsidP="00B7131B">
            <w:pPr>
              <w:pStyle w:val="Pamatteksts"/>
              <w:kinsoku w:val="0"/>
              <w:overflowPunct w:val="0"/>
              <w:ind w:left="0"/>
              <w:jc w:val="both"/>
              <w:rPr>
                <w:noProof/>
                <w:sz w:val="24"/>
                <w:szCs w:val="24"/>
                <w:lang w:val="en-US"/>
              </w:rPr>
            </w:pPr>
            <w:r w:rsidRPr="006B796E">
              <w:rPr>
                <w:sz w:val="24"/>
                <w:szCs w:val="24"/>
              </w:rPr>
              <w:t>(BTK 12. pants).</w:t>
            </w:r>
          </w:p>
        </w:tc>
      </w:tr>
    </w:tbl>
    <w:p w:rsidR="000877F0" w:rsidRDefault="000877F0" w:rsidP="006B796E">
      <w:pPr>
        <w:widowControl w:val="0"/>
        <w:spacing w:after="0" w:line="240" w:lineRule="auto"/>
        <w:jc w:val="both"/>
        <w:rPr>
          <w:rFonts w:ascii="Times New Roman" w:eastAsia="Times New Roman" w:hAnsi="Times New Roman" w:cs="Times New Roman"/>
          <w:b/>
          <w:bCs/>
          <w:sz w:val="24"/>
          <w:szCs w:val="24"/>
          <w:lang w:eastAsia="lv-LV"/>
        </w:rPr>
      </w:pPr>
    </w:p>
    <w:p w:rsidR="000877F0" w:rsidRDefault="000877F0">
      <w:pP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br w:type="page"/>
      </w: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lastRenderedPageBreak/>
        <w:t>2.1.1. Bērnu papildtiesības, kas jāņem vērā, aizsargājot bērnus, kas ir cilvēku tirdzniecības upuri</w:t>
      </w:r>
    </w:p>
    <w:p w:rsidR="000877F0"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BTK noteikts, ka dalībvalstis “veic visus piemērotos pasākumus valsts, divpusējā un daudzpusējā līmenī, lai novērstu bērnu nolaupīšanu, tirdzniecību vai kontrabandu ar bērniem jebkādos nolūkos un jebkurā formā” (BTK 35. pants), un turklāt saskaņā ar iepriekšējo pantu (34. pantu) dalībvalstis apņemas “aizsargāt bērnus pret jebkādu seksuālu izmantošanu un seksuālu vardarbību” un veic visus pasākumus, lai nepieļautu, ka “bērni tiek izmantoti prostitūcijā vai citās nelikumīgās seksuālās darbībās”, kā arī “pornogrāfiskos priekšnesumos un materiālos”. Konvencija nosaka valstu atbildību, ja tiek konstatēta bērnu tirdzniecība, ekspluatācija, spīdzināšana, pret viņiem vērsta vardarbība vai nolaidība.</w:t>
      </w:r>
    </w:p>
    <w:p w:rsidR="000877F0" w:rsidRDefault="000877F0" w:rsidP="006B796E">
      <w:pPr>
        <w:widowControl w:val="0"/>
        <w:spacing w:after="0" w:line="240" w:lineRule="auto"/>
        <w:jc w:val="both"/>
        <w:rPr>
          <w:rFonts w:ascii="Times New Roman" w:eastAsia="Times New Roman" w:hAnsi="Times New Roman" w:cs="Times New Roman"/>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9061"/>
      </w:tblGrid>
      <w:tr w:rsidR="000877F0" w:rsidRPr="000E2D02" w:rsidTr="000877F0">
        <w:tc>
          <w:tcPr>
            <w:tcW w:w="5000" w:type="pct"/>
            <w:shd w:val="clear" w:color="auto" w:fill="A6A6A6"/>
          </w:tcPr>
          <w:p w:rsidR="000877F0" w:rsidRPr="000E2D02" w:rsidRDefault="000877F0" w:rsidP="00B7131B">
            <w:pPr>
              <w:pStyle w:val="Pamatteksts"/>
              <w:kinsoku w:val="0"/>
              <w:overflowPunct w:val="0"/>
              <w:ind w:left="0"/>
              <w:jc w:val="both"/>
              <w:rPr>
                <w:rFonts w:cs="Arial"/>
                <w:b/>
                <w:bCs/>
                <w:noProof/>
                <w:sz w:val="24"/>
                <w:lang w:val="en-US"/>
              </w:rPr>
            </w:pPr>
            <w:r w:rsidRPr="006B796E">
              <w:rPr>
                <w:b/>
                <w:bCs/>
                <w:sz w:val="24"/>
                <w:szCs w:val="24"/>
              </w:rPr>
              <w:t>Bērnu, kas ir cilvēku tirdzniecības upuri, tiesības saņemt valsts atbalstu, lai atlabtu un atsāktu savu dzīvi</w:t>
            </w:r>
          </w:p>
        </w:tc>
      </w:tr>
      <w:tr w:rsidR="000877F0" w:rsidRPr="000E2D02" w:rsidTr="000877F0">
        <w:tc>
          <w:tcPr>
            <w:tcW w:w="5000" w:type="pct"/>
            <w:shd w:val="clear" w:color="auto" w:fill="D9D9D9"/>
          </w:tcPr>
          <w:p w:rsidR="000877F0" w:rsidRPr="000E2D02" w:rsidRDefault="000877F0" w:rsidP="00B7131B">
            <w:pPr>
              <w:pStyle w:val="Pamatteksts"/>
              <w:kinsoku w:val="0"/>
              <w:overflowPunct w:val="0"/>
              <w:ind w:left="0"/>
              <w:jc w:val="both"/>
              <w:rPr>
                <w:rFonts w:cs="Arial"/>
                <w:noProof/>
                <w:sz w:val="24"/>
                <w:lang w:val="en-US"/>
              </w:rPr>
            </w:pPr>
            <w:r w:rsidRPr="006B796E">
              <w:rPr>
                <w:sz w:val="24"/>
                <w:szCs w:val="24"/>
              </w:rPr>
              <w:t>“Dalībvalstis veic visus attiecīgos pasākumus, lai veicinātu to bērnu fizisko un psihisko atlabšanu un sociālo reintegrāciju, kuri ir kļuvuši par upuri jebkādām necieņas, ekspluatācijas vai vardarbības izpausmēm, spīdzināšanai vai citām nežēlīgas, necilvēcīgas vai pazemojošas izturēšanās vai soda formām vai bijuši bruņotu konfliktu upuris. Šādai atlabšanai un reintegrācijai jānotiek vidē, kas nāk par labu bērna veselībai un kurā viņš tiek respektēts un cienīts” (BTK 39. pants).</w:t>
            </w:r>
          </w:p>
        </w:tc>
      </w:tr>
    </w:tbl>
    <w:p w:rsidR="000877F0" w:rsidRPr="006B796E"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BTK Fakultatīvajā protokolā par bērnu tirdzniecību, bērnu prostitūciju un bērnu pornogrāfiju (2000) arī ir noteikts, ka valstīm ir jāveic pasākumi, lai nodrošinātu “visu atbilstošo palīdzību” bērniem, kas ir cilvēku tirdzniecības upuri, “tostarp viņu pilnīgu sociālo reintegrāciju un pilnīgu fizisko un psiholoģisko atlabšanu” (9. panta 3. punkts). Tajā (8. pantā) ir uzskaitītas aizsardzības formas, ko cietušie bērni un šā nozieguma liecinieki ir tiesīgi saņemt, “atzīstot cietušo bērnu neaizsargātību un piemērojot procedūras viņu īpašo vajadzību, tostarp viņu kā liecinieku īpašo vajadzību, atzīšanai”. Līdzīgs noteikums, kas ietverts BTK Fakultatīvajā protokolā par bērnu iesaistīšanu bruņotos konfliktos (2000), attiecas uz atbalsta sniegšanu jauniešiem, kas kā bērni savervēti bruņotos grupējumos, proti, viņiem būtu jāsaņem “visa pienācīgā palīdzība viņu fiziskai un psiholoģiskai atveseļošanai un viņu sociālai reintegrācijai” (Fakultatīvā protokola 6. panta 3. punkts).</w:t>
      </w:r>
    </w:p>
    <w:p w:rsidR="000877F0" w:rsidRPr="006B796E"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Lai atlabšana būtu iespējama, papildus tiesībām saņemt palīdzību atveseļošanai izšķirīgi svarīgas ir vēl vairākas tiesības. Pirmkārt, bērnam, kas ir cilvēku tirdzniecības upuris, ir tiesības saņemt precīzu un pieejamu informāciju par savu stāvokli un izredzēm, tostarp par aizsardzības mehānismiem, bērnam pieejamajiem pakalpojumiem, visaptveroša, droša un ilgtspējīga risinājuma lemšanas procesu un ģimenes uzraudzības un apvienošanās un/vai repatriācijas procesiem. Informācija ir konsekventi jāsniedz bērnam saprotamā valodā, kas nozīmē, ka jānodrošina piemēroti, apmācīti tulki un, iespējams, arī kultūras starpnieki, ja cietušo bērnu iztaujā vai nopratina tiesībaizsardzības iestāžu vai citas amatpersonas vai ja tas tiek prasīts.</w:t>
      </w:r>
    </w:p>
    <w:p w:rsidR="000877F0" w:rsidRPr="006B796E"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Otrkārt, aizsargāt bērnus, kas ir cilvēku tirdzniecības upuri, nozīmē arī to, ka ir jāpievērš uzmanība bērna tiesībām uz privātās dzīves neaizskaramību.</w:t>
      </w:r>
    </w:p>
    <w:p w:rsidR="000877F0" w:rsidRDefault="000877F0" w:rsidP="006B796E">
      <w:pPr>
        <w:widowControl w:val="0"/>
        <w:spacing w:after="0" w:line="240" w:lineRule="auto"/>
        <w:jc w:val="both"/>
        <w:rPr>
          <w:rFonts w:ascii="Times New Roman" w:eastAsia="Times New Roman" w:hAnsi="Times New Roman" w:cs="Times New Roman"/>
          <w:sz w:val="24"/>
          <w:szCs w:val="24"/>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9061"/>
      </w:tblGrid>
      <w:tr w:rsidR="000877F0" w:rsidRPr="000E2D02" w:rsidTr="000877F0">
        <w:tc>
          <w:tcPr>
            <w:tcW w:w="9288" w:type="dxa"/>
            <w:shd w:val="clear" w:color="auto" w:fill="A6A6A6"/>
          </w:tcPr>
          <w:p w:rsidR="000877F0" w:rsidRPr="000E2D02" w:rsidRDefault="000877F0" w:rsidP="00B7131B">
            <w:pPr>
              <w:pStyle w:val="Pamatteksts"/>
              <w:kinsoku w:val="0"/>
              <w:overflowPunct w:val="0"/>
              <w:ind w:left="0"/>
              <w:jc w:val="both"/>
              <w:rPr>
                <w:rFonts w:cs="Arial"/>
                <w:b/>
                <w:bCs/>
                <w:noProof/>
                <w:sz w:val="24"/>
                <w:lang w:val="en-US"/>
              </w:rPr>
            </w:pPr>
            <w:r w:rsidRPr="006B796E">
              <w:rPr>
                <w:b/>
                <w:bCs/>
                <w:sz w:val="24"/>
                <w:szCs w:val="24"/>
              </w:rPr>
              <w:t>Bērna tiesības uz privātās dzīves neaizskaramību</w:t>
            </w:r>
          </w:p>
        </w:tc>
      </w:tr>
      <w:tr w:rsidR="000877F0" w:rsidRPr="000E2D02" w:rsidTr="000877F0">
        <w:tc>
          <w:tcPr>
            <w:tcW w:w="9288" w:type="dxa"/>
            <w:shd w:val="clear" w:color="auto" w:fill="D9D9D9"/>
          </w:tcPr>
          <w:p w:rsidR="000877F0" w:rsidRPr="000E2D02" w:rsidRDefault="000877F0" w:rsidP="00B7131B">
            <w:pPr>
              <w:pStyle w:val="Pamatteksts"/>
              <w:kinsoku w:val="0"/>
              <w:overflowPunct w:val="0"/>
              <w:ind w:left="0"/>
              <w:jc w:val="both"/>
              <w:rPr>
                <w:rFonts w:cs="Arial"/>
                <w:noProof/>
                <w:sz w:val="24"/>
                <w:lang w:val="en-US"/>
              </w:rPr>
            </w:pPr>
            <w:r w:rsidRPr="006B796E">
              <w:rPr>
                <w:sz w:val="24"/>
                <w:szCs w:val="24"/>
              </w:rPr>
              <w:t>“Nav pieļaujams, ka patvaļīgi vai nelikumīgi tiek pārkāpta bērna privātās dzīves, ģimenes, mājokļa vai korespondences neaizskaramība vai tiek aizskarts viņa(-as) gods un reputācija” (BTK 16. pants).</w:t>
            </w:r>
          </w:p>
        </w:tc>
      </w:tr>
    </w:tbl>
    <w:p w:rsidR="000877F0"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lastRenderedPageBreak/>
        <w:t>Tas nozīmē, ka ir būtiski aizsargāt bērnu, kas ir cilvēku tirdzniecības upuri, privāto dzīvi un identitāti un veikt pasākumus, lai novērstu tādas informācijas izplatīšanu, kas ļautu cilvēku tirgotājiem, žurnālistiem vai plašas sabiedrības locekļiem viņus identificēt, jo īpaši personas datus par bērnu, kas, domājams, ir cilvēku tirdzniecības upuris vai kas saņēmis kāda veida aprūpi vai ārstēšanu, kad šie dati tiek nodoti citai iestādei, kas atrodas vai nu tajā pašā valstī, vai citā valstī, piemēram, bērna izcelsmes valstī. Tas savukārt nozīmē, ka dažādām iestādēm, kas sadarbojas bērnu aizsardzības jomā un kam ir jāapmainās ar bērnu personas datiem, ir jāpieņem un jāievēro kopīgie personas datu aizsardzības minimālie standarti.</w:t>
      </w:r>
    </w:p>
    <w:p w:rsidR="000877F0" w:rsidRPr="006B796E"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2.2. Bērnu tiesību komitejas komentāri</w:t>
      </w:r>
    </w:p>
    <w:p w:rsidR="000877F0"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Bērnu tiesību komiteja (izveidota saskaņā ar BTK) ir izdevusi vairākus vispārējus komentārus par nepavadītiem vai nošķirtiem bērniem</w:t>
      </w:r>
      <w:r w:rsidR="000877F0">
        <w:rPr>
          <w:rStyle w:val="Vresatsauce"/>
          <w:rFonts w:ascii="Times New Roman" w:eastAsia="Times New Roman" w:hAnsi="Times New Roman" w:cs="Times New Roman"/>
          <w:sz w:val="24"/>
          <w:szCs w:val="24"/>
          <w:lang w:eastAsia="lv-LV"/>
        </w:rPr>
        <w:footnoteReference w:id="12"/>
      </w:r>
      <w:r w:rsidRPr="006B796E">
        <w:rPr>
          <w:rFonts w:ascii="Times New Roman" w:eastAsia="Times New Roman" w:hAnsi="Times New Roman" w:cs="Times New Roman"/>
          <w:sz w:val="24"/>
          <w:szCs w:val="24"/>
          <w:lang w:eastAsia="lv-LV"/>
        </w:rPr>
        <w:t xml:space="preserve"> un bērniem saistībā ar starptautisko migrāciju</w:t>
      </w:r>
      <w:r w:rsidR="000877F0">
        <w:rPr>
          <w:rStyle w:val="Vresatsauce"/>
          <w:rFonts w:ascii="Times New Roman" w:eastAsia="Times New Roman" w:hAnsi="Times New Roman" w:cs="Times New Roman"/>
          <w:sz w:val="24"/>
          <w:szCs w:val="24"/>
          <w:lang w:eastAsia="lv-LV"/>
        </w:rPr>
        <w:footnoteReference w:id="13"/>
      </w:r>
      <w:r w:rsidRPr="006B796E">
        <w:rPr>
          <w:rFonts w:ascii="Times New Roman" w:eastAsia="Times New Roman" w:hAnsi="Times New Roman" w:cs="Times New Roman"/>
          <w:sz w:val="24"/>
          <w:szCs w:val="24"/>
          <w:lang w:eastAsia="lv-LV"/>
        </w:rPr>
        <w:t>, kā arī vienu vispārējo komentāru par bērnu tiesībām uz to, lai primārais apsvērums būtu viņu intereses (Nr. 14)</w:t>
      </w:r>
      <w:r w:rsidR="000877F0">
        <w:rPr>
          <w:rStyle w:val="Vresatsauce"/>
          <w:rFonts w:ascii="Times New Roman" w:eastAsia="Times New Roman" w:hAnsi="Times New Roman" w:cs="Times New Roman"/>
          <w:sz w:val="24"/>
          <w:szCs w:val="24"/>
          <w:lang w:eastAsia="lv-LV"/>
        </w:rPr>
        <w:footnoteReference w:id="14"/>
      </w:r>
      <w:r w:rsidRPr="006B796E">
        <w:rPr>
          <w:rFonts w:ascii="Times New Roman" w:eastAsia="Times New Roman" w:hAnsi="Times New Roman" w:cs="Times New Roman"/>
          <w:sz w:val="24"/>
          <w:szCs w:val="24"/>
          <w:lang w:eastAsia="lv-LV"/>
        </w:rPr>
        <w:t>, un vienu – par bērnu tiesībām tikt uzklausītiem (un lai viņu viedoklis tiktu ņemts vērā – Nr. 12</w:t>
      </w:r>
      <w:r w:rsidR="000877F0">
        <w:rPr>
          <w:rStyle w:val="Vresatsauce"/>
          <w:rFonts w:ascii="Times New Roman" w:eastAsia="Times New Roman" w:hAnsi="Times New Roman" w:cs="Times New Roman"/>
          <w:sz w:val="24"/>
          <w:szCs w:val="24"/>
          <w:lang w:eastAsia="lv-LV"/>
        </w:rPr>
        <w:footnoteReference w:id="15"/>
      </w:r>
      <w:r w:rsidRPr="006B796E">
        <w:rPr>
          <w:rFonts w:ascii="Times New Roman" w:eastAsia="Times New Roman" w:hAnsi="Times New Roman" w:cs="Times New Roman"/>
          <w:sz w:val="24"/>
          <w:szCs w:val="24"/>
          <w:lang w:eastAsia="lv-LV"/>
        </w:rPr>
        <w:t>). Kopumā vadlīnijas jo īpaši attiecas uz procedūrām, kas jāievēro attiecībā uz bērniem, kuri identificēti kā cilvēku tirdzniecības upuri, jo īpaši tiem, kuri identificēti kā nepavadīti bērni valstī, kas nav viņu pašu valsts, kā arī attiecībā uz bērniem, kas ir cilvēku tirdzniecības upuri un ir identificēti tālu prom no mājām pašu valstī.</w:t>
      </w:r>
    </w:p>
    <w:p w:rsidR="000877F0" w:rsidRPr="006B796E"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Bērnu tiesību komiteja (kopā ar Visu migrējošo darba ņēmēju un viņu ģimenes locekļu tiesību aizsardzības komiteju) 2017. gadā ir izdevusi divus kopīgi izstrādātos vispārējos komentārus par bērniem saistībā ar starptautisko migrāciju. Šīs divas ANO līguma izpildes uzraudzības struktūras sniedza komentārus par pasākumiem, kas valstīm ir jāveic attiecībā uz bērniem, kas, iespējams, ir cilvēku tirdzniecības upuri. Piemēram, saistībā ar identifikāciju un palīdzību tās atzīmēja:</w:t>
      </w:r>
    </w:p>
    <w:p w:rsidR="000877F0" w:rsidRPr="006B796E"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“Attiecībā uz migrējošiem bērniem, par kuriem ir cilvēku tirdzniecības, pārdošanas vai citu seksuālas ekspluatācijas formu pazīmes vai kuri var būt pakļauti šādu darbību riskam vai bērnu laulībai, valstīm jāpieņem turpmāk minētie pasākumi: jāizstrādā agrīnas identifikācijas pasākumi, lai atklātu cilvēku tirdzniecības, pārdošanas un vardarbības upurus, kā arī nosūtīšanas mehānismi, turklāt šajā saistībā obligāti jāapmāca sociālie darbinieki, robežpolicija, medicīnas speciālisti un visi citi darbinieki, kas nonāk saskarē ar bērniem (..).”</w:t>
      </w:r>
      <w:r w:rsidR="000877F0">
        <w:rPr>
          <w:rStyle w:val="Vresatsauce"/>
          <w:rFonts w:ascii="Times New Roman" w:eastAsia="Times New Roman" w:hAnsi="Times New Roman" w:cs="Times New Roman"/>
          <w:sz w:val="24"/>
          <w:szCs w:val="24"/>
          <w:lang w:eastAsia="lv-LV"/>
        </w:rPr>
        <w:footnoteReference w:id="16"/>
      </w:r>
    </w:p>
    <w:p w:rsidR="000877F0" w:rsidRPr="006B796E" w:rsidRDefault="000877F0" w:rsidP="006B796E">
      <w:pPr>
        <w:widowControl w:val="0"/>
        <w:spacing w:after="0" w:line="240" w:lineRule="auto"/>
        <w:jc w:val="both"/>
        <w:rPr>
          <w:rFonts w:ascii="Times New Roman" w:eastAsia="Times New Roman" w:hAnsi="Times New Roman" w:cs="Times New Roman"/>
          <w:sz w:val="24"/>
          <w:szCs w:val="20"/>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Komitejas arī piebilda, ka valstīm “jānodrošina vispusīga aizsardzība, atbalsta pakalpojumi un efektīvu kaitējuma atlīdzināšanas mehānismu pieejamība, tostarp psihosociālā palīdzība un informācija par šiem kaitējuma atlīdzināšanas mehānismiem, migrējošiem bērniem un viņu ģimenēm, kas ziņo par vardarbības, ļaunprātīgas izmantošanas vai ekspluatācijas gadījumiem policijai vai citām attiecīgajām iestādēm, neatkarīgi no viņu migrācijas statusa; bērniem un vecākiem kā upuriem un lieciniekiem ir jāspēj droši ziņot policijai vai citām iestādēm, nepakļaujot sevi izrietošiem imigrācijas izpildes riskiem”.</w:t>
      </w:r>
      <w:r w:rsidR="000877F0">
        <w:rPr>
          <w:rStyle w:val="Vresatsauce"/>
          <w:rFonts w:ascii="Times New Roman" w:eastAsia="Times New Roman" w:hAnsi="Times New Roman" w:cs="Times New Roman"/>
          <w:sz w:val="24"/>
          <w:szCs w:val="24"/>
          <w:lang w:eastAsia="lv-LV"/>
        </w:rPr>
        <w:footnoteReference w:id="17"/>
      </w:r>
    </w:p>
    <w:p w:rsidR="000877F0" w:rsidRDefault="000877F0"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2.3. Esošais EDSO satvars attiecībā uz to bērnu aizsardzību, kas ir cilvēku tirdzniecības upuri</w:t>
      </w:r>
    </w:p>
    <w:p w:rsidR="000877F0"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EDSO Ministru padome ir pieņēmusi vairākus lēmumus par cilvēku tirdzniecību, kas ietver noteikumus attiecībā uz to bērnu aizsardzību, kas ir cilvēku tirdzniecības upuri.</w:t>
      </w:r>
      <w:r w:rsidR="000877F0">
        <w:rPr>
          <w:rStyle w:val="Vresatsauce"/>
          <w:rFonts w:ascii="Times New Roman" w:eastAsia="Times New Roman" w:hAnsi="Times New Roman" w:cs="Times New Roman"/>
          <w:sz w:val="24"/>
          <w:szCs w:val="24"/>
          <w:lang w:eastAsia="lv-LV"/>
        </w:rPr>
        <w:footnoteReference w:id="18"/>
      </w:r>
      <w:r w:rsidRPr="006B796E">
        <w:rPr>
          <w:rFonts w:ascii="Times New Roman" w:eastAsia="Times New Roman" w:hAnsi="Times New Roman" w:cs="Times New Roman"/>
          <w:sz w:val="24"/>
          <w:szCs w:val="24"/>
          <w:lang w:eastAsia="lv-LV"/>
        </w:rPr>
        <w:t> Divus gadus pēc EDSO Rīcības plāna cilvēku tirdzniecības apkarošanai (Pastāvīgās padomes Lēmums Nr. 557/Rev.1, 2003. gada 24. jūlijs) pieņemšanas EDSO 2005. gadā ir pieņēmusi īpašu Rīcības plāna papildinājumu, lai risinātu “to bērnu īpašās vajadzības, kas ir cilvēku tirdzniecības upuri”.</w:t>
      </w:r>
      <w:r w:rsidR="000877F0">
        <w:rPr>
          <w:rStyle w:val="Vresatsauce"/>
          <w:rFonts w:ascii="Times New Roman" w:eastAsia="Times New Roman" w:hAnsi="Times New Roman" w:cs="Times New Roman"/>
          <w:sz w:val="24"/>
          <w:szCs w:val="24"/>
          <w:lang w:eastAsia="lv-LV"/>
        </w:rPr>
        <w:footnoteReference w:id="19"/>
      </w:r>
      <w:r w:rsidRPr="006B796E">
        <w:rPr>
          <w:rFonts w:ascii="Times New Roman" w:eastAsia="Times New Roman" w:hAnsi="Times New Roman" w:cs="Times New Roman"/>
          <w:sz w:val="24"/>
          <w:szCs w:val="24"/>
          <w:lang w:eastAsia="lv-LV"/>
        </w:rPr>
        <w:t> Tajā ietverta ieteikumu kopa rīcībai valsts līmenī, tostarp turpmāk minētie seši ieteikumi attiecībā uz cietušo bērnu aizsardzību.</w:t>
      </w:r>
    </w:p>
    <w:p w:rsidR="000877F0"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1. Ja nepieciešams, izstrādāt nacionālos koordinēšanas un nosūtīšanas mehānismus, lai īpaši risinātu aizsardzības un palīdzības pasākumus, kas vērsti uz bērnu, kuri ir cilvēku tirdzniecības upuri, īpašajām vajadzībām, un nodrošināt, ka cietušie bērni ātri tiek nosūtīti uz attiecīgajiem dienestiem. Veidot partnerības ar pilsonisko sabiedrību, lai izstrādātu vispusīgu pieeju aizsardzības un palīdzības sniegšanai bērniem, kas ir cilvēku tirdzniecības upuri.</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 Ja nepieciešams, pēc identifikācijas bērniem, kas ir cilvēku tirdzniecības upuri, nodrošināt aizbildni un/vai juridisko pārstāvi visos palīdzības, (re)integrācijas un/vai atpakaļnosūtīšanas posmos un nodrošināt bērnu cilvēktiesību aizsardzību.</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3. Attiecīgos gadījumos bērnu tirdzniecības iespējamajiem upuriem, kas nav tās valsts valstspiederīgie vai pastāvīgie iedzīvotāji, kurā viņi ir identificēti, nodrošināt pienācīgu statusu, kas dod tiesības viņiem uzturēties šajā valstī vismaz kādu laiku un saņemt tūlītēju palīdzību, </w:t>
      </w:r>
      <w:r w:rsidRPr="006B796E">
        <w:rPr>
          <w:rFonts w:ascii="Times New Roman" w:eastAsia="Times New Roman" w:hAnsi="Times New Roman" w:cs="Times New Roman"/>
          <w:sz w:val="24"/>
          <w:szCs w:val="24"/>
          <w:lang w:eastAsia="lv-LV"/>
        </w:rPr>
        <w:lastRenderedPageBreak/>
        <w:t>kas ietver drošu patvērumu, medicīnisko un psiholoģisko aprūpi, juridisko palīdzību, sociālos pakalpojumus un izglītību.</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4. Katru bērnu tirdzniecības gadījumu apstrādāt atsevišķi un darīt visu iespējamo, lai rastu pastāvīgu risinājumu, kas sniegs vienu no šādiem iespējamiem rezultātiem: a) atpakaļnosūtīšana un reintegrācija izcelsmes valstī; b) lokāla integrācija valstī, kur bērns ir identificēts, un c) pārvietošana uz trešo valsti.</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5. Nodrošināt īpašas palīdzības un aizsardzības pieejamību, kad tas ir bērna interesēs, lai atpakaļnosūtītu bērnu uz viņa izcelsmes valsti, pienācīgi gādājot par viņu atpakaļnosūtīšanas procesā un sniedzot atbalstu iestādēm izcelsmes valstī, kas uzrauga bērna labklājību pēc atgriešanās.</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6. Stiprināt struktūras, lai veicinātu cilvēku tirdzniecībā cietušo bērnu sociālo iekļaušanu un (re)integrāciju izcelsmes un galamērķa valstīs, ņemot vērā bērnu īpašās vajadzības.</w:t>
      </w:r>
    </w:p>
    <w:p w:rsidR="000877F0"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EDSO Pastāvīgā padome 2013. gada beigās pieņēma papildinājumu EDSO Rīcības plānam cilvēku tirdzniecības apkarošanai – Pēc desmit gadiem (Pastāvīgās padomes Lēmums Nr. 1107). Lai arī tas nav vērsts konkrēti uz bērniem, tajā attiecībā uz bērniem ir ietverts valsts līmenī īstenojams ieteikums novēršanas jomā un četri ieteikumi, kas tieši saistīti ar aizsardzību un palīdzību. Tie ir minēti turpmāk.</w:t>
      </w:r>
    </w:p>
    <w:p w:rsidR="000877F0" w:rsidRPr="006B796E"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(Novēršana) 1.3. Nodrošināt, ka visiem bērniem, kas ir cilvēku tirdzniecības upuri, tiek nodrošināta tiesas un tiesiskās aizsardzības līdzekļu pieejamība, tostarp iespēja saņemt kompensāciju, nodrošināt bērnu tiesību aizsardzību, veicināt izglītības un veselības aprūpes pieejamību mazaizsargātiem bērniem un izstrādāt un īstenot atbilstīgas programmas un pasākumus, kuros ir ņemtas vērā bērna intereses.</w:t>
      </w:r>
    </w:p>
    <w:p w:rsidR="000877F0" w:rsidRPr="006B796E"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(Aizsardzība) 1.1. Attiecīgajām valsts iestādēm tiek ieteikts identificēt personas kā cilvēku tirdzniecības upurus, kas cietušas no cilvēktiesību pārkāpumiem, tiklīdz ir pamatots iemesls uzskatīt, ka šīs personas ir cilvēku tirdzniecības upuri, un saskaņā ar valsts tiesību aktiem nodrošināt, ka šiem cilvēku tirdzniecības upuriem tiek sniegta palīdzība vēl pirms izmeklēšanas sākšanas; nodrošināt, ka šī palīdzība tiek sniegta neatkarīgi no upura gribas piedalīties tiesvedībā, neskarot valsts noteikumus par cietušā pastāvīgās uzturēšanās nosacījumiem valsts teritorijā;</w:t>
      </w:r>
    </w:p>
    <w:p w:rsidR="000877F0" w:rsidRPr="006B796E"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2.3. Atzīt, ka cilvēku tirdzniecības upuriem ir nepieciešams pietiekams laiks, lai atgūtos no traumas, un nodrošināt saskaņā ar valsts tiesību aktiem un starptautiskajām saistībām nogaidīšanas periodu, piešķirot cilvēku tirdzniecības upuriem pagaidu vai, ja nepieciešams, pastāvīgas uzturēšanās atļauju (..);</w:t>
      </w:r>
    </w:p>
    <w:p w:rsidR="000877F0" w:rsidRPr="006B796E"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2.5. Nodrošināt, ka tiek sniegta nepieciešamā palīdzība drošas atpakaļnosūtīšanas procesā, kā arī bijušo cilvēku tirdzniecības upuru integrācijā, iespēju robežās sadarbojoties attiecīgi ar izcelsmes valsts iestādēm, sociālajiem dienestiem vai NVO;</w:t>
      </w:r>
    </w:p>
    <w:p w:rsidR="000877F0" w:rsidRPr="006B796E"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2.6. Veikt atbilstošus pasākumus, lai nodrošinātu, ka attiecīgā gadījumā identificētie cilvēku tirdzniecības upuri netiek sodīti par savu iesaisti nelikumīgās darbībās, ciktāl viņi ir bijuši piespiesti to darīt.</w:t>
      </w:r>
    </w:p>
    <w:p w:rsidR="000877F0" w:rsidRPr="006B796E"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 xml:space="preserve">2.3.1. </w:t>
      </w:r>
      <w:r w:rsidRPr="006B796E">
        <w:rPr>
          <w:rFonts w:ascii="Times New Roman" w:eastAsia="Times New Roman" w:hAnsi="Times New Roman" w:cs="Times New Roman"/>
          <w:b/>
          <w:bCs/>
          <w:i/>
          <w:iCs/>
          <w:sz w:val="24"/>
          <w:szCs w:val="24"/>
          <w:lang w:eastAsia="lv-LV"/>
        </w:rPr>
        <w:t>ODIHR</w:t>
      </w:r>
      <w:r w:rsidRPr="006B796E">
        <w:rPr>
          <w:rFonts w:ascii="Times New Roman" w:eastAsia="Times New Roman" w:hAnsi="Times New Roman" w:cs="Times New Roman"/>
          <w:b/>
          <w:bCs/>
          <w:sz w:val="24"/>
          <w:szCs w:val="24"/>
          <w:lang w:eastAsia="lv-LV"/>
        </w:rPr>
        <w:t xml:space="preserve"> atpakaļsūtīšanas pamatprincipi</w:t>
      </w:r>
    </w:p>
    <w:p w:rsidR="000877F0"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EDSO Demokrātisko institūciju un cilvēktiesību birojs (</w:t>
      </w:r>
      <w:r w:rsidRPr="006B796E">
        <w:rPr>
          <w:rFonts w:ascii="Times New Roman" w:eastAsia="Times New Roman" w:hAnsi="Times New Roman" w:cs="Times New Roman"/>
          <w:i/>
          <w:iCs/>
          <w:sz w:val="24"/>
          <w:szCs w:val="24"/>
          <w:lang w:eastAsia="lv-LV"/>
        </w:rPr>
        <w:t>ODIHR</w:t>
      </w:r>
      <w:r w:rsidRPr="006B796E">
        <w:rPr>
          <w:rFonts w:ascii="Times New Roman" w:eastAsia="Times New Roman" w:hAnsi="Times New Roman" w:cs="Times New Roman"/>
          <w:sz w:val="24"/>
          <w:szCs w:val="24"/>
          <w:lang w:eastAsia="lv-LV"/>
        </w:rPr>
        <w:t xml:space="preserve">) 2014. gadā ir publicējis dokumentu “Cilvēktiesību pamatprincipi, kas jāievēro, atpakaļnosūtot cilvēku tirdzniecības upurus”. Tajā ir noteikti minimālie standarti attiecībā uz septiņiem jautājumiem, kas attiecas uz </w:t>
      </w:r>
      <w:r w:rsidRPr="006B796E">
        <w:rPr>
          <w:rFonts w:ascii="Times New Roman" w:eastAsia="Times New Roman" w:hAnsi="Times New Roman" w:cs="Times New Roman"/>
          <w:sz w:val="24"/>
          <w:szCs w:val="24"/>
          <w:lang w:eastAsia="lv-LV"/>
        </w:rPr>
        <w:lastRenderedPageBreak/>
        <w:t>visām EDSO dalībvalstīm, par cilvēku tirdzniecībā cietušo pieaugušo un bērnu iespējamo atpakaļnosūtīšanu. </w:t>
      </w:r>
      <w:r w:rsidRPr="006B796E">
        <w:rPr>
          <w:rFonts w:ascii="Times New Roman" w:eastAsia="Times New Roman" w:hAnsi="Times New Roman" w:cs="Times New Roman"/>
          <w:i/>
          <w:iCs/>
          <w:sz w:val="24"/>
          <w:szCs w:val="24"/>
          <w:lang w:eastAsia="lv-LV"/>
        </w:rPr>
        <w:t>ODIHR</w:t>
      </w:r>
      <w:r w:rsidRPr="006B796E">
        <w:rPr>
          <w:rFonts w:ascii="Times New Roman" w:eastAsia="Times New Roman" w:hAnsi="Times New Roman" w:cs="Times New Roman"/>
          <w:sz w:val="24"/>
          <w:szCs w:val="24"/>
          <w:lang w:eastAsia="lv-LV"/>
        </w:rPr>
        <w:t xml:space="preserve"> 4. princips attiecas tieši uz bērniem, kas ir cilvēku tirdzniecības upuri. Tajā ir norādīts, ka “visi lēmumi attiecībā uz cietušo bērnu, neatkarīgi no tā, vai bērns ir ar vai bez pavadoņa, ir jāpieņem, primāri izvērtējot bērna intereses,” un “pastāvīga risinājuma meklēšana jāsāk ar to, ka analizē ģimenes atkalapvienošanās iespēju”. Attiecībā uz bērniem, kas identificēti valstī, kas nav bērna izcelsmes valsts, tajā ir norādīts, ka “galamērķa valstīm jānodrošina, ka cietušiem bērniem, kas nav šīs valsts valstspiederīgie vai pastāvīgie iedzīvotāji, tiek automātiski piešķirta pagaidu uzturēšanās atļauja, kas dod tiesības legāli atrasties šajā valstī, līdz tiek pabeigts bērna interešu izvērtējums un atrasts ilgtermiņa risinājums,” un “galamērķa valstīm jāieceļ bērnam, kas ir cilvēku tirdzniecības upuris, likumīgais aizbildnis un pirms jebkādu procedūru vai tiesvedības uzsākšanas bērnam jānodrošina nepieciešamā juridiskā palīdzība. Bērnam jānodrošina likumīgais aizbildnis, kad viņam tiek sniegta tūlītēja vai ilgtermiņa palīdzība, tostarp laikā, kad notiek bērna integrēšana galamērķa valstī vai kad viņš tiek nosūtīts atpakaļ un tiek integrēts izcelsmes valstī vai trešajā valstī.”</w:t>
      </w:r>
    </w:p>
    <w:p w:rsidR="000877F0" w:rsidRDefault="000877F0">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lastRenderedPageBreak/>
        <w:t>2.4. Citas tiesību normas un ieteikumi, kas jāņem vērā EDSO dalībvalstīm</w:t>
      </w:r>
    </w:p>
    <w:p w:rsidR="000877F0" w:rsidRDefault="000877F0"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2.4.1. ANO Protokola par cilvēku tirdzniecību noteikumi par aizsardzību un palīdzību</w:t>
      </w:r>
    </w:p>
    <w:p w:rsidR="000877F0"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ANO Protokola par cilvēku tirdzniecību 6. pants attiecas uz cietušo pieaugušo un bērnu aizsardzību. Tajā ir ietverti vispārēji noteikumi par to, kādā veidā cietušie bērni jāaizsargā. Dalībvalstīm saistošajā noteikumā (6. panta 6. punktā) noteikts, ka “katra dalībvalsts nodrošina, lai tās iekšējā tiesību sistēma ietvertu pasākumus, kas cilvēku tirdzniecības upuriem dotu iespēju saņemt kompensāciju par viņiem nodarīto kaitējumu”. Citos noteikumos piedāvātas nesaistošas vadlīnijas (t. i., tiek prasīts, lai dalībvalstis “izskata tādu pasākumu īstenošanas iespējas”). Attiecībā uz bērniem tomēr minētie pasākumi kopumā ir tādi, ka saskaņā ar starptautisko tiesību instrumentiem tie jau ir obligāti, ja bērns ir cilvēku tirdzniecības vai ekspluatācijas upuris (sk. iepriekš tekstā atsauces uz BTK 39. pantu). Piemēram, ANO Protokola par cilvēku tirdzniecību 6. panta 3. punktā ir prasīts, lai “katra dalībvalsts izskata tādu pasākumu īstenošanas iespējas, kas nodrošinātu cilvēku tirdzniecības upuru fizisko, psiholoģisko un sociālo rehabilitāciju, tostarp, kad nepieciešams, sadarbojoties ar nevalstiskajām organizācijām, citām atbilstošām organizācijām un citiem pilsoniskās sabiedrības elementiem, tai skaitā nodrošinot:</w:t>
      </w:r>
    </w:p>
    <w:p w:rsidR="000877F0" w:rsidRPr="006B796E"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 piemērotu dzīvesvietu;</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b) konsultatīvo palīdzību un informāciju, jo sevišķi par viņu tiesībām, tādā valodā, kuru cilvēku t</w:t>
      </w:r>
      <w:r w:rsidR="000877F0">
        <w:rPr>
          <w:rFonts w:ascii="Times New Roman" w:eastAsia="Times New Roman" w:hAnsi="Times New Roman" w:cs="Times New Roman"/>
          <w:sz w:val="24"/>
          <w:szCs w:val="24"/>
          <w:lang w:eastAsia="lv-LV"/>
        </w:rPr>
        <w:t>irdzniecības upuri var saprast;</w:t>
      </w:r>
      <w:r w:rsidR="000877F0" w:rsidRPr="000877F0">
        <w:rPr>
          <w:rStyle w:val="Vresatsauce"/>
          <w:rFonts w:ascii="Times New Roman" w:eastAsia="Times New Roman" w:hAnsi="Times New Roman" w:cs="Times New Roman"/>
          <w:sz w:val="24"/>
          <w:szCs w:val="24"/>
          <w:lang w:eastAsia="lv-LV"/>
        </w:rPr>
        <w:footnoteReference w:customMarkFollows="1" w:id="20"/>
        <w:sym w:font="Symbol" w:char="F02A"/>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c) medicīnisko, psiholoģisko un materiālo palīdzību, kā arī</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d) darba, izglītības un mācību iespējas.”</w:t>
      </w:r>
    </w:p>
    <w:p w:rsidR="000877F0"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Cilvēku tirdzniecības protokolā prasīts, ka katra dalībvalsts, piemērojot šī panta noteikumus, ņem vērā “cilvēku tirdzniecības upuru vecumu, dzimumu un īpašās vajadzības, jo sevišķi bērnu īpašās vajadzības, ieskaitot piemērotu dzīvesvietu, izglītību un aprūpi” (6. panta 4. punkts, izcēlums pievienots). Tajā ir arī prasīts, ka katra dalībvalsts “cenšas nodrošināt cilvēku tirdzniecības upuru fizisko drošību laikā, kad viņi atrodas tās teritorijas robežās” (6. panta 5. punkts).</w:t>
      </w:r>
    </w:p>
    <w:p w:rsidR="000877F0" w:rsidRPr="006B796E"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2.4.2. </w:t>
      </w:r>
      <w:r w:rsidRPr="006B796E">
        <w:rPr>
          <w:rFonts w:ascii="Times New Roman" w:eastAsia="Times New Roman" w:hAnsi="Times New Roman" w:cs="Times New Roman"/>
          <w:b/>
          <w:bCs/>
          <w:i/>
          <w:iCs/>
          <w:sz w:val="24"/>
          <w:szCs w:val="24"/>
          <w:lang w:eastAsia="lv-LV"/>
        </w:rPr>
        <w:t>UNICEF</w:t>
      </w:r>
      <w:r w:rsidRPr="006B796E">
        <w:rPr>
          <w:rFonts w:ascii="Times New Roman" w:eastAsia="Times New Roman" w:hAnsi="Times New Roman" w:cs="Times New Roman"/>
          <w:b/>
          <w:bCs/>
          <w:sz w:val="24"/>
          <w:szCs w:val="24"/>
          <w:lang w:eastAsia="lv-LV"/>
        </w:rPr>
        <w:t xml:space="preserve"> ieteiktie aizsardzības pasākumi, lai aizsargātu bērnus, kas ir cilvēku tirdzniecības upuri</w:t>
      </w:r>
    </w:p>
    <w:p w:rsidR="000877F0" w:rsidRDefault="000877F0"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UNICEF</w:t>
      </w:r>
      <w:r w:rsidRPr="006B796E">
        <w:rPr>
          <w:rFonts w:ascii="Times New Roman" w:eastAsia="Times New Roman" w:hAnsi="Times New Roman" w:cs="Times New Roman"/>
          <w:sz w:val="24"/>
          <w:szCs w:val="24"/>
          <w:lang w:eastAsia="lv-LV"/>
        </w:rPr>
        <w:t xml:space="preserve"> 2003. gadā izstrādāja vairākas vadlīnijas cilvēku tirdzniecībā cietušo bērnu tiesību aizsardzībai Dienvidaustrumeiropā. Dienvidaustrumeiropas Stabilitātes pakta Darba grupa cilvēku tirdzniecības novēršanai uzdeva parakstītājiem pieņemt īpašas nosūtīšanas procedūras, lai palīdzētu un aizsargātu bērnus, kas ir cilvēku tirdzniecības upuri, iesaistot visas attiecīgās institūcijas, aģentūras un iestādes, un “izstrādāt un pieņemt minimālos standartus rīcībai ar bērniem, kas ir cilvēku tirdzniecības upuri, pamatojoties uz </w:t>
      </w:r>
      <w:r w:rsidRPr="006B796E">
        <w:rPr>
          <w:rFonts w:ascii="Times New Roman" w:eastAsia="Times New Roman" w:hAnsi="Times New Roman" w:cs="Times New Roman"/>
          <w:i/>
          <w:iCs/>
          <w:sz w:val="24"/>
          <w:szCs w:val="24"/>
          <w:lang w:eastAsia="lv-LV"/>
        </w:rPr>
        <w:t>UNICEF</w:t>
      </w:r>
      <w:r w:rsidRPr="006B796E">
        <w:rPr>
          <w:rFonts w:ascii="Times New Roman" w:eastAsia="Times New Roman" w:hAnsi="Times New Roman" w:cs="Times New Roman"/>
          <w:sz w:val="24"/>
          <w:szCs w:val="24"/>
          <w:lang w:eastAsia="lv-LV"/>
        </w:rPr>
        <w:t xml:space="preserve"> izstrādātajām vadlīnijām”.</w:t>
      </w:r>
      <w:r w:rsidR="000877F0">
        <w:rPr>
          <w:rStyle w:val="Vresatsauce"/>
          <w:rFonts w:ascii="Times New Roman" w:eastAsia="Times New Roman" w:hAnsi="Times New Roman" w:cs="Times New Roman"/>
          <w:sz w:val="24"/>
          <w:szCs w:val="24"/>
          <w:lang w:eastAsia="lv-LV"/>
        </w:rPr>
        <w:footnoteReference w:customMarkFollows="1" w:id="21"/>
        <w:t>20</w:t>
      </w:r>
    </w:p>
    <w:p w:rsidR="000877F0" w:rsidRPr="006B796E" w:rsidRDefault="000877F0" w:rsidP="006B796E">
      <w:pPr>
        <w:widowControl w:val="0"/>
        <w:spacing w:after="0" w:line="240" w:lineRule="auto"/>
        <w:jc w:val="both"/>
        <w:rPr>
          <w:rFonts w:ascii="Times New Roman" w:eastAsia="Times New Roman" w:hAnsi="Times New Roman" w:cs="Times New Roman"/>
          <w:sz w:val="24"/>
          <w:szCs w:val="20"/>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2006. gadā </w:t>
      </w:r>
      <w:r w:rsidRPr="006B796E">
        <w:rPr>
          <w:rFonts w:ascii="Times New Roman" w:eastAsia="Times New Roman" w:hAnsi="Times New Roman" w:cs="Times New Roman"/>
          <w:i/>
          <w:iCs/>
          <w:sz w:val="24"/>
          <w:szCs w:val="24"/>
          <w:lang w:eastAsia="lv-LV"/>
        </w:rPr>
        <w:t>UNICEF</w:t>
      </w:r>
      <w:r w:rsidRPr="006B796E">
        <w:rPr>
          <w:rFonts w:ascii="Times New Roman" w:eastAsia="Times New Roman" w:hAnsi="Times New Roman" w:cs="Times New Roman"/>
          <w:sz w:val="24"/>
          <w:szCs w:val="24"/>
          <w:lang w:eastAsia="lv-LV"/>
        </w:rPr>
        <w:t xml:space="preserve"> pārskatīja šīs vadlīnijas un izdeva tās kā “Tehniskās piezīmes” </w:t>
      </w:r>
      <w:r w:rsidRPr="006B796E">
        <w:rPr>
          <w:rFonts w:ascii="Times New Roman" w:eastAsia="Times New Roman" w:hAnsi="Times New Roman" w:cs="Times New Roman"/>
          <w:sz w:val="24"/>
          <w:szCs w:val="24"/>
          <w:lang w:eastAsia="lv-LV"/>
        </w:rPr>
        <w:lastRenderedPageBreak/>
        <w:t>izmantošanai visā pasaulē.</w:t>
      </w:r>
      <w:r w:rsidR="000877F0">
        <w:rPr>
          <w:rStyle w:val="Vresatsauce"/>
          <w:rFonts w:ascii="Times New Roman" w:eastAsia="Times New Roman" w:hAnsi="Times New Roman" w:cs="Times New Roman"/>
          <w:sz w:val="24"/>
          <w:szCs w:val="24"/>
          <w:lang w:eastAsia="lv-LV"/>
        </w:rPr>
        <w:footnoteReference w:customMarkFollows="1" w:id="22"/>
        <w:t>21</w:t>
      </w:r>
      <w:r w:rsidRPr="006B796E">
        <w:rPr>
          <w:rFonts w:ascii="Times New Roman" w:eastAsia="Times New Roman" w:hAnsi="Times New Roman" w:cs="Times New Roman"/>
          <w:sz w:val="24"/>
          <w:szCs w:val="24"/>
          <w:lang w:eastAsia="lv-LV"/>
        </w:rPr>
        <w:t> Vadlīnijās ir sniegta bērnu tirdzniecības definīcija un aplūkoti deviņi jautājumi par to, kā bērni, kas ir cilvēku tirdzniecības upuri, jāaizsargā un kā viņiem jāpalīdz. Tie ir šādi:</w:t>
      </w:r>
    </w:p>
    <w:p w:rsidR="000877F0"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1. bērnu, kas ir cilvēku tirdzniecības upuri, identificēšana;</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 aizbildņa iecelšana katram bērnam, kas ir cilvēku tirdzniecības upuris;</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3. reģistrēšana un dokumentēšana (tostarp iztaujāšanas, ko veic tiesībsargājošo iestāžu amatpersonas);</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4. bērna imigrācijas statusa noformēšana valstī, kas nav bērna izcelsmes valsts;</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5. pagaidu aprūpe un aizsardzība;</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6. katra atsevišķa gadījuma novērtēšana un “pastāvīga risinājuma”</w:t>
      </w:r>
      <w:r w:rsidR="000877F0">
        <w:rPr>
          <w:rStyle w:val="Vresatsauce"/>
          <w:rFonts w:ascii="Times New Roman" w:eastAsia="Times New Roman" w:hAnsi="Times New Roman" w:cs="Times New Roman"/>
          <w:sz w:val="24"/>
          <w:szCs w:val="24"/>
          <w:lang w:eastAsia="lv-LV"/>
        </w:rPr>
        <w:footnoteReference w:customMarkFollows="1" w:id="23"/>
        <w:t>22</w:t>
      </w:r>
      <w:r w:rsidRPr="006B796E">
        <w:rPr>
          <w:rFonts w:ascii="Times New Roman" w:eastAsia="Times New Roman" w:hAnsi="Times New Roman" w:cs="Times New Roman"/>
          <w:sz w:val="24"/>
          <w:szCs w:val="24"/>
          <w:lang w:eastAsia="lv-LV"/>
        </w:rPr>
        <w:t xml:space="preserve"> noteikšana;</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7. pastāvīga risinājuma īstenošana, tostarp bērna iespējamā nosūtīšana atpakaļ uz izcelsmes valsti;</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8. tiesas pieejamība bērniem (tostarp</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cietušo un/vai liecinieku statusā esošo bērnu aizsardzība tiesas procesa laikā);</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9. tiesvedības, finansiālās palīdzības, atlīdzināšanas un kompensācijas izmaksu vadība.</w:t>
      </w:r>
    </w:p>
    <w:p w:rsidR="000877F0" w:rsidRDefault="000877F0"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2.4.3. ANO Vispārējā rīcības plānā noteiktie pasākumi</w:t>
      </w:r>
    </w:p>
    <w:p w:rsidR="000877F0"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2010. gadā ANO Ģenerālā asambleja pieņēma Vispārējo rīcības plānu cilvēku tirdzniecības apkarošanai. Tajā noteikts, ka ANO dalībvalstis “bērniem, kas ir cilvēku tirdzniecības upuri, nodrošina pienācīgu palīdzību un aizsardzību bērna interesēs”</w:t>
      </w:r>
      <w:r w:rsidR="00F05F26">
        <w:rPr>
          <w:rStyle w:val="Vresatsauce"/>
          <w:rFonts w:ascii="Times New Roman" w:eastAsia="Times New Roman" w:hAnsi="Times New Roman" w:cs="Times New Roman"/>
          <w:sz w:val="24"/>
          <w:szCs w:val="24"/>
          <w:lang w:eastAsia="lv-LV"/>
        </w:rPr>
        <w:footnoteReference w:customMarkFollows="1" w:id="24"/>
        <w:t>23</w:t>
      </w:r>
      <w:r w:rsidRPr="006B796E">
        <w:rPr>
          <w:rFonts w:ascii="Times New Roman" w:eastAsia="Times New Roman" w:hAnsi="Times New Roman" w:cs="Times New Roman"/>
          <w:sz w:val="24"/>
          <w:szCs w:val="24"/>
          <w:lang w:eastAsia="lv-LV"/>
        </w:rPr>
        <w:t>, un tas aicina koordinēt esošās bērnu aizsardzības sistēmas, sniedzot pakalpojumus un īstenojot pasākumus cietušo bērnu labklājības un viņu izglītības, rehabilitācijas un integrācijas nodrošināšanai.</w:t>
      </w:r>
    </w:p>
    <w:p w:rsidR="000877F0" w:rsidRPr="006B796E" w:rsidRDefault="000877F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Politiskajā paziņojumā par ANO Vispārējā rīcības plāna cilvēku tirdzniecības apkarošanai īstenošanu, kas sakrīt ar ANO Ģenerālās asamblejas 2017. gada septembrī pārskatīto Vispārējo plānu, ANO dalībvalstis ir aicinātas “izstrādāt visaptverošas politiskās nostādnes, programmas un citus pasākumus, lai aizsargātu cilvēku tirdzniecībā cietušas sievietes un bērnus no atkārtotas viktimizācijas, un sniegt atbilstīgu palīdzību un aizsardzību bērna [</w:t>
      </w:r>
      <w:r w:rsidRPr="006B796E">
        <w:rPr>
          <w:rFonts w:ascii="Times New Roman" w:eastAsia="Times New Roman" w:hAnsi="Times New Roman" w:cs="Times New Roman"/>
          <w:i/>
          <w:iCs/>
          <w:sz w:val="24"/>
          <w:szCs w:val="24"/>
          <w:lang w:eastAsia="lv-LV"/>
        </w:rPr>
        <w:t>sic</w:t>
      </w:r>
      <w:r w:rsidRPr="006B796E">
        <w:rPr>
          <w:rFonts w:ascii="Times New Roman" w:eastAsia="Times New Roman" w:hAnsi="Times New Roman" w:cs="Times New Roman"/>
          <w:sz w:val="24"/>
          <w:szCs w:val="24"/>
          <w:lang w:eastAsia="lv-LV"/>
        </w:rPr>
        <w:t>] interesēs” (19. punkts).</w:t>
      </w:r>
    </w:p>
    <w:p w:rsidR="00F05F26" w:rsidRPr="006B796E" w:rsidRDefault="00F05F26"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2.4.4. ANO Pamatnostādnes par bērnu alternatīvo aprūpi</w:t>
      </w:r>
    </w:p>
    <w:p w:rsidR="00F05F26" w:rsidRDefault="00F05F26"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ANO Pamatnostādnes par bērnu alternatīvo aprūpi</w:t>
      </w:r>
      <w:r w:rsidR="00F05F26">
        <w:rPr>
          <w:rStyle w:val="Vresatsauce"/>
          <w:rFonts w:ascii="Times New Roman" w:eastAsia="Times New Roman" w:hAnsi="Times New Roman" w:cs="Times New Roman"/>
          <w:sz w:val="24"/>
          <w:szCs w:val="24"/>
          <w:lang w:eastAsia="lv-LV"/>
        </w:rPr>
        <w:footnoteReference w:customMarkFollows="1" w:id="25"/>
        <w:t>24</w:t>
      </w:r>
      <w:r w:rsidRPr="006B796E">
        <w:rPr>
          <w:rFonts w:ascii="Times New Roman" w:eastAsia="Times New Roman" w:hAnsi="Times New Roman" w:cs="Times New Roman"/>
          <w:sz w:val="24"/>
          <w:szCs w:val="24"/>
          <w:lang w:eastAsia="lv-LV"/>
        </w:rPr>
        <w:t xml:space="preserve"> (2009) ir izstrādātas, lai tiktu ievērota BTK un būtiski noteikumi citos starptautiskos dokumentos par aizsardzības un labklājības nodrošināšanu bērniem, kam liegta vecāku gādība vai draud tās zaudēšana. Tās piemēro attiecībā uz nepavadītiem vai nošķirtiem bērniem, kas, iespējams, ir cilvēku tirdzniecības upuri (jo parasti viņiem ir nepieciešama alternatīvā aprūpe uzreiz pēc viņu atbrīvošanas no cilvēku tirgotāja vai ekspluatētāja kontroles), lai nodrošinātu, ka, kamēr tiek īstenoti centieni nodot bērnu atpakaļ viņa ģimenes gādībā vai atrast citus viņam piemērotus ilgtermiņa risinājumus, viņam tiktu noteikti un nodrošināti piemērotākie alternatīvās aprūpes veidi apstākļos, kas </w:t>
      </w:r>
      <w:r w:rsidRPr="006B796E">
        <w:rPr>
          <w:rFonts w:ascii="Times New Roman" w:eastAsia="Times New Roman" w:hAnsi="Times New Roman" w:cs="Times New Roman"/>
          <w:sz w:val="24"/>
          <w:szCs w:val="24"/>
          <w:lang w:eastAsia="lv-LV"/>
        </w:rPr>
        <w:lastRenderedPageBreak/>
        <w:t>veicina bērna pilnīgu un harmonisku attīstību (ANO Pamatnostādnes, 2. pants).</w:t>
      </w:r>
    </w:p>
    <w:p w:rsidR="00F05F26" w:rsidRPr="006B796E" w:rsidRDefault="00F05F26" w:rsidP="006B796E">
      <w:pPr>
        <w:widowControl w:val="0"/>
        <w:spacing w:after="0" w:line="240" w:lineRule="auto"/>
        <w:jc w:val="both"/>
        <w:rPr>
          <w:rFonts w:ascii="Times New Roman" w:eastAsia="Times New Roman" w:hAnsi="Times New Roman" w:cs="Times New Roman"/>
          <w:sz w:val="24"/>
          <w:szCs w:val="20"/>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Pamatnostādnes piemēro bērniem, kas ir cilvēku tirdzniecības upuri, arī gadījumos, ja ir aizdomas, ka bērna vecāki nodarbojas ar bērnu tirdzniecību vai ekspluatāciju, un tiek uzskatīts, ka turpināt dzīvot ar šādiem vecākiem nav bērna interesēs.</w:t>
      </w:r>
    </w:p>
    <w:p w:rsidR="00F05F26" w:rsidRPr="006B796E" w:rsidRDefault="00F05F26"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Pamatnostādnes mudina ievērot divus bērnu alternatīvās aprūpes pamatprincipus, proti, ka šāda aprūpe patiešām ir nepieciešama (“nepieciešamības princips”) un ka gadījumā, ja aprūpe tiek nodrošināta, tā tiek nodrošina piemērotā veidā (“piemērotības princips”). Šie un citi faktori ir jāņem vērā, vērtējot, vai bērnam ir nepieciešams nodrošināt alternatīvo aprūpi (un gadījumā, ja bērns joprojām dzīvo ar kādu no saviem vecākiem vai ģimenes locekli, vai bērns jānošķir no saviem vecākiem). Tajās noteikts, jo īpaši 6. pantā, ka ar attiecīgo bērnu ir jāapspriežas vērtēšanas procesā un viņa viedoklis ir jāņem vērā:</w:t>
      </w:r>
    </w:p>
    <w:p w:rsidR="00F05F26" w:rsidRPr="006B796E" w:rsidRDefault="00F05F26"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“Visi lēmumi, iniciatīvas un risinājumi, uz kuriem attiecas šīs pamatnostādnes, ir jāpieņem katrā gadījumā atsevišķi, tā, lai tie garantētu bērna drošību un nāktu par labu konkrētā bērna interesēm un tiesībām, ievērojot diskriminācijas aizlieguma principu un ar dzimumu saistīto aspektu. Tos pieņemot, pilnībā jāievēro, ka bērnam ir tiesības, lai viņa viedoklis tiktu uzklausīts un ņemts vērā atbilstoši viņa briedumam un lai šī viedokļa veidošanai būtu pieejama visa nepieciešamā informācija. Jādara viss iespējamais, lai nodrošinātu, ka bērna viedoklis tiek uzklausīts un informācija sniegta bērna izraudzītajā valodā.”</w:t>
      </w:r>
    </w:p>
    <w:p w:rsidR="00F05F26" w:rsidRPr="006B796E" w:rsidRDefault="00F05F26"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2.4.5. Eiropas Padomes konvencijas</w:t>
      </w:r>
    </w:p>
    <w:p w:rsidR="00F05F26" w:rsidRDefault="00F05F26"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Eiropas Padomes Konvencija par cīņu pret cilvēku tirdzniecību (2005. gada Varšavas konvencija)</w:t>
      </w:r>
    </w:p>
    <w:p w:rsidR="00F05F26" w:rsidRDefault="00F05F26"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Saskaņā ar Eiropas Padomes Konvenciju par cīņu pret cilvēku tirdzniecību ir izveidota līguma izpildes uzraudzības struktūra, saukta </w:t>
      </w:r>
      <w:r w:rsidRPr="006B796E">
        <w:rPr>
          <w:rFonts w:ascii="Times New Roman" w:eastAsia="Times New Roman" w:hAnsi="Times New Roman" w:cs="Times New Roman"/>
          <w:i/>
          <w:iCs/>
          <w:sz w:val="24"/>
          <w:szCs w:val="24"/>
          <w:lang w:eastAsia="lv-LV"/>
        </w:rPr>
        <w:t>GRETA</w:t>
      </w:r>
      <w:r w:rsidRPr="006B796E">
        <w:rPr>
          <w:rFonts w:ascii="Times New Roman" w:eastAsia="Times New Roman" w:hAnsi="Times New Roman" w:cs="Times New Roman"/>
          <w:sz w:val="24"/>
          <w:szCs w:val="24"/>
          <w:lang w:eastAsia="lv-LV"/>
        </w:rPr>
        <w:t xml:space="preserve">, kas uzrauga, kā Konvencija tiek īstenota atsevišķās dalībvalstīs, un publicē ikgadējos ziņojumus, katru par konkrētu tēmu. Komentējot to, kāda palīdzība Konvencijas dalībvalstīm ir jāsniedz pieaugušajiem un bērniem, kas ir cilvēku tirdzniecības upuri, </w:t>
      </w:r>
      <w:r w:rsidRPr="006B796E">
        <w:rPr>
          <w:rFonts w:ascii="Times New Roman" w:eastAsia="Times New Roman" w:hAnsi="Times New Roman" w:cs="Times New Roman"/>
          <w:i/>
          <w:iCs/>
          <w:sz w:val="24"/>
          <w:szCs w:val="24"/>
          <w:lang w:eastAsia="lv-LV"/>
        </w:rPr>
        <w:t>GRETA</w:t>
      </w:r>
      <w:r w:rsidRPr="006B796E">
        <w:rPr>
          <w:rFonts w:ascii="Times New Roman" w:eastAsia="Times New Roman" w:hAnsi="Times New Roman" w:cs="Times New Roman"/>
          <w:sz w:val="24"/>
          <w:szCs w:val="24"/>
          <w:lang w:eastAsia="lv-LV"/>
        </w:rPr>
        <w:t xml:space="preserve"> 2012. gada ikgadējā ziņojumā norādīja:</w:t>
      </w:r>
    </w:p>
    <w:p w:rsidR="00F05F26" w:rsidRPr="006B796E" w:rsidRDefault="00F05F26"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“Konvencijā noteikts, ka dalībvalstīm ir jāveic pasākumi, lai sniegtu palīdzību upuriem viņu fiziskajā, psiholoģiskajā un sociālajā atlabšanā, ņemot vērā upura drošības un aizsardzības vajadzības, sadarbībā ar NVO un citām organizācijām, kas nodarbojas ar palīdzības sniegšanu upuriem. Šī palīdzība ir jāsniedz, pamatojoties uz vienprātību un kompetenci, ievērojot neaizsargātības stāvoklī esošo personu, kā arī bērnu īpašās vajadzības, un šī palīdzība upurim jāsniedz neatkarīgi no viņa gatavības būt par liecinieku. Upuriem ir jāsniedz palīdzība, kas izpaužas kā pienācīga un droša izmitināšana, psiholoģiska un materiāla palīdzība, neatliekamā medicīniskā ārstēšana, rakstiskās un mutiskās tulkošanas pakalpojumi, konsultēšana un informācija, kā arī izglītības pieejamība bērniem.”</w:t>
      </w:r>
      <w:r w:rsidR="00F05F26">
        <w:rPr>
          <w:rStyle w:val="Vresatsauce"/>
          <w:rFonts w:ascii="Times New Roman" w:eastAsia="Times New Roman" w:hAnsi="Times New Roman" w:cs="Times New Roman"/>
          <w:sz w:val="24"/>
          <w:szCs w:val="24"/>
          <w:lang w:eastAsia="lv-LV"/>
        </w:rPr>
        <w:footnoteReference w:customMarkFollows="1" w:id="26"/>
        <w:t>25</w:t>
      </w:r>
    </w:p>
    <w:p w:rsidR="00F05F26" w:rsidRPr="006B796E" w:rsidRDefault="00F05F26"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Savā 2015. gada ikgadējā ziņojumā </w:t>
      </w:r>
      <w:r w:rsidRPr="006B796E">
        <w:rPr>
          <w:rFonts w:ascii="Times New Roman" w:eastAsia="Times New Roman" w:hAnsi="Times New Roman" w:cs="Times New Roman"/>
          <w:i/>
          <w:iCs/>
          <w:sz w:val="24"/>
          <w:szCs w:val="24"/>
          <w:lang w:eastAsia="lv-LV"/>
        </w:rPr>
        <w:t>GRETA</w:t>
      </w:r>
      <w:r w:rsidRPr="006B796E">
        <w:rPr>
          <w:rFonts w:ascii="Times New Roman" w:eastAsia="Times New Roman" w:hAnsi="Times New Roman" w:cs="Times New Roman"/>
          <w:sz w:val="24"/>
          <w:szCs w:val="24"/>
          <w:lang w:eastAsia="lv-LV"/>
        </w:rPr>
        <w:t xml:space="preserve"> uzsvēra konkrētu pasākumu nozīmi to bērnu aizsardzības nodrošināšanā, kas ir cilvēku tirdzniecības upuri. Tā ziņoja, ka “36 valstīs no 40 pirmajā novērtēšanas kārtā izvērtētajām valstīm </w:t>
      </w:r>
      <w:r w:rsidRPr="006B796E">
        <w:rPr>
          <w:rFonts w:ascii="Times New Roman" w:eastAsia="Times New Roman" w:hAnsi="Times New Roman" w:cs="Times New Roman"/>
          <w:i/>
          <w:iCs/>
          <w:sz w:val="24"/>
          <w:szCs w:val="24"/>
          <w:lang w:eastAsia="lv-LV"/>
        </w:rPr>
        <w:t>GRETA</w:t>
      </w:r>
      <w:r w:rsidRPr="006B796E">
        <w:rPr>
          <w:rFonts w:ascii="Times New Roman" w:eastAsia="Times New Roman" w:hAnsi="Times New Roman" w:cs="Times New Roman"/>
          <w:sz w:val="24"/>
          <w:szCs w:val="24"/>
          <w:lang w:eastAsia="lv-LV"/>
        </w:rPr>
        <w:t xml:space="preserve"> ir mudinājusi iestādes īstenot pasākumus, lai uzlabotu bērnu, kas ir cilvēku tirdzniecības upuri, identificēšanu un palīdzības sniegšanu viņiem, tostarp izveidojot īpašu identifikācijas un nosūtīšanas mehānismu, kas ņem </w:t>
      </w:r>
      <w:r w:rsidRPr="006B796E">
        <w:rPr>
          <w:rFonts w:ascii="Times New Roman" w:eastAsia="Times New Roman" w:hAnsi="Times New Roman" w:cs="Times New Roman"/>
          <w:sz w:val="24"/>
          <w:szCs w:val="24"/>
          <w:lang w:eastAsia="lv-LV"/>
        </w:rPr>
        <w:lastRenderedPageBreak/>
        <w:t>vērā cietušo bērnu īpašos apstākļus un vajadzības un nodrošina, ka primārais apsvērums ir bērna intereses”.</w:t>
      </w:r>
      <w:r w:rsidR="00F05F26">
        <w:rPr>
          <w:rStyle w:val="Vresatsauce"/>
          <w:rFonts w:ascii="Times New Roman" w:eastAsia="Times New Roman" w:hAnsi="Times New Roman" w:cs="Times New Roman"/>
          <w:sz w:val="24"/>
          <w:szCs w:val="24"/>
          <w:lang w:eastAsia="lv-LV"/>
        </w:rPr>
        <w:footnoteReference w:customMarkFollows="1" w:id="27"/>
        <w:t>26</w:t>
      </w:r>
    </w:p>
    <w:p w:rsidR="00F05F26" w:rsidRPr="006B796E" w:rsidRDefault="00F05F26" w:rsidP="006B796E">
      <w:pPr>
        <w:widowControl w:val="0"/>
        <w:spacing w:after="0" w:line="240" w:lineRule="auto"/>
        <w:jc w:val="both"/>
        <w:rPr>
          <w:rFonts w:ascii="Times New Roman" w:eastAsia="Times New Roman" w:hAnsi="Times New Roman" w:cs="Times New Roman"/>
          <w:sz w:val="24"/>
          <w:szCs w:val="20"/>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Eiropas Padomes Konvencija par bērnu aizsardzību pret seksuālu izmantošanu un seksuālu vardarbību (2007. gada Lansarotes konvencija)</w:t>
      </w:r>
    </w:p>
    <w:p w:rsidR="00F05F26" w:rsidRDefault="00F05F26"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Šīs konvencijas uzmanības centrā ir bērnu seksuālā izmantošana, tostarp nodarījumi, kas saistīti ar bērnu prostitūciju, bērnu pornogrāfiju un bērnu piedalīšanos pornogrāfiskos priekšnesumos (saskaņā ar Konvencijas 19.–23. pantu). Tā attiecas arī uz nodarījumiem, kas var ietvert seksuālu izmantošanu, kā arī seksuālu vardarbību, piemēram, bērnu pavešanu netiklībā</w:t>
      </w:r>
      <w:r w:rsidR="00F05F26">
        <w:rPr>
          <w:rStyle w:val="Vresatsauce"/>
          <w:rFonts w:ascii="Times New Roman" w:eastAsia="Times New Roman" w:hAnsi="Times New Roman" w:cs="Times New Roman"/>
          <w:sz w:val="24"/>
          <w:szCs w:val="24"/>
          <w:lang w:eastAsia="lv-LV"/>
        </w:rPr>
        <w:footnoteReference w:customMarkFollows="1" w:id="28"/>
        <w:t>27</w:t>
      </w:r>
      <w:r w:rsidRPr="006B796E">
        <w:rPr>
          <w:rFonts w:ascii="Times New Roman" w:eastAsia="Times New Roman" w:hAnsi="Times New Roman" w:cs="Times New Roman"/>
          <w:sz w:val="24"/>
          <w:szCs w:val="24"/>
          <w:lang w:eastAsia="lv-LV"/>
        </w:rPr>
        <w:t xml:space="preserve"> un uzmākšanos bērniem seksuālos nolūkos. Tajā ir noteikti cietušo bērnu aizsardzības principi, 11. pantā atzīmējot, ka dalībvalstis “izstrādā (..) daudznozaru struktūras, lai sniegtu nepieciešamo atbalstu cietušajiem, viņu tuviniekiem un jebkurai personai, kura ir atbildīga par viņu aprūpi,” un “veic nepieciešamos normatīvos vai citus pasākumus, lai nodrošinātu to, ka situācijā, kad nevar noteikt cietušā vecumu un ir pamats aizdomām, ka cietušais ir bērns, aizsardzības un palīdzības pasākumi, kas paredzēti bērniem, viņam vai viņai tiek nodrošināti līdz viņa vai viņas vecuma noskaidrošanai.”</w:t>
      </w:r>
    </w:p>
    <w:p w:rsidR="00F05F26" w:rsidRPr="006B796E" w:rsidRDefault="00F05F26" w:rsidP="006B796E">
      <w:pPr>
        <w:widowControl w:val="0"/>
        <w:spacing w:after="0" w:line="240" w:lineRule="auto"/>
        <w:jc w:val="both"/>
        <w:rPr>
          <w:rFonts w:ascii="Times New Roman" w:eastAsia="Times New Roman" w:hAnsi="Times New Roman" w:cs="Times New Roman"/>
          <w:sz w:val="24"/>
          <w:szCs w:val="20"/>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Viens pants (35. pants) attiecas uz cietušo bērnu pratināšanu, un tajā ir noteikts process, kas dalībvalstīm ir jāievēro. Šis pants attiecas galvenokārt uz pratināšanām, kas skar iespējamos nodarījumus pret bērniem. Tomēr šajos noteikumos iestrādātais princips būtu piemērojams arī iztaujāšanām, kas veiktas citos nolūkos, proti, ja vien tas iespējams un ja ir attiecīga situācija, vienām un tām pašām personām jāvada visas pratināšanas; savukārt bērns jāpavada viņa vai viņas likumīgajam pārstāvim vai attiecīgā gadījumā viņa vai viņas izraudzītajam pieaugušajam,“ja vien attiecībā uz šo personu nav pieņemts pamatots pretējs lēmums”. Konvencijā ir pievērsta uzmanība arī tam, ka ir jāapmāca cilvēki, kas ir saskarē ar bērniem, attiecībā gan uz aizsardzības pasākumiem, gan uz bērnu tiesībām.</w:t>
      </w:r>
      <w:r w:rsidR="00F05F26">
        <w:rPr>
          <w:rStyle w:val="Vresatsauce"/>
          <w:rFonts w:ascii="Times New Roman" w:eastAsia="Times New Roman" w:hAnsi="Times New Roman" w:cs="Times New Roman"/>
          <w:sz w:val="24"/>
          <w:szCs w:val="24"/>
          <w:lang w:eastAsia="lv-LV"/>
        </w:rPr>
        <w:footnoteReference w:customMarkFollows="1" w:id="29"/>
        <w:t>28</w:t>
      </w:r>
    </w:p>
    <w:p w:rsidR="00F05F26" w:rsidRPr="006B796E" w:rsidRDefault="00F05F26"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2.4.6. Neatkarīgo Valstu Sadraudzības programma</w:t>
      </w:r>
    </w:p>
    <w:p w:rsidR="00F05F26" w:rsidRDefault="00F05F26"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Neatkarīgo Valstu Sadraudzība 2013. gadā ir pieņēmusi Sadarbības programmu cīņai pret cilvēku tirdzniecību 2014.–2018. gadam.</w:t>
      </w:r>
      <w:r w:rsidR="00F05F26">
        <w:rPr>
          <w:rStyle w:val="Vresatsauce"/>
          <w:rFonts w:ascii="Times New Roman" w:eastAsia="Times New Roman" w:hAnsi="Times New Roman" w:cs="Times New Roman"/>
          <w:sz w:val="24"/>
          <w:szCs w:val="24"/>
          <w:lang w:eastAsia="lv-LV"/>
        </w:rPr>
        <w:footnoteReference w:customMarkFollows="1" w:id="30"/>
        <w:t>29</w:t>
      </w:r>
      <w:r w:rsidRPr="006B796E">
        <w:rPr>
          <w:rFonts w:ascii="Times New Roman" w:eastAsia="Times New Roman" w:hAnsi="Times New Roman" w:cs="Times New Roman"/>
          <w:sz w:val="24"/>
          <w:szCs w:val="24"/>
          <w:lang w:eastAsia="lv-LV"/>
        </w:rPr>
        <w:t xml:space="preserve"> Šīs programmas daļas (3. sadaļa) attiecas uz “organizatoriskiem un praktiskiem pasākumiem, lai sniegtu palīdzību cilvēku tirdzniecības upuriem” (lai arī tie nav vērsti konkrēti uz bērniem). Attiecībā uz cilvēku tirdzniecības upuriem, kuru identitāte noteikta ārpus viņu izcelsmes valsts, programma paredz, ka NVS dalībvalstu </w:t>
      </w:r>
      <w:r w:rsidRPr="006B796E">
        <w:rPr>
          <w:rFonts w:ascii="Times New Roman" w:eastAsia="Times New Roman" w:hAnsi="Times New Roman" w:cs="Times New Roman"/>
          <w:sz w:val="24"/>
          <w:szCs w:val="24"/>
          <w:lang w:eastAsia="lv-LV"/>
        </w:rPr>
        <w:lastRenderedPageBreak/>
        <w:t>vēstniecības un konsulāti “turpinās darbu, lai saglabātu mijiedarbību un pieredzes apmaiņu – lai identificētu un savlaicīgi noteiktu atbilstošu palīdzību cilvēku tirdzniecības upuriem ārvalstīs, nodrošinātu viņu drošību, tiesības, brīvības un likumīgās intereses un lai pēc iespējas drīzāk atgrieztu viņus atpakaļ dzimtenē” (3.4. sadaļa). Saistībā ar personām, kas identificētas par cietušajiem un kam piemērota aizturēšana un vai kādi citi ierobežojumi, šajā programmā ir paredzēts, ka vairākas struktūras sadarbosies, lai pārskatītu cilvēku tirdzniecības upuru aizturēšanas praksi imigrācijas centros vai citu ierobežojumu piemērošanu šīm personām (3.5.a sadaļa), vai cilvēku tirdzniecības upuru deportēšanu, ja viņi ir piekrituši “sadarboties ar tiesībaizsardzības iestādēm cilvēku tirgotāju apsūdzībā” (3.5.b sadaļa).</w:t>
      </w:r>
      <w:r w:rsidR="00F05F26">
        <w:rPr>
          <w:rStyle w:val="Vresatsauce"/>
          <w:rFonts w:ascii="Times New Roman" w:eastAsia="Times New Roman" w:hAnsi="Times New Roman" w:cs="Times New Roman"/>
          <w:sz w:val="24"/>
          <w:szCs w:val="24"/>
          <w:lang w:eastAsia="lv-LV"/>
        </w:rPr>
        <w:footnoteReference w:customMarkFollows="1" w:id="31"/>
        <w:t>30</w:t>
      </w:r>
    </w:p>
    <w:p w:rsidR="00F05F26" w:rsidRPr="006B796E" w:rsidRDefault="00F05F26"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NVS Sekretariāts līdz šim nav publicējis ziņas par šo aizsardzības darbību īstenošanu (attiecībā uz pieaugušajiem un bērniem). Tomēr 2015. gadā NVS Izpildkomitejas priekšsēdētājs ziņoja, ka NVS dalībvalstis tikai 2014. gadā vien bija veikušas trīspadsmit preventīvos pasākumus un divas īpašās operācijas, kas, viņa vārdiem, ietvēra nozieguma apkarošanas darbības saistībā ar bērnu nolaupīšanu un cilvēku tirdzniecību, kā arī citiem noziegumiem, kas saistīti ar nelegālo migrāciju. Tā rezultātā apsūdzības esot izvirzītas 1600 aizdomās turētiem noziedzniekiem.</w:t>
      </w:r>
      <w:r w:rsidR="00F05F26">
        <w:rPr>
          <w:rStyle w:val="Vresatsauce"/>
          <w:rFonts w:ascii="Times New Roman" w:eastAsia="Times New Roman" w:hAnsi="Times New Roman" w:cs="Times New Roman"/>
          <w:sz w:val="24"/>
          <w:szCs w:val="24"/>
          <w:lang w:eastAsia="lv-LV"/>
        </w:rPr>
        <w:footnoteReference w:customMarkFollows="1" w:id="32"/>
        <w:t>31</w:t>
      </w:r>
    </w:p>
    <w:p w:rsidR="00F05F26" w:rsidRPr="006B796E" w:rsidRDefault="00F05F26"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2.4.7. Eiropas Savienības Cilvēku tirdzniecības novēršanas direktīva (2011)</w:t>
      </w:r>
    </w:p>
    <w:p w:rsidR="00F05F26" w:rsidRDefault="00F05F26"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Saskaņā ar Eiropas Savienības (ES) 2011. gadā pieņemto direktīvu</w:t>
      </w:r>
      <w:r w:rsidR="00F05F26">
        <w:rPr>
          <w:rStyle w:val="Vresatsauce"/>
          <w:rFonts w:ascii="Times New Roman" w:eastAsia="Times New Roman" w:hAnsi="Times New Roman" w:cs="Times New Roman"/>
          <w:sz w:val="24"/>
          <w:szCs w:val="24"/>
          <w:lang w:eastAsia="lv-LV"/>
        </w:rPr>
        <w:footnoteReference w:customMarkFollows="1" w:id="33"/>
        <w:t>32</w:t>
      </w:r>
      <w:r w:rsidRPr="006B796E">
        <w:rPr>
          <w:rFonts w:ascii="Times New Roman" w:eastAsia="Times New Roman" w:hAnsi="Times New Roman" w:cs="Times New Roman"/>
          <w:sz w:val="24"/>
          <w:szCs w:val="24"/>
          <w:lang w:eastAsia="lv-LV"/>
        </w:rPr>
        <w:t xml:space="preserve"> ES dalībvalstīm ir jāsniedz palīdzība un atbalsts visiem cilvēku tirdzniecībā cietušajiem (11. pants) un īpaša uzmanība jāpievērš tam, lai viņiem nodrošinātu aizsardzību kriminālizmeklēšanas un tiesas procesa laikā (12. pants). Tajā četri panti attiecas uz cietušiem bērniem, vēlreiz pievēršot uzmanību nepieciešamībai aizsargāt cietušos bērnus, kas ir liecinieki izmeklēšanas un tiesvedības laikā. Direktīvā ir uzsvērts, ka pasākumi ir jāveic “pēc katra bērna, kas ir cilvēku tirdzniecības upuris, īpašo apstākļu individuālas izvērtēšanas, pienācīgi ņemot vērā bērna viedokli, vajadzības un bažas, lai bērnam rastu ilgtermiņa risinājumu” (14. panta 1. punkts).</w:t>
      </w:r>
    </w:p>
    <w:p w:rsidR="00F05F26" w:rsidRPr="006B796E" w:rsidRDefault="00F05F26"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Tajā ir arī norādīts, ka:</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ja ir iemesls uzskatīt, ka cilvēku tirdzniecībā cietušais varētu būt bērns, attiecīgajai amatpersonai jāizdara pieņēmums, ka šī persona patiešām ir bērns, lai tā varētu saņemt “tūlītēju piekļuvi aizsardzības, atbalsta un palīdzības pasākumiem” (13. panta 2. punkts);</w:t>
      </w: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cietušajam bērnam ir jāieceļ aizbildnis vai pārstāvis, tiklīdz ir identificēts, ka bērns ir cilvēku tirdzniecības upuris;</w:t>
      </w:r>
      <w:r w:rsidR="00B7131B">
        <w:rPr>
          <w:rStyle w:val="Vresatsauce"/>
          <w:rFonts w:ascii="Times New Roman" w:eastAsia="Times New Roman" w:hAnsi="Times New Roman" w:cs="Times New Roman"/>
          <w:sz w:val="24"/>
          <w:szCs w:val="24"/>
          <w:lang w:eastAsia="lv-LV"/>
        </w:rPr>
        <w:footnoteReference w:customMarkFollows="1" w:id="34"/>
        <w:t>33</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jānodrošina “saprātīgā laikposmā” piekļuve izglītībai bērniem, kas ir cilvēku tirdzniecības upuri (un arī cilvēku tirdzniecības upuru bērniem) (14. panta 1. punkts), un</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nepavadītiem bērniem, kas ir cilvēku tirdzniecības upuri, arī ir prioritāri jāsniedz palīdzība, atbalsts un aizsardzība (16. pants), jo īpaši, lai rastu “ilgtermiņa risinājumu, kura pamatā ir bērna interešu individuāls izvērtējums”.</w:t>
      </w:r>
    </w:p>
    <w:p w:rsidR="00F05F26" w:rsidRDefault="00F05F26"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Eiropas Komisija pēc pieciem gadiem savā ziņojumā atzīmēja dažādus veidus, kā Direktīvas īstenošana ir jāuzlabo.</w:t>
      </w:r>
      <w:r w:rsidR="00B7131B">
        <w:rPr>
          <w:rStyle w:val="Vresatsauce"/>
          <w:rFonts w:ascii="Times New Roman" w:eastAsia="Times New Roman" w:hAnsi="Times New Roman" w:cs="Times New Roman"/>
          <w:sz w:val="24"/>
          <w:szCs w:val="24"/>
          <w:lang w:eastAsia="lv-LV"/>
        </w:rPr>
        <w:footnoteReference w:customMarkFollows="1" w:id="35"/>
        <w:t>34</w:t>
      </w:r>
      <w:r w:rsidRPr="006B796E">
        <w:rPr>
          <w:rFonts w:ascii="Times New Roman" w:eastAsia="Times New Roman" w:hAnsi="Times New Roman" w:cs="Times New Roman"/>
          <w:sz w:val="24"/>
          <w:szCs w:val="24"/>
          <w:lang w:eastAsia="lv-LV"/>
        </w:rPr>
        <w:t> Attiecībā uz Direktīvas 14. panta noteikumiem tā norāda, ka palīdzība ir pieejama, bet nesniedz piezīmes par ilgtermiņa risinājumu meklēšanas procedūrām un par to, kādos veidos tiek ņemts vērā bērnu viedoklis. Ziņojumā ir secināts, ka “ir grūti novērtēt, vai šī pieeja pietiekami atbilst cietušo bērnu īpašajām vajadzībām, tostarp izglītības pieejamībai cietušajiem bērniem un cietušo bērniem, un Komisija turpinās to pārbaudīt”. Attiecībā uz 16. panta noteikumiem nekas nav teikts par to, vai ES dalībvalstis, ja ir konstatēts, ka cilvēku tirdzniecībā cietušie bērni ir bez pavadoņa vai nošķirti, veic šo bērnu interešu novērtējumu. Vispārējā līmenī šajā ziņojumā ir secināts, ka “joprojām ir veicami būtiski uzlabojumi, jo īpaši attiecībā uz īpašiem bērnu aizsardzības pasākumiem, bērnības prezumpciju un bērna vecuma novērtējumu, aizsardzību pirms tiesvedības krimināllietā un tās laikā, beznosacījumu palīdzības pieejamību, kompensāciju, nesodīšanu, palīdzību un atbalstu cietušā bērna ģimenes locekļiem, kā arī prevenciju”.</w:t>
      </w:r>
    </w:p>
    <w:p w:rsidR="00B7131B" w:rsidRDefault="00B7131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2012. gadā Eiropas Komisija izdeva ES Stratēģiju cilvēku tirdzniecības izskaušanai 2012.–2016. gadā. Tajā ir atzīmēts, ka tamdēļ, “lai apmierinātu dažādu bērnu grupu, tostarp cilvēku tirdzniecības upuru, dažādās vajadzības, ir nepieciešamas visaptverošas, bērniem piemērotas aizsardzības sistēmas, ar kurām nodrošina dažādu aģentūru darbības un daudznozaru koordināciju”, un ieteikts, ka “dalībvalstīm </w:t>
      </w:r>
      <w:r w:rsidRPr="006B796E">
        <w:rPr>
          <w:rFonts w:ascii="Times New Roman" w:eastAsia="Times New Roman" w:hAnsi="Times New Roman" w:cs="Times New Roman"/>
          <w:b/>
          <w:bCs/>
          <w:sz w:val="24"/>
          <w:szCs w:val="24"/>
          <w:lang w:eastAsia="lv-LV"/>
        </w:rPr>
        <w:t>jāuzlabo bērnu aizsardzības sistēmas</w:t>
      </w:r>
      <w:r w:rsidRPr="006B796E">
        <w:rPr>
          <w:rFonts w:ascii="Times New Roman" w:eastAsia="Times New Roman" w:hAnsi="Times New Roman" w:cs="Times New Roman"/>
          <w:sz w:val="24"/>
          <w:szCs w:val="24"/>
          <w:lang w:eastAsia="lv-LV"/>
        </w:rPr>
        <w:t xml:space="preserve"> attiecībā uz cilvēku tirdzniecības gadījumiem” (izcēlums oriģināltekstā).</w:t>
      </w:r>
      <w:r w:rsidR="00B7131B">
        <w:rPr>
          <w:rStyle w:val="Vresatsauce"/>
          <w:rFonts w:ascii="Times New Roman" w:eastAsia="Times New Roman" w:hAnsi="Times New Roman" w:cs="Times New Roman"/>
          <w:sz w:val="24"/>
          <w:szCs w:val="24"/>
          <w:lang w:eastAsia="lv-LV"/>
        </w:rPr>
        <w:footnoteReference w:customMarkFollows="1" w:id="36"/>
        <w:t>35</w:t>
      </w:r>
      <w:r w:rsidRPr="006B796E">
        <w:rPr>
          <w:rFonts w:ascii="Times New Roman" w:eastAsia="Times New Roman" w:hAnsi="Times New Roman" w:cs="Times New Roman"/>
          <w:sz w:val="24"/>
          <w:szCs w:val="24"/>
          <w:lang w:eastAsia="lv-LV"/>
        </w:rPr>
        <w:t> Ziņojumā par papildu pasākumiem saistībā ar šo stratēģiju, ko Eiropas Komisija izdeva 2017. gadā, ir teikts, ka tā plāno “sadarbībā ar Eiropas Savienības Pamattiesību aģentūru izstrādāt praktiskus norādījumus (..) ar mērķi (..) nodrošināt cietušo bērnu aizsardzību, rast noturīgus risinājumus un aizsargāt viņu tiesības, kas noteiktas ES un starptautiskajās tiesībās”, kā arī teikts, ka tā sadarbībā ar Eiropas Dzimumu līdztiesības institūtu varētu publicēt norādījumus dalībvalstīm par konkrētam dzimumam atbilstīgiem pasākumiem, lai sniegtu palīdzību un atbalstu cietušajiem (t. i., bērniem un pieaugušajiem).</w:t>
      </w:r>
      <w:r w:rsidR="00455234">
        <w:rPr>
          <w:rStyle w:val="Vresatsauce"/>
          <w:rFonts w:ascii="Times New Roman" w:eastAsia="Times New Roman" w:hAnsi="Times New Roman" w:cs="Times New Roman"/>
          <w:sz w:val="24"/>
          <w:szCs w:val="24"/>
          <w:lang w:eastAsia="lv-LV"/>
        </w:rPr>
        <w:footnoteReference w:customMarkFollows="1" w:id="37"/>
        <w:t>36</w:t>
      </w:r>
    </w:p>
    <w:p w:rsidR="00B7131B" w:rsidRPr="006B796E" w:rsidRDefault="00B7131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2.4.8. Oslo secinājumi</w:t>
      </w:r>
    </w:p>
    <w:p w:rsidR="00455234" w:rsidRDefault="00455234"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2018. gada jūnijā Baltijas jūras valstu padome publicēja dokumentu “</w:t>
      </w:r>
      <w:r w:rsidRPr="006B796E">
        <w:rPr>
          <w:rFonts w:ascii="Times New Roman" w:eastAsia="Times New Roman" w:hAnsi="Times New Roman" w:cs="Times New Roman"/>
          <w:i/>
          <w:iCs/>
          <w:sz w:val="24"/>
          <w:szCs w:val="24"/>
          <w:lang w:eastAsia="lv-LV"/>
        </w:rPr>
        <w:t>Oslo secinājumi par ekspluatācijas un cilvēku tirdzniecības riskam pakļauto bērnu identificēšanu</w:t>
      </w:r>
      <w:r w:rsidRPr="006B796E">
        <w:rPr>
          <w:rFonts w:ascii="Times New Roman" w:eastAsia="Times New Roman" w:hAnsi="Times New Roman" w:cs="Times New Roman"/>
          <w:sz w:val="24"/>
          <w:szCs w:val="24"/>
          <w:lang w:eastAsia="lv-LV"/>
        </w:rPr>
        <w:t>”</w:t>
      </w:r>
      <w:r w:rsidR="00455234">
        <w:rPr>
          <w:rStyle w:val="Vresatsauce"/>
          <w:rFonts w:ascii="Times New Roman" w:eastAsia="Times New Roman" w:hAnsi="Times New Roman" w:cs="Times New Roman"/>
          <w:sz w:val="24"/>
          <w:szCs w:val="24"/>
          <w:lang w:eastAsia="lv-LV"/>
        </w:rPr>
        <w:footnoteReference w:customMarkFollows="1" w:id="38"/>
        <w:t>37</w:t>
      </w:r>
      <w:r w:rsidRPr="006B796E">
        <w:rPr>
          <w:rFonts w:ascii="Times New Roman" w:eastAsia="Times New Roman" w:hAnsi="Times New Roman" w:cs="Times New Roman"/>
          <w:sz w:val="24"/>
          <w:szCs w:val="24"/>
          <w:lang w:eastAsia="lv-LV"/>
        </w:rPr>
        <w:t xml:space="preserve">, kurā uzmanība tika vērsta uz bērnu, kas ir cilvēku tirdzniecības upuri, sākotnējo identificēšanas procesu, kā arī uzsvērta vajadzība stiprināt bērniem piemērotu saziņu un bērnu interešu noteikšanu. Secinājumi bija sagatavoti, pamatojoties uz “Baltijas jūras reģionā un plašāk Eiropā vairākus gadus ilgušo analīzes un konsultāciju procesu”, kurā bija iesaistījušies vairāki simti amatpersonu un speciālistu bērnu labklājības un aizsardzības, sociālās un veselības aprūpes, tiesībaizsardzības un tieslietu, izglītības un imigrācijas jomā, akadēmiskās aprindas un specializētās organizācijas, kā arī bērni un jaunieši. Nozīmīgākais secinājums, kas tika gūts, pārskatot pierādījumus, bija, </w:t>
      </w:r>
      <w:r w:rsidRPr="006B796E">
        <w:rPr>
          <w:rFonts w:ascii="Times New Roman" w:eastAsia="Times New Roman" w:hAnsi="Times New Roman" w:cs="Times New Roman"/>
          <w:sz w:val="24"/>
          <w:szCs w:val="24"/>
          <w:lang w:eastAsia="lv-LV"/>
        </w:rPr>
        <w:lastRenderedPageBreak/>
        <w:t>ka palielinās varbūtība bērnus pareizi identificēt un sniegt tiem pienācīgu atbalstu un aprūpi, ja šiem bērniem tiek dota iespēja izstāstīt savu stāstu, un ka bērnu interešu noteikšana ir viņu labā.</w:t>
      </w:r>
    </w:p>
    <w:p w:rsidR="00455234" w:rsidRPr="006B796E" w:rsidRDefault="00455234"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455234">
      <w:pPr>
        <w:widowControl w:val="0"/>
        <w:spacing w:after="0" w:line="240" w:lineRule="auto"/>
        <w:jc w:val="center"/>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w:t>
      </w:r>
      <w:r w:rsidRPr="006B796E">
        <w:rPr>
          <w:rFonts w:ascii="Times New Roman" w:eastAsia="Times New Roman" w:hAnsi="Times New Roman" w:cs="Times New Roman"/>
          <w:b/>
          <w:bCs/>
          <w:sz w:val="24"/>
          <w:szCs w:val="24"/>
          <w:lang w:eastAsia="lv-LV"/>
        </w:rPr>
        <w:t>Ministru padome (..) mudina dalībvalstis, lai tās veicina sabiedrības informētību par bērnu neaizsargātību visu veidu bērnu tirdzniecības migrācijas plūsmās (..), lai dienestiem, kas pirmie veic reaģēšanas pasākumus, būtu lielākas spējas un tvērums identificēt cilvēku tirdzniecībā cietušos bērnus (..) un nodrošināt viņu aizsardzību (..).</w:t>
      </w:r>
      <w:r w:rsidRPr="006B796E">
        <w:rPr>
          <w:rFonts w:ascii="Times New Roman" w:eastAsia="Times New Roman" w:hAnsi="Times New Roman" w:cs="Times New Roman"/>
          <w:sz w:val="24"/>
          <w:szCs w:val="24"/>
          <w:lang w:eastAsia="lv-LV"/>
        </w:rPr>
        <w:t>”</w:t>
      </w:r>
    </w:p>
    <w:p w:rsidR="00455234" w:rsidRDefault="00455234" w:rsidP="00455234">
      <w:pPr>
        <w:widowControl w:val="0"/>
        <w:spacing w:after="0" w:line="240" w:lineRule="auto"/>
        <w:jc w:val="center"/>
        <w:rPr>
          <w:rFonts w:ascii="Times New Roman" w:eastAsia="Times New Roman" w:hAnsi="Times New Roman" w:cs="Times New Roman"/>
          <w:sz w:val="24"/>
          <w:szCs w:val="24"/>
          <w:lang w:eastAsia="lv-LV"/>
        </w:rPr>
      </w:pPr>
    </w:p>
    <w:p w:rsidR="00D6592D" w:rsidRDefault="00D6592D" w:rsidP="00455234">
      <w:pPr>
        <w:widowControl w:val="0"/>
        <w:spacing w:after="0" w:line="240" w:lineRule="auto"/>
        <w:jc w:val="center"/>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(MC.DEC/7/17, Visu veidu bērnu tirdzniecības, tostarp seksuālas ekspluatācijas, kā arī citu veidu bērnu seksuālas ekspluatācijas apkarošanas centienu stiprināšana [</w:t>
      </w:r>
      <w:r w:rsidRPr="006B796E">
        <w:rPr>
          <w:rFonts w:ascii="Times New Roman" w:eastAsia="Times New Roman" w:hAnsi="Times New Roman" w:cs="Times New Roman"/>
          <w:i/>
          <w:iCs/>
          <w:sz w:val="24"/>
          <w:szCs w:val="24"/>
          <w:lang w:eastAsia="lv-LV"/>
        </w:rPr>
        <w:t>Strengthening Efforts to Combat All Forms of Child Trafficking, including for Sexual Exploitation, as well as Other Forms of Sexual Exploitation of Children</w:t>
      </w:r>
      <w:r w:rsidRPr="006B796E">
        <w:rPr>
          <w:rFonts w:ascii="Times New Roman" w:eastAsia="Times New Roman" w:hAnsi="Times New Roman" w:cs="Times New Roman"/>
          <w:sz w:val="24"/>
          <w:szCs w:val="24"/>
          <w:lang w:eastAsia="lv-LV"/>
        </w:rPr>
        <w:t>])</w:t>
      </w:r>
    </w:p>
    <w:p w:rsidR="00455234" w:rsidRDefault="00455234">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455234" w:rsidRDefault="002F1BEE" w:rsidP="006B796E">
      <w:pPr>
        <w:widowControl w:val="0"/>
        <w:spacing w:after="0" w:line="240" w:lineRule="auto"/>
        <w:jc w:val="both"/>
        <w:rPr>
          <w:rFonts w:ascii="Times New Roman" w:eastAsia="Times New Roman" w:hAnsi="Times New Roman" w:cs="Times New Roman"/>
          <w:sz w:val="24"/>
          <w:szCs w:val="24"/>
          <w:lang w:eastAsia="lv-LV"/>
        </w:rPr>
      </w:pPr>
      <w:r w:rsidRPr="002F1BEE">
        <w:rPr>
          <w:rFonts w:ascii="Times New Roman" w:eastAsia="Times New Roman" w:hAnsi="Times New Roman" w:cs="Times New Roman"/>
          <w:noProof/>
          <w:sz w:val="24"/>
          <w:szCs w:val="24"/>
          <w:lang w:eastAsia="lv-LV"/>
        </w:rPr>
        <w:lastRenderedPageBreak/>
        <w:drawing>
          <wp:inline distT="0" distB="0" distL="0" distR="0">
            <wp:extent cx="5760085" cy="7657033"/>
            <wp:effectExtent l="0" t="0" r="0" b="127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7657033"/>
                    </a:xfrm>
                    <a:prstGeom prst="rect">
                      <a:avLst/>
                    </a:prstGeom>
                    <a:noFill/>
                    <a:ln>
                      <a:noFill/>
                    </a:ln>
                  </pic:spPr>
                </pic:pic>
              </a:graphicData>
            </a:graphic>
          </wp:inline>
        </w:drawing>
      </w:r>
    </w:p>
    <w:p w:rsidR="002F1BEE" w:rsidRPr="006B796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455234" w:rsidRDefault="00455234">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lastRenderedPageBreak/>
        <w:t>No brīža, kad bērns pirmo reizi tiek identificēts kā iespējamais cilvēku tirdzniecības upuris, iestādes un organizācijas, kas ir tiešā saskarē ar bērnu, kā arī visi tie, kas vispārīgākā veidā atbild par bērnu aizsardzību, pieņem virkni lēmumu, kas ietekmē bērnu īstermiņā, vidējā termiņā un ilgtermiņā. Daži no šiem lēmumiem rada samērā triviālas sekas, savukārt citi smagi ietekmē bērna dzīvi daudzus gadus. Īstermiņa lēmumi, jo īpaši tie, kas saistīti ar identificēšanu un izmeklēšanu, lai arī nav šā speciālā pētījuma uzmanības centrā, ir šādi:</w:t>
      </w:r>
    </w:p>
    <w:p w:rsidR="00455234" w:rsidRPr="006B796E" w:rsidRDefault="00455234"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Vai bērns jāizņem no ekspluatētāja vai vecāku kontroles (t. i., vai bērns ir pakļauts nelikumīgai ekspluatācijai vai vardarbībai tādā līmenī, ka bērna izņemšana ir attaisnojama)?</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Kam jāpieskata bērns uzreiz pēc šīs darbības?</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Kad un kur bērns jāiztaujā par iespējamajiem pret viņu izdarītajiem nodarījumiem?</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Vai jālūdz bērnam piedalīties tiesas procesā cietušā vai nodarījuma liecinieka statusā?</w:t>
      </w:r>
    </w:p>
    <w:p w:rsidR="00383BC5" w:rsidRDefault="00383BC5"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Pēc tam tomēr ir jāpieņem vairāki nozīmīgi lēmumi par to, kam jānotiek ar bērnu ilgākā laikposmā. Šie jautājumi un tas, kā tiek pieņemti no tiem izrietošie lēmumi, ir aplūkoti nākamajās divās nodaļās:</w:t>
      </w:r>
    </w:p>
    <w:p w:rsidR="00383BC5" w:rsidRPr="006B796E" w:rsidRDefault="00383BC5"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Kam jāuzņemas juridiskā atbildība par bērnu, ja konstatēts, ka viņš dzīvo ārpus mājas (bez vecāku gādības palicis bērns)?</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Kam jāsniedz juridiskās konsultācijas šim bērnam?</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Kur bērns jāizmitina īstermiņā un ilgākā termiņā?</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Kuram jāpārbauda, kam būtu jānotiek (un kā) pēc paša bērna domām?</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Vai jānodrošina bērna atkalapvienošanās ar vecākiem vai aizbildni? Vai tas būs droši? Ja tā, kad un kā?</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Ja bērnu identificē valstī, kas nav viņa paša valsts, vai bērns jānosūta atpakaļ uz viņa izcelsmes valsti, un, ja jā, vai viņš jānosūta atpakaļ uz vecāku mājām vai viņam jādzīvo citviet?</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Kam jāpārbauda, kāds stāvoklis ir bērna mājās vai izcelsmes vietā, un kā tas jādara?</w:t>
      </w:r>
    </w:p>
    <w:p w:rsidR="00383BC5" w:rsidRDefault="00383BC5"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3.1. Kam jābūt iesaistītam lēmumu pieņemšanas procesā?</w:t>
      </w:r>
    </w:p>
    <w:p w:rsidR="00383BC5" w:rsidRDefault="00383BC5"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3.1.1. Pamatprincipi</w:t>
      </w:r>
    </w:p>
    <w:p w:rsidR="00383BC5" w:rsidRDefault="00383BC5"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Bērnu tiesību komiteja kopā ar vēl vienu ANO komiteju</w:t>
      </w:r>
      <w:r w:rsidR="00383BC5">
        <w:rPr>
          <w:rStyle w:val="Vresatsauce"/>
          <w:rFonts w:ascii="Times New Roman" w:eastAsia="Times New Roman" w:hAnsi="Times New Roman" w:cs="Times New Roman"/>
          <w:sz w:val="24"/>
          <w:szCs w:val="24"/>
          <w:lang w:eastAsia="lv-LV"/>
        </w:rPr>
        <w:footnoteReference w:customMarkFollows="1" w:id="39"/>
        <w:t>38</w:t>
      </w:r>
      <w:r w:rsidRPr="006B796E">
        <w:rPr>
          <w:rFonts w:ascii="Times New Roman" w:eastAsia="Times New Roman" w:hAnsi="Times New Roman" w:cs="Times New Roman"/>
          <w:sz w:val="24"/>
          <w:szCs w:val="24"/>
          <w:lang w:eastAsia="lv-LV"/>
        </w:rPr>
        <w:t xml:space="preserve"> ir mudinājusi dalībvalstis “nodrošināt, ka par bērnu tiesībām atbildīgajām iestādēm ir vadošā loma un skaidras lēmumu pieņemšanas pilnvaras attiecībā uz politiku, praksi un lēmumiem, kas ietekmē bērnu tiesības starptautiskās migrācijas kontekstā”.</w:t>
      </w:r>
      <w:r w:rsidR="00383BC5">
        <w:rPr>
          <w:rStyle w:val="Vresatsauce"/>
          <w:rFonts w:ascii="Times New Roman" w:eastAsia="Times New Roman" w:hAnsi="Times New Roman" w:cs="Times New Roman"/>
          <w:sz w:val="24"/>
          <w:szCs w:val="24"/>
          <w:lang w:eastAsia="lv-LV"/>
        </w:rPr>
        <w:footnoteReference w:customMarkFollows="1" w:id="40"/>
        <w:t>39</w:t>
      </w:r>
      <w:r w:rsidRPr="006B796E">
        <w:rPr>
          <w:rFonts w:ascii="Times New Roman" w:eastAsia="Times New Roman" w:hAnsi="Times New Roman" w:cs="Times New Roman"/>
          <w:sz w:val="24"/>
          <w:szCs w:val="24"/>
          <w:lang w:eastAsia="lv-LV"/>
        </w:rPr>
        <w:t> Tas attiecas uz visiem bērniem ārvalstniekiem, kas kļuvuši par cilvēku tirdzniecības upuriem valstī, kas nav pašu valsts, kā arī uz bērniem, kas migrējuši labprātīgi, bet pēc tam kļuvuši par cilvēku tirdzniecības upuriem. Savā nesenajā (2017) Kopīgajā vispārējā komentārā abas komitejas ir norādījušas, ka bērna interešu novērtējums iesaistītajām pusēm jāveic neatkarīgi no migrācijas iestādēm un ka tas jādara daudznozaru veidā, tostarp jēgpilni piedaloties iestādēm, kas atbild par bērnu aizsardzību un labklājību, un citām attiecīgajām iesaistītajām pusēm, piemēram, vecākiem, aizbildņiem un likumīgajiem pārstāvjiem, kā arī pašam bērnam</w:t>
      </w:r>
      <w:r w:rsidR="00383BC5">
        <w:rPr>
          <w:rStyle w:val="Vresatsauce"/>
          <w:rFonts w:ascii="Times New Roman" w:eastAsia="Times New Roman" w:hAnsi="Times New Roman" w:cs="Times New Roman"/>
          <w:sz w:val="24"/>
          <w:szCs w:val="24"/>
          <w:lang w:eastAsia="lv-LV"/>
        </w:rPr>
        <w:footnoteReference w:customMarkFollows="1" w:id="41"/>
        <w:t>40</w:t>
      </w:r>
      <w:r w:rsidRPr="006B796E">
        <w:rPr>
          <w:rFonts w:ascii="Times New Roman" w:eastAsia="Times New Roman" w:hAnsi="Times New Roman" w:cs="Times New Roman"/>
          <w:sz w:val="24"/>
          <w:szCs w:val="24"/>
          <w:lang w:eastAsia="lv-LV"/>
        </w:rPr>
        <w:t>.</w:t>
      </w:r>
    </w:p>
    <w:p w:rsidR="00383BC5" w:rsidRPr="006B796E" w:rsidRDefault="00383BC5"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Tomēr, pat ja valstī jau ir izstrādāti atbilstīgi tiesību akti un noteikumi, lai nodrošinātu, ka bērnu aizsardzības iestādes pieņem lēmumus par cilvēku tirdzniecībā cietušajiem bērniem, kuriem vēl nav piešķirts likumīgs imigrācijas statuss, tas, ka bērnu aizsardzības sistēma ietver daudzas iesaistītās puses, var radīt problēmas. Diemžēl var gadīties, ka bērns, kurš jau ir guvis traumu, kļūstot par cilvēku tirdzniecības upuri, tiek apbērts ar dažādu amatpersonu uzdotajiem jautājumiem, kas liek viņam justies bezspēcīgam, saskaroties ar birokrātiju. Lai palīdzētu pārvarēt šo problēmu, dažas EDSO dalībvalstis ir izstrādājušas metodes, lai mazinātu bērna iztaujāšanas reižu skaitu, līdz nepieciešamajam minimumam mazinātu to amatpersonu skaitu, kas nonāk saskarē ar bērnu, un lai bērnu turētu vienā vietā. Sīkāks apraksts par šo pieeju, kas zināma kā bērnu pajumtes modelis, ir sniegts turpmāk 3.2. sadaļā.</w:t>
      </w:r>
    </w:p>
    <w:p w:rsidR="00383BC5" w:rsidRPr="006B796E" w:rsidRDefault="00383BC5"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3.1.2. Praktiski piemēri</w:t>
      </w:r>
    </w:p>
    <w:p w:rsidR="00383BC5" w:rsidRDefault="00383BC5"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Zviedrijā 2016. gadā tika publicēts trīs gadus veidotais nacionālais mehānisms cietušo nosūtīšanai.</w:t>
      </w:r>
      <w:r w:rsidR="00383BC5">
        <w:rPr>
          <w:rStyle w:val="Vresatsauce"/>
          <w:rFonts w:ascii="Times New Roman" w:eastAsia="Times New Roman" w:hAnsi="Times New Roman" w:cs="Times New Roman"/>
          <w:sz w:val="24"/>
          <w:szCs w:val="24"/>
          <w:lang w:eastAsia="lv-LV"/>
        </w:rPr>
        <w:footnoteReference w:customMarkFollows="1" w:id="42"/>
        <w:t>41</w:t>
      </w:r>
      <w:r w:rsidRPr="006B796E">
        <w:rPr>
          <w:rFonts w:ascii="Times New Roman" w:eastAsia="Times New Roman" w:hAnsi="Times New Roman" w:cs="Times New Roman"/>
          <w:sz w:val="24"/>
          <w:szCs w:val="24"/>
          <w:lang w:eastAsia="lv-LV"/>
        </w:rPr>
        <w:t xml:space="preserve"> Tā pamatā ir esošie tiesību akti, un tas tika izstrādāts, pamatojoties uz operatīvo pieredzi. Lai arī Zviedrijā nav īpaša nosūtīšanas mehānisma bērniem, par kuriem ir aizdomas, ka viņi ir cilvēku tirdzniecības upuri, katrā nosūtīšanas posmā Zviedrijas </w:t>
      </w:r>
      <w:r w:rsidRPr="006B796E">
        <w:rPr>
          <w:rFonts w:ascii="Times New Roman" w:eastAsia="Times New Roman" w:hAnsi="Times New Roman" w:cs="Times New Roman"/>
          <w:i/>
          <w:iCs/>
          <w:sz w:val="24"/>
          <w:szCs w:val="24"/>
          <w:lang w:eastAsia="lv-LV"/>
        </w:rPr>
        <w:t>NRM</w:t>
      </w:r>
      <w:r w:rsidRPr="006B796E">
        <w:rPr>
          <w:rFonts w:ascii="Times New Roman" w:eastAsia="Times New Roman" w:hAnsi="Times New Roman" w:cs="Times New Roman"/>
          <w:sz w:val="24"/>
          <w:szCs w:val="24"/>
          <w:lang w:eastAsia="lv-LV"/>
        </w:rPr>
        <w:t xml:space="preserve"> rokasgrāmatā ir atzīmēts, kurā brīdī jāveic darbības attiecībā uz bērniem un jauniešiem, kas varētu būt bērni. Proti, tajā ir atkārtoti uzsvērts, ka valsts sociālo pakalpojumu aģentūra ir kopumā atbildīga par bērnu labklājību un par bērnu tirdzniecības iespējamo upuru (dēvēti par “iespējamajiem cietušajiem”) labklājību, jo īpaši:</w:t>
      </w:r>
    </w:p>
    <w:p w:rsidR="00383BC5" w:rsidRPr="006B796E" w:rsidRDefault="00383BC5"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“Tiklīdz tiek konstatēts, ka iespējamais cietušais ir bērns, par to ir jāinformē sociālie dienesti. Sociālajiem dienestiem ir jāseko bērnam visā procesā un cieši jāsadarbojas ar tiesībsargājošām iestādēm, Zviedrijas Migrācijas aģentūru (ja ir iesaistīts nepavadīts bērns, kas meklē patvērumu) un citām iesaistītām pusēm, līdz tiek rasts un īstenots ilgtspējīgs risinājums, kurā ir ņemtas vērā bērna intereses.”</w:t>
      </w:r>
      <w:r w:rsidR="00383BC5">
        <w:rPr>
          <w:rStyle w:val="Vresatsauce"/>
          <w:rFonts w:ascii="Times New Roman" w:eastAsia="Times New Roman" w:hAnsi="Times New Roman" w:cs="Times New Roman"/>
          <w:sz w:val="24"/>
          <w:szCs w:val="24"/>
          <w:lang w:eastAsia="lv-LV"/>
        </w:rPr>
        <w:footnoteReference w:customMarkFollows="1" w:id="43"/>
        <w:t>42</w:t>
      </w:r>
    </w:p>
    <w:p w:rsidR="00383BC5" w:rsidRDefault="00383BC5"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Tas nenozīmē, ka citām iestādēm, piemēram, policijai vai imigrācijas aģentūrai, nav teikšanas lēmumu pieņemšanā, kas skar bērnu, kurš ir cilvēku tirdzniecības upuris. Drīzāk tas nozīmē, ka sociālajiem dienestiem ir vadošā loma. Piemēram:</w:t>
      </w:r>
    </w:p>
    <w:p w:rsidR="00383BC5" w:rsidRPr="006B796E" w:rsidRDefault="00383BC5"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“Ja ir iesaistīts bērns, sociālo dienestu pienākums ir novērtēt bērna vajadzības un sniegt ieteikumus par īstermiņa un ilgtermiņa atbalstu. Turklāt sociālajiem dienestiem ir regulāri jāseko, kā tiek īstenots bērna individuālais rīcības plāns.”</w:t>
      </w:r>
      <w:r w:rsidR="00383BC5">
        <w:rPr>
          <w:rStyle w:val="Vresatsauce"/>
          <w:rFonts w:ascii="Times New Roman" w:eastAsia="Times New Roman" w:hAnsi="Times New Roman" w:cs="Times New Roman"/>
          <w:sz w:val="24"/>
          <w:szCs w:val="24"/>
          <w:lang w:eastAsia="lv-LV"/>
        </w:rPr>
        <w:footnoteReference w:customMarkFollows="1" w:id="44"/>
        <w:t>43</w:t>
      </w:r>
    </w:p>
    <w:p w:rsidR="00383BC5" w:rsidRPr="006B796E" w:rsidRDefault="00383BC5"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3.2. “Vienas pieturas” modelis – lēmumu pieņemšana vienā vietā</w:t>
      </w:r>
    </w:p>
    <w:p w:rsidR="00383BC5" w:rsidRDefault="00383BC5"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Vairākas Skandināvijas valstis ir izstrādājušas kopīgu modeli, kā reaģēt attiecībā uz bērniem, kas ir kļuvuši par vardarbības upuriem vai lieciniekiem. Viens no pasākumiem ir panākt, ka bērniem nav vairākkārtīgi jāskaidro sava pieredze. Šis modelis kopumā ir pazīstams kā </w:t>
      </w:r>
      <w:r w:rsidRPr="006B796E">
        <w:rPr>
          <w:rFonts w:ascii="Times New Roman" w:eastAsia="Times New Roman" w:hAnsi="Times New Roman" w:cs="Times New Roman"/>
          <w:i/>
          <w:iCs/>
          <w:sz w:val="24"/>
          <w:szCs w:val="24"/>
          <w:lang w:eastAsia="lv-LV"/>
        </w:rPr>
        <w:t>Barnahus</w:t>
      </w:r>
      <w:r w:rsidRPr="006B796E">
        <w:rPr>
          <w:rFonts w:ascii="Times New Roman" w:eastAsia="Times New Roman" w:hAnsi="Times New Roman" w:cs="Times New Roman"/>
          <w:sz w:val="24"/>
          <w:szCs w:val="24"/>
          <w:lang w:eastAsia="lv-LV"/>
        </w:rPr>
        <w:t xml:space="preserve"> (bērnu pajumtes) modelis, jo uzsvars tiek likts uz to, cik svarīgi attiecīgajam bērnam ir palikt vienā vietā, lai arī reaģēšanas pasākumus veic vairākas iestādes. Dažādie dienesti, kuriem jātiekas ar bērnu, nāk pie bērna, nevis bērns dodas pie tiem, lai katru reizi skaidrotu tiem savu pieredzi. Īsumā:</w:t>
      </w:r>
    </w:p>
    <w:p w:rsidR="00383BC5" w:rsidRPr="006B796E" w:rsidRDefault="00383BC5"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w:t>
      </w:r>
      <w:r w:rsidRPr="006B796E">
        <w:rPr>
          <w:rFonts w:ascii="Times New Roman" w:eastAsia="Times New Roman" w:hAnsi="Times New Roman" w:cs="Times New Roman"/>
          <w:i/>
          <w:iCs/>
          <w:sz w:val="24"/>
          <w:szCs w:val="24"/>
          <w:lang w:eastAsia="lv-LV"/>
        </w:rPr>
        <w:t>Barnahus</w:t>
      </w:r>
      <w:r w:rsidRPr="006B796E">
        <w:rPr>
          <w:rFonts w:ascii="Times New Roman" w:eastAsia="Times New Roman" w:hAnsi="Times New Roman" w:cs="Times New Roman"/>
          <w:sz w:val="24"/>
          <w:szCs w:val="24"/>
          <w:lang w:eastAsia="lv-LV"/>
        </w:rPr>
        <w:t xml:space="preserve"> modelis ir daudznozaru un starpinstitucionāla pieeja, kas nodrošina dažādu iestāžu (tiesas, sociālo, ārstniecības iestāžu) sadarbību vienās bērniem piemērotās telpās, kurās bērnam un ģimenei zem viena jumta tiek piedāvāti visaptveroši pakalpojumi. </w:t>
      </w:r>
      <w:r w:rsidRPr="006B796E">
        <w:rPr>
          <w:rFonts w:ascii="Times New Roman" w:eastAsia="Times New Roman" w:hAnsi="Times New Roman" w:cs="Times New Roman"/>
          <w:i/>
          <w:iCs/>
          <w:sz w:val="24"/>
          <w:szCs w:val="24"/>
          <w:lang w:eastAsia="lv-LV"/>
        </w:rPr>
        <w:t>Barnahus</w:t>
      </w:r>
      <w:r w:rsidRPr="006B796E">
        <w:rPr>
          <w:rFonts w:ascii="Times New Roman" w:eastAsia="Times New Roman" w:hAnsi="Times New Roman" w:cs="Times New Roman"/>
          <w:sz w:val="24"/>
          <w:szCs w:val="24"/>
          <w:lang w:eastAsia="lv-LV"/>
        </w:rPr>
        <w:t xml:space="preserve"> modeļa pamatā ir pieņēmums, ka bērna skaidrojumi ir galvenais elements, kas nepieciešams, lai identificētu un izmeklētu vardarbību pret bērnu gan kriminālizmeklēšanas, gan aizsardzības un terapijas vajadzībām.”</w:t>
      </w:r>
      <w:r w:rsidR="00383BC5">
        <w:rPr>
          <w:rStyle w:val="Vresatsauce"/>
          <w:rFonts w:ascii="Times New Roman" w:eastAsia="Times New Roman" w:hAnsi="Times New Roman" w:cs="Times New Roman"/>
          <w:sz w:val="24"/>
          <w:szCs w:val="24"/>
          <w:lang w:eastAsia="lv-LV"/>
        </w:rPr>
        <w:footnoteReference w:customMarkFollows="1" w:id="45"/>
        <w:t>44</w:t>
      </w:r>
    </w:p>
    <w:p w:rsidR="00383BC5" w:rsidRDefault="00383BC5"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Kā noprotams, modeļa galvenais nolūks ir panākt, ka pēc tam, kad bērns ir identificēts kā iespējamais cilvēku tirdzniecības upuris, tiek iegūti tiesas procesam derīgi pierādījumi, nodrošinot, ka bērns sniedz liecības vai tiesu ekspertīzes pierādījumus. Būtiski, ka tas tiek darīts tā, lai bērnam nebūtu jādodas uz tiesu, ja lieta ir nodota kriminālvajāšanai. Tā kā šā ziņojuma uzmanības centrā nav cietušo bērnu vai liecinieku loma krimināltiesību sistēmā, šis jautājums sīkāk turpmāk netiek skatīts. Tomēr daudzu citu iemeslu dēļ ir svarīgi, ka </w:t>
      </w:r>
      <w:r w:rsidRPr="006B796E">
        <w:rPr>
          <w:rFonts w:ascii="Times New Roman" w:eastAsia="Times New Roman" w:hAnsi="Times New Roman" w:cs="Times New Roman"/>
          <w:i/>
          <w:iCs/>
          <w:sz w:val="24"/>
          <w:szCs w:val="24"/>
          <w:lang w:eastAsia="lv-LV"/>
        </w:rPr>
        <w:t>Barnahus</w:t>
      </w:r>
      <w:r w:rsidRPr="006B796E">
        <w:rPr>
          <w:rFonts w:ascii="Times New Roman" w:eastAsia="Times New Roman" w:hAnsi="Times New Roman" w:cs="Times New Roman"/>
          <w:sz w:val="24"/>
          <w:szCs w:val="24"/>
          <w:lang w:eastAsia="lv-LV"/>
        </w:rPr>
        <w:t xml:space="preserve"> modelis piedāvā “vienas pieturas” pieeju, nodrošinot attiecīgo iestāžu un aģentūru, piemēram, policijas, sociālo dienestu, bērnu aizsardzības iestāžu, fiziskās un garīgās veselības aprūpes iestāžu un prokuratūras, sadarbību vienās bērniem piemērotās telpās”.</w:t>
      </w:r>
      <w:r w:rsidR="00383BC5">
        <w:rPr>
          <w:rStyle w:val="Vresatsauce"/>
          <w:rFonts w:ascii="Times New Roman" w:eastAsia="Times New Roman" w:hAnsi="Times New Roman" w:cs="Times New Roman"/>
          <w:sz w:val="24"/>
          <w:szCs w:val="24"/>
          <w:lang w:eastAsia="lv-LV"/>
        </w:rPr>
        <w:footnoteReference w:customMarkFollows="1" w:id="46"/>
        <w:t>45</w:t>
      </w:r>
    </w:p>
    <w:p w:rsidR="00383BC5" w:rsidRDefault="00383BC5"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Barnahus</w:t>
      </w:r>
      <w:r w:rsidRPr="006B796E">
        <w:rPr>
          <w:rFonts w:ascii="Times New Roman" w:eastAsia="Times New Roman" w:hAnsi="Times New Roman" w:cs="Times New Roman"/>
          <w:sz w:val="24"/>
          <w:szCs w:val="24"/>
          <w:lang w:eastAsia="lv-LV"/>
        </w:rPr>
        <w:t xml:space="preserve"> modelis pirmo reizi neformāli tika izveidots Islandē, pamatojoties uz iesaistīto iestāžu nolīgumu. Šodien Islandes Bērnu aizsardzības valsts aģentūra [</w:t>
      </w:r>
      <w:r w:rsidRPr="006B796E">
        <w:rPr>
          <w:rFonts w:ascii="Times New Roman" w:eastAsia="Times New Roman" w:hAnsi="Times New Roman" w:cs="Times New Roman"/>
          <w:i/>
          <w:iCs/>
          <w:sz w:val="24"/>
          <w:szCs w:val="24"/>
          <w:lang w:eastAsia="lv-LV"/>
        </w:rPr>
        <w:t>Barnaverndarstofa</w:t>
      </w:r>
      <w:r w:rsidRPr="006B796E">
        <w:rPr>
          <w:rFonts w:ascii="Times New Roman" w:eastAsia="Times New Roman" w:hAnsi="Times New Roman" w:cs="Times New Roman"/>
          <w:sz w:val="24"/>
          <w:szCs w:val="24"/>
          <w:lang w:eastAsia="lv-LV"/>
        </w:rPr>
        <w:t>] ir pilnvarota “vadīt speciālā dienesta centrus ar mērķi veicināt starpnozaru sadarbību un stiprināt iestāžu sadarbību, izskatot ar bērnu aizsardzību saistītas lietas”.</w:t>
      </w:r>
      <w:r w:rsidR="00383BC5">
        <w:rPr>
          <w:rStyle w:val="Vresatsauce"/>
          <w:rFonts w:ascii="Times New Roman" w:eastAsia="Times New Roman" w:hAnsi="Times New Roman" w:cs="Times New Roman"/>
          <w:sz w:val="24"/>
          <w:szCs w:val="24"/>
          <w:lang w:eastAsia="lv-LV"/>
        </w:rPr>
        <w:footnoteReference w:customMarkFollows="1" w:id="47"/>
        <w:t>46</w:t>
      </w:r>
      <w:r w:rsidRPr="006B796E">
        <w:rPr>
          <w:rFonts w:ascii="Times New Roman" w:eastAsia="Times New Roman" w:hAnsi="Times New Roman" w:cs="Times New Roman"/>
          <w:sz w:val="24"/>
          <w:szCs w:val="24"/>
          <w:lang w:eastAsia="lv-LV"/>
        </w:rPr>
        <w:t xml:space="preserve"> Sākotnēji </w:t>
      </w:r>
      <w:r w:rsidRPr="006B796E">
        <w:rPr>
          <w:rFonts w:ascii="Times New Roman" w:eastAsia="Times New Roman" w:hAnsi="Times New Roman" w:cs="Times New Roman"/>
          <w:i/>
          <w:iCs/>
          <w:sz w:val="24"/>
          <w:szCs w:val="24"/>
          <w:lang w:eastAsia="lv-LV"/>
        </w:rPr>
        <w:t>Barnahus</w:t>
      </w:r>
      <w:r w:rsidRPr="006B796E">
        <w:rPr>
          <w:rFonts w:ascii="Times New Roman" w:eastAsia="Times New Roman" w:hAnsi="Times New Roman" w:cs="Times New Roman"/>
          <w:sz w:val="24"/>
          <w:szCs w:val="24"/>
          <w:lang w:eastAsia="lv-LV"/>
        </w:rPr>
        <w:t xml:space="preserve"> modelis tika izveidots Norvēģijā bez oficiāliem reglamentējošiem noteikumiem. Ar 2017. gadu Norvēģijas Kriminālprocesa likumā un noteikumos par tiesas izmeklēšanas intervijām ir noteikts, ka policijai un prokuroriem ir obligāti jāizmanto </w:t>
      </w:r>
      <w:r w:rsidRPr="006B796E">
        <w:rPr>
          <w:rFonts w:ascii="Times New Roman" w:eastAsia="Times New Roman" w:hAnsi="Times New Roman" w:cs="Times New Roman"/>
          <w:i/>
          <w:iCs/>
          <w:sz w:val="24"/>
          <w:szCs w:val="24"/>
          <w:lang w:eastAsia="lv-LV"/>
        </w:rPr>
        <w:t>Barnahus</w:t>
      </w:r>
      <w:r w:rsidRPr="006B796E">
        <w:rPr>
          <w:rFonts w:ascii="Times New Roman" w:eastAsia="Times New Roman" w:hAnsi="Times New Roman" w:cs="Times New Roman"/>
          <w:sz w:val="24"/>
          <w:szCs w:val="24"/>
          <w:lang w:eastAsia="lv-LV"/>
        </w:rPr>
        <w:t xml:space="preserve"> modelis.</w:t>
      </w:r>
      <w:r w:rsidR="00383BC5">
        <w:rPr>
          <w:rStyle w:val="Vresatsauce"/>
          <w:rFonts w:ascii="Times New Roman" w:eastAsia="Times New Roman" w:hAnsi="Times New Roman" w:cs="Times New Roman"/>
          <w:sz w:val="24"/>
          <w:szCs w:val="24"/>
          <w:lang w:eastAsia="lv-LV"/>
        </w:rPr>
        <w:footnoteReference w:customMarkFollows="1" w:id="48"/>
        <w:t>47</w:t>
      </w:r>
      <w:r w:rsidRPr="006B796E">
        <w:rPr>
          <w:rFonts w:ascii="Times New Roman" w:eastAsia="Times New Roman" w:hAnsi="Times New Roman" w:cs="Times New Roman"/>
          <w:sz w:val="24"/>
          <w:szCs w:val="24"/>
          <w:lang w:eastAsia="lv-LV"/>
        </w:rPr>
        <w:t> Tomēr šim modelim esot arī savi ierobežojumi. Šis modelis ir ieviests arī Zviedrijā, taču 2013. gada ziņojumā, kurā tika novērtēta bērnu pajumtes modeļa darbība Zviedrijā, tika atzīmēts, ka uz bērnu pajumti tika nosūtīts maz bērnu, par kuriem ir aizdomas, ka viņi varētu būt cilvēku tirdzniecības upuri. Domājams, daļēji tas ir tāpēc, ka trešdaļai pašvaldības teritoriju valstī nav šādu iestāžu. Taču autori izteica bažas arī par to, ka cilvēku tirdzniecībā cietušie bērni varētu būt no šīs kategorijas nepamatoti izslēgti. Autori sniedza tam vairākus iespējamos skaidrojumus, proti, ar cilvēku tirdzniecību saistīti nodarījumi parasti netiek ietverti cilvēku tirdzniecības kategorijā (piemēram, aizdomās turētie tiek apsūdzēti par citu veidu nodarījumiem, piemēram, “sekss ar bērnu par maksu”), vai arī vairums uz bērnu pajumti nosūtīto bērnu ir bērni līdz 16 gadu vecumam un ir vardarbības upuri, kurā iesaistīti bērna tuvinieki vai citi tuvi radinieki, nevis noziedzīgi grupējumi.</w:t>
      </w:r>
      <w:r w:rsidR="00383BC5">
        <w:rPr>
          <w:rStyle w:val="Vresatsauce"/>
          <w:rFonts w:ascii="Times New Roman" w:eastAsia="Times New Roman" w:hAnsi="Times New Roman" w:cs="Times New Roman"/>
          <w:sz w:val="24"/>
          <w:szCs w:val="24"/>
          <w:lang w:eastAsia="lv-LV"/>
        </w:rPr>
        <w:footnoteReference w:customMarkFollows="1" w:id="49"/>
        <w:t>48</w:t>
      </w:r>
    </w:p>
    <w:p w:rsidR="00383BC5" w:rsidRDefault="00383BC5"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Runājot Alianses 17. konferencē 2017. gada aprīlī, Islandes Bērnu aizsardzības valsts aģentūras ģenerāldirektors </w:t>
      </w:r>
      <w:r w:rsidRPr="006B796E">
        <w:rPr>
          <w:rFonts w:ascii="Times New Roman" w:eastAsia="Times New Roman" w:hAnsi="Times New Roman" w:cs="Times New Roman"/>
          <w:i/>
          <w:iCs/>
          <w:sz w:val="24"/>
          <w:szCs w:val="24"/>
          <w:lang w:eastAsia="lv-LV"/>
        </w:rPr>
        <w:t>Bragi Guðbrandsson</w:t>
      </w:r>
      <w:r w:rsidRPr="006B796E">
        <w:rPr>
          <w:rFonts w:ascii="Times New Roman" w:eastAsia="Times New Roman" w:hAnsi="Times New Roman" w:cs="Times New Roman"/>
          <w:sz w:val="24"/>
          <w:szCs w:val="24"/>
          <w:lang w:eastAsia="lv-LV"/>
        </w:rPr>
        <w:t xml:space="preserve"> savā ziņojumā norādījis, ka bērnu pajumtes modelis darbojas 50 vietās Dānijā, Islandē, Norvēģijā un Zviedrijā. Viņš teicis, ka Islandē daudznozaru/daudzu iestāžu pieeja nozīmē to, ka parasti kopā ar viņa pārstāvēto bērnu </w:t>
      </w:r>
      <w:r w:rsidRPr="006B796E">
        <w:rPr>
          <w:rFonts w:ascii="Times New Roman" w:eastAsia="Times New Roman" w:hAnsi="Times New Roman" w:cs="Times New Roman"/>
          <w:sz w:val="24"/>
          <w:szCs w:val="24"/>
          <w:lang w:eastAsia="lv-LV"/>
        </w:rPr>
        <w:lastRenderedPageBreak/>
        <w:t>aizsardzības aģentūru ir iesaistītas sešas citas valsts aģentūras.</w:t>
      </w:r>
      <w:r w:rsidR="00383BC5">
        <w:rPr>
          <w:rStyle w:val="Vresatsauce"/>
          <w:rFonts w:ascii="Times New Roman" w:eastAsia="Times New Roman" w:hAnsi="Times New Roman" w:cs="Times New Roman"/>
          <w:sz w:val="24"/>
          <w:szCs w:val="24"/>
          <w:lang w:eastAsia="lv-LV"/>
        </w:rPr>
        <w:footnoteReference w:customMarkFollows="1" w:id="50"/>
        <w:t>49</w:t>
      </w:r>
      <w:r w:rsidRPr="006B796E">
        <w:rPr>
          <w:rFonts w:ascii="Times New Roman" w:eastAsia="Times New Roman" w:hAnsi="Times New Roman" w:cs="Times New Roman"/>
          <w:sz w:val="24"/>
          <w:szCs w:val="24"/>
          <w:lang w:eastAsia="lv-LV"/>
        </w:rPr>
        <w:t> Attiecībā uz nepavadītiem ārvalstu bērniem, par kuriem ir aizdomas, ka viņi ir cilvēku tirdzniecības upuri, 2016. gadā Bērnu aizsardzības aģentūra un Islandes Imigrācijas direktorāts vienojās par oficiālu sadarbību; tā ietver likumīgā aizbildņa iecelšanu bērnam. Būtībā informāciju, kas iegūta no bērnu pajumtē ievietotiem bērniem, var izmantot dažādiem mērķiem – bez nepieciešamības viņus vēlreiz iztaujāt. Šie mērķi ir bērna veselības novērtējums, lēmumi par bērna aizsardzību, tostarp par bērna izmitināšanas vietu, kā arī patvēruma pieteikumi.</w:t>
      </w:r>
    </w:p>
    <w:p w:rsidR="00383BC5" w:rsidRDefault="00383BC5" w:rsidP="006B796E">
      <w:pPr>
        <w:widowControl w:val="0"/>
        <w:spacing w:after="0" w:line="240" w:lineRule="auto"/>
        <w:jc w:val="both"/>
        <w:rPr>
          <w:rFonts w:ascii="Times New Roman" w:eastAsia="Times New Roman" w:hAnsi="Times New Roman" w:cs="Times New Roman"/>
          <w:sz w:val="24"/>
          <w:szCs w:val="24"/>
          <w:lang w:eastAsia="lv-LV"/>
        </w:rPr>
      </w:pPr>
    </w:p>
    <w:p w:rsidR="00383BC5" w:rsidRDefault="00383BC5" w:rsidP="00383BC5">
      <w:pPr>
        <w:widowControl w:val="0"/>
        <w:spacing w:after="0" w:line="240" w:lineRule="auto"/>
        <w:jc w:val="center"/>
        <w:rPr>
          <w:rFonts w:ascii="Times New Roman" w:eastAsia="Times New Roman" w:hAnsi="Times New Roman" w:cs="Times New Roman"/>
          <w:sz w:val="24"/>
          <w:szCs w:val="24"/>
          <w:lang w:eastAsia="lv-LV"/>
        </w:rPr>
      </w:pPr>
      <w:r w:rsidRPr="000E2D02">
        <w:rPr>
          <w:noProof/>
          <w:sz w:val="24"/>
          <w:szCs w:val="24"/>
          <w:lang w:eastAsia="lv-LV"/>
        </w:rPr>
        <w:drawing>
          <wp:inline distT="0" distB="0" distL="0" distR="0">
            <wp:extent cx="3614420" cy="2182495"/>
            <wp:effectExtent l="0" t="0" r="5080" b="825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4420" cy="2182495"/>
                    </a:xfrm>
                    <a:prstGeom prst="rect">
                      <a:avLst/>
                    </a:prstGeom>
                    <a:noFill/>
                    <a:ln>
                      <a:noFill/>
                    </a:ln>
                  </pic:spPr>
                </pic:pic>
              </a:graphicData>
            </a:graphic>
          </wp:inline>
        </w:drawing>
      </w:r>
    </w:p>
    <w:p w:rsidR="00383BC5" w:rsidRPr="006B796E" w:rsidRDefault="00383BC5"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383BC5">
      <w:pPr>
        <w:widowControl w:val="0"/>
        <w:spacing w:after="0" w:line="240" w:lineRule="auto"/>
        <w:jc w:val="center"/>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Alianses pret cilvēku tirdzniecību</w:t>
      </w:r>
      <w:r w:rsidRPr="006B796E">
        <w:rPr>
          <w:rFonts w:ascii="Times New Roman" w:eastAsia="Times New Roman" w:hAnsi="Times New Roman" w:cs="Times New Roman"/>
          <w:sz w:val="24"/>
          <w:szCs w:val="24"/>
          <w:lang w:eastAsia="lv-LV"/>
        </w:rPr>
        <w:t xml:space="preserve"> 2017. gada konference par bērnu tirdzniecību un bērna labākajām interesēm</w:t>
      </w:r>
    </w:p>
    <w:p w:rsidR="00383BC5" w:rsidRDefault="00383BC5">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2F1BEE" w:rsidRDefault="002F1BEE" w:rsidP="006B796E">
      <w:pPr>
        <w:widowControl w:val="0"/>
        <w:spacing w:after="0" w:line="240" w:lineRule="auto"/>
        <w:jc w:val="both"/>
        <w:rPr>
          <w:rFonts w:ascii="Times New Roman" w:eastAsia="Times New Roman" w:hAnsi="Times New Roman" w:cs="Times New Roman"/>
          <w:b/>
          <w:bCs/>
          <w:sz w:val="24"/>
          <w:szCs w:val="24"/>
          <w:lang w:eastAsia="lv-LV"/>
        </w:rPr>
      </w:pPr>
      <w:r w:rsidRPr="002F1BEE">
        <w:rPr>
          <w:rFonts w:ascii="Times New Roman" w:eastAsia="Times New Roman" w:hAnsi="Times New Roman" w:cs="Times New Roman"/>
          <w:b/>
          <w:bCs/>
          <w:noProof/>
          <w:sz w:val="24"/>
          <w:szCs w:val="24"/>
          <w:lang w:eastAsia="lv-LV"/>
        </w:rPr>
        <w:lastRenderedPageBreak/>
        <w:drawing>
          <wp:inline distT="0" distB="0" distL="0" distR="0">
            <wp:extent cx="5760085" cy="7709112"/>
            <wp:effectExtent l="0" t="0" r="0" b="635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7709112"/>
                    </a:xfrm>
                    <a:prstGeom prst="rect">
                      <a:avLst/>
                    </a:prstGeom>
                    <a:noFill/>
                    <a:ln>
                      <a:noFill/>
                    </a:ln>
                  </pic:spPr>
                </pic:pic>
              </a:graphicData>
            </a:graphic>
          </wp:inline>
        </w:drawing>
      </w:r>
    </w:p>
    <w:p w:rsidR="002F1BEE" w:rsidRDefault="002F1BEE" w:rsidP="006B796E">
      <w:pPr>
        <w:widowControl w:val="0"/>
        <w:spacing w:after="0" w:line="240" w:lineRule="auto"/>
        <w:jc w:val="both"/>
        <w:rPr>
          <w:rFonts w:ascii="Times New Roman" w:eastAsia="Times New Roman" w:hAnsi="Times New Roman" w:cs="Times New Roman"/>
          <w:b/>
          <w:bCs/>
          <w:sz w:val="24"/>
          <w:szCs w:val="24"/>
          <w:lang w:eastAsia="lv-LV"/>
        </w:rPr>
      </w:pPr>
    </w:p>
    <w:p w:rsidR="00383BC5" w:rsidRDefault="00383BC5">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lastRenderedPageBreak/>
        <w:t>Lai pieņemtu lēmumus, kuriem ir ilgstošas sekas (visaptveroši, droši un ilgtspējīgi jeb “pastāvīgi” risinājumi), iestādēm un citiem par bērnu atbildīgajiem ir nepieciešama informācija par bērna pagātni, kā arī par iespējamām sekām nākotnē, ko radīs to pieņemtie lēmumi. Papildus svarīgas informācijas vākšanai tām ir nepieciešams sniegt bērnam pamata aprūpi un drošu izmitināšanu un nodrošināt, ka cilvēku tirdzniecībā cietušajam bērnam tiek piešķirts pienācīgs juridiskais statuss.</w:t>
      </w:r>
    </w:p>
    <w:p w:rsidR="00383BC5" w:rsidRPr="006B796E" w:rsidRDefault="00383BC5"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4.1. Tūlītēji pasākumi, lai nodrošinātu, ka bērns ir drošībā, aizsargāts un tam ir pienācīgs juridiskais statuss</w:t>
      </w:r>
    </w:p>
    <w:p w:rsidR="00383BC5" w:rsidRDefault="00383BC5"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Ikviens cilvēku tirdzniecībā cietušais var potenciāli sniegt informāciju krimināltiesību sistēmai. Tomēr prioritāte ir ārkārtas palīdzības un aprūpes sniegšana cietušajiem pieaugušajiem un bērniem. Valstu pienākums ir dot cietušajiem laiku un iespēju, lai viņi varētu atlabt no cilvēku tirdzniecībā un ekspluatācijā pieredzētā, pirms prasīt no viņiem grūtu lēmumu pieņemšanu (piemēram, vai liecināt pret noziedzniekiem un vai atgriezties mītnes valstī).</w:t>
      </w:r>
      <w:r w:rsidR="00383BC5">
        <w:rPr>
          <w:rStyle w:val="Vresatsauce"/>
          <w:rFonts w:ascii="Times New Roman" w:eastAsia="Times New Roman" w:hAnsi="Times New Roman" w:cs="Times New Roman"/>
          <w:sz w:val="24"/>
          <w:szCs w:val="24"/>
          <w:lang w:eastAsia="lv-LV"/>
        </w:rPr>
        <w:footnoteReference w:customMarkFollows="1" w:id="51"/>
        <w:t>50</w:t>
      </w:r>
      <w:r w:rsidRPr="006B796E">
        <w:rPr>
          <w:rFonts w:ascii="Times New Roman" w:eastAsia="Times New Roman" w:hAnsi="Times New Roman" w:cs="Times New Roman"/>
          <w:sz w:val="24"/>
          <w:szCs w:val="24"/>
          <w:lang w:eastAsia="lv-LV"/>
        </w:rPr>
        <w:t> Daudzas EDSO dalībvalstis ir vienojušās, ka cilvēku tirdzniecībā cietušajiem pieaugušajiem un bērniem jādod šāds “nogaidīšanas periods”.</w:t>
      </w:r>
    </w:p>
    <w:p w:rsidR="00383BC5" w:rsidRPr="006B796E" w:rsidRDefault="00383BC5" w:rsidP="006B796E">
      <w:pPr>
        <w:widowControl w:val="0"/>
        <w:spacing w:after="0" w:line="240" w:lineRule="auto"/>
        <w:jc w:val="both"/>
        <w:rPr>
          <w:rFonts w:ascii="Times New Roman" w:eastAsia="Times New Roman" w:hAnsi="Times New Roman" w:cs="Times New Roman"/>
          <w:sz w:val="24"/>
          <w:szCs w:val="20"/>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4.1.1. Nodrošināt, ka sākotnējais identificēšanas process tiek veikts rūpīgā veidā</w:t>
      </w:r>
    </w:p>
    <w:p w:rsidR="00760158" w:rsidRDefault="00760158"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Lai arī šis pētījums nav vērsts uz sākotnējo identificēšanas procesu, ir skaidrs – ja jau no paša sākuma cilvēku tirdzniecībā vai ekspluatācijā cietušā bērna identificēšanas procedūra netiks veikta rūpīgi vai tā netiks ievērota, tas lielā mērā nelabvēlīgi ietekmēs bērna drošības nodrošināšanu turpmākā posmā.</w:t>
      </w:r>
      <w:r w:rsidR="00760158">
        <w:rPr>
          <w:rStyle w:val="Vresatsauce"/>
          <w:rFonts w:ascii="Times New Roman" w:eastAsia="Times New Roman" w:hAnsi="Times New Roman" w:cs="Times New Roman"/>
          <w:sz w:val="24"/>
          <w:szCs w:val="24"/>
          <w:lang w:eastAsia="lv-LV"/>
        </w:rPr>
        <w:footnoteReference w:customMarkFollows="1" w:id="52"/>
        <w:t>51</w:t>
      </w:r>
      <w:r w:rsidRPr="006B796E">
        <w:rPr>
          <w:rFonts w:ascii="Times New Roman" w:eastAsia="Times New Roman" w:hAnsi="Times New Roman" w:cs="Times New Roman"/>
          <w:sz w:val="24"/>
          <w:szCs w:val="24"/>
          <w:lang w:eastAsia="lv-LV"/>
        </w:rPr>
        <w:t> Tas jo īpaši ir gadījumā, ja noziegumā cietis bērns netiek identificēts kā nozieguma upuris. Pilnīga identifikācija nozīmē to, ka tiek konstatētas daudz sīkākas ziņas par cilvēku tirdzniecības nodarījumu, proti, bērna identitāte, no kurienes bērns ir nācis, kurš par viņu ir gādājis (ja vispār kāds to ir darījis), kur atrodas viņa vecāki (viens vai abi) vai persona, kurai ir vecāku atbildība, utt. Tas tostarp nozīmē, ka ir jāatrod, kur atrodas bērna ģimene, un, iespējams, jāsazinās ar bērna vecākiem (ja vien bērns nav bēglis un viņa vecāki nav palikuši savā izcelsmes valstī vai ja vien nepastāv iemesls aizdomām, ka vecāki varētu būt iesaistīti bērna tirdzniecībā).</w:t>
      </w:r>
    </w:p>
    <w:p w:rsidR="00760158" w:rsidRPr="006B796E" w:rsidRDefault="00760158" w:rsidP="006B796E">
      <w:pPr>
        <w:widowControl w:val="0"/>
        <w:spacing w:after="0" w:line="240" w:lineRule="auto"/>
        <w:jc w:val="both"/>
        <w:rPr>
          <w:rFonts w:ascii="Times New Roman" w:eastAsia="Times New Roman" w:hAnsi="Times New Roman" w:cs="Times New Roman"/>
          <w:sz w:val="24"/>
          <w:szCs w:val="20"/>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4.1.2. Praktiski apsvērumi saistībā ar to bērnu vajadzībām, kas ir cilvēku tirdzniecības upuri</w:t>
      </w:r>
    </w:p>
    <w:p w:rsidR="00760158" w:rsidRDefault="00760158"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Bērnu, kas ir cilvēku tirdzniecības upuri, vajadzības acīmredzami ir atkarīgas no bērna dzimuma, vecuma, brieduma, kā arī ekspluatācijā pavadītā laika, ekspluatācijas veida un bērnam nodarītā konkrētā kaitējuma.</w:t>
      </w:r>
    </w:p>
    <w:p w:rsidR="00760158" w:rsidRPr="006B796E" w:rsidRDefault="00760158"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Lai noteiktu, kādas ir šīs vajadzības, parastā procedūra ir “vajadzību novērtēšana”, ko veic, tiklīdz tas ir reāli izdarāms pēc bērna atbrīvošanas no cilvēku tirgotāju kontroles vai pēc tam, </w:t>
      </w:r>
      <w:r w:rsidRPr="006B796E">
        <w:rPr>
          <w:rFonts w:ascii="Times New Roman" w:eastAsia="Times New Roman" w:hAnsi="Times New Roman" w:cs="Times New Roman"/>
          <w:sz w:val="24"/>
          <w:szCs w:val="24"/>
          <w:lang w:eastAsia="lv-LV"/>
        </w:rPr>
        <w:lastRenderedPageBreak/>
        <w:t>kad viņš ir identificēts kā cilvēku tirdzniecības upuris. Tas jādara vispirms, un tikai pēc tam jāpievēršas noziegumam, kas veikts pret bērnu, vai bērna iztaujāšanai, lai saņemtu informāciju, kas varētu palīdzēt identificēt un apcietināt par bērnu tirdzniecību atbildīgos noziedzniekus. Lai sāktu vadīt lietu un lai nodotu cietušo bērnu dažādiem dienestiem, kas viņam varētu būt nepieciešami vai kuru palīdzību viņš ir tiesīgs saņemt, vispirms ir jāizvērtē cietušā vajadzības. Lietu pārvaldība ir process, kurā tiek sistematizēta palīdzības sniegšana personām (pieaugušajiem vai bērniem) no palīdzības pasākumu sniegšanas sākuma līdz beigām un veikta attiecīgās personas uzraudzība. Laba prakse nosaka, ka galvenajai organizācijai, kas atbild par cilvēku tirdzniecībā cietušajiem bērniem, ir jābūt izstrādātai lietu pārvaldības sistēmai, lai personāls varētu identificēt bērnu un viņam izsekot un lai tiktu apmierinātas bērna vajadzības sniegto pakalpojumu kontekstā (un, atgādinot vēlreiz, lai tiktu nodrošināta attiecīgās personas datu konfidencialitāte un pienācīga aizsardzība).</w:t>
      </w:r>
    </w:p>
    <w:p w:rsidR="00760158" w:rsidRPr="006B796E" w:rsidRDefault="00760158"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Izvērtējot bērnu tirdzniecības iespējamā upura vajadzības, obligāti jāizvērtē vieta, kur bērns tiks izvietots pārnakšņot, kā arī vieta, kur viņš uzturēsies vidēju un ilgāku termiņu. Ja bērns ir viens pats vai ja ir aizdomas, ka bērna vecāki ir iesaistīti cilvēku tirdzniecībā vai ekspluatācijā, jāizvērtē arī tas, vai bērnam ir nepieciešams nodrošināt alternatīvo aprūpi (sk. iepriekš 2.4.4. punktu par ANO Pamatnostādnēm par bērnu alternatīvo aprūpi).</w:t>
      </w:r>
    </w:p>
    <w:p w:rsidR="00760158" w:rsidRPr="006B796E" w:rsidRDefault="00760158"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Vienlaikus ar vajadzību izvērtēšanu svarīgi ir nekavējoties novērtēt, kādiem riskiem ir pakļauts bērns, kas ir cilvēku tirdzniecības iespējamais upuris, lai mazinātu šos riskus. Izplatītākais risks ir bērna nonākšana atpakaļ tā paša cilvēku tirgotāja vai viņa sabiedroto kontrolē. Daži apdraudējumi ir visai tieši, piemēram, pa telefonu bērnam tiek dots norādījums iziet ārā no aprūpes iestādes un atgriezties atpakaļ pie cilvēku tirgotāja. Ir arī citi daudz netaustāmāki apdraudējumi, jo īpaši spiediens, ko izjūt jaunieši migranti parādu dēļ (ne tikai pašu parādu, bet arī savu radinieku parādu dēļ), vai arī spiediens, ko rada šķietams garīgais pienākums (piemēram, nigēriešu paraža, tā saucamā “</w:t>
      </w:r>
      <w:r w:rsidRPr="006B796E">
        <w:rPr>
          <w:rFonts w:ascii="Times New Roman" w:eastAsia="Times New Roman" w:hAnsi="Times New Roman" w:cs="Times New Roman"/>
          <w:i/>
          <w:iCs/>
          <w:sz w:val="24"/>
          <w:szCs w:val="24"/>
          <w:lang w:eastAsia="lv-LV"/>
        </w:rPr>
        <w:t>žu-žu</w:t>
      </w:r>
      <w:r w:rsidRPr="006B796E">
        <w:rPr>
          <w:rFonts w:ascii="Times New Roman" w:eastAsia="Times New Roman" w:hAnsi="Times New Roman" w:cs="Times New Roman"/>
          <w:sz w:val="24"/>
          <w:szCs w:val="24"/>
          <w:lang w:eastAsia="lv-LV"/>
        </w:rPr>
        <w:t>”, kad pusaudži un arī pieaugušie veic rituālu solījumu strādāt konkrētu personu labā vai atmaksāt tām ceļojuma izdevumus).</w:t>
      </w:r>
    </w:p>
    <w:p w:rsidR="00760158" w:rsidRPr="006B796E" w:rsidRDefault="00760158"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Tomēr bērns, kas ir cilvēku tirdzniecības upuris, ir pakļauts arī daudziem citiem riskiem, piemēram, vardarbības vai atkārtotas traumatizācijas riskam no pašu to amatpersonu puses, kuru pienākums ir aizsargāt bērnu, jo īpaši tad, ja bērns tiek atkārtoti iztaujāts par savu traumatisko pieredzi. Bērni, kas ievietoti izmitināšanas iestādē vai nu pārnakšņošanai uzreiz pēc viņu identificēšanas, vai palikšanai uz ilgāku laiku, arī ir pakļauti vardarbības riskam no citu bērnu vai pat no personāla puses, tostarp seksuālai vardarbībai. Tāpēc riski ir jāizvērtē ikreiz, kad bērns, kas ir cilvēku tirdzniecības upuris, tiek pārvietots uz jaunu vidi. Par katru izvērtējumu un katra riska mazināšanas pasākumiem ir jāveic pieraksti.</w:t>
      </w:r>
    </w:p>
    <w:p w:rsidR="00760158" w:rsidRPr="006B796E" w:rsidRDefault="00760158"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4.1.3. Lēmumi par bērna ievietošanu alternatīvās aprūpes iestādē</w:t>
      </w:r>
    </w:p>
    <w:p w:rsidR="00760158" w:rsidRDefault="00760158"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Pamatprincipi</w:t>
      </w:r>
    </w:p>
    <w:p w:rsidR="00760158" w:rsidRDefault="00760158"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Ja pastāv aizdomas, ka bērns ir kļuvis par cilvēku tirdzniecības upuri vai tiek ekspluatēts, dzīvojot kopā ar vecākiem vai ģimenes locekļiem vai esot to pavadībā, bērnu aizsardzības amatpersonām ir jāizvērtē, vai bērna interesēs ir izņemt viņu no ģimenes mājas un ievietot alternatīvās aprūpes iestādē. Šādos gadījumos piemēro ANO Pamatnostādnēs par bērnu alternatīvo aprūpi noteiktos standartus. Tie nosaka, ka “bērna izņemšana no ģimenes jāuzskata par galēju līdzekli, un tas, ja vien iespējams, jāizmanto kā pagaidu pasākums uz visīsāko iespējamo laiku” (14. pants).</w:t>
      </w:r>
    </w:p>
    <w:p w:rsidR="00760158" w:rsidRPr="006B796E" w:rsidRDefault="00760158"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ANO Pamatnostādnes piemēro arī tad, ja iestādes uzskata, ka bērni, kas kļuvuši par cilvēku </w:t>
      </w:r>
      <w:r w:rsidRPr="006B796E">
        <w:rPr>
          <w:rFonts w:ascii="Times New Roman" w:eastAsia="Times New Roman" w:hAnsi="Times New Roman" w:cs="Times New Roman"/>
          <w:sz w:val="24"/>
          <w:szCs w:val="24"/>
          <w:lang w:eastAsia="lv-LV"/>
        </w:rPr>
        <w:lastRenderedPageBreak/>
        <w:t>tirdzniecības upuriem ārvalstīs un ir repatriēti, pēc atgriešanās mītnes valstī ir jāievieto alternatīvās aprūpes iestādē (šīs situācijas ilustrēšanai 7.2. sadaļā turpmāk tekstā ir aplūkots Bulgārijas piemērs). Ja ir pieņemts lēmums nošķirt bērnu no viņa vecākiem, Pamatnostādnēs noteikts, ka “lēmumos par alternatīvo aprūpi vienmēr jāņem vērā tas, ka parasti bērnu vēlams paturēt pēc iespējas tuvāk tā pierastajai dzīvesvietai, lai atvieglotu sakarus un bērna potenciālo atkalapvienošanos ar ģimeni un lai bērna izglītība, kultūras un sociālā dzīve tiktu pēc iespējas mazāk traucēta” (11. pants).</w:t>
      </w:r>
    </w:p>
    <w:p w:rsidR="00760158" w:rsidRPr="006B796E" w:rsidRDefault="00760158"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Izvērtējums, vai bērns, kas ir cilvēku tirdzniecības upuris, jāievieto alternatīvās aprūpes iestādē</w:t>
      </w:r>
    </w:p>
    <w:p w:rsidR="00760158" w:rsidRDefault="00760158"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Gadījumā, ja bērns, kas ir cilvēku tirdzniecības upuris, joprojām dzīvo ar vienu vai abiem vecākiem (vai arī ar savu aizbildni vai ierasto aprūpētāju), ir jāņem vērā citu ģimenes locekļu intereses, kā arī jebkādi pret bērnu izdarītie noziegumi vai vardarbība. Šajā posmā ir nepieciešams tāds risinājums, kas būtu bērna interesēs un iespēju robežās novērstu nemotivētu pārvietošanu, lai bērns paliktu ar savu ģimeni. ANO Pamatnostādnēs ieteikts, ka šāds vērtējums</w:t>
      </w:r>
    </w:p>
    <w:p w:rsidR="00760158" w:rsidRDefault="00760158"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“jāveic bez kavēšanās, pienācīgi un rūpīgi. Tajā jāņem vērā bērna tūlītējā drošība un labklājība, kā arī turpmākā aprūpe un attīstība ilgākā laika posmā un jāievēro bērna individuālās un attīstības īpatnības, etniskā izcelsme, kultūras, valodas un reliģiskā piederība, ģimenes un sociālā vide, medicīniskā anamnēze un īpašās vajadzības, ja tādas ir” (58. pants).</w:t>
      </w:r>
    </w:p>
    <w:p w:rsidR="00760158" w:rsidRPr="006B796E" w:rsidRDefault="00760158"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Protokolā, kas izstrādāts vienā pašvaldības teritorijā ASV (Losandželosas apgabals, Tiesībaizsardzības ātrās reaģēšanas dienesta Protokols par komerciālos nolūkos seksuāli izmantotiem bērniem [</w:t>
      </w:r>
      <w:r w:rsidRPr="006B796E">
        <w:rPr>
          <w:rFonts w:ascii="Times New Roman" w:eastAsia="Times New Roman" w:hAnsi="Times New Roman" w:cs="Times New Roman"/>
          <w:i/>
          <w:iCs/>
          <w:sz w:val="24"/>
          <w:szCs w:val="24"/>
          <w:lang w:eastAsia="lv-LV"/>
        </w:rPr>
        <w:t>The Law Enforcement First Responder Protocol for Commercially Sexually Exploited Children</w:t>
      </w:r>
      <w:r w:rsidRPr="006B796E">
        <w:rPr>
          <w:rFonts w:ascii="Times New Roman" w:eastAsia="Times New Roman" w:hAnsi="Times New Roman" w:cs="Times New Roman"/>
          <w:sz w:val="24"/>
          <w:szCs w:val="24"/>
          <w:lang w:eastAsia="lv-LV"/>
        </w:rPr>
        <w:t xml:space="preserve">]), atzīmēts, ka daudzos gadījumos bērniem, par kuriem ir aizdomas, ka viņi ir pakļauti seksuālai izmantošanai (tostarp tiem, kas ir kļuvuši par cilvēku tirdzniecības upuriem šajā nolūkā), viņu identificēšanas brīdī nav “dzīvošanai piemērotas mājas vai vietas”. Šajā apgabalā attiecīgi tika noslēgts līgums ar audžuģimenes māju, kur nodrošina ārkārtas izmitināšanu jebkurā diennakts laikā septiņas dienas nedēļā un kurā uz laiku līdz 72 stundām var sākotnēji izmitināt ne vairāk par sešām meitenēm: “Šā pakalpojuma sniedzēji ir īpaši apmācīti saistībā ar </w:t>
      </w:r>
      <w:r w:rsidRPr="006B796E">
        <w:rPr>
          <w:rFonts w:ascii="Times New Roman" w:eastAsia="Times New Roman" w:hAnsi="Times New Roman" w:cs="Times New Roman"/>
          <w:i/>
          <w:iCs/>
          <w:sz w:val="24"/>
          <w:szCs w:val="24"/>
          <w:lang w:eastAsia="lv-LV"/>
        </w:rPr>
        <w:t>CSEC</w:t>
      </w:r>
      <w:r w:rsidRPr="006B796E">
        <w:rPr>
          <w:rFonts w:ascii="Times New Roman" w:eastAsia="Times New Roman" w:hAnsi="Times New Roman" w:cs="Times New Roman"/>
          <w:sz w:val="24"/>
          <w:szCs w:val="24"/>
          <w:lang w:eastAsia="lv-LV"/>
        </w:rPr>
        <w:t xml:space="preserve"> [komerciālos nolūkos seksuāli izmantotiem bērniem] un viņu vajadzībām un aktīvi piedalās </w:t>
      </w:r>
      <w:r w:rsidRPr="006B796E">
        <w:rPr>
          <w:rFonts w:ascii="Times New Roman" w:eastAsia="Times New Roman" w:hAnsi="Times New Roman" w:cs="Times New Roman"/>
          <w:i/>
          <w:iCs/>
          <w:sz w:val="24"/>
          <w:szCs w:val="24"/>
          <w:lang w:eastAsia="lv-LV"/>
        </w:rPr>
        <w:t>MDT</w:t>
      </w:r>
      <w:r w:rsidRPr="006B796E">
        <w:rPr>
          <w:rFonts w:ascii="Times New Roman" w:eastAsia="Times New Roman" w:hAnsi="Times New Roman" w:cs="Times New Roman"/>
          <w:sz w:val="24"/>
          <w:szCs w:val="24"/>
          <w:lang w:eastAsia="lv-LV"/>
        </w:rPr>
        <w:t xml:space="preserve"> [daudznozaru grupā], kamēr bērns dzīvo šajā mājā. Šajās mājās ir pieejams personāls, kas nodrošina uzraudzību visu diennakti, kamēr </w:t>
      </w:r>
      <w:r w:rsidRPr="006B796E">
        <w:rPr>
          <w:rFonts w:ascii="Times New Roman" w:eastAsia="Times New Roman" w:hAnsi="Times New Roman" w:cs="Times New Roman"/>
          <w:i/>
          <w:iCs/>
          <w:sz w:val="24"/>
          <w:szCs w:val="24"/>
          <w:lang w:eastAsia="lv-LV"/>
        </w:rPr>
        <w:t>CSEC</w:t>
      </w:r>
      <w:r w:rsidRPr="006B796E">
        <w:rPr>
          <w:rFonts w:ascii="Times New Roman" w:eastAsia="Times New Roman" w:hAnsi="Times New Roman" w:cs="Times New Roman"/>
          <w:sz w:val="24"/>
          <w:szCs w:val="24"/>
          <w:lang w:eastAsia="lv-LV"/>
        </w:rPr>
        <w:t xml:space="preserve"> tur atrodas, un, ja nepieciešams, nodrošina papildu uzraudzību.”</w:t>
      </w:r>
      <w:r w:rsidR="00760158">
        <w:rPr>
          <w:rStyle w:val="Vresatsauce"/>
          <w:rFonts w:ascii="Times New Roman" w:eastAsia="Times New Roman" w:hAnsi="Times New Roman" w:cs="Times New Roman"/>
          <w:sz w:val="24"/>
          <w:szCs w:val="24"/>
          <w:lang w:eastAsia="lv-LV"/>
        </w:rPr>
        <w:footnoteReference w:customMarkFollows="1" w:id="53"/>
        <w:t>52</w:t>
      </w:r>
    </w:p>
    <w:p w:rsidR="00760158" w:rsidRPr="006B796E" w:rsidRDefault="00760158"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Lēmumi par nepavadītiem bērniem, kas ir cilvēku tirdzniecības upuri</w:t>
      </w:r>
    </w:p>
    <w:p w:rsidR="00760158" w:rsidRDefault="00760158"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Ja izrādās, ka bērns ir bez pavadoņa, kad tiek konstatēts, ka viņš varētu būt cilvēku tirdzniecības upuris, ANO Pamatnostādnēs noteiktais “nepieciešamības princips” nozīmē, ka bērnam ir nekavējoties jānodrošina alternatīvā aprūpe. Tas nozīmē, ka ir jābūt vietai, kur bērnu var ievietot uz visu diennakti, jo īpaši īslaicīgi, bet, iespējams, arī uz ilgāku laiku. Šādos gadījumos iestādei, kas atbild par lēmuma pieņemšanu, kur izvietot bērnu, ir jānovērtē riski, kuriem bērns tiek pakļauts, un tas, kā tie ietekmē bērna izmitināšanu. Faktiski tas ir “bērna interešu novērtējums”, pat ja daudzās valstīs to uzskata par “bērna aizsardzības novērtējumu”. Tas nozīmē, ka ir jāveic pieraksti, kādi faktori ir ņemti vērā, lemjot par to, kur izmitināt bērnu, un kādi īpaši pasākumi ir jāveic, lai bērnu pasargātu no identificētajiem riskiem.</w:t>
      </w:r>
    </w:p>
    <w:p w:rsidR="00760158" w:rsidRPr="006B796E" w:rsidRDefault="00760158"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lastRenderedPageBreak/>
        <w:t>Bērnu, kas ir cilvēku tirdzniecības upuri, pienācīga izmitināšana “krīzes” centros vai alternatīvās aprūpes iestādēs</w:t>
      </w:r>
    </w:p>
    <w:p w:rsidR="00760158" w:rsidRDefault="00760158"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Bērnu, kas ir cilvēku tirdzniecības upuri, pienācīga izmitināšana vidēji ilgu vai ilgāku laiku ir atkarīga no bērna vecuma un brieduma, kā arī no tā, kādā apmērā bērns ir atlabis no cilvēku tirdzniecības radītā kaitējuma vai traumas.</w:t>
      </w:r>
    </w:p>
    <w:p w:rsidR="00760158" w:rsidRPr="006B796E" w:rsidRDefault="00760158"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Atsaucoties uz bērniem, kas ir cilvēku tirdzniecības upuri, EDSO Cilvēku tirdzniecības apkarošanas īpašā pārstāvja un koordinatora birojs ir atzīmējis:</w:t>
      </w:r>
    </w:p>
    <w:p w:rsidR="00760158" w:rsidRPr="006B796E" w:rsidRDefault="00760158"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“Attiecībā uz aizturēšanu bērni nav jāievieto policijas kamerās vai citās aizturēšanas telpās, kas saistītas ar tiesībaizsardzību. Var būt nepieciešamība bērnus turēt kādā pienācīgā, īpašā vietā viņu pašu drošības labad bērnu labklājības/aizsardzības sistēmas kontekstā. </w:t>
      </w:r>
      <w:r w:rsidRPr="006B796E">
        <w:rPr>
          <w:rFonts w:ascii="Times New Roman" w:eastAsia="Times New Roman" w:hAnsi="Times New Roman" w:cs="Times New Roman"/>
          <w:i/>
          <w:iCs/>
          <w:sz w:val="24"/>
          <w:szCs w:val="24"/>
          <w:lang w:eastAsia="lv-LV"/>
        </w:rPr>
        <w:t>UNICEF</w:t>
      </w:r>
      <w:r w:rsidRPr="006B796E">
        <w:rPr>
          <w:rFonts w:ascii="Times New Roman" w:eastAsia="Times New Roman" w:hAnsi="Times New Roman" w:cs="Times New Roman"/>
          <w:sz w:val="24"/>
          <w:szCs w:val="24"/>
          <w:lang w:eastAsia="lv-LV"/>
        </w:rPr>
        <w:t xml:space="preserve"> uzskata, ka “nekādos apstākļos bērni nav jāievieto nekādā aizturēšanas iestādē, tostarp policijas kamerā, cietumā vai pat īpašajos bērnu aizturēšanas centros”.</w:t>
      </w:r>
      <w:r w:rsidR="00760158">
        <w:rPr>
          <w:rStyle w:val="Vresatsauce"/>
          <w:rFonts w:ascii="Times New Roman" w:eastAsia="Times New Roman" w:hAnsi="Times New Roman" w:cs="Times New Roman"/>
          <w:sz w:val="24"/>
          <w:szCs w:val="24"/>
          <w:lang w:eastAsia="lv-LV"/>
        </w:rPr>
        <w:footnoteReference w:customMarkFollows="1" w:id="54"/>
        <w:t>53</w:t>
      </w:r>
    </w:p>
    <w:p w:rsidR="00760158" w:rsidRDefault="00760158"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Zviedrijas 2016. gada nacionālajā mehānismā cietušo nosūtīšanai šādi ir aprakstīts, kas ir nepieciešams: “Bērni, kas ir iespējamie [t. i., domājamie] cilvēku tirdzniecības upuri, jāizmitina vietā, kur ir pieejama augsta līmeņa aprūpe, ir ciešas personīgās attiecības un aprūpe tiek veikta, apzinoties traumu.”</w:t>
      </w:r>
      <w:r w:rsidR="000C6DBB">
        <w:rPr>
          <w:rStyle w:val="Vresatsauce"/>
          <w:rFonts w:ascii="Times New Roman" w:eastAsia="Times New Roman" w:hAnsi="Times New Roman" w:cs="Times New Roman"/>
          <w:sz w:val="24"/>
          <w:szCs w:val="24"/>
          <w:lang w:eastAsia="lv-LV"/>
        </w:rPr>
        <w:footnoteReference w:customMarkFollows="1" w:id="55"/>
        <w:t>54</w:t>
      </w:r>
      <w:r w:rsidRPr="006B796E">
        <w:rPr>
          <w:rFonts w:ascii="Times New Roman" w:eastAsia="Times New Roman" w:hAnsi="Times New Roman" w:cs="Times New Roman"/>
          <w:sz w:val="24"/>
          <w:szCs w:val="24"/>
          <w:lang w:eastAsia="lv-LV"/>
        </w:rPr>
        <w:t> Kaimiņvalstī Norvēģijā izmanto citu pieeju, proti, maza daļa bērnu, kas ir cilvēku tirdzniecības upuri, tiek ievietoti aizturēšanas iestādē, lai viņi nepamestu aprūpes iestādi un neatgrieztos cilvēku tirgotāja kontrolē vai ietekmē. Turpmāk 6.4. sadaļā ir sīkāk aplūkoti jautājumi, ko raisa šī pieeja.</w:t>
      </w:r>
    </w:p>
    <w:p w:rsidR="00760158" w:rsidRDefault="00760158"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Bulgārijā ir daudz cilvēku tirdzniecībā cietušu bērnu, kas identificēti citviet Eiropā un kam pirms viņu repatriēšanas ir noteikti bērnu aizsardzības pasākumi. Pēc atgriešanās Bulgārijā iestādes parasti tos nosūta uz izmitināšanas centru (dēvēts arī par “krīzes centru”). Bulgārijas tiesību aktos krīzes centri ir definēti kā sociālo pakalpojumu kopums, tostarp sociālais un psiholoģiskais atbalsts, krīzes intervence un juridiskās konsultācijas. Bērnu aizsardzības valsts aģentūra ir izdevusi Metodoloģiskās pamatnostādnes par krīzes centru kā sociālā dienesta darbību, kurā sīki noteiktas šādu centru darbībai piemērojamās prasības un minimālie kvalitātes standarti.</w:t>
      </w:r>
    </w:p>
    <w:p w:rsidR="000C6DBB" w:rsidRPr="006B796E" w:rsidRDefault="000C6DB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4.2. Atbildība par bērnu aizsardzību, kamēr viņi atrodas alternatīvās aprūpes iestādē vai valsts dienestu uzraudzībā</w:t>
      </w:r>
    </w:p>
    <w:p w:rsidR="000C6DBB" w:rsidRDefault="000C6DB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Daudzi cilvēku tirdzniecībā cietušie bērni ir guvuši traumu, piedzīvojot dažādu veidu vardarbību – seksuālo, fizisko un emocionālo vardarbību. Šādas pieredzes rezultātā viņi var būt fiziski slimi vai arī viņiem var būt psiholoģiskas problēmas. Ir svarīgi saprast viņu vajadzības un uz tām pienācīgi reaģēt. Prioritāte ir arī nodrošināt, ka šie bērni, tiklīdz identificēti, vairs netiek pakļauti turpmākai vardarbībai. Patvēruma vietas un ilgtermiņa izmitināšanas iestādes, kā arī repatriācijas un reintegrācijas programmas, lai arī bez nodoma, tomēr bieži vien dod </w:t>
      </w:r>
      <w:r w:rsidRPr="006B796E">
        <w:rPr>
          <w:rFonts w:ascii="Times New Roman" w:eastAsia="Times New Roman" w:hAnsi="Times New Roman" w:cs="Times New Roman"/>
          <w:sz w:val="24"/>
          <w:szCs w:val="24"/>
          <w:lang w:eastAsia="lv-LV"/>
        </w:rPr>
        <w:lastRenderedPageBreak/>
        <w:t>iespēju bērnus pakļaut turpmākai vardarbībai tieši tad, kad ir svarīgi nodrošināt viņu aizsardzību. Ņemot vērā to, ka teorētiski šie bērni “tiek aizsargāti” vai “atrodas drošībā”, valsts amatpersonas ne pārāk nopietni uztver turpmākas vardarbības risku un attiecīgi neveic atbilstīgas preventīvās darbības, lai pienācīgi pildītu savu rūpības pienākumu.</w:t>
      </w:r>
    </w:p>
    <w:p w:rsidR="000C6DBB" w:rsidRPr="006B796E" w:rsidRDefault="000C6DB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Galveno apdraudējumu rada noziedznieki, kas ir nodarbojušies ar bērna tirdzniecību vai ekspluatāciju; ja viņi vēl joprojām ir brīvībā, viņi dažkārt cenšas atjaunot kontroli pār bērnu. Tomēr ir arī dažādi citi cilvēki, kas varētu rīkoties ļaunprātīgi pret bērnu, piemēram, personāls, kas strādā patvēruma vietā vai aprūpes namā (kuru vada valsts bērnu aizsardzības aģentūra vai pilsoniskās sabiedrības organizācija), citi bērni vai pieaugušie, kas saņem aprūpi šajā pašā vietā (piemēram, kā dažkārt notiek, kad vecākas pusaudzes meitenes tiek ievietotas pieaugušo sieviešu izmitināšanas vietās). Turklāt netieši ir kaitīgas arī dažas pašu iestāžu izmantotās procedūras; jo īpaši tā ir gadījumos, kad cietušo bērnu vai liecinieku pakļauj piespiedu darbībām (piemēram, lai iegūtu pirkstu nospiedumus) vai atkārtoti iztaujā par traumatisko pieredzi. Tādējādi bērnam ir jāizdzīvo šī pieredze nevis vienreiz, bet daudzkārtīgi. Šāda atkārtošana ir amatpersonu neefektivitātes rezultāts, jo viņi nav vienkāršojuši kriminālizmeklēšanas vai imigrācijas procedūras.</w:t>
      </w:r>
    </w:p>
    <w:p w:rsidR="000C6DBB" w:rsidRPr="006B796E" w:rsidRDefault="000C6DB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Daudzas iestādes, kas nonāk tiešā saskarē ar bērniem, jau ir izstrādājušas pienācīgas procedūras, lai pasargātu šos bērnus no turpmāka kaitējuma, jo īpaši organizācijas, kas nodrošina bērnu izmitināšanu. ANO Pamatnostādnēs par bērnu alternatīvo aprūpi ir izklāstīts, kāda ir likumā noteikto organizāciju loma alternatīvās aprūpes iestādēs ievietoto bērnu uzraudzības, drošības, labklājības un attīstības nodrošināšanā, un uzsvērts, ka ir regulāri jāpārskata iestādē organizētās aprūpes atbilstība. Noteikti ir svarīgi, lai katrai likumā noteiktajai aģentūrai vai citai organizācijai, kas ir tiešā saskarē ar bērniem, būtu izstrādāta politika, kas nosaka, kā personālam būtu jārīkojas (ja runa ir par likumā noteiktām aģentūrām) un kādi minimālie standarti būtu jāievieš ikvienā organizācijā, kas nodarbojas ar bērnu aprūpi. Organizācija </w:t>
      </w:r>
      <w:r w:rsidRPr="006B796E">
        <w:rPr>
          <w:rFonts w:ascii="Times New Roman" w:eastAsia="Times New Roman" w:hAnsi="Times New Roman" w:cs="Times New Roman"/>
          <w:i/>
          <w:iCs/>
          <w:sz w:val="24"/>
          <w:szCs w:val="24"/>
          <w:lang w:eastAsia="lv-LV"/>
        </w:rPr>
        <w:t>Keeping Children Safe Coalition</w:t>
      </w:r>
      <w:r w:rsidRPr="006B796E">
        <w:rPr>
          <w:rFonts w:ascii="Times New Roman" w:eastAsia="Times New Roman" w:hAnsi="Times New Roman" w:cs="Times New Roman"/>
          <w:sz w:val="24"/>
          <w:szCs w:val="24"/>
          <w:lang w:eastAsia="lv-LV"/>
        </w:rPr>
        <w:t xml:space="preserve"> ir publicējusi vispārēju ieteikumu, kādas ir atbilstīgas procedūras un metodes.</w:t>
      </w:r>
      <w:r w:rsidR="000C6DBB">
        <w:rPr>
          <w:rStyle w:val="Vresatsauce"/>
          <w:rFonts w:ascii="Times New Roman" w:eastAsia="Times New Roman" w:hAnsi="Times New Roman" w:cs="Times New Roman"/>
          <w:sz w:val="24"/>
          <w:szCs w:val="24"/>
          <w:lang w:eastAsia="lv-LV"/>
        </w:rPr>
        <w:footnoteReference w:customMarkFollows="1" w:id="56"/>
        <w:t>55</w:t>
      </w:r>
      <w:r w:rsidRPr="006B796E">
        <w:rPr>
          <w:rFonts w:ascii="Times New Roman" w:eastAsia="Times New Roman" w:hAnsi="Times New Roman" w:cs="Times New Roman"/>
          <w:sz w:val="24"/>
          <w:szCs w:val="24"/>
          <w:lang w:eastAsia="lv-LV"/>
        </w:rPr>
        <w:t> Ir noteikti 11 minimālie standarti, sākot ar uzrakstītu politiku par bērnu drošības nodrošināšanu. Tajā ietilpst pašnovērtējuma rīks, kas ļauj katrai iestādei izvērtēt savas bērnu aizsardzības politikas atbilstību un tās virzību uz prasīto standartu izpildi.</w:t>
      </w:r>
    </w:p>
    <w:p w:rsidR="000C6DBB" w:rsidRPr="006B796E" w:rsidRDefault="000C6DBB" w:rsidP="006B796E">
      <w:pPr>
        <w:widowControl w:val="0"/>
        <w:spacing w:after="0" w:line="240" w:lineRule="auto"/>
        <w:jc w:val="both"/>
        <w:rPr>
          <w:rFonts w:ascii="Times New Roman" w:eastAsia="Times New Roman" w:hAnsi="Times New Roman" w:cs="Times New Roman"/>
          <w:sz w:val="24"/>
          <w:szCs w:val="20"/>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2013. gadā tika veikts vispārējs pētījums par atzītu praksi attiecībā uz seksuālā ekspluatācijā un cilvēku tirdzniecībā cietušo bērnu drošu izmitināšanu un alternatīvo aprūpi, kurā tika apkopoti vairāki detalizētākos pētījumos gūti secinājumi.</w:t>
      </w:r>
      <w:r w:rsidR="000C6DBB">
        <w:rPr>
          <w:rStyle w:val="Vresatsauce"/>
          <w:rFonts w:ascii="Times New Roman" w:eastAsia="Times New Roman" w:hAnsi="Times New Roman" w:cs="Times New Roman"/>
          <w:sz w:val="24"/>
          <w:szCs w:val="24"/>
          <w:lang w:eastAsia="lv-LV"/>
        </w:rPr>
        <w:footnoteReference w:customMarkFollows="1" w:id="57"/>
        <w:t>56</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“Jaunieši, kas iesaistīti seksuālā izmantošanā visā Eiropā, ir (..) norādījuši, ka ir bijis svarīgi, ka ir droša vieta, kur palikt, lai izrautos no savu pāridarītāju ietekmes un atsāktu veidot attiecības ar saviem vecākiem.”</w:t>
      </w:r>
      <w:r w:rsidR="000C6DBB">
        <w:rPr>
          <w:rStyle w:val="Vresatsauce"/>
          <w:rFonts w:ascii="Times New Roman" w:eastAsia="Times New Roman" w:hAnsi="Times New Roman" w:cs="Times New Roman"/>
          <w:sz w:val="24"/>
          <w:szCs w:val="24"/>
          <w:lang w:eastAsia="lv-LV"/>
        </w:rPr>
        <w:footnoteReference w:customMarkFollows="1" w:id="58"/>
        <w:t>57</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 xml:space="preserve">“Galvenais apsvērums ir saistīts ar to, kur atrodas ģimene. Ja bērni jebkādu iemeslu dēļ nevar </w:t>
      </w:r>
      <w:r w:rsidRPr="006B796E">
        <w:rPr>
          <w:rFonts w:ascii="Times New Roman" w:eastAsia="Times New Roman" w:hAnsi="Times New Roman" w:cs="Times New Roman"/>
          <w:sz w:val="24"/>
          <w:szCs w:val="24"/>
          <w:lang w:eastAsia="lv-LV"/>
        </w:rPr>
        <w:lastRenderedPageBreak/>
        <w:t>atgriezties mājās, viņiem ir tiesības būt savu ģimenes locekļu tuvumā, un tas joprojām var būt bērna interesēs. Šāda saskare ar vecākiem un ģimenes locekļiem jāveicina un jāmotivē.”</w:t>
      </w:r>
      <w:r w:rsidR="000C6DBB">
        <w:rPr>
          <w:rStyle w:val="Vresatsauce"/>
          <w:rFonts w:ascii="Times New Roman" w:eastAsia="Times New Roman" w:hAnsi="Times New Roman" w:cs="Times New Roman"/>
          <w:sz w:val="24"/>
          <w:szCs w:val="24"/>
          <w:lang w:eastAsia="lv-LV"/>
        </w:rPr>
        <w:footnoteReference w:customMarkFollows="1" w:id="59"/>
        <w:t>58</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“Lai arī grūti izmērīt, izpētiet, kuri punkti ir svarīgi jaunieša un viņa aprūpētāja attiecību nozīmīgumam (..). Uzticības pilnas, saskanīgas aprūpētāja un bērna savstarpējās attiecības, visticamāk, ir nozīmīgākais aizsardzības pasākums, ko var īstenot; šīs attiecības var būt ar aizbildni, sociālo darbinieku, aprūpētāju vai citu pieaugušo.”</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“Jāizstrādā, jāpārskata un jāatjaunina katra bērna individuālais drošības pasākumu plāns (..). Drošības un aizsardzības pasākumi regulāri jāpārskata, ņemot vērā konkrētajā brīdī pastāvošos riskus.”</w:t>
      </w: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“Ja bērni ir pieredzējuši pārmērīgu kontroli un ekspluatētāju varu, aprūpētājiem jāuzmanās, lai neatdarinātu šīs varas un kontroles struktūras; viņiem jānodrošina, ka bērniem ir dota izvēle un ka viņi ir iesaistīti lēmumu pieņemšanā, lai viņi varētu attīstīt neatkarību turpmākajā dzīvē. Ikvienam bērnam pilnībā jāizskaidro jebkādi piemērotie ierobežojumi, sniedzot skaidru pamatojumu un skaidrus lietošanas norādījumus, lai nodrošinātu, ka šie noteikumi ir atbilstīgi katram indivīdam un nepārkāpj citu tiesības.”</w:t>
      </w:r>
    </w:p>
    <w:p w:rsidR="000C6DBB" w:rsidRPr="006B796E" w:rsidRDefault="000C6DB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4.3. Atbilstīgu pakalpojumu un palīdzības pieejamība</w:t>
      </w:r>
    </w:p>
    <w:p w:rsidR="000C6DBB" w:rsidRDefault="000C6DB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Iepriekš 3. nodaļā aprakstītais vienas pieturas modelis ir viens no veidiem, kā cilvēku tirdzniecībā cietušajam bērnam nodrošināt piekļuvi visiem viņam nepieciešamajiem pakalpojumiem vienviet. Dažas EDSO dalībvalstis, kurās ir izveidoti izmitināšanas centri bērnu tirdzniecības iespējamajiem upuriem, nodrošina arī to, ka bērniem ir tieši pieejami attiecīgie speciālisti. Tas tiek darīts, nodrošinot šo speciālistu pieejamību bērnu izmitināšanas vietās. Piemēram, kā ziņojusi </w:t>
      </w:r>
      <w:r w:rsidRPr="006B796E">
        <w:rPr>
          <w:rFonts w:ascii="Times New Roman" w:eastAsia="Times New Roman" w:hAnsi="Times New Roman" w:cs="Times New Roman"/>
          <w:i/>
          <w:iCs/>
          <w:sz w:val="24"/>
          <w:szCs w:val="24"/>
          <w:lang w:eastAsia="lv-LV"/>
        </w:rPr>
        <w:t>GRETA</w:t>
      </w:r>
      <w:r w:rsidRPr="006B796E">
        <w:rPr>
          <w:rFonts w:ascii="Times New Roman" w:eastAsia="Times New Roman" w:hAnsi="Times New Roman" w:cs="Times New Roman"/>
          <w:sz w:val="24"/>
          <w:szCs w:val="24"/>
          <w:lang w:eastAsia="lv-LV"/>
        </w:rPr>
        <w:t>, Beļģijā 2002. gadā dibinātajā Esperanto centrā 2017. gadā ir vieta 15 cietušajiem bērniem. Tā arī norādījusi, ka šajā centrā strādā “21 pastāvīgais darbinieks, tostarp 13 izglītotāji, kriminologs, bērnu psihologs un psihomotorikas terapeits</w:t>
      </w:r>
      <w:r w:rsidR="000C6DBB">
        <w:rPr>
          <w:rStyle w:val="Vresatsauce"/>
          <w:rFonts w:ascii="Times New Roman" w:eastAsia="Times New Roman" w:hAnsi="Times New Roman" w:cs="Times New Roman"/>
          <w:sz w:val="24"/>
          <w:szCs w:val="24"/>
          <w:lang w:eastAsia="lv-LV"/>
        </w:rPr>
        <w:footnoteReference w:customMarkFollows="1" w:id="60"/>
        <w:t>59</w:t>
      </w:r>
      <w:r w:rsidRPr="006B796E">
        <w:rPr>
          <w:rFonts w:ascii="Times New Roman" w:eastAsia="Times New Roman" w:hAnsi="Times New Roman" w:cs="Times New Roman"/>
          <w:sz w:val="24"/>
          <w:szCs w:val="24"/>
          <w:lang w:eastAsia="lv-LV"/>
        </w:rPr>
        <w:t>, kā arī pieci praktikanti. Patvēruma vieta sastāv no telpām, kas pielāgotas bērnu vecumam, vajadzībām un autonomijas pakāpei, proti, vecākiem un autonomākiem bērniem telpa ir aprīkota ar virtuvīti, savukārt mazākiem bērniem ir guļamistabas un kopīga virtuve ar ēdamtelpu. Šajā patvēruma vietā ir arī mācību klase un sporta zāle.”</w:t>
      </w:r>
      <w:r w:rsidR="000C6DBB">
        <w:rPr>
          <w:rStyle w:val="Vresatsauce"/>
          <w:rFonts w:ascii="Times New Roman" w:eastAsia="Times New Roman" w:hAnsi="Times New Roman" w:cs="Times New Roman"/>
          <w:sz w:val="24"/>
          <w:szCs w:val="24"/>
          <w:lang w:eastAsia="lv-LV"/>
        </w:rPr>
        <w:footnoteReference w:customMarkFollows="1" w:id="61"/>
        <w:t>60</w:t>
      </w:r>
      <w:r w:rsidRPr="006B796E">
        <w:rPr>
          <w:rFonts w:ascii="Times New Roman" w:eastAsia="Times New Roman" w:hAnsi="Times New Roman" w:cs="Times New Roman"/>
          <w:sz w:val="24"/>
          <w:szCs w:val="24"/>
          <w:lang w:eastAsia="lv-LV"/>
        </w:rPr>
        <w:t> Bērni, kas bija ievietoti šajā centrā, bija norādījuši, ka drīkstējuši palikt tik ilgi, cik nepieciešams viņu atlabšanai, lai arī par dažiem gadiem bija minēts, ka budžeta ierobežojumu dēļ centrs bijis spiests atteikties no bērniem, kuriem bija nepieciešama aprūpe.</w:t>
      </w:r>
    </w:p>
    <w:p w:rsidR="000C6DBB" w:rsidRPr="006B796E" w:rsidRDefault="000C6DB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4.3.1. Imigrācijas statusa sakārtošana bērniem, kas nav attiecīgās valsts valstspiederīgie</w:t>
      </w: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Pamatprincipi</w:t>
      </w:r>
    </w:p>
    <w:p w:rsidR="000C6DBB" w:rsidRDefault="000C6DB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EDSO 2003. gada Rīcības plānā bija norādīts “vajadzības gadījumā nodrošināt dokumentu sniegšanu, kas ir pirmais solis, lai noskaidrotu [cilvēku tirdzniecībā] cietušas personas identitāti un statusu galamērķa valstīs, tādējādi nodrošinot iespēju izstrādāt palīdzības iespējas attiecīgajās lietās, piemēram, repatriāciju, vēlams, brīvprātīgu, pagaidu vai pastāvīgās uzturēšanās atļauju un/vai nodarbinātības legalizēšanu.”</w:t>
      </w:r>
      <w:r w:rsidR="000C6DBB">
        <w:rPr>
          <w:rStyle w:val="Vresatsauce"/>
          <w:rFonts w:ascii="Times New Roman" w:eastAsia="Times New Roman" w:hAnsi="Times New Roman" w:cs="Times New Roman"/>
          <w:sz w:val="24"/>
          <w:szCs w:val="24"/>
          <w:lang w:eastAsia="lv-LV"/>
        </w:rPr>
        <w:footnoteReference w:customMarkFollows="1" w:id="62"/>
        <w:t>61</w:t>
      </w:r>
    </w:p>
    <w:p w:rsidR="000C6DBB" w:rsidRDefault="000C6DB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Saskaņā ar cilvēktiesību pamatprincipiem, kas jāievēro, atpakaļnosūtot cilvēku tirdzniecības upurus, “galamērķa valstīm jānodrošina, ka cietušajiem bērniem, kas nav šīs valsts valstspiederīgie vai pastāvīgie iedzīvotāji, tiek automātiski piešķirta pagaidu uzturēšanās atļauja, kas dod viņiem tiesības likumīgi atrasties valstī līdz brīdim, kad ir veikts bērna interešu novērtējums un rasts pastāvīgs risinājums”.</w:t>
      </w:r>
      <w:r w:rsidR="00DC7F10">
        <w:rPr>
          <w:rStyle w:val="Vresatsauce"/>
          <w:rFonts w:ascii="Times New Roman" w:eastAsia="Times New Roman" w:hAnsi="Times New Roman" w:cs="Times New Roman"/>
          <w:sz w:val="24"/>
          <w:szCs w:val="24"/>
          <w:lang w:eastAsia="lv-LV"/>
        </w:rPr>
        <w:footnoteReference w:customMarkFollows="1" w:id="63"/>
        <w:t>62</w:t>
      </w:r>
      <w:r w:rsidRPr="006B796E">
        <w:rPr>
          <w:rFonts w:ascii="Times New Roman" w:eastAsia="Times New Roman" w:hAnsi="Times New Roman" w:cs="Times New Roman"/>
          <w:sz w:val="24"/>
          <w:szCs w:val="24"/>
          <w:lang w:eastAsia="lv-LV"/>
        </w:rPr>
        <w:t> Varšavas konvencijā noteikts (14. panta 1. punktā), ka “ikviena Puse upuriem izsniedz atjaunojamu uzturēšanās atļauju vienā vai otrā, vai arī abās šādās situācijās:</w:t>
      </w:r>
    </w:p>
    <w:p w:rsidR="00471650" w:rsidRPr="006B796E" w:rsidRDefault="00471650"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 kompetentā iestāde uzskata, ka viņu uzturēšanās valstī ir nepieciešama viņu personīgā stāvokļa dēļ;</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b) kompetentā iestāde uzskata, ka viņu uzturēšanās valstī ir nepieciešama sadarbībai ar kompetentajām iestādēm izmeklēšanā un krimināllietas iztiesāšanā.”</w:t>
      </w:r>
    </w:p>
    <w:p w:rsidR="00DC7F10" w:rsidRDefault="00DC7F10"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Īpaši attiecībā uz bērniem tajā ir noteikts (14. panta 2. punkts), ka “uzturēšanās atļauju upuriem – bērniem, ja tā likumīgi nepieciešama, izsniedz bērna vislabākajās interesēs un, ja nepieciešams, atjauno saskaņā ar tiem pašiem nosacījumiem”.</w:t>
      </w:r>
    </w:p>
    <w:p w:rsidR="00DC7F10" w:rsidRDefault="00DC7F1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Lēmumus par imigrācijas statusu vai uzturēšanās atļaujām ir skaidri nepieciešams pieņemt divreiz – pirmo reizi, tiklīdz ir identificēts bērns, kura pastāvīgas uzturēšanās statuss ir nesakārtots un par kuru ir aizdomas, ka viņš ir cilvēku tirdzniecības upuris; otro reizi, tiklīdz iestādes ir secinājušas, ka konkrētais bērns patiešām ir cilvēku tirdzniecības upuris (neatkarīgi no tā, vai bērns piedalās vai nepiedalās cilvēku tirgotāja apsūdzībā), un bērna interešu novērtējumā secināts, ka bērnam jāpaliek valstī, kas nav viņa izcelsmes valsts.</w:t>
      </w:r>
    </w:p>
    <w:p w:rsidR="00DC7F10" w:rsidRPr="006B796E" w:rsidRDefault="00DC7F10"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Praktiski piemēri</w:t>
      </w:r>
    </w:p>
    <w:p w:rsidR="00DC7F10" w:rsidRDefault="00DC7F1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Līdzīgi kā pieaugušajiem cilvēku tirdzniecības upuriem, kas identificēti Zviedrijā, arī iespējamajiem cietušajiem bērniem, kuriem nav tiesību uzturēties Zviedrijā, ir tiesības saņemt 30 dienu pagaidu uzturēšanās atļauju atlabšanas un nogaidīšanas nolūkos.</w:t>
      </w:r>
      <w:r w:rsidR="00DC7F10">
        <w:rPr>
          <w:rStyle w:val="Vresatsauce"/>
          <w:rFonts w:ascii="Times New Roman" w:eastAsia="Times New Roman" w:hAnsi="Times New Roman" w:cs="Times New Roman"/>
          <w:sz w:val="24"/>
          <w:szCs w:val="24"/>
          <w:lang w:eastAsia="lv-LV"/>
        </w:rPr>
        <w:footnoteReference w:customMarkFollows="1" w:id="64"/>
        <w:t>63</w:t>
      </w:r>
      <w:r w:rsidRPr="006B796E">
        <w:rPr>
          <w:rFonts w:ascii="Times New Roman" w:eastAsia="Times New Roman" w:hAnsi="Times New Roman" w:cs="Times New Roman"/>
          <w:sz w:val="24"/>
          <w:szCs w:val="24"/>
          <w:lang w:eastAsia="lv-LV"/>
        </w:rPr>
        <w:t> Kad šis laiks ir pagājis, saskaņā ar ziņojumiem gan pieaugušo, gan cietušo bērnu uzturēšanās ir atkarīga no viņu sadarbības ar tiesībsargājošo iestāžu amatpersonām, kuras izmeklē viņu lietu saistībā ar cilvēku tirdzniecību. Kā ziņots, 2015. gadā Zviedrijā ir bijuši 66 bērnu iespējamās tirdzniecības gadījumi. 2016. gadā attiecīgais skaitlis bijis 91.</w:t>
      </w:r>
      <w:r w:rsidR="00DC7F10">
        <w:rPr>
          <w:rStyle w:val="Vresatsauce"/>
          <w:rFonts w:ascii="Times New Roman" w:eastAsia="Times New Roman" w:hAnsi="Times New Roman" w:cs="Times New Roman"/>
          <w:sz w:val="24"/>
          <w:szCs w:val="24"/>
          <w:lang w:eastAsia="lv-LV"/>
        </w:rPr>
        <w:footnoteReference w:customMarkFollows="1" w:id="65"/>
        <w:t>64</w:t>
      </w:r>
      <w:r w:rsidRPr="006B796E">
        <w:rPr>
          <w:rFonts w:ascii="Times New Roman" w:eastAsia="Times New Roman" w:hAnsi="Times New Roman" w:cs="Times New Roman"/>
          <w:sz w:val="24"/>
          <w:szCs w:val="24"/>
          <w:lang w:eastAsia="lv-LV"/>
        </w:rPr>
        <w:t xml:space="preserve"> 2017. gadā Zviedrijas iestādes teikušas </w:t>
      </w:r>
      <w:r w:rsidRPr="006B796E">
        <w:rPr>
          <w:rFonts w:ascii="Times New Roman" w:eastAsia="Times New Roman" w:hAnsi="Times New Roman" w:cs="Times New Roman"/>
          <w:i/>
          <w:iCs/>
          <w:sz w:val="24"/>
          <w:szCs w:val="24"/>
          <w:lang w:eastAsia="lv-LV"/>
        </w:rPr>
        <w:t>GRETA</w:t>
      </w:r>
      <w:r w:rsidRPr="006B796E">
        <w:rPr>
          <w:rFonts w:ascii="Times New Roman" w:eastAsia="Times New Roman" w:hAnsi="Times New Roman" w:cs="Times New Roman"/>
          <w:sz w:val="24"/>
          <w:szCs w:val="24"/>
          <w:lang w:eastAsia="lv-LV"/>
        </w:rPr>
        <w:t>, ka 2015. gadā pagaidu uzturēšanās atļaujas tika piešķirtas tikai diviem bērniem lietās, kurās par kriminālizmeklēšanu atbildīgā amatpersona bija norādījusi cilvēku tirdzniecību kā prasības pieteikuma cēloni. 2016. gadā, pamatojoties uz šiem apstākļiem, pagaidu uzturēšanās atļaujas tika piešķirtas trim bērniem.</w:t>
      </w:r>
      <w:r w:rsidR="00DC7F10">
        <w:rPr>
          <w:rStyle w:val="Vresatsauce"/>
          <w:rFonts w:ascii="Times New Roman" w:eastAsia="Times New Roman" w:hAnsi="Times New Roman" w:cs="Times New Roman"/>
          <w:sz w:val="24"/>
          <w:szCs w:val="24"/>
          <w:lang w:eastAsia="lv-LV"/>
        </w:rPr>
        <w:footnoteReference w:customMarkFollows="1" w:id="66"/>
        <w:t>65</w:t>
      </w:r>
      <w:r w:rsidRPr="006B796E">
        <w:rPr>
          <w:rFonts w:ascii="Times New Roman" w:eastAsia="Times New Roman" w:hAnsi="Times New Roman" w:cs="Times New Roman"/>
          <w:sz w:val="24"/>
          <w:szCs w:val="24"/>
          <w:lang w:eastAsia="lv-LV"/>
        </w:rPr>
        <w:t xml:space="preserve"> Viens no iespējamiem skaidrojumiem, kāpēc ir tik lielas atšķirības skaitļos, varētu būt tas, ka vairums bērnu, kas identificēti kā cilvēku tirdzniecības </w:t>
      </w:r>
      <w:r w:rsidRPr="006B796E">
        <w:rPr>
          <w:rFonts w:ascii="Times New Roman" w:eastAsia="Times New Roman" w:hAnsi="Times New Roman" w:cs="Times New Roman"/>
          <w:sz w:val="24"/>
          <w:szCs w:val="24"/>
          <w:lang w:eastAsia="lv-LV"/>
        </w:rPr>
        <w:lastRenderedPageBreak/>
        <w:t>upuri, ir nākuši no citām ES dalībvalstīm un varējuši legāli palikt Zviedrijā bez papildu atļaujas.</w:t>
      </w:r>
    </w:p>
    <w:p w:rsidR="00DC7F10" w:rsidRPr="006B796E" w:rsidRDefault="00DC7F10"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4.3.2. Pagaidu likumīgo aizbildņu iecelšana</w:t>
      </w:r>
    </w:p>
    <w:p w:rsidR="00DC7F10" w:rsidRDefault="00DC7F10"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Pamatprincipi</w:t>
      </w:r>
    </w:p>
    <w:p w:rsidR="00DC7F10" w:rsidRDefault="00DC7F10"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Eiropas Padomes Konvencijā par cīņu pret cilvēku tirdzniecību ir prasīts, ka, tiklīdz ir konstatēts, ka nepavadīts bērns ir cilvēku tirdzniecības iespējamais upuris, ir jāieceļ likumīgais aizbildnis, organizācija vai iestāde, kas rīkojas šī bērna vislabākajās interesēs.</w:t>
      </w:r>
      <w:r w:rsidR="00DC7F10">
        <w:rPr>
          <w:rStyle w:val="Vresatsauce"/>
          <w:rFonts w:ascii="Times New Roman" w:eastAsia="Times New Roman" w:hAnsi="Times New Roman" w:cs="Times New Roman"/>
          <w:sz w:val="24"/>
          <w:szCs w:val="24"/>
          <w:lang w:eastAsia="lv-LV"/>
        </w:rPr>
        <w:footnoteReference w:customMarkFollows="1" w:id="67"/>
        <w:t>66</w:t>
      </w:r>
      <w:r w:rsidRPr="006B796E">
        <w:rPr>
          <w:rFonts w:ascii="Times New Roman" w:eastAsia="Times New Roman" w:hAnsi="Times New Roman" w:cs="Times New Roman"/>
          <w:sz w:val="24"/>
          <w:szCs w:val="24"/>
          <w:lang w:eastAsia="lv-LV"/>
        </w:rPr>
        <w:t xml:space="preserve"> 2006. gadā </w:t>
      </w:r>
      <w:r w:rsidRPr="006B796E">
        <w:rPr>
          <w:rFonts w:ascii="Times New Roman" w:eastAsia="Times New Roman" w:hAnsi="Times New Roman" w:cs="Times New Roman"/>
          <w:i/>
          <w:iCs/>
          <w:sz w:val="24"/>
          <w:szCs w:val="24"/>
          <w:lang w:eastAsia="lv-LV"/>
        </w:rPr>
        <w:t>UNICEF</w:t>
      </w:r>
      <w:r w:rsidRPr="006B796E">
        <w:rPr>
          <w:rFonts w:ascii="Times New Roman" w:eastAsia="Times New Roman" w:hAnsi="Times New Roman" w:cs="Times New Roman"/>
          <w:sz w:val="24"/>
          <w:szCs w:val="24"/>
          <w:lang w:eastAsia="lv-LV"/>
        </w:rPr>
        <w:t xml:space="preserve"> izdeva pārbaudes lapu aizbildņiem – lomas un pienākumi, kas ir vadlīniju daļa par to, kā aizsargāt bērnus, kas ir cilvēku tirdzniecības upuri.</w:t>
      </w:r>
      <w:r w:rsidR="00DC7F10">
        <w:rPr>
          <w:rStyle w:val="Vresatsauce"/>
          <w:rFonts w:ascii="Times New Roman" w:eastAsia="Times New Roman" w:hAnsi="Times New Roman" w:cs="Times New Roman"/>
          <w:sz w:val="24"/>
          <w:szCs w:val="24"/>
          <w:lang w:eastAsia="lv-LV"/>
        </w:rPr>
        <w:footnoteReference w:customMarkFollows="1" w:id="68"/>
        <w:t>67</w:t>
      </w:r>
      <w:r w:rsidRPr="006B796E">
        <w:rPr>
          <w:rFonts w:ascii="Times New Roman" w:eastAsia="Times New Roman" w:hAnsi="Times New Roman" w:cs="Times New Roman"/>
          <w:sz w:val="24"/>
          <w:szCs w:val="24"/>
          <w:lang w:eastAsia="lv-LV"/>
        </w:rPr>
        <w:t> Arī ES Pamattiesību aģentūra (</w:t>
      </w:r>
      <w:r w:rsidRPr="006B796E">
        <w:rPr>
          <w:rFonts w:ascii="Times New Roman" w:eastAsia="Times New Roman" w:hAnsi="Times New Roman" w:cs="Times New Roman"/>
          <w:i/>
          <w:iCs/>
          <w:sz w:val="24"/>
          <w:szCs w:val="24"/>
          <w:lang w:eastAsia="lv-LV"/>
        </w:rPr>
        <w:t>FRA</w:t>
      </w:r>
      <w:r w:rsidRPr="006B796E">
        <w:rPr>
          <w:rFonts w:ascii="Times New Roman" w:eastAsia="Times New Roman" w:hAnsi="Times New Roman" w:cs="Times New Roman"/>
          <w:sz w:val="24"/>
          <w:szCs w:val="24"/>
          <w:lang w:eastAsia="lv-LV"/>
        </w:rPr>
        <w:t>) nesen ir izdevusi rokasgrāmatu par to bērnu aizbildniecību, kas ir cilvēku tirdzniecības upuri.</w:t>
      </w:r>
      <w:r w:rsidR="000C167A">
        <w:rPr>
          <w:rStyle w:val="Vresatsauce"/>
          <w:rFonts w:ascii="Times New Roman" w:eastAsia="Times New Roman" w:hAnsi="Times New Roman" w:cs="Times New Roman"/>
          <w:sz w:val="24"/>
          <w:szCs w:val="24"/>
          <w:lang w:eastAsia="lv-LV"/>
        </w:rPr>
        <w:footnoteReference w:customMarkFollows="1" w:id="69"/>
        <w:t>68</w:t>
      </w:r>
    </w:p>
    <w:p w:rsidR="00DC7F10" w:rsidRDefault="00DC7F10" w:rsidP="006B796E">
      <w:pPr>
        <w:widowControl w:val="0"/>
        <w:spacing w:after="0" w:line="240" w:lineRule="auto"/>
        <w:jc w:val="both"/>
        <w:rPr>
          <w:rFonts w:ascii="Times New Roman" w:eastAsia="Times New Roman" w:hAnsi="Times New Roman" w:cs="Times New Roman"/>
          <w:sz w:val="24"/>
          <w:szCs w:val="20"/>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Lai arī princips, ka nepavadītiem bērniem jāieceļ pagaidu likumīgais aizbildnis, ir plaši atzīts, tas, kā aizbildniecība tiek organizēta daudzās valstīs, šķiet, grauj šo mērķi – sociālie darbinieki vai administratīvās amatpersonas (piemēram, pašvaldības mēri) tiek iecelti par nomināliem aizbildņiem vairākiem desmitiem bērnu vienlaikus un tādējādi šādā situācijā nespēj izveidot nekāda veida uzticības attiecības ar savā atbildībā esošiem bērniem. Šādos apstākļos viņi nespēj pavadīt cilvēku tirdzniecībā cietušo bērnu visā lēmumu pieņemšanas procesā tā, lai patiesi aizstāvētu katra atsevišķa bērna intereses. Lai arī ir svarīgi, lai kāds spētu pildīt juridisko atbildību (“</w:t>
      </w:r>
      <w:r w:rsidRPr="006B796E">
        <w:rPr>
          <w:rFonts w:ascii="Times New Roman" w:eastAsia="Times New Roman" w:hAnsi="Times New Roman" w:cs="Times New Roman"/>
          <w:i/>
          <w:iCs/>
          <w:sz w:val="24"/>
          <w:szCs w:val="24"/>
          <w:lang w:eastAsia="lv-LV"/>
        </w:rPr>
        <w:t>in loco parentis</w:t>
      </w:r>
      <w:r w:rsidRPr="006B796E">
        <w:rPr>
          <w:rFonts w:ascii="Times New Roman" w:eastAsia="Times New Roman" w:hAnsi="Times New Roman" w:cs="Times New Roman"/>
          <w:sz w:val="24"/>
          <w:szCs w:val="24"/>
          <w:lang w:eastAsia="lv-LV"/>
        </w:rPr>
        <w:t>”) bērna vārdā, ir arī būtiski, lai būtu pieejams viens iecelts pieaugušais, kas pavadītu cilvēku tirdzniecībā cietušo bērnu cauri juridisko un citu procedūru labirintam, ar ko saskaras vairums nepavadīto un nošķirto bērnu. Tas viss ir vēl sarežģītāk, ja bērnam lūdz sniegt liecības kriminālizmeklēšanā vai apsūdzībā vai ja bērnam nepieciešama ārstēšana veselības problēmu dēļ.</w:t>
      </w:r>
    </w:p>
    <w:p w:rsidR="000C167A" w:rsidRPr="006B796E" w:rsidRDefault="000C167A"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Ziņojumos ir norādīts, ka dažkārt aizbildniecības pienākumus pilda pagaidu audžuģimenes. Šādos gadījumos ir svarīgi, lai audžuģimenes aprūpes lomu nevajadzētu jaukt ar juridiskās atbildības pildīšanas lomu vai ar bērna aizstāvja funkcijām.</w:t>
      </w:r>
    </w:p>
    <w:p w:rsidR="000C167A" w:rsidRPr="006B796E" w:rsidRDefault="000C167A"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Dažkārt cilvēku tirdzniecībā cietušā bērna faktiskais aizstāvis var būt advokāts, kas iecelts, lai rīkotos šā bērna vārdā saistībā ar imigrācijas procesu vai kriminālprocesu (tostarp kaitējuma atlīdzināšanas vai kompensācijas prasījumos). Tomēr pat šādos gadījumos ir jābūt ieceltam arī </w:t>
      </w:r>
      <w:r w:rsidRPr="006B796E">
        <w:rPr>
          <w:rFonts w:ascii="Times New Roman" w:eastAsia="Times New Roman" w:hAnsi="Times New Roman" w:cs="Times New Roman"/>
          <w:sz w:val="24"/>
          <w:szCs w:val="24"/>
          <w:lang w:eastAsia="lv-LV"/>
        </w:rPr>
        <w:lastRenderedPageBreak/>
        <w:t>neatkarīgam pieaugušajam, kura pienākums ir iepazīt bērnu un piedalīties visos bērnu ietekmējošos lēmumu pieņemšanas procesos. Tas ir tāpēc, lai stiprinātu bērna intereses un lai redzētu, ka bērna intereses patiešām ir primārais apsvērums, veicot visas viņu ietekmējošās darbības. Šādai personai ir nepieciešama apmācība, un tai ir jābūt pietiekami neatkarīgai no valsts iestādēm, lai vajadzības gadījumā varētu paust viedokli, kas ir pretējs valsts amatpersonu vai valsts politikas paustajam.</w:t>
      </w:r>
    </w:p>
    <w:p w:rsidR="000C167A" w:rsidRPr="006B796E" w:rsidRDefault="000C167A"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Praktiski piemēri</w:t>
      </w:r>
    </w:p>
    <w:p w:rsidR="000C167A" w:rsidRDefault="000C167A"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Sicīlijā, kur liela daļa nepavadītu vai nošķirtu bērnu, kas ierodas Itālijā, tiek ievietoti vai izmitināti tranzīta centros, NVO </w:t>
      </w:r>
      <w:r w:rsidRPr="006B796E">
        <w:rPr>
          <w:rFonts w:ascii="Times New Roman" w:eastAsia="Times New Roman" w:hAnsi="Times New Roman" w:cs="Times New Roman"/>
          <w:i/>
          <w:iCs/>
          <w:sz w:val="24"/>
          <w:szCs w:val="24"/>
          <w:lang w:eastAsia="lv-LV"/>
        </w:rPr>
        <w:t>AccoglieRete</w:t>
      </w:r>
      <w:r w:rsidRPr="006B796E">
        <w:rPr>
          <w:rFonts w:ascii="Times New Roman" w:eastAsia="Times New Roman" w:hAnsi="Times New Roman" w:cs="Times New Roman"/>
          <w:sz w:val="24"/>
          <w:szCs w:val="24"/>
          <w:lang w:eastAsia="lv-LV"/>
        </w:rPr>
        <w:t xml:space="preserve"> no 2013. gada ir centusies nodrošināt, ka pagaidu likumīgie aizbildņi ir bērnu patiesie aizstāvji. Pirmais solis bija izveidot to personu datubāzi, kas var rīkoties kā aizbildņi, un sniegt viņiem apmācību.</w:t>
      </w:r>
      <w:r w:rsidR="000C167A">
        <w:rPr>
          <w:rStyle w:val="Vresatsauce"/>
          <w:rFonts w:ascii="Times New Roman" w:eastAsia="Times New Roman" w:hAnsi="Times New Roman" w:cs="Times New Roman"/>
          <w:sz w:val="24"/>
          <w:szCs w:val="24"/>
          <w:lang w:eastAsia="lv-LV"/>
        </w:rPr>
        <w:footnoteReference w:customMarkFollows="1" w:id="70"/>
        <w:t>69</w:t>
      </w:r>
      <w:r w:rsidRPr="006B796E">
        <w:rPr>
          <w:rFonts w:ascii="Times New Roman" w:eastAsia="Times New Roman" w:hAnsi="Times New Roman" w:cs="Times New Roman"/>
          <w:sz w:val="24"/>
          <w:szCs w:val="24"/>
          <w:lang w:eastAsia="lv-LV"/>
        </w:rPr>
        <w:t> Šī NVO raksturo aizbildņa lomu šādi:</w:t>
      </w:r>
    </w:p>
    <w:p w:rsidR="000C167A" w:rsidRPr="006B796E" w:rsidRDefault="000C167A"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“Aizbildnis, pirmkārt un galvenokārt, ir brīvprātīgais, kas ir apliecinājis savu gribu kļūt par nepilngadīgās personas juridisko pārstāvi, kas būtībā veic sarunas ar oficiālajām iestādēm, lai rūpētos par bērna interesēm, ja bērns ir ieradies [Itālijā] bez vecākiem, ir bārenis vai ja nav neviena, kas īstenotu vecāku varu pār šo bērnu.”</w:t>
      </w:r>
      <w:r w:rsidR="000C167A">
        <w:rPr>
          <w:rStyle w:val="Vresatsauce"/>
          <w:rFonts w:ascii="Times New Roman" w:eastAsia="Times New Roman" w:hAnsi="Times New Roman" w:cs="Times New Roman"/>
          <w:sz w:val="24"/>
          <w:szCs w:val="24"/>
          <w:lang w:eastAsia="lv-LV"/>
        </w:rPr>
        <w:footnoteReference w:customMarkFollows="1" w:id="71"/>
        <w:t>70</w:t>
      </w:r>
    </w:p>
    <w:p w:rsidR="000C167A" w:rsidRPr="006B796E" w:rsidRDefault="000C167A"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2017. gadā Itālija pieņēma jaunu likumu par nepavadītu bērnu aizsardzību, kas vispārīgi tiek saukts par “</w:t>
      </w:r>
      <w:r w:rsidRPr="006B796E">
        <w:rPr>
          <w:rFonts w:ascii="Times New Roman" w:eastAsia="Times New Roman" w:hAnsi="Times New Roman" w:cs="Times New Roman"/>
          <w:i/>
          <w:iCs/>
          <w:sz w:val="24"/>
          <w:szCs w:val="24"/>
          <w:lang w:eastAsia="lv-LV"/>
        </w:rPr>
        <w:t>Zampa</w:t>
      </w:r>
      <w:r w:rsidRPr="006B796E">
        <w:rPr>
          <w:rFonts w:ascii="Times New Roman" w:eastAsia="Times New Roman" w:hAnsi="Times New Roman" w:cs="Times New Roman"/>
          <w:sz w:val="24"/>
          <w:szCs w:val="24"/>
          <w:lang w:eastAsia="lv-LV"/>
        </w:rPr>
        <w:t xml:space="preserve"> likumu”. Šis likums ir izstrādāts ar mērķi mainīt praksi, visā valstī pārejot uz </w:t>
      </w:r>
      <w:r w:rsidRPr="006B796E">
        <w:rPr>
          <w:rFonts w:ascii="Times New Roman" w:eastAsia="Times New Roman" w:hAnsi="Times New Roman" w:cs="Times New Roman"/>
          <w:i/>
          <w:iCs/>
          <w:sz w:val="24"/>
          <w:szCs w:val="24"/>
          <w:lang w:eastAsia="lv-LV"/>
        </w:rPr>
        <w:t>AccoglieRete</w:t>
      </w:r>
      <w:r w:rsidRPr="006B796E">
        <w:rPr>
          <w:rFonts w:ascii="Times New Roman" w:eastAsia="Times New Roman" w:hAnsi="Times New Roman" w:cs="Times New Roman"/>
          <w:sz w:val="24"/>
          <w:szCs w:val="24"/>
          <w:lang w:eastAsia="lv-LV"/>
        </w:rPr>
        <w:t xml:space="preserve"> aizstāvēto modeli. Tas nosaka, ka ikvienam, kas vēlas rīkoties kā bērna pagaidu likumīgais aizbildnis, vispirms ir jāapmeklē reģionālā ombuda bērnu un pusaudžu tiesību jautājumos organizētais apmācības kurss, pēc tam viņa personas dati tiks nodoti vietējai tiesai, kas atbild par bērnu tiesību jautājumiem un ieceļ pagaidu aizbildņus.</w:t>
      </w:r>
      <w:r w:rsidR="000C167A">
        <w:rPr>
          <w:rStyle w:val="Vresatsauce"/>
          <w:rFonts w:ascii="Times New Roman" w:eastAsia="Times New Roman" w:hAnsi="Times New Roman" w:cs="Times New Roman"/>
          <w:sz w:val="24"/>
          <w:szCs w:val="24"/>
          <w:lang w:eastAsia="lv-LV"/>
        </w:rPr>
        <w:footnoteReference w:customMarkFollows="1" w:id="72"/>
        <w:t>71</w:t>
      </w:r>
    </w:p>
    <w:p w:rsidR="000C167A" w:rsidRPr="006B796E" w:rsidRDefault="000C167A"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4.4. Bērnu uzklausīšana</w:t>
      </w:r>
    </w:p>
    <w:p w:rsidR="000C167A" w:rsidRDefault="000C167A"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Radīt iespējas bērniem, kas ir cilvēku tirdzniecības upuri, izteikt savas domas par to, ar kādiem apdraudējumiem viņi saskaras un kam būtu jānotiek ar viņiem nākotnē, nav grūti, tomēr vēlreiz jāatkārto, ka ir jāizstrādā atbilstīgas procedūras un jābūt pieejamiem praktiķiem, kam ir pienācīga kompetence šajā jomā.</w:t>
      </w:r>
    </w:p>
    <w:p w:rsidR="000C167A" w:rsidRPr="006B796E" w:rsidRDefault="000C167A"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Bērnu tiesību komiteja ir sniegusi veselu Vispārējo komentāru par “bērna tiesībām tikt uzklausītam” un viņu viedokļu ņemšanu vērā (Nr. 12</w:t>
      </w:r>
      <w:r w:rsidR="000C167A">
        <w:rPr>
          <w:rStyle w:val="Vresatsauce"/>
          <w:rFonts w:ascii="Times New Roman" w:eastAsia="Times New Roman" w:hAnsi="Times New Roman" w:cs="Times New Roman"/>
          <w:sz w:val="24"/>
          <w:szCs w:val="24"/>
          <w:lang w:eastAsia="lv-LV"/>
        </w:rPr>
        <w:footnoteReference w:customMarkFollows="1" w:id="73"/>
        <w:t>72</w:t>
      </w:r>
      <w:r w:rsidRPr="006B796E">
        <w:rPr>
          <w:rFonts w:ascii="Times New Roman" w:eastAsia="Times New Roman" w:hAnsi="Times New Roman" w:cs="Times New Roman"/>
          <w:sz w:val="24"/>
          <w:szCs w:val="24"/>
          <w:lang w:eastAsia="lv-LV"/>
        </w:rPr>
        <w:t xml:space="preserve">), tomēr aizvien vēl ir grūti identificēt labas prakses piemērus saistībā ar lēmumiem par bērniem, kas ir cilvēku tirdzniecības upuri, jo par šiem procesiem ir maz publiski pieejamu ziņu. Tomēr ir gūtas mācības par to, kas kavē bērniem pirmajiem izteikt savu viedokli, kā arī par to, kā amatpersonas var mudināt viņus runāt. Ziņojumā, kurā pārskatīta Francijā un Grieķijā cilvēku tirdzniecībā un ekspluatācijā </w:t>
      </w:r>
      <w:r w:rsidRPr="006B796E">
        <w:rPr>
          <w:rFonts w:ascii="Times New Roman" w:eastAsia="Times New Roman" w:hAnsi="Times New Roman" w:cs="Times New Roman"/>
          <w:sz w:val="24"/>
          <w:szCs w:val="24"/>
          <w:lang w:eastAsia="lv-LV"/>
        </w:rPr>
        <w:lastRenderedPageBreak/>
        <w:t>cietušo bērnu pieredze, ir atzīmēts, ka amatpersonas, kas iztaujā bērnus, šķiet, ir lietpratīgi radījušas bērniem iespējas runāt atklāti un ka attiecīgie bērni, šķiet, brīvi pauduši savus uzskatus. Izņēmums tam bija, kad bērns tika iztaujāts vecāku vai cita pieaugušā klātbūtnē; šķiet, ka šādā gadījumā bērni bijuši daudz atturīgāki attiecībā uz savu uzskatu paušanu.</w:t>
      </w:r>
      <w:r w:rsidR="002A0D5B">
        <w:rPr>
          <w:rStyle w:val="Vresatsauce"/>
          <w:rFonts w:ascii="Times New Roman" w:eastAsia="Times New Roman" w:hAnsi="Times New Roman" w:cs="Times New Roman"/>
          <w:sz w:val="24"/>
          <w:szCs w:val="24"/>
          <w:lang w:eastAsia="lv-LV"/>
        </w:rPr>
        <w:footnoteReference w:customMarkFollows="1" w:id="74"/>
        <w:t>73</w:t>
      </w:r>
      <w:r w:rsidRPr="006B796E">
        <w:rPr>
          <w:rFonts w:ascii="Times New Roman" w:eastAsia="Times New Roman" w:hAnsi="Times New Roman" w:cs="Times New Roman"/>
          <w:sz w:val="24"/>
          <w:szCs w:val="24"/>
          <w:lang w:eastAsia="lv-LV"/>
        </w:rPr>
        <w:t> Var secināt, ka ir svarīgi radīt tādu scenāriju, kurā bērns var runāt bez to personu klātbūtnes, kuras iebiedē bērnu vai pārmērīgi viņu ietekmē. Dažkārt šādas personas var būt tulks, kas ir bērna izcelsmes kopienas pārstāvis vai radinieks.</w:t>
      </w:r>
    </w:p>
    <w:p w:rsidR="000C167A" w:rsidRPr="006B796E" w:rsidRDefault="000C167A"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4.5. Riska un drošības novērtējumi (tostarp sociālās lietas apstākļu izpētes)</w:t>
      </w:r>
    </w:p>
    <w:p w:rsidR="002A0D5B" w:rsidRDefault="002A0D5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Iestādei, kuras pienākums ir lemt par visaptverošu, drošu un ilgtspējīgu risinājumu bērnam, kas ir cilvēku tirdzniecības upuris, ir jāizvērtē šim bērnam pieejamo iespēju priekšrocības un trūkumi. Valstu pienākums ir izmeklēt izvērtējamo iespēju sekas. Bērnu tiesību komiteja ir norādījusi, ka uzmanības centrā ir “drošība, drošums un citi apstākļi”, kā arī “aprūpes pasākumu pieejamība”.</w:t>
      </w:r>
      <w:r w:rsidR="002A0D5B">
        <w:rPr>
          <w:rStyle w:val="Vresatsauce"/>
          <w:rFonts w:ascii="Times New Roman" w:eastAsia="Times New Roman" w:hAnsi="Times New Roman" w:cs="Times New Roman"/>
          <w:sz w:val="24"/>
          <w:szCs w:val="24"/>
          <w:lang w:eastAsia="lv-LV"/>
        </w:rPr>
        <w:footnoteReference w:customMarkFollows="1" w:id="75"/>
        <w:t>74</w:t>
      </w:r>
      <w:r w:rsidRPr="006B796E">
        <w:rPr>
          <w:rFonts w:ascii="Times New Roman" w:eastAsia="Times New Roman" w:hAnsi="Times New Roman" w:cs="Times New Roman"/>
          <w:sz w:val="24"/>
          <w:szCs w:val="24"/>
          <w:lang w:eastAsia="lv-LV"/>
        </w:rPr>
        <w:t> Tas nozīmē, ka ir jāiegūst pietiekami daudz informācijas, lai novērtētu ar katru iespēju saistītos riskus, piemēram, riskus saistībā ar bērna nodošanu atpakaļ ģimenei, kas var būt vardarbīga vai pārāk nabadzīga, lai gādātu par bērnu, vai nosūtīšanu atpakaļ uz valsti, kur ir plaši izplatīta nedrošība vai cilvēku tirgotāji bieži paliek nesodīti. Ikdienā personām, kas atbild par to bērnu aprūpi, kas ir cilvēku tirdzniecības upuri, ir pienākums novērtēt arī tūlītējus riskus, kas skar bērnu katrā viņa atlabšanas procesa posmā.</w:t>
      </w:r>
    </w:p>
    <w:p w:rsidR="002A0D5B" w:rsidRPr="006B796E" w:rsidRDefault="002A0D5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Tās valsts iestādēm, kurā ir identificēts cilvēku tirdzniecībā cietušais bērns bez pavadoņa, ir jāiegūst ziņas par apstākļiem bērna mājās, ja tiek apsvērta bērna repatriācijas un/vai ģimenes atkalapvienošanas iespēja. Ja abas attiecīgās valstis atrodas dažādās pasaules malās un šajās valstīs lieto pavisam atšķirīgas valodas un procedūras (piemēram, Apvienotā Karaliste un Vjetnama vai Itālija un Nigērija), pat šādu ziņu pieprasīšana varētu būt problemātiska. Teorētiski valstis, kas ietilpst vienā politiskā struktūrā, piemēram, ES vai NVS, atrodas labākā stāvoklī, lai, no vienas puses, pieprasītu šādu sociālo informāciju un, no otras puses, to apstrādātu un paziņotu rezultātus. Tomēr tas, ka ir maz publicētu datu par transnacionālām sociālām lietas apstākļu izpētēm (ko pieprasa viena valsts un izpilda otra), liecina, ka šis process ir pārsteidzoši lēns un pārmērīgi birokrātisks.</w:t>
      </w:r>
      <w:r w:rsidR="002A0D5B">
        <w:rPr>
          <w:rStyle w:val="Vresatsauce"/>
          <w:rFonts w:ascii="Times New Roman" w:eastAsia="Times New Roman" w:hAnsi="Times New Roman" w:cs="Times New Roman"/>
          <w:sz w:val="24"/>
          <w:szCs w:val="24"/>
          <w:lang w:eastAsia="lv-LV"/>
        </w:rPr>
        <w:footnoteReference w:customMarkFollows="1" w:id="76"/>
        <w:t>75</w:t>
      </w:r>
    </w:p>
    <w:p w:rsidR="002A0D5B" w:rsidRPr="006B796E" w:rsidRDefault="002A0D5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4.5.1. Pamatprincipi</w:t>
      </w:r>
    </w:p>
    <w:p w:rsidR="002A0D5B" w:rsidRDefault="002A0D5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Eiropas Padomes Konvencijā par cīņu pret cilvēku tirdzniecību ir skaidri noteikts, ka “upurus – bērnus nesūta atpakaļ uz valsti, ja pēc riska un drošības novērtēšanas pastāv norāde, ka šāda atgriešanās nebūs bērna labākajās interesēs” (16. panta 7. punkts). Konvencijai pievienotajā Paskaidrojumā tiek sniegta atsauce uz BTK 3. pantu, norādot, ka “saskaņā ar šo noteikumu iestādēm pirms jebkāda veida repatriācijas pasākumu īstenošanas ir jāizvērtē riski, kas varētu rasties, bērnu nosūtot atpakaļ uz valsti, kā arī bērna drošība”.</w:t>
      </w:r>
      <w:r w:rsidR="002A0D5B">
        <w:rPr>
          <w:rStyle w:val="Vresatsauce"/>
          <w:rFonts w:ascii="Times New Roman" w:eastAsia="Times New Roman" w:hAnsi="Times New Roman" w:cs="Times New Roman"/>
          <w:sz w:val="24"/>
          <w:szCs w:val="24"/>
          <w:lang w:eastAsia="lv-LV"/>
        </w:rPr>
        <w:footnoteReference w:customMarkFollows="1" w:id="77"/>
        <w:t>76</w:t>
      </w:r>
      <w:r w:rsidRPr="006B796E">
        <w:rPr>
          <w:rFonts w:ascii="Times New Roman" w:eastAsia="Times New Roman" w:hAnsi="Times New Roman" w:cs="Times New Roman"/>
          <w:sz w:val="24"/>
          <w:szCs w:val="24"/>
          <w:lang w:eastAsia="lv-LV"/>
        </w:rPr>
        <w:t xml:space="preserve"> Pirms iespējamās atpakaļnosūtīšanas risku un drošības izvērtējums tādējādi ir jāveic obligāti, nevis izvēles </w:t>
      </w:r>
      <w:r w:rsidRPr="006B796E">
        <w:rPr>
          <w:rFonts w:ascii="Times New Roman" w:eastAsia="Times New Roman" w:hAnsi="Times New Roman" w:cs="Times New Roman"/>
          <w:sz w:val="24"/>
          <w:szCs w:val="24"/>
          <w:lang w:eastAsia="lv-LV"/>
        </w:rPr>
        <w:lastRenderedPageBreak/>
        <w:t>kārtībā.</w:t>
      </w:r>
    </w:p>
    <w:p w:rsidR="002A0D5B" w:rsidRPr="006B796E" w:rsidRDefault="002A0D5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Novērtējumus veic, lai palīdzētu pieņemt lēmumus par tā bērna nākotni, kas ir cilvēku tirdzniecības upuris. Piemēram, Reģionālās konferences migrācijas jautājumos (</w:t>
      </w:r>
      <w:r w:rsidRPr="006B796E">
        <w:rPr>
          <w:rFonts w:ascii="Times New Roman" w:eastAsia="Times New Roman" w:hAnsi="Times New Roman" w:cs="Times New Roman"/>
          <w:i/>
          <w:iCs/>
          <w:sz w:val="24"/>
          <w:szCs w:val="24"/>
          <w:lang w:eastAsia="lv-LV"/>
        </w:rPr>
        <w:t>RCM</w:t>
      </w:r>
      <w:r w:rsidRPr="006B796E">
        <w:rPr>
          <w:rFonts w:ascii="Times New Roman" w:eastAsia="Times New Roman" w:hAnsi="Times New Roman" w:cs="Times New Roman"/>
          <w:sz w:val="24"/>
          <w:szCs w:val="24"/>
          <w:lang w:eastAsia="lv-LV"/>
        </w:rPr>
        <w:t>)</w:t>
      </w:r>
      <w:r w:rsidR="002A0D5B">
        <w:rPr>
          <w:rStyle w:val="Vresatsauce"/>
          <w:rFonts w:ascii="Times New Roman" w:eastAsia="Times New Roman" w:hAnsi="Times New Roman" w:cs="Times New Roman"/>
          <w:sz w:val="24"/>
          <w:szCs w:val="24"/>
          <w:lang w:eastAsia="lv-LV"/>
        </w:rPr>
        <w:footnoteReference w:customMarkFollows="1" w:id="78"/>
        <w:t>77</w:t>
      </w:r>
      <w:r w:rsidRPr="006B796E">
        <w:rPr>
          <w:rFonts w:ascii="Times New Roman" w:eastAsia="Times New Roman" w:hAnsi="Times New Roman" w:cs="Times New Roman"/>
          <w:sz w:val="24"/>
          <w:szCs w:val="24"/>
          <w:lang w:eastAsia="lv-LV"/>
        </w:rPr>
        <w:t xml:space="preserve"> Reģionālajās pamatnostādnēs par īpašu aizsardzību bērnu, kas ir cilvēku tirdzniecības upuri, repatriācijas gadījumos ir noteikts, ka “gadījumos, kad valstij, kas nodrošina aizsardzību, ir dibināts pamats secināt, ka repatriācija rada nopietnu risku upurim vai viņa ģimenei”, jāpieņem lēmums nerepatriēt bērnu, kas ir cilvēku tirdzniecības upuris.</w:t>
      </w:r>
      <w:r w:rsidR="002A0D5B">
        <w:rPr>
          <w:rStyle w:val="Vresatsauce"/>
          <w:rFonts w:ascii="Times New Roman" w:eastAsia="Times New Roman" w:hAnsi="Times New Roman" w:cs="Times New Roman"/>
          <w:sz w:val="24"/>
          <w:szCs w:val="24"/>
          <w:lang w:eastAsia="lv-LV"/>
        </w:rPr>
        <w:footnoteReference w:customMarkFollows="1" w:id="79"/>
        <w:t>78</w:t>
      </w:r>
    </w:p>
    <w:p w:rsidR="002A0D5B" w:rsidRPr="006B796E" w:rsidRDefault="002A0D5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4.5.2. Saziņa ar attiecīgajām amatpersonām bērna izcelsmes vietā, lai iegūtu būtisku informāciju</w:t>
      </w:r>
    </w:p>
    <w:p w:rsidR="002A0D5B" w:rsidRDefault="002A0D5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Bērnu aizsardzības amatpersonas, kas ir sastapušās ar grūtībās nonākušu bērnu, parasti cenšas atrast, kur atrodas vecāki, un nodibināt sakarus ar viņiem. Tomēr pat elementāra saziņa kļūst problemātiska, ja attiecīgais bērns runā citā valodā vai atsakās sadarboties. Ja bērns nāk no citas valsts, rodas liels daudzums procesuālu jautājumu, proti, kam jāsazinās ar ko un kā bērnu aizsardzības amatpersona, kas darbojas vietējās pašvaldības līmenī, sazinās ar personu, kas darbojas valsts līmenī pašu valstī, nemaz nerunājot par to, kā sazināties ar personu, kas darbojas valsts līmenī citā valstī, vai ar vietējās pašvaldības līmeņa amatpersonu šajā citā valstī, kas varētu atrast ziņas par tur dzīvojošo bērna ģimeni?</w:t>
      </w:r>
    </w:p>
    <w:p w:rsidR="002A0D5B" w:rsidRPr="006B796E" w:rsidRDefault="002A0D5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Teorētiski šīs un saistītās problēmas var risināt, izstrādājot transnacionālo nosūtīšanas sistēmu un katrā iesaistītajā valstī ieceļot nacionālo vadošo iestādi. Šī nacionālā vadošā iestāde jāinformē par to, ar ko tieši sazināties visās citās iesaistītajās valstīs.</w:t>
      </w:r>
      <w:r w:rsidR="002A0D5B">
        <w:rPr>
          <w:rStyle w:val="Vresatsauce"/>
          <w:rFonts w:ascii="Times New Roman" w:eastAsia="Times New Roman" w:hAnsi="Times New Roman" w:cs="Times New Roman"/>
          <w:sz w:val="24"/>
          <w:szCs w:val="24"/>
          <w:lang w:eastAsia="lv-LV"/>
        </w:rPr>
        <w:footnoteReference w:customMarkFollows="1" w:id="80"/>
        <w:t>79</w:t>
      </w:r>
      <w:r w:rsidRPr="006B796E">
        <w:rPr>
          <w:rFonts w:ascii="Times New Roman" w:eastAsia="Times New Roman" w:hAnsi="Times New Roman" w:cs="Times New Roman"/>
          <w:sz w:val="24"/>
          <w:szCs w:val="24"/>
          <w:lang w:eastAsia="lv-LV"/>
        </w:rPr>
        <w:t xml:space="preserve"> Ziemeļamerikā un Centrālamerikā 2007. gadā </w:t>
      </w:r>
      <w:r w:rsidRPr="006B796E">
        <w:rPr>
          <w:rFonts w:ascii="Times New Roman" w:eastAsia="Times New Roman" w:hAnsi="Times New Roman" w:cs="Times New Roman"/>
          <w:i/>
          <w:iCs/>
          <w:sz w:val="24"/>
          <w:szCs w:val="24"/>
          <w:lang w:eastAsia="lv-LV"/>
        </w:rPr>
        <w:t>RCM</w:t>
      </w:r>
      <w:r w:rsidRPr="006B796E">
        <w:rPr>
          <w:rFonts w:ascii="Times New Roman" w:eastAsia="Times New Roman" w:hAnsi="Times New Roman" w:cs="Times New Roman"/>
          <w:sz w:val="24"/>
          <w:szCs w:val="24"/>
          <w:lang w:eastAsia="lv-LV"/>
        </w:rPr>
        <w:t xml:space="preserve"> dalībvalstis bija mēģinājušas standartizēt šīs procedūras. Tās vienojās, ka “valstīm jāizveido to bērnu aizsardzības jomā darbojošos specializēto institūciju un/vai organizāciju saraksts, kurām ir attiecīgā pieredze” (t. i., kontaktpunkti visās iesaistītajās valstīs), un savstarpēji jāapmainās ar šo sarakstu, un ka šo kontaktpunktu savstarpējā saziņa tiek nodrošināta ar tradicionālo diplomātisko vai konsulāro kanālu starpniecību.</w:t>
      </w:r>
      <w:r w:rsidR="002A0D5B">
        <w:rPr>
          <w:rStyle w:val="Vresatsauce"/>
          <w:rFonts w:ascii="Times New Roman" w:eastAsia="Times New Roman" w:hAnsi="Times New Roman" w:cs="Times New Roman"/>
          <w:sz w:val="24"/>
          <w:szCs w:val="24"/>
          <w:lang w:eastAsia="lv-LV"/>
        </w:rPr>
        <w:footnoteReference w:customMarkFollows="1" w:id="81"/>
        <w:t>80</w:t>
      </w:r>
    </w:p>
    <w:p w:rsidR="002A0D5B" w:rsidRPr="006B796E" w:rsidRDefault="002A0D5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Tomēr tiešu sakaru izveidošana starp divām vietējā līmeņa vai valsts līmeņa iestādēm joprojām ir problēma gan Eiropā, gan ārpus tās. Piemēram, 2012. gadā izdotajā pētījumā ir novērots, ka “transnacionālas sadarbības neesamība bieži vien ir sekas tam, ka valsts noteikumi un procedūras ir daudzveidīgi un trūkst izpratnes par tiem. Dalībvalstu iestāžu sava veida savstarpējā neticība vai neuzticēšanās arī veicina izstrādāto procedūru neefektivitāti.”</w:t>
      </w:r>
      <w:r w:rsidR="002A0D5B">
        <w:rPr>
          <w:rStyle w:val="Vresatsauce"/>
          <w:rFonts w:ascii="Times New Roman" w:eastAsia="Times New Roman" w:hAnsi="Times New Roman" w:cs="Times New Roman"/>
          <w:sz w:val="24"/>
          <w:szCs w:val="24"/>
          <w:lang w:eastAsia="lv-LV"/>
        </w:rPr>
        <w:footnoteReference w:customMarkFollows="1" w:id="82"/>
        <w:t>81</w:t>
      </w:r>
      <w:r w:rsidRPr="006B796E">
        <w:rPr>
          <w:rFonts w:ascii="Times New Roman" w:eastAsia="Times New Roman" w:hAnsi="Times New Roman" w:cs="Times New Roman"/>
          <w:sz w:val="24"/>
          <w:szCs w:val="24"/>
          <w:lang w:eastAsia="lv-LV"/>
        </w:rPr>
        <w:t xml:space="preserve"> Kad vietējā līmeņa amatpersonas bija satikušās un izveidojušas uzticības pilnas attiecības, saziņa esot noritējusi labāk, taču tādējādi var būt apieti valsts līmeņa kontaktpunkti, kuri dažās valstīs </w:t>
      </w:r>
      <w:r w:rsidRPr="006B796E">
        <w:rPr>
          <w:rFonts w:ascii="Times New Roman" w:eastAsia="Times New Roman" w:hAnsi="Times New Roman" w:cs="Times New Roman"/>
          <w:sz w:val="24"/>
          <w:szCs w:val="24"/>
          <w:lang w:eastAsia="lv-LV"/>
        </w:rPr>
        <w:lastRenderedPageBreak/>
        <w:t>iebilst pret vietēja līmeņa speciālistu tiešu saziņu.</w:t>
      </w:r>
    </w:p>
    <w:p w:rsidR="002A0D5B" w:rsidRDefault="002A0D5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Dažādu valstu attiecīgo bērnu aizsardzības un citu iestāžu mijiedarbība praksē, šķiet, ir radījusi neapmierinātību, tādējādi sociālās lietas apstākļu izpētes pabeigšana aizņem nepieļaujami daudz laika, netiek izveidotas uzticības saites (starp divu valstu attiecīgajām iestādēm), kā rezultātā bērni, kas jau ir cietuši, atrazdamies cilvēku tirgotāju varā, cieš vēl vairāk.</w:t>
      </w:r>
    </w:p>
    <w:p w:rsidR="002A0D5B" w:rsidRPr="006B796E" w:rsidRDefault="002A0D5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Praktisks piemērs. Dažādu valstu amatpersonu savstarpējās saziņas uzlabošana</w:t>
      </w:r>
    </w:p>
    <w:p w:rsidR="002A0D5B" w:rsidRDefault="002A0D5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Francijas un Rumānijas amatpersonas kopš 2002. gada ir regulāri sazinājušās saistībā ar Rumānijas bērniem Francijā.</w:t>
      </w:r>
      <w:r w:rsidR="002A0D5B">
        <w:rPr>
          <w:rStyle w:val="Vresatsauce"/>
          <w:rFonts w:ascii="Times New Roman" w:eastAsia="Times New Roman" w:hAnsi="Times New Roman" w:cs="Times New Roman"/>
          <w:sz w:val="24"/>
          <w:szCs w:val="24"/>
          <w:lang w:eastAsia="lv-LV"/>
        </w:rPr>
        <w:footnoteReference w:customMarkFollows="1" w:id="83"/>
        <w:t>82</w:t>
      </w:r>
      <w:r w:rsidRPr="006B796E">
        <w:rPr>
          <w:rFonts w:ascii="Times New Roman" w:eastAsia="Times New Roman" w:hAnsi="Times New Roman" w:cs="Times New Roman"/>
          <w:sz w:val="24"/>
          <w:szCs w:val="24"/>
          <w:lang w:eastAsia="lv-LV"/>
        </w:rPr>
        <w:t xml:space="preserve"> Ikdienā saziņa un sociālās lietas apstākļu izpētes bija apgrūtinātas, ja Francijā identificētie bērni neatklāja savu patieso identitāti. Vairākas iniciatīvas palīdzēja uzlabot saziņu. No Francijas puses tika precizēts, kāda veida informācija sniedzama par Francijā identificētajiem Rumānijas bērniem, un uzlabota tās kvalitāte. Piemēram, vispārīgas ziņas un neprecīzi stereotipi tika aizstāti ar uzticamu un sīkāku informāciju, kas tika darīta pieejama attiecīgajām Francijas amatpersonām (piemēram, bērnu aizsardzības un tiesībsargājošo iestāžu amatpersonām) par precīzu atrašanās vietu un sociālajām grupām Rumānijā, par kurām zināms, ka tās ir saistītas ar bērnu tirdzniecību uz Franciju dažādu veidu ekspluatācijas nolūkos. Sociālajiem pētniekiem tika uzdots sagatavot detalizētu analīzi (fr. val. – </w:t>
      </w:r>
      <w:r w:rsidRPr="006B796E">
        <w:rPr>
          <w:rFonts w:ascii="Times New Roman" w:eastAsia="Times New Roman" w:hAnsi="Times New Roman" w:cs="Times New Roman"/>
          <w:i/>
          <w:iCs/>
          <w:sz w:val="24"/>
          <w:szCs w:val="24"/>
          <w:lang w:eastAsia="lv-LV"/>
        </w:rPr>
        <w:t>diagnoses</w:t>
      </w:r>
      <w:r w:rsidRPr="006B796E">
        <w:rPr>
          <w:rFonts w:ascii="Times New Roman" w:eastAsia="Times New Roman" w:hAnsi="Times New Roman" w:cs="Times New Roman"/>
          <w:sz w:val="24"/>
          <w:szCs w:val="24"/>
          <w:lang w:eastAsia="lv-LV"/>
        </w:rPr>
        <w:t>) par situāciju gan Bulgārijā, gan Rumānijā.</w:t>
      </w:r>
      <w:r w:rsidR="002A0D5B">
        <w:rPr>
          <w:rStyle w:val="Vresatsauce"/>
          <w:rFonts w:ascii="Times New Roman" w:eastAsia="Times New Roman" w:hAnsi="Times New Roman" w:cs="Times New Roman"/>
          <w:sz w:val="24"/>
          <w:szCs w:val="24"/>
          <w:lang w:eastAsia="lv-LV"/>
        </w:rPr>
        <w:footnoteReference w:customMarkFollows="1" w:id="84"/>
        <w:t>83</w:t>
      </w:r>
    </w:p>
    <w:p w:rsidR="002A0D5B" w:rsidRPr="006B796E" w:rsidRDefault="002A0D5B" w:rsidP="006B796E">
      <w:pPr>
        <w:widowControl w:val="0"/>
        <w:spacing w:after="0" w:line="240" w:lineRule="auto"/>
        <w:jc w:val="both"/>
        <w:rPr>
          <w:rFonts w:ascii="Times New Roman" w:eastAsia="Times New Roman" w:hAnsi="Times New Roman" w:cs="Times New Roman"/>
          <w:sz w:val="24"/>
          <w:szCs w:val="20"/>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No Rumānijas puses, kopš 2017. gada decembra esot uzlabojusies efektīva saziņa ar Francijas amatpersonām, jo saziņai kā kontaktpunkts ir iecelta viena konkrēta Rumānijas amatpersona. Acīmredzami palīdzējis ir tas, ka ieceltā amatpersona saprot tās valsts (vai valstu) valodu, ar kuru tai ir ciešākā sadarbība (šajā gadījumā – Francija). Tomēr ir pierādījies, ka sekmīgas saziņas galvenais faktors ir uzticības un uzticēšanās veidošana ilgtermiņā, gan izmeklējot transnacionālus noziedzīgos nodarījumus, gan nodrošinot upuru (pieaugušo un bērnu) aizsardzību. Pēdējā desmitgadē Francijas amatpersonām ir uzlikts konkrēts pienākums sadarboties cilvēku tirdzniecības jautājumos ar cilvēku tirdzniecības novēršanas iestādēm un organizācijām (valsts iestādēm un NVO) visā Dienvidaustrumeiropā, tādējādi iepazīstoties ar dažādās organizācijās iesaistītiem oficiālajiem kolēģiem. Turklāt Francijas vēstniecībās (Rumānijā un citviet) ir amatpersona, kas atbild par drošības jautājumiem (piemēram, pieprasījumi par noziegumu un nozieguma upuru aizsardzība). Tas ir palīdzējis veicināt labu saziņu ar speciālistiem katrā attiecīgajā valstī.</w:t>
      </w:r>
    </w:p>
    <w:p w:rsidR="002A0D5B" w:rsidRPr="006B796E" w:rsidRDefault="002A0D5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Visai reti pietiek tikai ar kontaktpunkta izveidi, lai tas darbotos kā saziņas kanāls. Francijas un Rumānijas pieredze liecina, ka, pieprasot informāciju, ne vienmēr tiek iegūtas ziņas, kas ir pietiekamas vai atbilstošas, lai pieņemtu lēmumus Francijā vai Rumānijā. Tāpēc no Francijas puses bija noderīgi, ka tika pārskatīta sniegtā informācija, lai redzētu, kas bijis </w:t>
      </w:r>
      <w:r w:rsidRPr="006B796E">
        <w:rPr>
          <w:rFonts w:ascii="Times New Roman" w:eastAsia="Times New Roman" w:hAnsi="Times New Roman" w:cs="Times New Roman"/>
          <w:sz w:val="24"/>
          <w:szCs w:val="24"/>
          <w:lang w:eastAsia="lv-LV"/>
        </w:rPr>
        <w:lastRenderedPageBreak/>
        <w:t>visnoderīgākais. Rumānijas pusē amatpersonām bijusi sajūta, ka tām netiek sniegtas pietiekami sīkas ziņas par cilvēku tirdzniecības gadījumiem un netiek sniegta informācija par konkrētiem bērniem, par kuriem tās ir lūgušas sniegt datus. Pēc tam notika Francijas un Rumānijas amatpersonu tikšanās, lai apmainītos ar pieredzi un vienotos, kā uzlabot turpmāko pieprasījumu apstrādi.</w:t>
      </w:r>
      <w:r w:rsidR="002A0D5B">
        <w:rPr>
          <w:rStyle w:val="Vresatsauce"/>
          <w:rFonts w:ascii="Times New Roman" w:eastAsia="Times New Roman" w:hAnsi="Times New Roman" w:cs="Times New Roman"/>
          <w:sz w:val="24"/>
          <w:szCs w:val="24"/>
          <w:lang w:eastAsia="lv-LV"/>
        </w:rPr>
        <w:footnoteReference w:customMarkFollows="1" w:id="85"/>
        <w:t>84</w:t>
      </w:r>
    </w:p>
    <w:p w:rsidR="002A0D5B" w:rsidRPr="006B796E" w:rsidRDefault="002A0D5B" w:rsidP="006B796E">
      <w:pPr>
        <w:widowControl w:val="0"/>
        <w:spacing w:after="0" w:line="240" w:lineRule="auto"/>
        <w:jc w:val="both"/>
        <w:rPr>
          <w:rFonts w:ascii="Times New Roman" w:eastAsia="Times New Roman" w:hAnsi="Times New Roman" w:cs="Times New Roman"/>
          <w:sz w:val="24"/>
          <w:szCs w:val="20"/>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Praktiski piemēri. Riska izvērtējums</w:t>
      </w:r>
    </w:p>
    <w:p w:rsidR="002A0D5B" w:rsidRDefault="002A0D5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Iepriekš minētajā 2012. gada pētījumā tika pārskatītas tādu divu ES valstu, no kurām tiek izvesti bērni, kas ir cilvēku tirdzniecības upuri, un tādu divu ES galamērķa valstu, kurās tie tiek ekspluatēti, divpusējas attiecības. Tika secināts:</w:t>
      </w:r>
    </w:p>
    <w:p w:rsidR="002A0D5B" w:rsidRPr="006B796E" w:rsidRDefault="002A0D5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“Visos gadījumos, izņemot vienu, ko bija analizējusi pētniecības grupa, sociālajā lietas apstākļu izpētē netika pienācīgi izvērtēti atkārtotas cilvēku tirdzniecības riski izcelsmes valsts vidē [izcēlums oriģināltekstā] (tostarp ģimenes locekļu iespējamās iesaistes pakāpe) attiecībā uz bērniem, kuri bijuši pakļauti prostitūcijai, vai bērniem, kuri bijuši iesaistīti noziedzīgā tīklā ubagošanai vai zādzību veikšanai.”</w:t>
      </w:r>
      <w:r w:rsidR="00D94164">
        <w:rPr>
          <w:rStyle w:val="Vresatsauce"/>
          <w:rFonts w:ascii="Times New Roman" w:eastAsia="Times New Roman" w:hAnsi="Times New Roman" w:cs="Times New Roman"/>
          <w:sz w:val="24"/>
          <w:szCs w:val="24"/>
          <w:lang w:eastAsia="lv-LV"/>
        </w:rPr>
        <w:footnoteReference w:customMarkFollows="1" w:id="86"/>
        <w:t>85</w:t>
      </w:r>
    </w:p>
    <w:p w:rsidR="002A0D5B" w:rsidRPr="006B796E" w:rsidRDefault="002A0D5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Dažās EDSO dalībvalstīs prasība izvērtēt riskus bija skaidri noteikta tiesību aktos vai noteikumos. Tā ir laba prakse, jo nozīmē, ka šādi izvērtējumi, visticamāk, tiek veikti. Piemēram, Zviedrijas 2016. gadā izdotajā Nacionālajā mehānismā cietušo nosūtīšanai ir noteikts, kā sociālajiem darbiniekiem ir jāizvērtē cilvēku tirdzniecības upura vispārējais stāvoklis, tostarp jāveic vajadzību novērtējums un risku novērtējums:</w:t>
      </w:r>
    </w:p>
    <w:p w:rsidR="00D94164" w:rsidRPr="006B796E" w:rsidRDefault="00D94164"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“Novērtējot riskus attiecībā uz bērnu, kas ir cilvēku tirdzniecības iespējamais upuris, ir jāietver konkrēti pasākumi un darbības, kas jāveic nekavējoties, lai garantētu, ka tas ir bērna interesēs. Sociālie dienesti novērtēs bērna stāvokli, priekšvēsturi un vajadzības un sadarbosies ar policiju, ja notiek policijas izmeklēšana, neatkarīgi no tā, vai bērns lūdz vai nelūdz patvērumu. Ja iesaistītais bērns nav patvēruma meklētājs, ir jāsazinās ar attiecīgo vēstniecību, kura sazināsies ar atbildīgo valsts iestādi bērna izcelsmes valstī. Atbildīgajai valsts iestādei izcelsmes valstī tiks nosūtīts pieprasījums, lai iegūtu informāciju par to, kas zināms par bērnu, veiktu sociālo izmeklēšanu, risku novērtējumu attiecībā uz situāciju cilvēku tirdzniecības jomā un sniegtu priekšlikumu par ilgtspējīgu turpmāko risinājumu bērnam. Attiecīgo valstu atbildīgo iestāžu cieša savstarpēja sadarbība ir priekšnoteikums tam, lai novērtētu, kas ir bērna interesēs, un spētu nodrošināt aizsardzību pret ekspluatāciju nākotnē.”</w:t>
      </w:r>
      <w:r w:rsidR="00D94164">
        <w:rPr>
          <w:rStyle w:val="Vresatsauce"/>
          <w:rFonts w:ascii="Times New Roman" w:eastAsia="Times New Roman" w:hAnsi="Times New Roman" w:cs="Times New Roman"/>
          <w:sz w:val="24"/>
          <w:szCs w:val="24"/>
          <w:lang w:eastAsia="lv-LV"/>
        </w:rPr>
        <w:footnoteReference w:customMarkFollows="1" w:id="87"/>
        <w:t>86</w:t>
      </w:r>
    </w:p>
    <w:p w:rsidR="00D94164" w:rsidRPr="006B796E" w:rsidRDefault="00D94164"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4.6. Bērnu aizsardzības pieeja bērnu tirdzniecības novēršanas ietvaros</w:t>
      </w:r>
    </w:p>
    <w:p w:rsidR="00D94164" w:rsidRDefault="00D94164"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Aizsardzība un bērnu tirdzniecības gadījumu novēršana var būt savstarpēji papildinoša un pastiprinoša, ja pieņem plašu bērnu aizsardzības pieeju. Tam ir bijuši vairāki piemēri attiecībā uz bērniem, kas pārvietoti no vienas valsts uz citu, lai iegūtu naudu ubagojot vai aptīrot kabatas (apzogot garāmgājējus vai citus uz ielām). Lai arī daži bērni ir savu vecāku pavadībā un var nebūt iesaistīti cilvēku tirdzniecības noziegumos, ir arī tādi gadījumi, kad bērnus ekspluatē personas, kas nav ģimenes locekļi (vai attiecībā uz meitenēm – agrīnos gados apprecējušās </w:t>
      </w:r>
      <w:r w:rsidRPr="006B796E">
        <w:rPr>
          <w:rFonts w:ascii="Times New Roman" w:eastAsia="Times New Roman" w:hAnsi="Times New Roman" w:cs="Times New Roman"/>
          <w:sz w:val="24"/>
          <w:szCs w:val="24"/>
          <w:lang w:eastAsia="lv-LV"/>
        </w:rPr>
        <w:lastRenderedPageBreak/>
        <w:t>meitenes, kuras ekspluatē vīrs vai vīra ģimenes locekļi).</w:t>
      </w:r>
    </w:p>
    <w:p w:rsidR="00D94164" w:rsidRPr="006B796E" w:rsidRDefault="00D94164"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Tomēr amatpersonu un NVO rīcība ir nepieciešama ne tikai gadījumos, kad ir pamats aizdomām, ka ubagojošais bērns ir cilvēku tirdzniecības upuris, proti, rīcībai, kad nepieciešama bērna aizsardzība, jābūt plašākai un ir jāvēršas pret jebkuru vardarbību, nolaidību vai ekspluatāciju, no kuras cieš šie bērni, tostarp pret bērnu izmantošanu “darbam” uz ielas skolas mācību laikā, pret bērnu uzturēšanos galēji lielā aukstumā vai karstumā, pret naidīgu reakciju no sabiedrības vai tiesībsargājošo iestāžu amatpersonu puses, kas, būdamas pārliecinātas, ka ubagošana ir nelikumīga, uzskata, ka ir tiesīgas sodīt ubagojošu bērnu.</w:t>
      </w:r>
    </w:p>
    <w:p w:rsidR="00D94164" w:rsidRPr="006B796E" w:rsidRDefault="00D94164"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Praktiski piemēri</w:t>
      </w:r>
    </w:p>
    <w:p w:rsidR="00D94164" w:rsidRDefault="00D94164"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Albānijas piemērs rāda novēršanas un aizsardzības savstarpējo papildināmību – vairākas iniciatīvas ir vērstas uz abiem šiem pasākumiem vienlaikus. Kāda konkrēta Albānijas bērnu grupa tika ekspluatēta, un netika veikti pienācīgi aizsardzības pasākumi – bērni tika izmantoti ubagošanai un naudas pelnīšanai citiem (dažkārt saviem vecākiem vai vecākajiem brāļiem un māsām, dažkārt savam ubagošanas rūpala organizētājam). 1990. gadu beigās un 2000. gadu sākumā jo īpaši Grieķijā bija izplatīta prakse, ka Albānijas bērni mazgā automašīnu vējstiklus, spēlē mūzikas instrumentus, pārdod preces uz ielas vai vienkārši ubago. Tomēr ievērojams skaits bērnu ubago naudu arī pašā Albānijā.</w:t>
      </w:r>
      <w:r w:rsidR="00D94164">
        <w:rPr>
          <w:rStyle w:val="Vresatsauce"/>
          <w:rFonts w:ascii="Times New Roman" w:eastAsia="Times New Roman" w:hAnsi="Times New Roman" w:cs="Times New Roman"/>
          <w:sz w:val="24"/>
          <w:szCs w:val="24"/>
          <w:lang w:eastAsia="lv-LV"/>
        </w:rPr>
        <w:footnoteReference w:customMarkFollows="1" w:id="88"/>
        <w:t>87</w:t>
      </w:r>
      <w:r w:rsidRPr="006B796E">
        <w:rPr>
          <w:rFonts w:ascii="Times New Roman" w:eastAsia="Times New Roman" w:hAnsi="Times New Roman" w:cs="Times New Roman"/>
          <w:sz w:val="24"/>
          <w:szCs w:val="24"/>
          <w:lang w:eastAsia="lv-LV"/>
        </w:rPr>
        <w:t> Pēdējos 15 gadus Albānijas organizācijas, kas sākotnēji raizējās par to, ka albāņu bērni tiek nelegāli izvesti no valsts, lai tiktu pārdoti ekspluatācijai prostitūcijā vai ubagošanai Itālijā, Grieķijā un citās Eiropas vietās, savu darbību pārorientēja un koncentrējās uz bērniem, kas dzīvo un strādā uz ielas pašā Albānijā. Tās saprata, ka gadījumi, kas klasificēti kā “cilvēku tirdzniecība”, kuros iesaistīti bērni, kas pelna naudu ar komerciāliem seksa pakalpojumiem vai ir spiesti ubagot un visu naudu vai tās daļu atdot sutenerim vai ubagošanas rūpala organizētājam, ir saistīti ar nepārtrauktu vardarbību un ekspluatāciju, kas vērsta pret ielu bērniem un citiem bērniem, kas nonākuši uz ielas</w:t>
      </w:r>
      <w:r w:rsidR="00D94164">
        <w:rPr>
          <w:rStyle w:val="Vresatsauce"/>
          <w:rFonts w:ascii="Times New Roman" w:eastAsia="Times New Roman" w:hAnsi="Times New Roman" w:cs="Times New Roman"/>
          <w:sz w:val="24"/>
          <w:szCs w:val="24"/>
          <w:lang w:eastAsia="lv-LV"/>
        </w:rPr>
        <w:footnoteReference w:customMarkFollows="1" w:id="89"/>
        <w:t>88</w:t>
      </w:r>
      <w:r w:rsidRPr="006B796E">
        <w:rPr>
          <w:rFonts w:ascii="Times New Roman" w:eastAsia="Times New Roman" w:hAnsi="Times New Roman" w:cs="Times New Roman"/>
          <w:sz w:val="24"/>
          <w:szCs w:val="24"/>
          <w:lang w:eastAsia="lv-LV"/>
        </w:rPr>
        <w:t xml:space="preserve"> (daudzos gadījumos tie ir Albānijas bērni, kas pieder minoritāšu grupām un kas ir pametuši skolu, neiegūstot pamatizglītību, vai kas vispār nekad nav apmeklējuši skolu).</w:t>
      </w:r>
    </w:p>
    <w:p w:rsidR="00D94164" w:rsidRDefault="00D94164" w:rsidP="006B796E">
      <w:pPr>
        <w:widowControl w:val="0"/>
        <w:spacing w:after="0" w:line="240" w:lineRule="auto"/>
        <w:jc w:val="both"/>
        <w:rPr>
          <w:rFonts w:ascii="Times New Roman" w:eastAsia="Times New Roman" w:hAnsi="Times New Roman" w:cs="Times New Roman"/>
          <w:sz w:val="24"/>
          <w:szCs w:val="20"/>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2014. gadā analizējot situāciju, tika atzīts, ka ir jādara vairāk, lai identificētu attiecīgos bērnus un nodrošinātu viņiem attiecīgo pakalpojumu pieejamību, neatkarīgi no tā, vai viņi joprojām atrodas Albānijā vai ir aizvesti uz ārvalstīm.</w:t>
      </w:r>
      <w:r w:rsidR="00D94164">
        <w:rPr>
          <w:rStyle w:val="Vresatsauce"/>
          <w:rFonts w:ascii="Times New Roman" w:eastAsia="Times New Roman" w:hAnsi="Times New Roman" w:cs="Times New Roman"/>
          <w:sz w:val="24"/>
          <w:szCs w:val="24"/>
          <w:lang w:eastAsia="lv-LV"/>
        </w:rPr>
        <w:footnoteReference w:customMarkFollows="1" w:id="90"/>
        <w:t>89</w:t>
      </w:r>
    </w:p>
    <w:p w:rsidR="00D94164" w:rsidRPr="006B796E" w:rsidRDefault="00D94164"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Albānija ir pieņēmusi standartizētas operatīvās procedūras, kurās ir noteikts, kā dažādām iestādēm rīkoties ar bērnu (vai pieaugušo), par kuru ir aizdomas, ka viņš ir cilvēku tirdzniecības upuris jebkur Albānijā, un kā nosūtīt viņu palīdzības un pakalpojumu saņemšanai.</w:t>
      </w:r>
      <w:r w:rsidR="00D94164">
        <w:rPr>
          <w:rStyle w:val="Vresatsauce"/>
          <w:rFonts w:ascii="Times New Roman" w:eastAsia="Times New Roman" w:hAnsi="Times New Roman" w:cs="Times New Roman"/>
          <w:sz w:val="24"/>
          <w:szCs w:val="24"/>
          <w:lang w:eastAsia="lv-LV"/>
        </w:rPr>
        <w:footnoteReference w:customMarkFollows="1" w:id="91"/>
        <w:t>90</w:t>
      </w:r>
      <w:r w:rsidRPr="006B796E">
        <w:rPr>
          <w:rFonts w:ascii="Times New Roman" w:eastAsia="Times New Roman" w:hAnsi="Times New Roman" w:cs="Times New Roman"/>
          <w:sz w:val="24"/>
          <w:szCs w:val="24"/>
          <w:lang w:eastAsia="lv-LV"/>
        </w:rPr>
        <w:t xml:space="preserve"> Lielākajā daļā gadījumu ziņots, ka bērni, kas ir cilvēku tirdzniecības upuri, ir nosūtīti palīdzības saņemšanai uz specializēto centru Eļbasani pilsētā, ko vada NVO </w:t>
      </w:r>
      <w:r w:rsidRPr="006B796E">
        <w:rPr>
          <w:rFonts w:ascii="Times New Roman" w:eastAsia="Times New Roman" w:hAnsi="Times New Roman" w:cs="Times New Roman"/>
          <w:i/>
          <w:iCs/>
          <w:sz w:val="24"/>
          <w:szCs w:val="24"/>
          <w:lang w:eastAsia="lv-LV"/>
        </w:rPr>
        <w:t>Tjetër Vizion</w:t>
      </w:r>
      <w:r w:rsidRPr="006B796E">
        <w:rPr>
          <w:rFonts w:ascii="Times New Roman" w:eastAsia="Times New Roman" w:hAnsi="Times New Roman" w:cs="Times New Roman"/>
          <w:sz w:val="24"/>
          <w:szCs w:val="24"/>
          <w:lang w:eastAsia="lv-LV"/>
        </w:rPr>
        <w:t xml:space="preserve">. Divu gadu laikā (2015–2016) </w:t>
      </w:r>
      <w:r w:rsidRPr="006B796E">
        <w:rPr>
          <w:rFonts w:ascii="Times New Roman" w:eastAsia="Times New Roman" w:hAnsi="Times New Roman" w:cs="Times New Roman"/>
          <w:i/>
          <w:iCs/>
          <w:sz w:val="24"/>
          <w:szCs w:val="24"/>
          <w:lang w:eastAsia="lv-LV"/>
        </w:rPr>
        <w:t>Tjetër Vizion</w:t>
      </w:r>
      <w:r w:rsidRPr="006B796E">
        <w:rPr>
          <w:rFonts w:ascii="Times New Roman" w:eastAsia="Times New Roman" w:hAnsi="Times New Roman" w:cs="Times New Roman"/>
          <w:sz w:val="24"/>
          <w:szCs w:val="24"/>
          <w:lang w:eastAsia="lv-LV"/>
        </w:rPr>
        <w:t xml:space="preserve"> mobilā grupa, kuras pienākums bija pārbaudīt situācijas, kurās iesaistīti ielu bērni, esot identificējusi 33 bērnus (vecumā no 3 līdz 17 gadiem), kas varētu būt </w:t>
      </w:r>
      <w:r w:rsidRPr="006B796E">
        <w:rPr>
          <w:rFonts w:ascii="Times New Roman" w:eastAsia="Times New Roman" w:hAnsi="Times New Roman" w:cs="Times New Roman"/>
          <w:sz w:val="24"/>
          <w:szCs w:val="24"/>
          <w:lang w:eastAsia="lv-LV"/>
        </w:rPr>
        <w:lastRenderedPageBreak/>
        <w:t>cilvēku tirdzniecības upuri.</w:t>
      </w:r>
      <w:r w:rsidR="00D94164">
        <w:rPr>
          <w:rStyle w:val="Vresatsauce"/>
          <w:rFonts w:ascii="Times New Roman" w:eastAsia="Times New Roman" w:hAnsi="Times New Roman" w:cs="Times New Roman"/>
          <w:sz w:val="24"/>
          <w:szCs w:val="24"/>
          <w:lang w:eastAsia="lv-LV"/>
        </w:rPr>
        <w:footnoteReference w:customMarkFollows="1" w:id="92"/>
        <w:t>91</w:t>
      </w:r>
    </w:p>
    <w:p w:rsidR="00D94164" w:rsidRPr="006B796E" w:rsidRDefault="00D94164"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Starptautiskās organizācijas (tostarp EDSO), NVO un līdzekļu devēji, kas vēlas novērst cilvēku tirdzniecību un aizsargāt bērnus, kas jau kļuvuši par cilvēku tirdzniecības upuriem (jo īpaši no atkārtotas cilvēku tirdzniecības), kopīgi strādājuši, lai izveidotu un stiprinātu valsts vadītas bērnu aizsardzības sistēmas pašā Albānijā valsts un vietējā (pašvaldību) līmenī. Nozīmīga attīstība bija 2010. gadā, kad tika pieņemts </w:t>
      </w:r>
      <w:r w:rsidRPr="006B796E">
        <w:rPr>
          <w:rFonts w:ascii="Times New Roman" w:eastAsia="Times New Roman" w:hAnsi="Times New Roman" w:cs="Times New Roman"/>
          <w:i/>
          <w:iCs/>
          <w:sz w:val="24"/>
          <w:szCs w:val="24"/>
          <w:lang w:eastAsia="lv-LV"/>
        </w:rPr>
        <w:t>Darba protokols strādājošo bērnu aizsardzībai</w:t>
      </w:r>
      <w:r w:rsidR="00D94164">
        <w:rPr>
          <w:rStyle w:val="Vresatsauce"/>
          <w:rFonts w:ascii="Times New Roman" w:eastAsia="Times New Roman" w:hAnsi="Times New Roman" w:cs="Times New Roman"/>
          <w:i/>
          <w:iCs/>
          <w:sz w:val="24"/>
          <w:szCs w:val="24"/>
          <w:lang w:eastAsia="lv-LV"/>
        </w:rPr>
        <w:footnoteReference w:customMarkFollows="1" w:id="93"/>
        <w:t>92</w:t>
      </w:r>
      <w:r w:rsidRPr="006B796E">
        <w:rPr>
          <w:rFonts w:ascii="Times New Roman" w:eastAsia="Times New Roman" w:hAnsi="Times New Roman" w:cs="Times New Roman"/>
          <w:sz w:val="24"/>
          <w:szCs w:val="24"/>
          <w:lang w:eastAsia="lv-LV"/>
        </w:rPr>
        <w:t>, kurā tika definētas dažādu iestāžu, tostarp Valsts bērnu aizsardzības vienību (</w:t>
      </w:r>
      <w:r w:rsidRPr="006B796E">
        <w:rPr>
          <w:rFonts w:ascii="Times New Roman" w:eastAsia="Times New Roman" w:hAnsi="Times New Roman" w:cs="Times New Roman"/>
          <w:i/>
          <w:iCs/>
          <w:sz w:val="24"/>
          <w:szCs w:val="24"/>
          <w:lang w:eastAsia="lv-LV"/>
        </w:rPr>
        <w:t>CPU</w:t>
      </w:r>
      <w:r w:rsidRPr="006B796E">
        <w:rPr>
          <w:rFonts w:ascii="Times New Roman" w:eastAsia="Times New Roman" w:hAnsi="Times New Roman" w:cs="Times New Roman"/>
          <w:sz w:val="24"/>
          <w:szCs w:val="24"/>
          <w:lang w:eastAsia="lv-LV"/>
        </w:rPr>
        <w:t>), policijas, skolu personāla, veselības aprūpes speciālistu, valsts sociālo dienestu, pašvaldības iestāžu (municipalitāšu un komūnu) un NVO (dažas no kurām vada patvēruma vietas krīzes situācijās un citas izmitināšanas iestādes, kurās bērniem tiek sniegta alternatīvā aprūpe) lomas un pienākumi. Protokols paredz starpnozaru grupas pieeju, saskaņā ar kuru bērnu aizsardzības darbinieki cieši sadarbojas ar citu valsts iestāžu, kā arī NVO personālu. 2018. gada sākumā tika ziņots, ka valdība ir izstrādājusi vairākas nozarēm specifiskas politiskās nostādnes, lai aizstātu Darba protokolu.</w:t>
      </w:r>
    </w:p>
    <w:p w:rsidR="00D94164" w:rsidRDefault="00D94164"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Starptautiskās organizācijas ir atbalstījušas Albānijas valdību, kas pārskatīja ielu bērnu neaizsargātību, proti, 2014. gada valsts pētījumā tika saskaitīti vairāk nekā 2500 ielu bērni, no kuriem trešdaļa tika uzskatīti par bērnu tirdzniecības domājamiem vai iespējamiem upuriem. Pamatojoties uz šiem konstatējumiem, EDSO pārstāvniecība Albānijā nolēma paplašināt savu pieeju, nodarbojoties ne tikai ar bērnu tirdzniecības novēršanu, bet arī ar valsts bērnu aizsardzības sistēmas stiprināšanu. Tā sadarbojās ar Bērnu tiesību aizsardzības valsts aģentūru, cilvēku tirdzniecības novēršanas nacionālo koordinatoru un Tirānas reģionālo policiju, lai sniegtu tehnisko pieredzi par to, kā uzlabot tiesību aktus bērnu tirdzniecības jomā, kā arī izstrādāt mērķtiecīgu politiku un rīcības plānus. Tā rezultātā 2014. gadā tika publicētas vairākas Vadlīnijas par ielu bērnu aizsardzību (jo īpaši vadlīnijas attiecībā uz šo bērnu identificēšanu, tūlītēju palīdzību un nodošanu iestādēm). Īstenojot šīs vadlīnijas, 2015. gadā tika izveidotas speciālistu grupas, kas nodarbojas ar ielu bērniem Tirānā un piecās citās pilsētās, un sniegta šo vadlīniju piemērošanas apmācība.</w:t>
      </w:r>
      <w:r w:rsidR="00D94164">
        <w:rPr>
          <w:rStyle w:val="Vresatsauce"/>
          <w:rFonts w:ascii="Times New Roman" w:eastAsia="Times New Roman" w:hAnsi="Times New Roman" w:cs="Times New Roman"/>
          <w:sz w:val="24"/>
          <w:szCs w:val="24"/>
          <w:lang w:eastAsia="lv-LV"/>
        </w:rPr>
        <w:footnoteReference w:customMarkFollows="1" w:id="94"/>
        <w:t>93</w:t>
      </w:r>
      <w:r w:rsidRPr="006B796E">
        <w:rPr>
          <w:rFonts w:ascii="Times New Roman" w:eastAsia="Times New Roman" w:hAnsi="Times New Roman" w:cs="Times New Roman"/>
          <w:sz w:val="24"/>
          <w:szCs w:val="24"/>
          <w:lang w:eastAsia="lv-LV"/>
        </w:rPr>
        <w:t xml:space="preserve"> Šīs grupas 2015. gadā esot identificējušas 15 bērnus, kas ir tirdzniecības upuri un ir izmantoti piespiedu ubagošanai un piespiedu </w:t>
      </w:r>
      <w:r w:rsidRPr="006B796E">
        <w:rPr>
          <w:rFonts w:ascii="Times New Roman" w:eastAsia="Times New Roman" w:hAnsi="Times New Roman" w:cs="Times New Roman"/>
          <w:sz w:val="24"/>
          <w:szCs w:val="24"/>
          <w:lang w:eastAsia="lv-LV"/>
        </w:rPr>
        <w:lastRenderedPageBreak/>
        <w:t>darbam.</w:t>
      </w:r>
      <w:r w:rsidR="00D94164">
        <w:rPr>
          <w:rStyle w:val="Vresatsauce"/>
          <w:rFonts w:ascii="Times New Roman" w:eastAsia="Times New Roman" w:hAnsi="Times New Roman" w:cs="Times New Roman"/>
          <w:sz w:val="24"/>
          <w:szCs w:val="24"/>
          <w:lang w:eastAsia="lv-LV"/>
        </w:rPr>
        <w:footnoteReference w:customMarkFollows="1" w:id="95"/>
        <w:t>94</w:t>
      </w:r>
      <w:r w:rsidRPr="006B796E">
        <w:rPr>
          <w:rFonts w:ascii="Times New Roman" w:eastAsia="Times New Roman" w:hAnsi="Times New Roman" w:cs="Times New Roman"/>
          <w:sz w:val="24"/>
          <w:szCs w:val="24"/>
          <w:lang w:eastAsia="lv-LV"/>
        </w:rPr>
        <w:t> 2016. gadā attiecīgo teritoriju mēri izstrādāja plānus, kā piemērot šīs vadlīnijas savās pašvaldībās. Tika ziņots, ka 2018. gada sākumā tiek gaidīts finansējums, lai šos plānus varētu īstenot.</w:t>
      </w:r>
      <w:r w:rsidR="00D94164">
        <w:rPr>
          <w:rStyle w:val="Vresatsauce"/>
          <w:rFonts w:ascii="Times New Roman" w:eastAsia="Times New Roman" w:hAnsi="Times New Roman" w:cs="Times New Roman"/>
          <w:sz w:val="24"/>
          <w:szCs w:val="24"/>
          <w:lang w:eastAsia="lv-LV"/>
        </w:rPr>
        <w:footnoteReference w:customMarkFollows="1" w:id="96"/>
        <w:t>95</w:t>
      </w:r>
    </w:p>
    <w:p w:rsidR="00D94164" w:rsidRPr="006B796E" w:rsidRDefault="00D94164" w:rsidP="006B796E">
      <w:pPr>
        <w:widowControl w:val="0"/>
        <w:spacing w:after="0" w:line="240" w:lineRule="auto"/>
        <w:jc w:val="both"/>
        <w:rPr>
          <w:rFonts w:ascii="Times New Roman" w:eastAsia="Times New Roman" w:hAnsi="Times New Roman" w:cs="Times New Roman"/>
          <w:sz w:val="24"/>
          <w:szCs w:val="20"/>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Cits piemērs ir Bulgārija, kur 2004. un 2005. gadā ievērojams skaits Bulgārijas bērnu tika identificēti Austrijā, par daudziem no kuriem bija aizdomas, ka viņi veic noziegumus uz ielām. Tikai 2005. gadā vien vairāk nekā 600 Bulgārijas bērnu tika nosūtīti uz nepavadīto bērnu izmitināšanas centru Vīnē (sauktu par “</w:t>
      </w:r>
      <w:r w:rsidRPr="006B796E">
        <w:rPr>
          <w:rFonts w:ascii="Times New Roman" w:eastAsia="Times New Roman" w:hAnsi="Times New Roman" w:cs="Times New Roman"/>
          <w:i/>
          <w:iCs/>
          <w:sz w:val="24"/>
          <w:szCs w:val="24"/>
          <w:lang w:eastAsia="lv-LV"/>
        </w:rPr>
        <w:t>Drehscheibe</w:t>
      </w:r>
      <w:r w:rsidRPr="006B796E">
        <w:rPr>
          <w:rFonts w:ascii="Times New Roman" w:eastAsia="Times New Roman" w:hAnsi="Times New Roman" w:cs="Times New Roman"/>
          <w:sz w:val="24"/>
          <w:szCs w:val="24"/>
          <w:lang w:eastAsia="lv-LV"/>
        </w:rPr>
        <w:t>”, latviešu valodā – “pagriežamais galds”)</w:t>
      </w:r>
      <w:r w:rsidR="00283717">
        <w:rPr>
          <w:rStyle w:val="Vresatsauce"/>
          <w:rFonts w:ascii="Times New Roman" w:eastAsia="Times New Roman" w:hAnsi="Times New Roman" w:cs="Times New Roman"/>
          <w:sz w:val="24"/>
          <w:szCs w:val="24"/>
          <w:lang w:eastAsia="lv-LV"/>
        </w:rPr>
        <w:footnoteReference w:customMarkFollows="1" w:id="97"/>
        <w:t>96</w:t>
      </w:r>
      <w:r w:rsidRPr="006B796E">
        <w:rPr>
          <w:rFonts w:ascii="Times New Roman" w:eastAsia="Times New Roman" w:hAnsi="Times New Roman" w:cs="Times New Roman"/>
          <w:sz w:val="24"/>
          <w:szCs w:val="24"/>
          <w:lang w:eastAsia="lv-LV"/>
        </w:rPr>
        <w:t xml:space="preserve"> (pavisam minētajā gadā šajā centrā tika izmitināts 701 bērns). Tie bija samērā mazi bērni (no 2005. gadā nosūtītajiem bērniem 246 bērni bija jaunāki par 12 gadiem, lielākā daļa no tiem bija meitenes). Daudzi bija jaunāki par vecumu, ar kuru iestājas kriminālatbildība Austrijā, un viņus nevarēja nodot kriminālvajāšanai. Zīmīgi, skatoties uz to laiku no šodienas skatupunkta (ņemot vērā cilvēku tirdzniecībā cietušo pieaugušo un bērnu nesodīšanas principa pilnveidošanu), Austrijā oficiāli par cilvēku tirdzniecības upuriem tika identificēts mazs bērnu skaits. Tādējādi Austrijā un Bulgārijā veikto pasākumu dēļ līdz 2007. gadam uz </w:t>
      </w:r>
      <w:r w:rsidRPr="006B796E">
        <w:rPr>
          <w:rFonts w:ascii="Times New Roman" w:eastAsia="Times New Roman" w:hAnsi="Times New Roman" w:cs="Times New Roman"/>
          <w:i/>
          <w:iCs/>
          <w:sz w:val="24"/>
          <w:szCs w:val="24"/>
          <w:lang w:eastAsia="lv-LV"/>
        </w:rPr>
        <w:t>Drehscheibe</w:t>
      </w:r>
      <w:r w:rsidRPr="006B796E">
        <w:rPr>
          <w:rFonts w:ascii="Times New Roman" w:eastAsia="Times New Roman" w:hAnsi="Times New Roman" w:cs="Times New Roman"/>
          <w:sz w:val="24"/>
          <w:szCs w:val="24"/>
          <w:lang w:eastAsia="lv-LV"/>
        </w:rPr>
        <w:t xml:space="preserve"> centru nosūtīto nepavadīto bērnu skaits strauji saruka līdz 70.</w:t>
      </w:r>
      <w:r w:rsidR="00283717">
        <w:rPr>
          <w:rStyle w:val="Vresatsauce"/>
          <w:rFonts w:ascii="Times New Roman" w:eastAsia="Times New Roman" w:hAnsi="Times New Roman" w:cs="Times New Roman"/>
          <w:sz w:val="24"/>
          <w:szCs w:val="24"/>
          <w:lang w:eastAsia="lv-LV"/>
        </w:rPr>
        <w:footnoteReference w:customMarkFollows="1" w:id="98"/>
        <w:t>97</w:t>
      </w:r>
    </w:p>
    <w:p w:rsidR="00D94164" w:rsidRDefault="00D94164"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Pamatpakalpojumi, kas bērniem tiek sniegti centrā “</w:t>
      </w:r>
      <w:r w:rsidRPr="006B796E">
        <w:rPr>
          <w:rFonts w:ascii="Times New Roman" w:eastAsia="Times New Roman" w:hAnsi="Times New Roman" w:cs="Times New Roman"/>
          <w:i/>
          <w:iCs/>
          <w:sz w:val="24"/>
          <w:szCs w:val="24"/>
          <w:lang w:eastAsia="lv-LV"/>
        </w:rPr>
        <w:t>Drehscheibe</w:t>
      </w:r>
      <w:r w:rsidRPr="006B796E">
        <w:rPr>
          <w:rFonts w:ascii="Times New Roman" w:eastAsia="Times New Roman" w:hAnsi="Times New Roman" w:cs="Times New Roman"/>
          <w:sz w:val="24"/>
          <w:szCs w:val="24"/>
          <w:lang w:eastAsia="lv-LV"/>
        </w:rPr>
        <w:t>”, ir ģimenes tipa aprūpe, veselības aprūpe (tostarp garīgās veselības aprūpe) un ar repatriāciju saistītie pakalpojumi (bērna reģistrācija, lai iegūtu identifikācijas dokumentus, nosūtīšana uz attiecīgo konsulātu vai vēstniecību, sociālā lietas apstākļu izpēte bērna izcelsmes valstī, bērna pavadīšana atpakaļ uz viņa izcelsmes valsti un sadarbība ar bērnu aizsardzības dienestiem izcelsmes valstī, lai uzraudzītu bērna stāvokli ik pēc diviem mēnešiem vismaz sešus mēnešus). “</w:t>
      </w:r>
      <w:r w:rsidRPr="006B796E">
        <w:rPr>
          <w:rFonts w:ascii="Times New Roman" w:eastAsia="Times New Roman" w:hAnsi="Times New Roman" w:cs="Times New Roman"/>
          <w:i/>
          <w:iCs/>
          <w:sz w:val="24"/>
          <w:szCs w:val="24"/>
          <w:lang w:eastAsia="lv-LV"/>
        </w:rPr>
        <w:t>Drehscheibe</w:t>
      </w:r>
      <w:r w:rsidRPr="006B796E">
        <w:rPr>
          <w:rFonts w:ascii="Times New Roman" w:eastAsia="Times New Roman" w:hAnsi="Times New Roman" w:cs="Times New Roman"/>
          <w:sz w:val="24"/>
          <w:szCs w:val="24"/>
          <w:lang w:eastAsia="lv-LV"/>
        </w:rPr>
        <w:t>” vadītājs ir likumīgais aizbildnis jaunievestajiem bērniem pirmajā nedēļā. Pēc astoņām dienām bērna lieta ir jānodod tiesai un jāieceļ cits pagaidu aizbildnis.</w:t>
      </w:r>
      <w:r w:rsidR="00283717">
        <w:rPr>
          <w:rStyle w:val="Vresatsauce"/>
          <w:rFonts w:ascii="Times New Roman" w:eastAsia="Times New Roman" w:hAnsi="Times New Roman" w:cs="Times New Roman"/>
          <w:sz w:val="24"/>
          <w:szCs w:val="24"/>
          <w:lang w:eastAsia="lv-LV"/>
        </w:rPr>
        <w:footnoteReference w:customMarkFollows="1" w:id="99"/>
        <w:t>98</w:t>
      </w:r>
    </w:p>
    <w:p w:rsidR="00283717" w:rsidRDefault="00283717"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Tas, ka uz “</w:t>
      </w:r>
      <w:r w:rsidRPr="006B796E">
        <w:rPr>
          <w:rFonts w:ascii="Times New Roman" w:eastAsia="Times New Roman" w:hAnsi="Times New Roman" w:cs="Times New Roman"/>
          <w:i/>
          <w:iCs/>
          <w:sz w:val="24"/>
          <w:szCs w:val="24"/>
          <w:lang w:eastAsia="lv-LV"/>
        </w:rPr>
        <w:t>Drehscheibe</w:t>
      </w:r>
      <w:r w:rsidRPr="006B796E">
        <w:rPr>
          <w:rFonts w:ascii="Times New Roman" w:eastAsia="Times New Roman" w:hAnsi="Times New Roman" w:cs="Times New Roman"/>
          <w:sz w:val="24"/>
          <w:szCs w:val="24"/>
          <w:lang w:eastAsia="lv-LV"/>
        </w:rPr>
        <w:t>” tiek nosūtīts liels skaits Bulgārijas bērnu, apvienojumā ar Vīnes centra vadītāju aizdomām, ka repatriētie bērni tiek nogādāti atpakaļ uz Austriju turpmākai naudas pelnīšanai, lika rīkoties, lai ierosinātu projektus un sadarbības nolīgumus ar Bulgāriju un Rumāniju un lai bērni, kas repatriēti uz šīm divām valstīm no Austrijas, saņemtu pienācīgu aprūpi un tiktu reintegrēti savā izcelsmes valstī.</w:t>
      </w:r>
    </w:p>
    <w:p w:rsidR="00283717" w:rsidRPr="006B796E" w:rsidRDefault="00283717"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Uz Vīnes centru nosūtīto Bulgārijas bērnu īpatsvars no 2006. gada ir strauji krities, savukārt citu valstu bērnu skaits ir pieaudzis. Piemēram, 2013. gadā no 202 “</w:t>
      </w:r>
      <w:r w:rsidRPr="006B796E">
        <w:rPr>
          <w:rFonts w:ascii="Times New Roman" w:eastAsia="Times New Roman" w:hAnsi="Times New Roman" w:cs="Times New Roman"/>
          <w:i/>
          <w:iCs/>
          <w:sz w:val="24"/>
          <w:szCs w:val="24"/>
          <w:lang w:eastAsia="lv-LV"/>
        </w:rPr>
        <w:t>Drehscheibe</w:t>
      </w:r>
      <w:r w:rsidRPr="006B796E">
        <w:rPr>
          <w:rFonts w:ascii="Times New Roman" w:eastAsia="Times New Roman" w:hAnsi="Times New Roman" w:cs="Times New Roman"/>
          <w:sz w:val="24"/>
          <w:szCs w:val="24"/>
          <w:lang w:eastAsia="lv-LV"/>
        </w:rPr>
        <w:t xml:space="preserve">” </w:t>
      </w:r>
      <w:r w:rsidRPr="006B796E">
        <w:rPr>
          <w:rFonts w:ascii="Times New Roman" w:eastAsia="Times New Roman" w:hAnsi="Times New Roman" w:cs="Times New Roman"/>
          <w:sz w:val="24"/>
          <w:szCs w:val="24"/>
          <w:lang w:eastAsia="lv-LV"/>
        </w:rPr>
        <w:lastRenderedPageBreak/>
        <w:t>izmitinātajiem bērniem 63 bērni (gandrīz trešdaļa) bija no Bosnijas un Hercegovinas.</w:t>
      </w:r>
      <w:r w:rsidR="00283717">
        <w:rPr>
          <w:rStyle w:val="Vresatsauce"/>
          <w:rFonts w:ascii="Times New Roman" w:eastAsia="Times New Roman" w:hAnsi="Times New Roman" w:cs="Times New Roman"/>
          <w:sz w:val="24"/>
          <w:szCs w:val="24"/>
          <w:lang w:eastAsia="lv-LV"/>
        </w:rPr>
        <w:footnoteReference w:customMarkFollows="1" w:id="100"/>
        <w:t>99</w:t>
      </w:r>
    </w:p>
    <w:p w:rsidR="00283717" w:rsidRDefault="00283717">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2F1BEE" w:rsidRDefault="002F1BEE" w:rsidP="006B796E">
      <w:pPr>
        <w:widowControl w:val="0"/>
        <w:spacing w:after="0" w:line="240" w:lineRule="auto"/>
        <w:jc w:val="both"/>
        <w:rPr>
          <w:rFonts w:ascii="Times New Roman" w:eastAsia="Times New Roman" w:hAnsi="Times New Roman" w:cs="Times New Roman"/>
          <w:b/>
          <w:bCs/>
          <w:sz w:val="24"/>
          <w:szCs w:val="24"/>
          <w:lang w:eastAsia="lv-LV"/>
        </w:rPr>
      </w:pPr>
      <w:r w:rsidRPr="002F1BEE">
        <w:rPr>
          <w:rFonts w:ascii="Times New Roman" w:eastAsia="Times New Roman" w:hAnsi="Times New Roman" w:cs="Times New Roman"/>
          <w:b/>
          <w:bCs/>
          <w:noProof/>
          <w:sz w:val="24"/>
          <w:szCs w:val="24"/>
          <w:lang w:eastAsia="lv-LV"/>
        </w:rPr>
        <w:lastRenderedPageBreak/>
        <w:drawing>
          <wp:inline distT="0" distB="0" distL="0" distR="0">
            <wp:extent cx="5760085" cy="7685490"/>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7685490"/>
                    </a:xfrm>
                    <a:prstGeom prst="rect">
                      <a:avLst/>
                    </a:prstGeom>
                    <a:noFill/>
                    <a:ln>
                      <a:noFill/>
                    </a:ln>
                  </pic:spPr>
                </pic:pic>
              </a:graphicData>
            </a:graphic>
          </wp:inline>
        </w:drawing>
      </w:r>
    </w:p>
    <w:p w:rsidR="002F1BEE" w:rsidRDefault="002F1BEE" w:rsidP="006B796E">
      <w:pPr>
        <w:widowControl w:val="0"/>
        <w:spacing w:after="0" w:line="240" w:lineRule="auto"/>
        <w:jc w:val="both"/>
        <w:rPr>
          <w:rFonts w:ascii="Times New Roman" w:eastAsia="Times New Roman" w:hAnsi="Times New Roman" w:cs="Times New Roman"/>
          <w:b/>
          <w:bCs/>
          <w:sz w:val="24"/>
          <w:szCs w:val="24"/>
          <w:lang w:eastAsia="lv-LV"/>
        </w:rPr>
      </w:pPr>
    </w:p>
    <w:p w:rsidR="00283717" w:rsidRDefault="00283717">
      <w:pP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br w:type="page"/>
      </w: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lastRenderedPageBreak/>
        <w:t>5.1. Lēmumu pieņemšanas principi – bērna intereses</w:t>
      </w:r>
    </w:p>
    <w:p w:rsidR="00283717" w:rsidRDefault="00283717"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5.1.1. Ko nozīmē “bērna intereses”?</w:t>
      </w:r>
    </w:p>
    <w:p w:rsidR="00283717" w:rsidRDefault="00283717"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Kā norādīts 2.1. sadaļā, BTK noteikts valstīm nodrošināt, ka bērna intereses ir primārais apsvērums visās darbībās (un lēmumos), kas attiecas uz bērniem un ko veic valsts vai privātās sociālās aprūpes iestādes vai citas struktūras, piemēram, tiesībaizsardzības vai imigrācijas iestādes.</w:t>
      </w:r>
    </w:p>
    <w:p w:rsidR="00283717" w:rsidRPr="006B796E" w:rsidRDefault="00283717"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Reaģējot uz to, daudzās valstīs valsts līmeņa tiesību praksē ir izstrādāts bērna interešu jēdziens, lai arī dažas EDSO dalībvalstis vēl nav integrējušas šo jēdzienu savos tiesību aktos. Dažas valstis savos tiesību aktos vai noteikumos ir noteikušas, kādi faktori lēmuma pieņēmējiem ir jāņem vērā, novērtējot bērna intereses bērnu aizsardzības lietās. Piemēram, 2017. gadā Albānija pieņēma jaunu bērnu aizsardzības likumu (Likums Nr. 18/2017 par bērnu tiesībām un aizsardzību). Šajā likumā (6. pantā) apstiprināts, ka gan valsts, gan nevalstiskajām iestādēm un tiesai ir jānodrošina, ka darbībās, kas ietekmē konkrēto bērnu, primārajam apsvērumam ir jābūt bērna interesēm. Pretēji līdzīgiem likumiem daudzās citās valstīs, šajā likumā ir skaidri noteikti pieci jautājumi, kas jāņem vērā:</w:t>
      </w:r>
      <w:r w:rsidR="00283717">
        <w:rPr>
          <w:rStyle w:val="Vresatsauce"/>
          <w:rFonts w:ascii="Times New Roman" w:eastAsia="Times New Roman" w:hAnsi="Times New Roman" w:cs="Times New Roman"/>
          <w:sz w:val="24"/>
          <w:szCs w:val="24"/>
          <w:lang w:eastAsia="lv-LV"/>
        </w:rPr>
        <w:footnoteReference w:customMarkFollows="1" w:id="101"/>
        <w:t>100</w:t>
      </w:r>
    </w:p>
    <w:p w:rsidR="00283717" w:rsidRPr="006B796E" w:rsidRDefault="00283717" w:rsidP="006B796E">
      <w:pPr>
        <w:widowControl w:val="0"/>
        <w:spacing w:after="0" w:line="240" w:lineRule="auto"/>
        <w:jc w:val="both"/>
        <w:rPr>
          <w:rFonts w:ascii="Times New Roman" w:eastAsia="Times New Roman" w:hAnsi="Times New Roman" w:cs="Times New Roman"/>
          <w:sz w:val="24"/>
          <w:szCs w:val="24"/>
          <w:lang w:eastAsia="lv-LV"/>
        </w:rPr>
      </w:pPr>
    </w:p>
    <w:tbl>
      <w:tblPr>
        <w:tblStyle w:val="Reatabula"/>
        <w:tblW w:w="0" w:type="auto"/>
        <w:tblCellMar>
          <w:top w:w="28" w:type="dxa"/>
          <w:left w:w="28" w:type="dxa"/>
          <w:bottom w:w="28" w:type="dxa"/>
          <w:right w:w="28" w:type="dxa"/>
        </w:tblCellMar>
        <w:tblLook w:val="04A0" w:firstRow="1" w:lastRow="0" w:firstColumn="1" w:lastColumn="0" w:noHBand="0" w:noVBand="1"/>
      </w:tblPr>
      <w:tblGrid>
        <w:gridCol w:w="9061"/>
      </w:tblGrid>
      <w:tr w:rsidR="00283717" w:rsidTr="00283717">
        <w:tc>
          <w:tcPr>
            <w:tcW w:w="9061" w:type="dxa"/>
            <w:shd w:val="clear" w:color="auto" w:fill="D9D9D9" w:themeFill="background1" w:themeFillShade="D9"/>
          </w:tcPr>
          <w:p w:rsidR="00283717" w:rsidRPr="006B796E" w:rsidRDefault="00283717" w:rsidP="00283717">
            <w:pPr>
              <w:widowControl w:val="0"/>
              <w:jc w:val="both"/>
              <w:rPr>
                <w:rFonts w:ascii="Times New Roman" w:eastAsia="Times New Roman" w:hAnsi="Times New Roman" w:cs="Times New Roman"/>
                <w:color w:val="231F20"/>
                <w:sz w:val="24"/>
                <w:szCs w:val="24"/>
                <w:lang w:eastAsia="lv-LV"/>
              </w:rPr>
            </w:pPr>
            <w:r w:rsidRPr="006B796E">
              <w:rPr>
                <w:rFonts w:ascii="Times New Roman" w:eastAsia="Times New Roman" w:hAnsi="Times New Roman" w:cs="Times New Roman"/>
                <w:color w:val="231F20"/>
                <w:sz w:val="24"/>
                <w:szCs w:val="24"/>
                <w:lang w:eastAsia="lv-LV"/>
              </w:rPr>
              <w:t>a) “vajadzība nodrošināt bērna fizisko un psiholoģisko attīstību, izglītību un veselību, drošību un ilgtspējību, kā arī augšanu ģimenē/piederību ģimenei;</w:t>
            </w:r>
          </w:p>
          <w:p w:rsidR="00283717" w:rsidRPr="006B796E" w:rsidRDefault="00283717" w:rsidP="00283717">
            <w:pPr>
              <w:widowControl w:val="0"/>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b) </w:t>
            </w:r>
            <w:r w:rsidRPr="006B796E">
              <w:rPr>
                <w:rFonts w:ascii="Times New Roman" w:eastAsia="Times New Roman" w:hAnsi="Times New Roman" w:cs="Times New Roman"/>
                <w:color w:val="231F20"/>
                <w:sz w:val="24"/>
                <w:szCs w:val="24"/>
                <w:lang w:eastAsia="lv-LV"/>
              </w:rPr>
              <w:t>bērna viedoklis, ņemot vērā bērna vecumu un briedumu;</w:t>
            </w:r>
          </w:p>
          <w:p w:rsidR="00283717" w:rsidRPr="006B796E" w:rsidRDefault="00283717" w:rsidP="00283717">
            <w:pPr>
              <w:widowControl w:val="0"/>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c) </w:t>
            </w:r>
            <w:r w:rsidRPr="006B796E">
              <w:rPr>
                <w:rFonts w:ascii="Times New Roman" w:eastAsia="Times New Roman" w:hAnsi="Times New Roman" w:cs="Times New Roman"/>
                <w:color w:val="231F20"/>
                <w:sz w:val="24"/>
                <w:szCs w:val="24"/>
                <w:lang w:eastAsia="lv-LV"/>
              </w:rPr>
              <w:t>bērna pagātne, ņemot vērā konkrēto situāciju, kādā bērns ir bijis pakļauts vardarbībai, nolaidībai, ekspluatācijai vai citu veidu vardarbībai, un iespējamais risks, ka šādas situācijas var atkārtoties nākotnē;</w:t>
            </w:r>
          </w:p>
          <w:p w:rsidR="00283717" w:rsidRPr="006B796E" w:rsidRDefault="00283717" w:rsidP="00283717">
            <w:pPr>
              <w:widowControl w:val="0"/>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d) </w:t>
            </w:r>
            <w:r w:rsidRPr="006B796E">
              <w:rPr>
                <w:rFonts w:ascii="Times New Roman" w:eastAsia="Times New Roman" w:hAnsi="Times New Roman" w:cs="Times New Roman"/>
                <w:color w:val="231F20"/>
                <w:sz w:val="24"/>
                <w:szCs w:val="24"/>
                <w:lang w:eastAsia="lv-LV"/>
              </w:rPr>
              <w:t>bērna vai personas, kas rūpējas par bērnu, spēja reaģēt uz bērna vajadzībām;</w:t>
            </w:r>
          </w:p>
          <w:p w:rsidR="00283717" w:rsidRPr="00283717" w:rsidRDefault="00283717" w:rsidP="006B796E">
            <w:pPr>
              <w:widowControl w:val="0"/>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e) </w:t>
            </w:r>
            <w:r w:rsidRPr="006B796E">
              <w:rPr>
                <w:rFonts w:ascii="Times New Roman" w:eastAsia="Times New Roman" w:hAnsi="Times New Roman" w:cs="Times New Roman"/>
                <w:color w:val="231F20"/>
                <w:sz w:val="24"/>
                <w:szCs w:val="24"/>
                <w:lang w:eastAsia="lv-LV"/>
              </w:rPr>
              <w:t>nozīme bērnam saglabāt nepārtrauktas personīgas attiecības ar personām, ar kurām viņam ir radniecības, sociālas un/vai dvēseliskas attiecības.”</w:t>
            </w:r>
          </w:p>
        </w:tc>
      </w:tr>
    </w:tbl>
    <w:p w:rsidR="00283717" w:rsidRDefault="00283717"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Krievijas Federācija parasti atsaucas uz “tiesībām un bērna likumīgajām interesēm”, jo īpaši savā Ģimenes kodeksā. Krievijas Federācijas 1998. gada 24. jūlija Federālajā likumā par bērnu tiesību pamatgarantijām</w:t>
      </w:r>
      <w:r w:rsidR="00283717">
        <w:rPr>
          <w:rStyle w:val="Vresatsauce"/>
          <w:rFonts w:ascii="Times New Roman" w:eastAsia="Times New Roman" w:hAnsi="Times New Roman" w:cs="Times New Roman"/>
          <w:sz w:val="24"/>
          <w:szCs w:val="24"/>
          <w:lang w:eastAsia="lv-LV"/>
        </w:rPr>
        <w:footnoteReference w:customMarkFollows="1" w:id="102"/>
        <w:t>101</w:t>
      </w:r>
      <w:r w:rsidRPr="006B796E">
        <w:rPr>
          <w:rFonts w:ascii="Times New Roman" w:eastAsia="Times New Roman" w:hAnsi="Times New Roman" w:cs="Times New Roman"/>
          <w:sz w:val="24"/>
          <w:szCs w:val="24"/>
          <w:lang w:eastAsia="lv-LV"/>
        </w:rPr>
        <w:t xml:space="preserve"> noteikts, ka “ar šo likumu tiek izveidotas Krievijas Federācijas Konstitūcijā paredzēto bērna tiesību un likumīgo interešu pamatgarantijas ar mērķi radīt juridiskos un sociālekonomiskos apstākļus bērna tiesību un likumīgo interešu īstenošanai”. Šīs tiesības ir sīkāk izklāstītas dažās pašvaldību teritorijās. Piemēram, Maskavas pilsētas 1997. gada 4. aprīļa Likumā par aizbildniecību, aizgādību un aprūpi audžuģimenē</w:t>
      </w:r>
      <w:r w:rsidR="00283717">
        <w:rPr>
          <w:rStyle w:val="Vresatsauce"/>
          <w:rFonts w:ascii="Times New Roman" w:eastAsia="Times New Roman" w:hAnsi="Times New Roman" w:cs="Times New Roman"/>
          <w:sz w:val="24"/>
          <w:szCs w:val="24"/>
          <w:lang w:eastAsia="lv-LV"/>
        </w:rPr>
        <w:footnoteReference w:customMarkFollows="1" w:id="103"/>
        <w:t>102</w:t>
      </w:r>
      <w:r w:rsidRPr="006B796E">
        <w:rPr>
          <w:rFonts w:ascii="Times New Roman" w:eastAsia="Times New Roman" w:hAnsi="Times New Roman" w:cs="Times New Roman"/>
          <w:sz w:val="24"/>
          <w:szCs w:val="24"/>
          <w:lang w:eastAsia="lv-LV"/>
        </w:rPr>
        <w:t xml:space="preserve"> norādīts, ka šīs intereses ir “bērna personisko nemateriālo tiesību un īpašumtiesību kopums un likumīgās intereses, kas nodrošina viņa normālu iztiku”. Tomēr šis jēdziens ir jāizstrādā sīkāk, piemēram, bērnu aizsardzības iestāžu vai tiesas likumos vai norādījumos, kas izskaidro, kā īstenot Bērnu tiesību komitejas ieteikumus attiecībā uz to, ka bērnam ir tiesības, lai viņa intereses būtu primārais apsvērums (Nr. 14).</w:t>
      </w:r>
      <w:r w:rsidR="00283717">
        <w:rPr>
          <w:rStyle w:val="Vresatsauce"/>
          <w:rFonts w:ascii="Times New Roman" w:eastAsia="Times New Roman" w:hAnsi="Times New Roman" w:cs="Times New Roman"/>
          <w:sz w:val="24"/>
          <w:szCs w:val="24"/>
          <w:lang w:eastAsia="lv-LV"/>
        </w:rPr>
        <w:footnoteReference w:customMarkFollows="1" w:id="104"/>
        <w:t>103</w:t>
      </w:r>
    </w:p>
    <w:p w:rsidR="00283717" w:rsidRPr="006B796E" w:rsidRDefault="00283717"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5.1.2. Pamatprincipi</w:t>
      </w:r>
    </w:p>
    <w:p w:rsidR="00283717" w:rsidRDefault="00283717"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lastRenderedPageBreak/>
        <w:t>Bērnu tiesību komiteja 2017. gadā ir noteikusi un atkārtoti apstiprinājusi, ka nepavadītu un nošķirtu (tostarp bērnu tirdzniecībā cietušo) bērnu intereses jānovērtē un jānosaka ikreiz, kad valsts amatpersonas pieņem svarīgu lēmumu, kas ietekmē bērnu. Tā jo īpaši ir noteikusi, ka “pārvietota bērna gadījumā šis princips jāievēro visos pārvietošanas cikla posmos. Visos šajos posmos, sagatavojot lēmumu, kas būtiski iespaido nepavadīta vai nošķirta bērna dzīvi, ir jādokumentē viņa interešu izvērtēšana.”</w:t>
      </w:r>
      <w:r w:rsidR="00283717">
        <w:rPr>
          <w:rStyle w:val="Vresatsauce"/>
          <w:rFonts w:ascii="Times New Roman" w:eastAsia="Times New Roman" w:hAnsi="Times New Roman" w:cs="Times New Roman"/>
          <w:sz w:val="24"/>
          <w:szCs w:val="24"/>
          <w:lang w:eastAsia="lv-LV"/>
        </w:rPr>
        <w:footnoteReference w:customMarkFollows="1" w:id="105"/>
        <w:t>104</w:t>
      </w:r>
    </w:p>
    <w:p w:rsidR="00283717" w:rsidRPr="006B796E" w:rsidRDefault="00283717"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“Bērna interešu novērtējums” ir novērtējums, kas tiek veikts, izvērtējot un līdzsvarojot visus elementus, kas nepieciešami, lai konkrētajā situācijā pieņemtu lēmumu attiecībā uz atsevišķu bērnu vai bērnu grupu. Dažās valstīs šādu novērtējumu sauc par “bērna aizsardzības novērtējumu”. Attiecībā uz bērniem, kas meklē patvērumu (kā bēgļi), bērna interešu novērtējumu “veic personāls attiecība uz atsevišķiem bērniem, izņemot tad, ja ir nepieciešama bērna interešu noteikšanas (</w:t>
      </w:r>
      <w:r w:rsidRPr="006B796E">
        <w:rPr>
          <w:rFonts w:ascii="Times New Roman" w:eastAsia="Times New Roman" w:hAnsi="Times New Roman" w:cs="Times New Roman"/>
          <w:i/>
          <w:iCs/>
          <w:sz w:val="24"/>
          <w:szCs w:val="24"/>
          <w:lang w:eastAsia="lv-LV"/>
        </w:rPr>
        <w:t>BID</w:t>
      </w:r>
      <w:r w:rsidRPr="006B796E">
        <w:rPr>
          <w:rFonts w:ascii="Times New Roman" w:eastAsia="Times New Roman" w:hAnsi="Times New Roman" w:cs="Times New Roman"/>
          <w:sz w:val="24"/>
          <w:szCs w:val="24"/>
          <w:lang w:eastAsia="lv-LV"/>
        </w:rPr>
        <w:t>) procedūra, kas izstrādāta, lai nodrošinātu, ka šāda rīcība ir primārs apsvērums bērna interesēs. Novērtējumu var veikt kompetents personāls viens pats vai apspriežoties ar citiem, un tajā ir jāpiedalās pašam bērnam.”</w:t>
      </w:r>
      <w:r w:rsidR="00283717">
        <w:rPr>
          <w:rStyle w:val="Vresatsauce"/>
          <w:rFonts w:ascii="Times New Roman" w:eastAsia="Times New Roman" w:hAnsi="Times New Roman" w:cs="Times New Roman"/>
          <w:sz w:val="24"/>
          <w:szCs w:val="24"/>
          <w:lang w:eastAsia="lv-LV"/>
        </w:rPr>
        <w:footnoteReference w:customMarkFollows="1" w:id="106"/>
        <w:t>105</w:t>
      </w:r>
    </w:p>
    <w:p w:rsidR="00283717" w:rsidRPr="006B796E" w:rsidRDefault="00283717"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“Bērna interešu noteikšana” attiecībā uz bērnu, kas ir patvēruma meklētājs, ir “oficiāls process ar stingrām procesuālām garantijām, kas izstrādāts, lai noteiktu bērna intereses attiecībā uz konkrētiem svarīgiem lēmumiem, kas ietekmē bērnu. Šim procesam jāveicina bērna pienācīga līdzdalība bez diskriminācijas, jāiesaista lēmuma pieņēmēji, kas ir kompetenti attiecīgajās jomās, un jālīdzsvaro visi attiecīgie faktori, lai novērtētu labāko iespēju.”</w:t>
      </w:r>
      <w:r w:rsidR="00283717">
        <w:rPr>
          <w:rStyle w:val="Vresatsauce"/>
          <w:rFonts w:ascii="Times New Roman" w:eastAsia="Times New Roman" w:hAnsi="Times New Roman" w:cs="Times New Roman"/>
          <w:sz w:val="24"/>
          <w:szCs w:val="24"/>
          <w:lang w:eastAsia="lv-LV"/>
        </w:rPr>
        <w:footnoteReference w:customMarkFollows="1" w:id="107"/>
        <w:t>106</w:t>
      </w:r>
      <w:r w:rsidRPr="006B796E">
        <w:rPr>
          <w:rFonts w:ascii="Times New Roman" w:eastAsia="Times New Roman" w:hAnsi="Times New Roman" w:cs="Times New Roman"/>
          <w:sz w:val="24"/>
          <w:szCs w:val="24"/>
          <w:lang w:eastAsia="lv-LV"/>
        </w:rPr>
        <w:t> Šāda noteikšana ir jāveic katrā atsevišķā gadījumā un ņemot vērā konkrētos katra bērna vai bērnu grupas apstākļus, tostarp vecumu, dzimumu, brieduma pakāpi, vai bērns(-i) pieder kādai minoritāšu grupai un kādā sociālā un kultūras kontekstā bērns(-i) sevi identificē.</w:t>
      </w:r>
    </w:p>
    <w:p w:rsidR="00283717" w:rsidRPr="006B796E" w:rsidRDefault="00283717"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Bērnu tiesību komiteja nesen (2017) kopā ar Visu migrējošo darba ņēmēju un viņu ģimenes locekļu tiesību aizsardzības komiteju sagatavoja Kopīgu vispārējo komentāru, kurā sniedza sīkākus ieteikumus (32. punkts).</w:t>
      </w:r>
      <w:r w:rsidR="00283717">
        <w:rPr>
          <w:rStyle w:val="Vresatsauce"/>
          <w:rFonts w:ascii="Times New Roman" w:eastAsia="Times New Roman" w:hAnsi="Times New Roman" w:cs="Times New Roman"/>
          <w:sz w:val="24"/>
          <w:szCs w:val="24"/>
          <w:lang w:eastAsia="lv-LV"/>
        </w:rPr>
        <w:footnoteReference w:customMarkFollows="1" w:id="108"/>
        <w:t>107</w:t>
      </w:r>
      <w:r w:rsidRPr="006B796E">
        <w:rPr>
          <w:rFonts w:ascii="Times New Roman" w:eastAsia="Times New Roman" w:hAnsi="Times New Roman" w:cs="Times New Roman"/>
          <w:sz w:val="24"/>
          <w:szCs w:val="24"/>
          <w:lang w:eastAsia="lv-LV"/>
        </w:rPr>
        <w:t> Abas komitejas sniedza komentārus par to, kādas, viņuprāt, procedūras ir jāizstrādā, lai nodrošinātu, ka bērna interešu princips tiek pienācīgi integrēts, saskanīgi interpretēts un piemērots. Punkts, kurā šīs procedūras ir aprakstītas, ir pilnībā citēts turpmāk I pielikumā.</w:t>
      </w:r>
    </w:p>
    <w:p w:rsidR="00283717" w:rsidRPr="006B796E" w:rsidRDefault="00283717"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5.2. Lēmuma mērķis – noteikt visaptverošu, drošu un ilgtspējīgu risinājumu (t. i., pastāvīgu risinājumu) bērna interesēs</w:t>
      </w:r>
    </w:p>
    <w:p w:rsidR="00283717" w:rsidRDefault="00283717"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UNHCR</w:t>
      </w:r>
      <w:r w:rsidRPr="006B796E">
        <w:rPr>
          <w:rFonts w:ascii="Times New Roman" w:eastAsia="Times New Roman" w:hAnsi="Times New Roman" w:cs="Times New Roman"/>
          <w:sz w:val="24"/>
          <w:szCs w:val="24"/>
          <w:lang w:eastAsia="lv-LV"/>
        </w:rPr>
        <w:t xml:space="preserve"> un </w:t>
      </w:r>
      <w:r w:rsidRPr="006B796E">
        <w:rPr>
          <w:rFonts w:ascii="Times New Roman" w:eastAsia="Times New Roman" w:hAnsi="Times New Roman" w:cs="Times New Roman"/>
          <w:i/>
          <w:iCs/>
          <w:sz w:val="24"/>
          <w:szCs w:val="24"/>
          <w:lang w:eastAsia="lv-LV"/>
        </w:rPr>
        <w:t>UNICEF</w:t>
      </w:r>
      <w:r w:rsidRPr="006B796E">
        <w:rPr>
          <w:rFonts w:ascii="Times New Roman" w:eastAsia="Times New Roman" w:hAnsi="Times New Roman" w:cs="Times New Roman"/>
          <w:sz w:val="24"/>
          <w:szCs w:val="24"/>
          <w:lang w:eastAsia="lv-LV"/>
        </w:rPr>
        <w:t xml:space="preserve"> ir izskaidrojušas, kas ir “pastāvīgs risinājums” attiecībā uz nepavadītu vai nošķirtu bērnu, norādot, ka:</w:t>
      </w:r>
    </w:p>
    <w:p w:rsidR="00283717" w:rsidRPr="006B796E" w:rsidRDefault="00283717"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“pastāvīgs risinājums ir tāds ilgtermiņa risinājums, kas nodrošina, ka bez pavadības nepilngadīgais vai no vecākiem nošķirtais bērns var attīstīties par pieaugušo tādā vidē, kurā tiek </w:t>
      </w:r>
      <w:r w:rsidRPr="006B796E">
        <w:rPr>
          <w:rFonts w:ascii="Times New Roman" w:eastAsia="Times New Roman" w:hAnsi="Times New Roman" w:cs="Times New Roman"/>
          <w:sz w:val="24"/>
          <w:szCs w:val="24"/>
          <w:lang w:eastAsia="lv-LV"/>
        </w:rPr>
        <w:lastRenderedPageBreak/>
        <w:t>ievērotas bērna vajadzības un īstenotas BTK paredzētās tiesības, kā arī nepastāv vajāšanas un būtiska kaitējuma risks. Tā kā pastāvīgajam risinājumam būs ilgtermiņa ietekme uz bez pavadības nepilngadīgo vai no vecākiem nošķirto bērnu, tam būs jāveic LIN [labāko interešu noteikšana]. Pastāvīgs risinājums arī ļauj bērnam galu galā pirmoreiz vai atkārtoti iegūt pilnu valsts aizsardzību.”</w:t>
      </w:r>
      <w:r w:rsidR="00595B0B">
        <w:rPr>
          <w:rStyle w:val="Vresatsauce"/>
          <w:rFonts w:ascii="Times New Roman" w:eastAsia="Times New Roman" w:hAnsi="Times New Roman" w:cs="Times New Roman"/>
          <w:sz w:val="24"/>
          <w:szCs w:val="24"/>
          <w:lang w:eastAsia="lv-LV"/>
        </w:rPr>
        <w:footnoteReference w:customMarkFollows="1" w:id="109"/>
        <w:t>108</w:t>
      </w:r>
    </w:p>
    <w:p w:rsidR="00595B0B" w:rsidRPr="006B796E" w:rsidRDefault="00595B0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UNICEF</w:t>
      </w:r>
      <w:r w:rsidRPr="006B796E">
        <w:rPr>
          <w:rFonts w:ascii="Times New Roman" w:eastAsia="Times New Roman" w:hAnsi="Times New Roman" w:cs="Times New Roman"/>
          <w:sz w:val="24"/>
          <w:szCs w:val="24"/>
          <w:lang w:eastAsia="lv-LV"/>
        </w:rPr>
        <w:t xml:space="preserve"> 2006. gada Vadlīnijās par to bērnu aizsardzību, kas ir cilvēku tirdzniecības upuri, ir uzskaitītas trīs pastāvīgu risinājumu pamatiespējas – bērna, kas ir cilvēku tirdzniecības upuris, integrēšana uz vietas, atpakaļnosūtīšana uz izcelsmes valsti vai pārmitināšana trešā valstī (trešā iespēja esot visai reta). Praksē, lai risinājums būtu ilgtspējīgs, ir jāizpilda vismaz minimālie standarti. Jo īpaši:</w:t>
      </w:r>
    </w:p>
    <w:p w:rsidR="00595B0B" w:rsidRDefault="00595B0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attiecīgajam bērnam jānodrošina aprūpes nepārtrauktība (bērnu nododot no vienas aprūpes iestādes uz citu vai no vienas valsts uz citu, ja bērnu pārvieto no vienas valsts uz citu);</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bērnam visu laiku ir jānodrošina droša vide;</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bērnam ir jāļauj attīstīt stabilas sociālās attiecības, un</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 xml:space="preserve">&gt; </w:t>
      </w:r>
      <w:r w:rsidRPr="006B796E">
        <w:rPr>
          <w:rFonts w:ascii="Times New Roman" w:eastAsia="Times New Roman" w:hAnsi="Times New Roman" w:cs="Times New Roman"/>
          <w:sz w:val="24"/>
          <w:szCs w:val="24"/>
          <w:lang w:eastAsia="lv-LV"/>
        </w:rPr>
        <w:t>bērnam ir jāļauj attīstīt nākotnes plānus.</w:t>
      </w:r>
    </w:p>
    <w:p w:rsidR="00595B0B" w:rsidRDefault="00595B0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Šie standarti ir vienlīdz piemērojami arī bērnam, kas kļuvis par cilvēku tirdzniecības upuri savā izcelsmes valstī. Dažas valdības ir apšaubījušas, vai pastāvīgam risinājumam būtu jārada sekas bērnam pēc viņa pilngadības sasniegšanas, un devušas priekšroku pagaidu risinājumiem, kas ir spēkā tikai līdz bērna 18 gadu vecuma sasniegšanai. Šāda pieeja, šķiet, izraisa nedrošības sajūtu, kas būtu jo īpaši nepieļaujama bērniem, kas ir cilvēku tirdzniecības upuri. Eksperts no kādas valsts, kurā daudzi lēmumi par nepavadītu bērnu imigrācijas statusu ir spēkā tikai līdz bērna 18 gadu vecuma sasniegšanai, komentējis, ka “tas, ka bērnam, kas ir cilvēku tirdzniecības upuris, tiek ļauts vienkārši palikt valstī ar vai bez uzturēšanās atļaujas, līdz viņš sasniedz 18 gadu vecumu, nav pastāvīgs risinājums un, visticamāk, nenodrošina viņa fizisko un psiholoģiski sociālo atlabšanu, kā to nosaka ES Cilvēku tirdzniecības novēršanas direktīvas 14. panta 1. punkts”.</w:t>
      </w:r>
      <w:r w:rsidR="00595B0B">
        <w:rPr>
          <w:rStyle w:val="Vresatsauce"/>
          <w:rFonts w:ascii="Times New Roman" w:eastAsia="Times New Roman" w:hAnsi="Times New Roman" w:cs="Times New Roman"/>
          <w:sz w:val="24"/>
          <w:szCs w:val="24"/>
          <w:lang w:eastAsia="lv-LV"/>
        </w:rPr>
        <w:footnoteReference w:customMarkFollows="1" w:id="110"/>
        <w:t>109</w:t>
      </w:r>
    </w:p>
    <w:p w:rsidR="00595B0B" w:rsidRDefault="00595B0B"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5.3. Mainīt veidu, kā tiek pieņemti lēmumi un kādi kritēriji tiek ņemti vērā</w:t>
      </w:r>
    </w:p>
    <w:p w:rsidR="00595B0B" w:rsidRDefault="00595B0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Ziņas par to, kurš pieņem lēmumus par nepavadītiem bērniem, kas kļuvuši par cilvēku tirdzniecības upuriem, bieži vien netiek atklātas, jo īpaši valsts imigrācijas iestādes relatīvā ietekme pretstatā valsts bērnu aizsardzības iestādes ietekmei.</w:t>
      </w:r>
      <w:r w:rsidR="00595B0B">
        <w:rPr>
          <w:rStyle w:val="Vresatsauce"/>
          <w:rFonts w:ascii="Times New Roman" w:eastAsia="Times New Roman" w:hAnsi="Times New Roman" w:cs="Times New Roman"/>
          <w:sz w:val="24"/>
          <w:szCs w:val="24"/>
          <w:lang w:eastAsia="lv-LV"/>
        </w:rPr>
        <w:footnoteReference w:customMarkFollows="1" w:id="111"/>
        <w:t>110</w:t>
      </w:r>
    </w:p>
    <w:p w:rsidR="00595B0B" w:rsidRPr="006B796E" w:rsidRDefault="00595B0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5.3.1. Lēmumi par bērna nošķiršanu no vecāku aprūpes</w:t>
      </w:r>
    </w:p>
    <w:p w:rsidR="00595B0B" w:rsidRDefault="00595B0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Lēmumus nošķirt bērnu no saviem vecākiem, aizbildņa vai ierastā aprūpētāja un ievietot viņu alternatīvā aprūpes iestādē, ja ir aizdomas par cilvēku tirdzniecību, tiesas pieņem daudzās valstīs, taču novērtējums, pamatojoties uz kuru tiek pieņemti šādi lēmumi, parasti ir valsts bērnu aizsardzības iestādes sociālo darbinieku atbildība. Tā kā bieži vien pirmie, kas nonāk saskarē </w:t>
      </w:r>
      <w:r w:rsidRPr="006B796E">
        <w:rPr>
          <w:rFonts w:ascii="Times New Roman" w:eastAsia="Times New Roman" w:hAnsi="Times New Roman" w:cs="Times New Roman"/>
          <w:sz w:val="24"/>
          <w:szCs w:val="24"/>
          <w:lang w:eastAsia="lv-LV"/>
        </w:rPr>
        <w:lastRenderedPageBreak/>
        <w:t>ar cietušo bērnu vai liecinieku, ir tiesībsargājošo iestāžu amatpersonas, nevis bērnu aizsardzības speciālisti, ir svarīgi, lai dažādas iestādes, kurām ir jāiesaistās, būtu noslēgušas oficiālas vienošanās (protokolus). Piemēram, Losandželosas apgabalā Bērnu un ģimenes dienestu departaments (</w:t>
      </w:r>
      <w:r w:rsidRPr="006B796E">
        <w:rPr>
          <w:rFonts w:ascii="Times New Roman" w:eastAsia="Times New Roman" w:hAnsi="Times New Roman" w:cs="Times New Roman"/>
          <w:i/>
          <w:iCs/>
          <w:sz w:val="24"/>
          <w:szCs w:val="24"/>
          <w:lang w:eastAsia="lv-LV"/>
        </w:rPr>
        <w:t>DCFS</w:t>
      </w:r>
      <w:r w:rsidRPr="006B796E">
        <w:rPr>
          <w:rFonts w:ascii="Times New Roman" w:eastAsia="Times New Roman" w:hAnsi="Times New Roman" w:cs="Times New Roman"/>
          <w:sz w:val="24"/>
          <w:szCs w:val="24"/>
          <w:lang w:eastAsia="lv-LV"/>
        </w:rPr>
        <w:t xml:space="preserve">) nodrošina bērnu aizsardzības uzticības tālruni. Ja tiek saņemts ticams ziņojums par bērna seksuālu izmantošanu (neatkarīgi no tā, vai viņš ir vai nav cilvēku tirdzniecības upuris), </w:t>
      </w:r>
      <w:r w:rsidRPr="006B796E">
        <w:rPr>
          <w:rFonts w:ascii="Times New Roman" w:eastAsia="Times New Roman" w:hAnsi="Times New Roman" w:cs="Times New Roman"/>
          <w:i/>
          <w:iCs/>
          <w:sz w:val="24"/>
          <w:szCs w:val="24"/>
          <w:lang w:eastAsia="lv-LV"/>
        </w:rPr>
        <w:t>DCFS</w:t>
      </w:r>
      <w:r w:rsidRPr="006B796E">
        <w:rPr>
          <w:rFonts w:ascii="Times New Roman" w:eastAsia="Times New Roman" w:hAnsi="Times New Roman" w:cs="Times New Roman"/>
          <w:sz w:val="24"/>
          <w:szCs w:val="24"/>
          <w:lang w:eastAsia="lv-LV"/>
        </w:rPr>
        <w:t xml:space="preserve"> pienākums ir sasaukt vairāku iestāžu reaģēšanas grupu, kas izmeklē apgalvojumus par vardarbību pret bērnu, un vadīt daudznozaru grupas (</w:t>
      </w:r>
      <w:r w:rsidRPr="006B796E">
        <w:rPr>
          <w:rFonts w:ascii="Times New Roman" w:eastAsia="Times New Roman" w:hAnsi="Times New Roman" w:cs="Times New Roman"/>
          <w:i/>
          <w:iCs/>
          <w:sz w:val="24"/>
          <w:szCs w:val="24"/>
          <w:lang w:eastAsia="lv-LV"/>
        </w:rPr>
        <w:t>MDT</w:t>
      </w:r>
      <w:r w:rsidRPr="006B796E">
        <w:rPr>
          <w:rFonts w:ascii="Times New Roman" w:eastAsia="Times New Roman" w:hAnsi="Times New Roman" w:cs="Times New Roman"/>
          <w:sz w:val="24"/>
          <w:szCs w:val="24"/>
          <w:lang w:eastAsia="lv-LV"/>
        </w:rPr>
        <w:t>) sanāksmi. Sanāksmē ir jānosaka, kur izvietot bērnu, jāizstrādā sākotnējais drošības pasākumu plāns un jāizplāno bērna medicīniskās un garīgās veselības izvērtēšana.</w:t>
      </w:r>
      <w:r w:rsidR="00595B0B">
        <w:rPr>
          <w:rStyle w:val="Vresatsauce"/>
          <w:rFonts w:ascii="Times New Roman" w:eastAsia="Times New Roman" w:hAnsi="Times New Roman" w:cs="Times New Roman"/>
          <w:sz w:val="24"/>
          <w:szCs w:val="24"/>
          <w:lang w:eastAsia="lv-LV"/>
        </w:rPr>
        <w:footnoteReference w:customMarkFollows="1" w:id="112"/>
        <w:t>111</w:t>
      </w:r>
      <w:r w:rsidRPr="006B796E">
        <w:rPr>
          <w:rFonts w:ascii="Times New Roman" w:eastAsia="Times New Roman" w:hAnsi="Times New Roman" w:cs="Times New Roman"/>
          <w:sz w:val="24"/>
          <w:szCs w:val="24"/>
          <w:lang w:eastAsia="lv-LV"/>
        </w:rPr>
        <w:t> Alternatīvās aprūpes iespējas ir arī aprūpe audžuģimenē.</w:t>
      </w:r>
    </w:p>
    <w:p w:rsidR="00595B0B" w:rsidRDefault="00595B0B"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5.3.2. Bērna interešu ieviešana attiecīgajos noteikumos</w:t>
      </w:r>
    </w:p>
    <w:p w:rsidR="00595B0B" w:rsidRDefault="00595B0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Vairākās Rumānijas politiskajās nostādnēs ir uzsvērts, ka amatpersonām, rīkojoties un pieņemot lēmumus, kas skar bērnus, kuri ir cilvēku tirdzniecības upuri, primārajam apsvērumam ir jābūt bērna interesēm.</w:t>
      </w:r>
      <w:r w:rsidR="00595B0B">
        <w:rPr>
          <w:rStyle w:val="Vresatsauce"/>
          <w:rFonts w:ascii="Times New Roman" w:eastAsia="Times New Roman" w:hAnsi="Times New Roman" w:cs="Times New Roman"/>
          <w:sz w:val="24"/>
          <w:szCs w:val="24"/>
          <w:lang w:eastAsia="lv-LV"/>
        </w:rPr>
        <w:footnoteReference w:customMarkFollows="1" w:id="113"/>
        <w:t>112</w:t>
      </w:r>
      <w:r w:rsidRPr="006B796E">
        <w:rPr>
          <w:rFonts w:ascii="Times New Roman" w:eastAsia="Times New Roman" w:hAnsi="Times New Roman" w:cs="Times New Roman"/>
          <w:sz w:val="24"/>
          <w:szCs w:val="24"/>
          <w:lang w:eastAsia="lv-LV"/>
        </w:rPr>
        <w:t> 2016. gadā Rumānija, atbildot uz EDSO apsekojumu par EDSO centienu un ieteikumu īstenošanu saistībā ar cilvēku tirdzniecības novēršanu, apstiprināja, ka bērna intereses “ir prioritārākas par bērna vecāku, likumīgo aizbildņu vai citu par bērnu juridiski atbildīgo personu tiesībām un pienākumiem”.</w:t>
      </w:r>
      <w:r w:rsidR="0082247B">
        <w:rPr>
          <w:rStyle w:val="Vresatsauce"/>
          <w:rFonts w:ascii="Times New Roman" w:eastAsia="Times New Roman" w:hAnsi="Times New Roman" w:cs="Times New Roman"/>
          <w:sz w:val="24"/>
          <w:szCs w:val="24"/>
          <w:lang w:eastAsia="lv-LV"/>
        </w:rPr>
        <w:footnoteReference w:customMarkFollows="1" w:id="114"/>
        <w:t>113</w:t>
      </w:r>
    </w:p>
    <w:p w:rsidR="00595B0B" w:rsidRPr="006B796E" w:rsidRDefault="00595B0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Tajā ir skaidrots, ka attiecīgie kritēriji ir šādi:</w:t>
      </w:r>
    </w:p>
    <w:p w:rsidR="00595B0B" w:rsidRPr="006B796E" w:rsidRDefault="00595B0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1. “attīstības vajadzības – fiziskās, psiholoģiskās, izglītības un veselības, drošības un stabilitātes vajadzības un piederība ģimenei;</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 bērna viedoklis atkarībā no vecuma un brieduma pakāpes;</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3. bērna vēsture, jo īpaši izvērtējot situācijas saistībā ar vardarbību, nevērīgu izturēšanos, ekspluatāciju, citu veidu vardarbību, un iespējamās riska situācijas, kas var rasties nākotnē;</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4. vecāku vai aizbildņu spēja nodrošināt konkrētas vajadzības;</w:t>
      </w: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5. personīgu attiecību uzturēšana ar cilvēkiem, ar kuriem bērns ir izveidojis saikni.”</w:t>
      </w:r>
    </w:p>
    <w:p w:rsidR="0082247B" w:rsidRPr="006B796E" w:rsidRDefault="0082247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5.3.3. Praktiski piemēri</w:t>
      </w:r>
    </w:p>
    <w:p w:rsidR="0082247B" w:rsidRDefault="0082247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Šķiet loģiski, ka valstu daudzpusējiem un divpusējiem nolīgumiem jābūt tai vietai, kur valdības izsaka savu apņēmību ievērot konkrētus principus un procedūras saistībā ar bērniem, kas kļuvuši par cilvēku tirdzniecības upuriem vai nonākuši grūtībās citā valstī. Bet valstij ir arī iespēja rīkoties pašai, tas ir, izvēlēties ieviest bērna interešu izskatīšanu savā lēmumu pieņemšanas procesā, kad tiek ziņots, ka bērns no šīs valsts ir identificēts citā valstī, kuras iestādes ir nolēmušas, ka bērns jārepatriē. Labs piemērs tam ir Moldovas Republika. 2008. gadā tā uzsāka reformu virkni, kuru augstākā virsotne bija 2013. gadā pieņemtais jaunais likums, kas </w:t>
      </w:r>
      <w:r w:rsidRPr="006B796E">
        <w:rPr>
          <w:rFonts w:ascii="Times New Roman" w:eastAsia="Times New Roman" w:hAnsi="Times New Roman" w:cs="Times New Roman"/>
          <w:sz w:val="24"/>
          <w:szCs w:val="24"/>
          <w:lang w:eastAsia="lv-LV"/>
        </w:rPr>
        <w:lastRenderedPageBreak/>
        <w:t>garantēja, ka Moldovas iestādes ievēros ārvalstīs identificēto Moldovas bērnu pamattiesības, kad tiek izvērtēta iespējamā repatriācija, jo īpaši, ka lēmumos, kas skar bērnu, atsevišķa bērna interesēm būtu jābūt primārajam apsvērumam.</w:t>
      </w:r>
    </w:p>
    <w:p w:rsidR="0082247B" w:rsidRPr="006B796E" w:rsidRDefault="0082247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2000. gadu sākumā katru gadu no citām valstīm atpakaļ uz Moldovu tika sūtīti daudzi Moldovas bērni, kas bija kļuvuši par cilvēku tirdzniecības upuriem</w:t>
      </w:r>
      <w:r w:rsidR="0082247B">
        <w:rPr>
          <w:rStyle w:val="Vresatsauce"/>
          <w:rFonts w:ascii="Times New Roman" w:eastAsia="Times New Roman" w:hAnsi="Times New Roman" w:cs="Times New Roman"/>
          <w:sz w:val="24"/>
          <w:szCs w:val="24"/>
          <w:lang w:eastAsia="lv-LV"/>
        </w:rPr>
        <w:footnoteReference w:customMarkFollows="1" w:id="115"/>
        <w:t>114</w:t>
      </w:r>
      <w:r w:rsidRPr="006B796E">
        <w:rPr>
          <w:rFonts w:ascii="Times New Roman" w:eastAsia="Times New Roman" w:hAnsi="Times New Roman" w:cs="Times New Roman"/>
          <w:sz w:val="24"/>
          <w:szCs w:val="24"/>
          <w:lang w:eastAsia="lv-LV"/>
        </w:rPr>
        <w:t>, lai arī nav bijis oficiāli izstrādāta lēmumu pieņemšanas procesa, kurā bērna intereses tiktu skaidri ņemtas vērā, un arī ar pašiem bērniem nenotika apspriešanās par to, vai viņi vēlas atgriezties (lai arī daži bērni bija jau 16 vai 17 gadus veci).</w:t>
      </w:r>
    </w:p>
    <w:p w:rsidR="0082247B" w:rsidRPr="006B796E" w:rsidRDefault="0082247B" w:rsidP="006B796E">
      <w:pPr>
        <w:widowControl w:val="0"/>
        <w:spacing w:after="0" w:line="240" w:lineRule="auto"/>
        <w:jc w:val="both"/>
        <w:rPr>
          <w:rFonts w:ascii="Times New Roman" w:eastAsia="Times New Roman" w:hAnsi="Times New Roman" w:cs="Times New Roman"/>
          <w:sz w:val="24"/>
          <w:szCs w:val="20"/>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Ar Moldovas valdības 2008. gada 7. augusta Lēmumu Nr. 948 tika apstiprināti Noteikumi par cilvēku tirdzniecības upuru (pieaugušo un bērnu) un nelikumīgi ievestu migrantu, kā arī nepavadītu bērnu repatriēšanas procedūru.</w:t>
      </w:r>
      <w:r w:rsidR="0082247B">
        <w:rPr>
          <w:rStyle w:val="Vresatsauce"/>
          <w:rFonts w:ascii="Times New Roman" w:eastAsia="Times New Roman" w:hAnsi="Times New Roman" w:cs="Times New Roman"/>
          <w:sz w:val="24"/>
          <w:szCs w:val="24"/>
          <w:lang w:eastAsia="lv-LV"/>
        </w:rPr>
        <w:footnoteReference w:customMarkFollows="1" w:id="116"/>
        <w:t>115</w:t>
      </w:r>
      <w:r w:rsidRPr="006B796E">
        <w:rPr>
          <w:rFonts w:ascii="Times New Roman" w:eastAsia="Times New Roman" w:hAnsi="Times New Roman" w:cs="Times New Roman"/>
          <w:sz w:val="24"/>
          <w:szCs w:val="24"/>
          <w:lang w:eastAsia="lv-LV"/>
        </w:rPr>
        <w:t> Ar to tika izveidota jauna standartu un procedūru kopa, kas iestādēm ir jāievēro un kas tuvinājās valsts juridiskajām saistībām, ko tā uzņēmusies saskaņā ar BTK. </w:t>
      </w:r>
      <w:r w:rsidRPr="006B796E">
        <w:rPr>
          <w:rFonts w:ascii="Times New Roman" w:eastAsia="Times New Roman" w:hAnsi="Times New Roman" w:cs="Times New Roman"/>
          <w:i/>
          <w:iCs/>
          <w:sz w:val="24"/>
          <w:szCs w:val="24"/>
          <w:lang w:eastAsia="lv-LV"/>
        </w:rPr>
        <w:t>GRETA</w:t>
      </w:r>
      <w:r w:rsidRPr="006B796E">
        <w:rPr>
          <w:rFonts w:ascii="Times New Roman" w:eastAsia="Times New Roman" w:hAnsi="Times New Roman" w:cs="Times New Roman"/>
          <w:sz w:val="24"/>
          <w:szCs w:val="24"/>
          <w:lang w:eastAsia="lv-LV"/>
        </w:rPr>
        <w:t xml:space="preserve"> apkopoja šo noteikumu normas savā 2011. gada ziņojumā par Moldovu:</w:t>
      </w:r>
    </w:p>
    <w:p w:rsidR="0082247B" w:rsidRPr="006B796E" w:rsidRDefault="0082247B" w:rsidP="006B796E">
      <w:pPr>
        <w:widowControl w:val="0"/>
        <w:spacing w:after="0" w:line="240" w:lineRule="auto"/>
        <w:jc w:val="both"/>
        <w:rPr>
          <w:rFonts w:ascii="Times New Roman" w:eastAsia="Times New Roman" w:hAnsi="Times New Roman" w:cs="Times New Roman"/>
          <w:sz w:val="24"/>
          <w:szCs w:val="20"/>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“Minētie noteikumi paredz procedūru, kas jāievēro par repatriāciju atbildīgajām iestādēm. Tie ietver vispārīgos principus, kas piemērojami repatriācijai, kārtību, kādā notiek sadarbība ar nosūtītājas valsts iestādēm, īpašas procedūras saistībā ar bērnu repatriāciju un rehabilitāciju un pieaugušo repatriācijas un rehabilitācijas procedūras. Saskaņā ar šiem noteikumiem – tiklīdz ir saņemta informācija par Moldāvijas cilvēku tirdzniecības upura, nelegālā migranta vai nepavadīta bērna atrašanos ārvalstī, iestādēm jāinformē [Moldāvijas] Darba, sociālās aizsardzības un ģimenes lietu ministrija (DSAĢM), kas atbild par repatriācijas procedūru. Pēc risku novērtējuma pabeigšanas DSAĢM sadarbībā ar Iekšlietu ministriju, Robežapsardzes dienestu un Veselības ministriju īsteno repatriāciju. Pēc upura atpakaļnosūtīšanas uz Moldovas Republiku tiek novērtētas viņa vajadzības un tiek sniegta saskaņā ar </w:t>
      </w:r>
      <w:r w:rsidRPr="006B796E">
        <w:rPr>
          <w:rFonts w:ascii="Times New Roman" w:eastAsia="Times New Roman" w:hAnsi="Times New Roman" w:cs="Times New Roman"/>
          <w:i/>
          <w:iCs/>
          <w:sz w:val="24"/>
          <w:szCs w:val="24"/>
          <w:lang w:eastAsia="lv-LV"/>
        </w:rPr>
        <w:t>NRS</w:t>
      </w:r>
      <w:r w:rsidRPr="006B796E">
        <w:rPr>
          <w:rFonts w:ascii="Times New Roman" w:eastAsia="Times New Roman" w:hAnsi="Times New Roman" w:cs="Times New Roman"/>
          <w:sz w:val="24"/>
          <w:szCs w:val="24"/>
          <w:lang w:eastAsia="lv-LV"/>
        </w:rPr>
        <w:t xml:space="preserve"> [nacionālo nosūtīšanas sistēmu] paredzētā palīdzība un aizsardzība. Moldovas iestādes ir uzsvērušas, cik nozīmīga ir bijusi </w:t>
      </w:r>
      <w:r w:rsidRPr="006B796E">
        <w:rPr>
          <w:rFonts w:ascii="Times New Roman" w:eastAsia="Times New Roman" w:hAnsi="Times New Roman" w:cs="Times New Roman"/>
          <w:i/>
          <w:iCs/>
          <w:sz w:val="24"/>
          <w:szCs w:val="24"/>
          <w:lang w:eastAsia="lv-LV"/>
        </w:rPr>
        <w:t>IOM</w:t>
      </w:r>
      <w:r w:rsidRPr="006B796E">
        <w:rPr>
          <w:rFonts w:ascii="Times New Roman" w:eastAsia="Times New Roman" w:hAnsi="Times New Roman" w:cs="Times New Roman"/>
          <w:sz w:val="24"/>
          <w:szCs w:val="24"/>
          <w:lang w:eastAsia="lv-LV"/>
        </w:rPr>
        <w:t xml:space="preserve"> [Starptautiskā Migrācijas organizācija] un “</w:t>
      </w:r>
      <w:r w:rsidRPr="006B796E">
        <w:rPr>
          <w:rFonts w:ascii="Times New Roman" w:eastAsia="Times New Roman" w:hAnsi="Times New Roman" w:cs="Times New Roman"/>
          <w:i/>
          <w:iCs/>
          <w:sz w:val="24"/>
          <w:szCs w:val="24"/>
          <w:lang w:eastAsia="lv-LV"/>
        </w:rPr>
        <w:t>Terre des Hommes</w:t>
      </w:r>
      <w:r w:rsidRPr="006B796E">
        <w:rPr>
          <w:rFonts w:ascii="Times New Roman" w:eastAsia="Times New Roman" w:hAnsi="Times New Roman" w:cs="Times New Roman"/>
          <w:sz w:val="24"/>
          <w:szCs w:val="24"/>
          <w:lang w:eastAsia="lv-LV"/>
        </w:rPr>
        <w:t>” [starptautiskā NVO, kas vada programmas Moldovā un nodrošina tehniskās konsultācijas iestādēm] sniegtā palīdzība, veicot Moldovas cilvēku tirdzniecības upuru repatriāciju.”</w:t>
      </w:r>
      <w:r w:rsidR="0082247B">
        <w:rPr>
          <w:rStyle w:val="Vresatsauce"/>
          <w:rFonts w:ascii="Times New Roman" w:eastAsia="Times New Roman" w:hAnsi="Times New Roman" w:cs="Times New Roman"/>
          <w:sz w:val="24"/>
          <w:szCs w:val="24"/>
          <w:lang w:eastAsia="lv-LV"/>
        </w:rPr>
        <w:footnoteReference w:customMarkFollows="1" w:id="117"/>
        <w:t>116</w:t>
      </w:r>
    </w:p>
    <w:p w:rsidR="0082247B" w:rsidRDefault="0082247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Saskaņā ar šiem noteikumiem repatriācija tika padarīta brīvprātīga, “izņemot bērniem līdz 10 gadu vecumam”, tas ir, attiecībā uz bērniem, kas ir sasnieguši vismaz 10 gadu vecumu, noteikumos ir apstiprināts pienākums ievērot BTK 12. pantu, “ņemot vērā bērna vecumu un brieduma pakāpi, uzklausīt bērna viedokli attiecībā uz visiem lēmumiem un darbībām, kas varētu viņu skart, (..) tostarp par atgriešanos izcelsmes valstī, atkalapvienošanos ar bioloģisko ģimeni, paplašināto ģimeni vai par citu veidu aprūpes nodrošināšanu utt.”, un nodrošināt, ka “bērnu repatriācija ir veicama, ievērojot bērna intereses, ko norāda dokumentos, kas apstiprina, ka ir atrasts ilgtermiņa risinājums bērna aprūpei”.</w:t>
      </w:r>
    </w:p>
    <w:p w:rsidR="0082247B" w:rsidRPr="006B796E" w:rsidRDefault="0082247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Attiecīgajām Moldovas amatpersonām bija jāizveido pašiem sava izpratne par to, kas ir “padarīt, lai bērna intereses ir primārais apsvērums”, un kā ņemt vērā bērna viedokli. Šīs izpratnes veidošana bija galvenais elements, pamatojoties uz kuru mainījās agrāk pieņemtie lēmumi. Sākotnēji tika pieņemts, ka visi ārvalstīs identificētie Moldovas bērni būtu automātiski repatriējami (saskaņā ar diviem reģionālajiem nolīgumiem – Volgogradas un Kišiņevas nolīgumiem, sk. turpmāk 7.4. sadaļu). Tomēr lūzuma punkts esot bijis, kad Moldovas amatpersonas esot sākušas šaubīties, vai konkrēta Moldovas bērna repatriācija no valsts, kurā viņš ir uzturējies, patiešām ir šā bērna interesēs, jo bijuši pierādījumi, ka bērnam ir radinieki tajā valstī, bet nav neviena radinieka Moldovā. Tiklīdz Moldovas iestādes bija ierosinājušas šo jautājumu saviem kolēģiem noteiktās galamērķa valstīs, sākās šo valstu amatpersonu divpusējas sarunas.</w:t>
      </w:r>
    </w:p>
    <w:p w:rsidR="0082247B" w:rsidRPr="006B796E" w:rsidRDefault="0082247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2013. gadā Moldovas valdība nolēma, ka Darba, sociālās aizsardzības un ģimenes lietu ministrija (DSAĢM) ir galvenā ministrija, kas nodarbosies ar visiem ārpus valsts identificēto nepavadīto Moldovas bērnu gadījumiem, un Iekšlietu ministrijai būs pakārtota loma. 2013. gadā pieņemtajā Likumā par īpašu aizsardzību riskam pakļautiem bērniem un bērniem, kas nošķirti no saviem vecākiem (Likums Nr. 140</w:t>
      </w:r>
      <w:r w:rsidR="0082247B">
        <w:rPr>
          <w:rStyle w:val="Vresatsauce"/>
          <w:rFonts w:ascii="Times New Roman" w:eastAsia="Times New Roman" w:hAnsi="Times New Roman" w:cs="Times New Roman"/>
          <w:sz w:val="24"/>
          <w:szCs w:val="24"/>
          <w:lang w:eastAsia="lv-LV"/>
        </w:rPr>
        <w:footnoteReference w:customMarkFollows="1" w:id="118"/>
        <w:t>117</w:t>
      </w:r>
      <w:r w:rsidRPr="006B796E">
        <w:rPr>
          <w:rFonts w:ascii="Times New Roman" w:eastAsia="Times New Roman" w:hAnsi="Times New Roman" w:cs="Times New Roman"/>
          <w:sz w:val="24"/>
          <w:szCs w:val="24"/>
          <w:lang w:eastAsia="lv-LV"/>
        </w:rPr>
        <w:t xml:space="preserve">), tika apstiprināti daudzi 2008. gada noteikumos iekļautie principi, piemērojot tos nepavadītiem un nošķirtiem bērniem kopumā. Nākamajā gadā DSAĢM kopā ar </w:t>
      </w:r>
      <w:r w:rsidRPr="006B796E">
        <w:rPr>
          <w:rFonts w:ascii="Times New Roman" w:eastAsia="Times New Roman" w:hAnsi="Times New Roman" w:cs="Times New Roman"/>
          <w:i/>
          <w:iCs/>
          <w:sz w:val="24"/>
          <w:szCs w:val="24"/>
          <w:lang w:eastAsia="lv-LV"/>
        </w:rPr>
        <w:t>Terre des Hommes</w:t>
      </w:r>
      <w:r w:rsidRPr="006B796E">
        <w:rPr>
          <w:rFonts w:ascii="Times New Roman" w:eastAsia="Times New Roman" w:hAnsi="Times New Roman" w:cs="Times New Roman"/>
          <w:sz w:val="24"/>
          <w:szCs w:val="24"/>
          <w:lang w:eastAsia="lv-LV"/>
        </w:rPr>
        <w:t xml:space="preserve"> Moldovas biroju publicēja rokasgrāmatu par rīcību gadījumos, kas attiecas uz ārpus Moldovas identificētiem nepavadītiem vai nošķirtiem Moldovas bērniem, kuras nosaukums ir “</w:t>
      </w:r>
      <w:r w:rsidRPr="006B796E">
        <w:rPr>
          <w:rFonts w:ascii="Times New Roman" w:eastAsia="Times New Roman" w:hAnsi="Times New Roman" w:cs="Times New Roman"/>
          <w:i/>
          <w:iCs/>
          <w:sz w:val="24"/>
          <w:szCs w:val="24"/>
          <w:lang w:eastAsia="lv-LV"/>
        </w:rPr>
        <w:t>Lietu pārvaldība attiecībā uz bērniem, kuriem nav likumīga pārstāvja citu valstu teritorijā.</w:t>
      </w:r>
      <w:r w:rsidRPr="006B796E">
        <w:rPr>
          <w:rFonts w:ascii="Times New Roman" w:eastAsia="Times New Roman" w:hAnsi="Times New Roman" w:cs="Times New Roman"/>
          <w:sz w:val="24"/>
          <w:szCs w:val="24"/>
          <w:lang w:eastAsia="lv-LV"/>
        </w:rPr>
        <w:t> </w:t>
      </w:r>
      <w:r w:rsidRPr="006B796E">
        <w:rPr>
          <w:rFonts w:ascii="Times New Roman" w:eastAsia="Times New Roman" w:hAnsi="Times New Roman" w:cs="Times New Roman"/>
          <w:i/>
          <w:iCs/>
          <w:sz w:val="24"/>
          <w:szCs w:val="24"/>
          <w:lang w:eastAsia="lv-LV"/>
        </w:rPr>
        <w:t>Vadlīnijas speciālistiem</w:t>
      </w:r>
      <w:r w:rsidRPr="006B796E">
        <w:rPr>
          <w:rFonts w:ascii="Times New Roman" w:eastAsia="Times New Roman" w:hAnsi="Times New Roman" w:cs="Times New Roman"/>
          <w:sz w:val="24"/>
          <w:szCs w:val="24"/>
          <w:lang w:eastAsia="lv-LV"/>
        </w:rPr>
        <w:t>”.</w:t>
      </w:r>
      <w:r w:rsidR="00B33014">
        <w:rPr>
          <w:rStyle w:val="Vresatsauce"/>
          <w:rFonts w:ascii="Times New Roman" w:eastAsia="Times New Roman" w:hAnsi="Times New Roman" w:cs="Times New Roman"/>
          <w:sz w:val="24"/>
          <w:szCs w:val="24"/>
          <w:lang w:eastAsia="lv-LV"/>
        </w:rPr>
        <w:footnoteReference w:customMarkFollows="1" w:id="119"/>
        <w:t>118</w:t>
      </w:r>
      <w:r w:rsidRPr="006B796E">
        <w:rPr>
          <w:rFonts w:ascii="Times New Roman" w:eastAsia="Times New Roman" w:hAnsi="Times New Roman" w:cs="Times New Roman"/>
          <w:sz w:val="24"/>
          <w:szCs w:val="24"/>
          <w:lang w:eastAsia="lv-LV"/>
        </w:rPr>
        <w:t> Tā tika izstrādāta, pamatojoties uz zināšanām un pieredzi, kas tika uzkrāta, novērtējot atsevišķu bērnu lietas iepriekšējo sešu gadu laikā. Ministrija pieņēma šo rokasgrāmatu kā valdības Lēmuma Nr. 948 un Repatriācijas noteikumu īstenošanas līdzekli. Rokasgrāmatā ir ietverta plūsmas diagramma (“Lietu pārvaldība attiecībā uz bērniem, kuriem nav likumīga pārstāvja citu valstu teritorijā”), atveidojot nosūtīšanas sistēmu, kas Moldovas iestādēm jāievēro, jo īpaši attiecībā uz bērniem, kas varētu būt cilvēku tirdzniecības upuri.</w:t>
      </w:r>
    </w:p>
    <w:p w:rsidR="0082247B" w:rsidRPr="006B796E" w:rsidRDefault="0082247B" w:rsidP="006B796E">
      <w:pPr>
        <w:widowControl w:val="0"/>
        <w:spacing w:after="0" w:line="240" w:lineRule="auto"/>
        <w:jc w:val="both"/>
        <w:rPr>
          <w:rFonts w:ascii="Times New Roman" w:eastAsia="Times New Roman" w:hAnsi="Times New Roman" w:cs="Times New Roman"/>
          <w:sz w:val="24"/>
          <w:szCs w:val="20"/>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Rokasgrāmatā ir sniegti praktiski ieteikumi. Tajā ir ietverti padomi par katram bērnam sagatavojamo aprūpes plānu saturu, kādas darbības būtu veicamas kurā brīdī, kādiem konkrētiem bērna situācijas aspektiem ir nepieciešama īpaša uzraudzība un kādos apstākļos var uzskatīt, ka lieta ir atrisināta un ir jāslēdz.</w:t>
      </w:r>
    </w:p>
    <w:p w:rsidR="00B33014" w:rsidRPr="006B796E" w:rsidRDefault="00B33014"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Līdztekus Krievijas Nacionālais cietsirdīgas attieksmes pret bērniem novēršanas fonds sadarbībā ar </w:t>
      </w:r>
      <w:r w:rsidRPr="006B796E">
        <w:rPr>
          <w:rFonts w:ascii="Times New Roman" w:eastAsia="Times New Roman" w:hAnsi="Times New Roman" w:cs="Times New Roman"/>
          <w:i/>
          <w:iCs/>
          <w:sz w:val="24"/>
          <w:szCs w:val="24"/>
          <w:lang w:eastAsia="lv-LV"/>
        </w:rPr>
        <w:t>Terre des Hommes</w:t>
      </w:r>
      <w:r w:rsidRPr="006B796E">
        <w:rPr>
          <w:rFonts w:ascii="Times New Roman" w:eastAsia="Times New Roman" w:hAnsi="Times New Roman" w:cs="Times New Roman"/>
          <w:sz w:val="24"/>
          <w:szCs w:val="24"/>
          <w:lang w:eastAsia="lv-LV"/>
        </w:rPr>
        <w:t xml:space="preserve"> 2012. gadā Krievijā publicēja mācību materiālus par to, kā rosināt bērnus izteikt savu viedokli un kā viņus uzklausīt </w:t>
      </w:r>
      <w:r w:rsidRPr="006B796E">
        <w:rPr>
          <w:rFonts w:ascii="Times New Roman" w:eastAsia="Times New Roman" w:hAnsi="Times New Roman" w:cs="Times New Roman"/>
          <w:i/>
          <w:iCs/>
          <w:sz w:val="24"/>
          <w:szCs w:val="24"/>
          <w:lang w:eastAsia="lv-LV"/>
        </w:rPr>
        <w:t>(Как Услышать Ребенка,</w:t>
      </w:r>
      <w:r w:rsidR="00B33014">
        <w:rPr>
          <w:rStyle w:val="Vresatsauce"/>
          <w:rFonts w:ascii="Times New Roman" w:eastAsia="Times New Roman" w:hAnsi="Times New Roman" w:cs="Times New Roman"/>
          <w:i/>
          <w:iCs/>
          <w:sz w:val="24"/>
          <w:szCs w:val="24"/>
          <w:lang w:eastAsia="lv-LV"/>
        </w:rPr>
        <w:footnoteReference w:customMarkFollows="1" w:id="120"/>
        <w:t>119</w:t>
      </w:r>
      <w:r w:rsidRPr="006B796E">
        <w:rPr>
          <w:rFonts w:ascii="Times New Roman" w:eastAsia="Times New Roman" w:hAnsi="Times New Roman" w:cs="Times New Roman"/>
          <w:sz w:val="24"/>
          <w:szCs w:val="24"/>
          <w:lang w:eastAsia="lv-LV"/>
        </w:rPr>
        <w:t xml:space="preserve"> “Kā uzklausīt bērnu”). Šie materiāli palīdz Krievijas Federācijas bērnu aizsardzības speciālistiem sekot lēmumu pieņemšanas procesam, ko izmanto aizbildniecības iestādes. Speciālistiem </w:t>
      </w:r>
      <w:r w:rsidRPr="006B796E">
        <w:rPr>
          <w:rFonts w:ascii="Times New Roman" w:eastAsia="Times New Roman" w:hAnsi="Times New Roman" w:cs="Times New Roman"/>
          <w:sz w:val="24"/>
          <w:szCs w:val="24"/>
          <w:lang w:eastAsia="lv-LV"/>
        </w:rPr>
        <w:lastRenderedPageBreak/>
        <w:t>paredzētajā publikācijas versijā ir iekļauts padoms, kā runāt ar lielākiem un mazākiem bērniem tā, lai izdibinātu jēgpilnas atbildes.</w:t>
      </w:r>
    </w:p>
    <w:p w:rsidR="00B33014" w:rsidRDefault="00B33014" w:rsidP="006B796E">
      <w:pPr>
        <w:widowControl w:val="0"/>
        <w:spacing w:after="0" w:line="240" w:lineRule="auto"/>
        <w:jc w:val="both"/>
        <w:rPr>
          <w:rFonts w:ascii="Times New Roman" w:eastAsia="Times New Roman" w:hAnsi="Times New Roman" w:cs="Times New Roman"/>
          <w:sz w:val="24"/>
          <w:szCs w:val="24"/>
          <w:lang w:eastAsia="lv-LV"/>
        </w:rPr>
      </w:pPr>
    </w:p>
    <w:p w:rsidR="00B33014" w:rsidRPr="006B796E" w:rsidRDefault="00B33014"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B33014">
      <w:pPr>
        <w:widowControl w:val="0"/>
        <w:spacing w:after="0" w:line="240" w:lineRule="auto"/>
        <w:jc w:val="center"/>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“Pēc identifikācijas bērniem, kas ir cilvēku tirdzniecības upuri, vajadzības gadījumā nodrošināt aizbildni un/vai juridisko pārstāvi visos palīdzības, (re)integrācijas un/vai atpakaļnosūtīšanas posmos un nodrošināt bērnu cilvēktiesību aizsardzību.”</w:t>
      </w:r>
    </w:p>
    <w:p w:rsidR="00B33014" w:rsidRDefault="00B33014" w:rsidP="00B33014">
      <w:pPr>
        <w:widowControl w:val="0"/>
        <w:spacing w:after="0" w:line="240" w:lineRule="auto"/>
        <w:jc w:val="center"/>
        <w:rPr>
          <w:rFonts w:ascii="Times New Roman" w:eastAsia="Times New Roman" w:hAnsi="Times New Roman" w:cs="Times New Roman"/>
          <w:sz w:val="24"/>
          <w:szCs w:val="24"/>
          <w:lang w:eastAsia="lv-LV"/>
        </w:rPr>
      </w:pPr>
    </w:p>
    <w:p w:rsidR="00D6592D" w:rsidRDefault="00D6592D" w:rsidP="00B33014">
      <w:pPr>
        <w:widowControl w:val="0"/>
        <w:spacing w:after="0" w:line="240" w:lineRule="auto"/>
        <w:jc w:val="center"/>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(PC.DEC/685, Papildinājums EDSO Rīcības plānam cilvēku tirdzniecības apkarošanai – Risinot bērnu, kas ir cilvēku tirdzniecības upuri, īpašās vajadzības būt pasargātiem un saņemt palīdzību; ieteicamās darbības valsts līmenī)</w:t>
      </w:r>
    </w:p>
    <w:p w:rsidR="00B33014" w:rsidRDefault="00B33014">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2F1BEE" w:rsidRDefault="002F1BEE" w:rsidP="006B796E">
      <w:pPr>
        <w:widowControl w:val="0"/>
        <w:spacing w:after="0" w:line="240" w:lineRule="auto"/>
        <w:jc w:val="both"/>
        <w:rPr>
          <w:rFonts w:ascii="Times New Roman" w:eastAsia="Times New Roman" w:hAnsi="Times New Roman" w:cs="Times New Roman"/>
          <w:b/>
          <w:bCs/>
          <w:sz w:val="24"/>
          <w:szCs w:val="24"/>
          <w:lang w:eastAsia="lv-LV"/>
        </w:rPr>
      </w:pPr>
      <w:r w:rsidRPr="002F1BEE">
        <w:rPr>
          <w:rFonts w:ascii="Times New Roman" w:eastAsia="Times New Roman" w:hAnsi="Times New Roman" w:cs="Times New Roman"/>
          <w:b/>
          <w:bCs/>
          <w:noProof/>
          <w:sz w:val="24"/>
          <w:szCs w:val="24"/>
          <w:lang w:eastAsia="lv-LV"/>
        </w:rPr>
        <w:lastRenderedPageBreak/>
        <w:drawing>
          <wp:inline distT="0" distB="0" distL="0" distR="0">
            <wp:extent cx="5760085" cy="7649594"/>
            <wp:effectExtent l="0" t="0" r="0" b="889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7649594"/>
                    </a:xfrm>
                    <a:prstGeom prst="rect">
                      <a:avLst/>
                    </a:prstGeom>
                    <a:noFill/>
                    <a:ln>
                      <a:noFill/>
                    </a:ln>
                  </pic:spPr>
                </pic:pic>
              </a:graphicData>
            </a:graphic>
          </wp:inline>
        </w:drawing>
      </w:r>
    </w:p>
    <w:p w:rsidR="002F1BEE" w:rsidRDefault="002F1BEE" w:rsidP="006B796E">
      <w:pPr>
        <w:widowControl w:val="0"/>
        <w:spacing w:after="0" w:line="240" w:lineRule="auto"/>
        <w:jc w:val="both"/>
        <w:rPr>
          <w:rFonts w:ascii="Times New Roman" w:eastAsia="Times New Roman" w:hAnsi="Times New Roman" w:cs="Times New Roman"/>
          <w:b/>
          <w:bCs/>
          <w:sz w:val="24"/>
          <w:szCs w:val="24"/>
          <w:lang w:eastAsia="lv-LV"/>
        </w:rPr>
      </w:pPr>
    </w:p>
    <w:p w:rsidR="00B33014" w:rsidRDefault="00B33014">
      <w:pP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br w:type="page"/>
      </w: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lastRenderedPageBreak/>
        <w:t>6.1. Atlabšana un “reintegrācija”</w:t>
      </w:r>
    </w:p>
    <w:p w:rsidR="00B33014" w:rsidRDefault="00B33014"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Starpiestāžu grupa bērnu reintegrācijas jautājumos 2016. gadā izdeva </w:t>
      </w:r>
      <w:r w:rsidRPr="006B796E">
        <w:rPr>
          <w:rFonts w:ascii="Times New Roman" w:eastAsia="Times New Roman" w:hAnsi="Times New Roman" w:cs="Times New Roman"/>
          <w:i/>
          <w:iCs/>
          <w:sz w:val="24"/>
          <w:szCs w:val="24"/>
          <w:lang w:eastAsia="lv-LV"/>
        </w:rPr>
        <w:t>Reintegrācijas vadlīniju</w:t>
      </w:r>
      <w:r w:rsidRPr="006B796E">
        <w:rPr>
          <w:rFonts w:ascii="Times New Roman" w:eastAsia="Times New Roman" w:hAnsi="Times New Roman" w:cs="Times New Roman"/>
          <w:sz w:val="24"/>
          <w:szCs w:val="24"/>
          <w:lang w:eastAsia="lv-LV"/>
        </w:rPr>
        <w:t xml:space="preserve"> kopumu.</w:t>
      </w:r>
      <w:r w:rsidR="00B33014">
        <w:rPr>
          <w:rStyle w:val="Vresatsauce"/>
          <w:rFonts w:ascii="Times New Roman" w:eastAsia="Times New Roman" w:hAnsi="Times New Roman" w:cs="Times New Roman"/>
          <w:sz w:val="24"/>
          <w:szCs w:val="24"/>
          <w:lang w:eastAsia="lv-LV"/>
        </w:rPr>
        <w:footnoteReference w:customMarkFollows="1" w:id="121"/>
        <w:t>120</w:t>
      </w:r>
      <w:r w:rsidRPr="006B796E">
        <w:rPr>
          <w:rFonts w:ascii="Times New Roman" w:eastAsia="Times New Roman" w:hAnsi="Times New Roman" w:cs="Times New Roman"/>
          <w:sz w:val="24"/>
          <w:szCs w:val="24"/>
          <w:lang w:eastAsia="lv-LV"/>
        </w:rPr>
        <w:t> Tajās ir skaidrots, ka “reintegrācija” ir “process, kurā tiek panākts, ka nošķirts bērns, domājams, pastāvīgi atgriežas pie savas ģimenes un kopienas (kas parasti ir viņa izcelsmes kopiena), lai saņemtu aizsardzību un aprūpi un lai rastu piederības sajūtu un mērķus visās dzīves jomās”. Atsevišķā ziņojumā, kas tika sagatavots, pamatojoties konkrēti uz to organizāciju pieredzi, kas atbalsta cilvēku tirdzniecībā cietušo pieaugušo un bērnu integrāciju, kuri nākuši no Dienvidaustrumeiropas valstīm, ir likts cits uzsvars (proti, “reintegrācija” tiek norādīta kā “re/integrācija”, pamatojoties uz to, ka dažkārt ir vēlams cilvēku tirdzniecības upuri integrēt vidē, kurā šis upuris iepriekš nav dzīvojis):</w:t>
      </w:r>
    </w:p>
    <w:p w:rsidR="00B33014" w:rsidRDefault="00B33014"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“Re/integrācija ir atlabšanas un ekonomiskās un sociālās iekļaušanas process pēc piedzīvotas cilvēku tirdzniecības. Tas ietver apmešanos stabilā un drošā vidē, saprātīga dzīves līmeņa pieejamību, garīgo un fizisko labklājību, personīgās, sociālās un ekonomiskās izaugsmes iespējas un sociālā un emocionālā atbalsta pieejamību. Tas var ietvert atgriešanos savā ģimenē un/vai izcelsmes kopienā; tas var ietvert arī integrāciju jaunā kopienā un pat jaunā valstī.”</w:t>
      </w:r>
      <w:r w:rsidR="00B33014">
        <w:rPr>
          <w:rStyle w:val="Vresatsauce"/>
          <w:rFonts w:ascii="Times New Roman" w:eastAsia="Times New Roman" w:hAnsi="Times New Roman" w:cs="Times New Roman"/>
          <w:sz w:val="24"/>
          <w:szCs w:val="24"/>
          <w:lang w:eastAsia="lv-LV"/>
        </w:rPr>
        <w:footnoteReference w:customMarkFollows="1" w:id="122"/>
        <w:t>121</w:t>
      </w:r>
    </w:p>
    <w:p w:rsidR="00B33014" w:rsidRDefault="00B33014"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Attiecībā uz skolas vecuma bērniem, neatkarīgi no tā, vai viņi jau apmeklē vai vēl neapmeklē skolu, atlabšanas procesā viņiem ir jādod iespēja pēc iespējas drīzāk sākt vai atsākt formālo izglītību. Attiecībā uz vecākiem bērniem, kuri nevēlas atgriezties skolā, visticamāk, piemērotāki būs citi apmācības veidi vai sagatavošana darba dzīvei.</w:t>
      </w:r>
    </w:p>
    <w:p w:rsidR="00B33014" w:rsidRPr="006B796E" w:rsidRDefault="00B33014"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6.2. Lietu pārvaldība un aprūpes plāni</w:t>
      </w:r>
    </w:p>
    <w:p w:rsidR="00B33014" w:rsidRDefault="00B33014"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Bērniem, kuriem aprūpi vai palīdzību sniedz bērnu aizsardzības iestāde, ir jāsagatavo aprūpes plāns, kas ir izstrādāts katram konkrētajam bērnam (pamatojoties uz viņa konkrētajām vajadzībām un lēmumiem, kas pieņemti attiecībā uz viņa nākotni ilgtermiņā). Attiecīgais bērns nedrīkstētu būt šā plāna objekts, bet gan plāns ir jāpakārto bērnam. Tas nozīmē, ka, gatavojot plānu, iestādēm ir jāapspriežas ar bērnu un jāapņemas to pildīt. Bērniem, kuriem tie, kam ir pilnvaras, norāda, ko darīt un kur iet, un kuriem nav iespējas ietekmēt šos lēmumus, ir liegta spēja kontrolēt savu dzīvi, un šī situācija ir līdzīga tai, kādu šie bērni ir piedzīvojuši, būdami cilvēku tirgotāja kontrolē.</w:t>
      </w:r>
    </w:p>
    <w:p w:rsidR="00B33014" w:rsidRPr="006B796E" w:rsidRDefault="00B33014"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Izstrādājot aprūpes plānu bērnam, kas ir cilvēku tirdzniecības upuris, daudzējādā ziņā var ievērot to pašu procesu, ko izmanto attiecībā uz citiem bērnu aizsardzības gadījumiem. Piemēram, Zviedrijas </w:t>
      </w:r>
      <w:r w:rsidRPr="006B796E">
        <w:rPr>
          <w:rFonts w:ascii="Times New Roman" w:eastAsia="Times New Roman" w:hAnsi="Times New Roman" w:cs="Times New Roman"/>
          <w:i/>
          <w:iCs/>
          <w:sz w:val="24"/>
          <w:szCs w:val="24"/>
          <w:lang w:eastAsia="lv-LV"/>
        </w:rPr>
        <w:t>NRM</w:t>
      </w:r>
      <w:r w:rsidRPr="006B796E">
        <w:rPr>
          <w:rFonts w:ascii="Times New Roman" w:eastAsia="Times New Roman" w:hAnsi="Times New Roman" w:cs="Times New Roman"/>
          <w:sz w:val="24"/>
          <w:szCs w:val="24"/>
          <w:lang w:eastAsia="lv-LV"/>
        </w:rPr>
        <w:t xml:space="preserve"> noteikts šādi:</w:t>
      </w:r>
    </w:p>
    <w:p w:rsidR="00B33014" w:rsidRPr="006B796E" w:rsidRDefault="00B33014"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“Individuālais rīcības plāns ir jāparaksta personai, kas saņems pakalpojumus, un, ja plāns attiecas uz bērnu, – attiecīgajam sociālo dienestu pārstāvim. Ar bērna parakstu un piekrišanu vien nepietiek. Attiecībā uz bērnu plāns ir jāizstrādā, ņemot vērā bērna skatupunktu</w:t>
      </w:r>
      <w:r w:rsidR="007A0EC8">
        <w:rPr>
          <w:rStyle w:val="Vresatsauce"/>
          <w:rFonts w:ascii="Times New Roman" w:eastAsia="Times New Roman" w:hAnsi="Times New Roman" w:cs="Times New Roman"/>
          <w:sz w:val="24"/>
          <w:szCs w:val="24"/>
          <w:lang w:eastAsia="lv-LV"/>
        </w:rPr>
        <w:footnoteReference w:customMarkFollows="1" w:id="123"/>
        <w:t>122</w:t>
      </w:r>
      <w:r w:rsidRPr="006B796E">
        <w:rPr>
          <w:rFonts w:ascii="Times New Roman" w:eastAsia="Times New Roman" w:hAnsi="Times New Roman" w:cs="Times New Roman"/>
          <w:sz w:val="24"/>
          <w:szCs w:val="24"/>
          <w:lang w:eastAsia="lv-LV"/>
        </w:rPr>
        <w:t xml:space="preserve"> un sociālo dienestu novērtējumu par to, kas ir bērna interesēs. Saziņā ir jāietver pilnīga informācija par pieejamajiem pasākumiem un pakalpojumiem, tostarp tiesībām un pienākumiem, kas ir ar tiem saistīti.”</w:t>
      </w:r>
      <w:r w:rsidR="007A0EC8">
        <w:rPr>
          <w:rStyle w:val="Vresatsauce"/>
          <w:rFonts w:ascii="Times New Roman" w:eastAsia="Times New Roman" w:hAnsi="Times New Roman" w:cs="Times New Roman"/>
          <w:sz w:val="24"/>
          <w:szCs w:val="24"/>
          <w:lang w:eastAsia="lv-LV"/>
        </w:rPr>
        <w:footnoteReference w:customMarkFollows="1" w:id="124"/>
        <w:t>123</w:t>
      </w:r>
    </w:p>
    <w:p w:rsidR="00B33014" w:rsidRDefault="00B33014"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Valstīs, kas vēl nav izstrādājušas konkrētas aizsardzības un palīdzības sniegšanas procedūras bērniem, kas ir cilvēku tirdzniecības upuri, esošās iestādes un procedūras var tomēr ļaut sagatavot apmierinošus aprūpes plānus. Piemēram, ANO īpašais referents par bērnu tirdzniecību, bērnu prostitūciju un bērnu pornogrāfiju savas vizītes laikā Kirgizstānā 2013. gadā bija atzīmējis, ka trūkst resursu, lai finansētu bērnu aizsardzības darbības, tomēr bērniem, kas nonākuši grūtībās, 2012. gadā bija izstrādāti 11 000 individuālo plānu.</w:t>
      </w:r>
      <w:r w:rsidR="007A0EC8">
        <w:rPr>
          <w:rStyle w:val="Vresatsauce"/>
          <w:rFonts w:ascii="Times New Roman" w:eastAsia="Times New Roman" w:hAnsi="Times New Roman" w:cs="Times New Roman"/>
          <w:sz w:val="24"/>
          <w:szCs w:val="24"/>
          <w:lang w:eastAsia="lv-LV"/>
        </w:rPr>
        <w:footnoteReference w:customMarkFollows="1" w:id="125"/>
        <w:t>124</w:t>
      </w:r>
    </w:p>
    <w:p w:rsidR="00B33014" w:rsidRPr="006B796E" w:rsidRDefault="00B33014"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6.2.1. Palīdzība, izstrādājot “dzīves plānu”, lai bērns varētu atlabt ilgtermiņā</w:t>
      </w:r>
    </w:p>
    <w:p w:rsidR="007A0EC8" w:rsidRDefault="007A0EC8"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Eiropas Padomes Ministru komiteja 2007. gadā ieteica dalībvalstu reģionālajām organizācijām izstrādāt tā dēvētos “dzīves plānus” nepavadītiem un nošķirtiem bērniem migrantiem, kas atrodas to teritorijā (tostarp bēgļiem un cilvēku tirdzniecības upuriem).</w:t>
      </w:r>
      <w:r w:rsidR="007A0EC8">
        <w:rPr>
          <w:rStyle w:val="Vresatsauce"/>
          <w:rFonts w:ascii="Times New Roman" w:eastAsia="Times New Roman" w:hAnsi="Times New Roman" w:cs="Times New Roman"/>
          <w:sz w:val="24"/>
          <w:szCs w:val="24"/>
          <w:lang w:eastAsia="lv-LV"/>
        </w:rPr>
        <w:footnoteReference w:customMarkFollows="1" w:id="126"/>
        <w:t>125</w:t>
      </w:r>
      <w:r w:rsidRPr="006B796E">
        <w:rPr>
          <w:rFonts w:ascii="Times New Roman" w:eastAsia="Times New Roman" w:hAnsi="Times New Roman" w:cs="Times New Roman"/>
          <w:sz w:val="24"/>
          <w:szCs w:val="24"/>
          <w:lang w:eastAsia="lv-LV"/>
        </w:rPr>
        <w:t> Ieteikuma pielikumā skaidrots, ka dzīves plāns ir katram konkrētam bērnam domāts rīks, kas ir nepavadītā bērna un kompetento iestāžu “kopīga apņemšanās” uz noteiktu laiku un kurā ir noteiktas bērna gaidas, vēlmes un uztvere, kā arī situācija uzņemošajā valstī (“politiskais, tiesiskais un sociālais kultūras konteksts; iespēju pieejamība nepilngadīgajam, tostarp pieejamā atbalsta līmenis un pakāpe; iespēja palikt uzņemošajā valstī; integrācijas iespējas uzņemošajā valstī”). Dzīves plāns ir domāts tam, lai “definētu nepilngadīgā nākotnes izredzes, bez diskriminācijas veicinātu bērna intereses un ilgtermiņā reaģētu uz nepilngadīgā un iesaistīto pušu vajadzībām”. Pielikumā paskaidrots, ka, tiklīdz plāns ir izstrādāts, “tam jāpiešķir oficiāls statuss, noslēdzot rakstisku vienošanos, kurā noteiktas abu pušu attiecīgās apņemšanās un kuru ir parakstījušas šīs abas puses un/vai migranta statusā esošās nepavadītās nepilngadīgās personas aizbildnis”.</w:t>
      </w:r>
    </w:p>
    <w:p w:rsidR="007A0EC8" w:rsidRPr="006B796E" w:rsidRDefault="007A0EC8"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Kopumā Ieteikums ir izstrādāts, lai nepavadītiem bērniem būtu iespēja attīstīties drošā vidē, zinot, kādi resursi viņiem ir pieejami un kādi nav pieejami. NVO, kas rūpējas par bērnu atlabšanu, ir novērojušas, ka šāda ilgtermiņa plānošana bieži vien ir noderīga. Bērniem, kas ir piedzīvojuši galēju nedrošību, būdami cilvēku tirdzniecības upuri, dzīves plāns ir ilgtermiņa plāns, nevis tikai aprūpes un rīcības plāns, un potenciāli veicina bērna pilnīgu atlabšanu un reintegrāciju.</w:t>
      </w:r>
    </w:p>
    <w:p w:rsidR="007A0EC8" w:rsidRPr="006B796E" w:rsidRDefault="007A0EC8"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6.3. Vidēji ilgas un ilgstošas izmitināšanas iespējas bērniem, kas ir cilvēku tirdzniecības upuri</w:t>
      </w:r>
    </w:p>
    <w:p w:rsidR="007A0EC8" w:rsidRDefault="007A0EC8"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ANO Pamatnostādnēs par bērnu alternatīvo aprūpi ir paredzēti pieci bērnu alternatīvās aprūpes veidi:</w:t>
      </w:r>
      <w:r w:rsidR="007A0EC8">
        <w:rPr>
          <w:rStyle w:val="Vresatsauce"/>
          <w:rFonts w:ascii="Times New Roman" w:eastAsia="Times New Roman" w:hAnsi="Times New Roman" w:cs="Times New Roman"/>
          <w:sz w:val="24"/>
          <w:szCs w:val="24"/>
          <w:lang w:eastAsia="lv-LV"/>
        </w:rPr>
        <w:footnoteReference w:customMarkFollows="1" w:id="127"/>
        <w:t>126</w:t>
      </w:r>
    </w:p>
    <w:p w:rsidR="007A0EC8" w:rsidRPr="006B796E" w:rsidRDefault="007A0EC8"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I. radinieku veikta aprūpe (t. i., aprūpe ģimenē, ko nodrošina bērna paplašinātā ģimene vai tuvi ģimenes draugi, kurus bērns pazīst);</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II. aprūpe audžuģimenē;</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III. citi aprūpes veidi ģimenē un ģimenei līdzīgā vidē;</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IV. aprūpe iestādē – aprūpe, ko nodrošina grupās ārpus ģimenes vides, iestādēs, tostarp grupu mājās, kas organizētas ārkārtas aprūpei vai īstermiņa un ilgtermiņa aprūpei iestādē;</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V. bērnu patstāvīga dzīve, atrodoties uzraudzībā.</w:t>
      </w:r>
    </w:p>
    <w:p w:rsidR="007A0EC8" w:rsidRDefault="007A0EC8"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Lēmumi par alternatīvo aprūpi ir periodiski jāpārskata. Tas, kas var būt atbilstošs 17 gadus vecam bērnam, kurš joprojām atlabst no saistībā ar cilvēku tirdzniecību gūtās traumas, var nederēt tāda paša vecuma bērnam, kurš jau pārsvarā ir atguvies, jau ir pavadījis 18 mēnešus aprūpes iestādē un vēlas atrast darbu un sākt pelnīt naudu. Šāds bērns varētu vēlēties palikt dzīvot uzraudzītā, bet zināmā veidā daļēji neatkarīgā vidē (piemēram, vienā dzīvoklī kopā ar citiem jauniešiem, kas atlabst no līdzīgas pieredzes, nedzīvojot kopā ar aprūpētāju, bet uzraugs regulāri apmeklē šo dzīvokli).</w:t>
      </w:r>
    </w:p>
    <w:p w:rsidR="007A0EC8" w:rsidRPr="006B796E" w:rsidRDefault="007A0EC8"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Tas nozīmē, ka valstij ir jānodrošina pietiekami resursi sociālo dienestu filiālei, kas atbild par bērnu aizsardzību, vai NVO, kas palīdz bērniem atlabt, lai šīs iestādes varētu veikt periodisku pārskatīšanu un, iespējams, secīgi pārvietot attiecīgos jauniešus atšķirīgos sadzīves apstākļos, kas pakāpeniski ļauj attīstīt viņu neatkarību. Pretstatā tam vairākās valstīs veiktā pētījumā tika konstatēts, ka šajās valstīs bērni, kas ir identificēti kā cilvēku tirdzniecības upuri, bieži vien ilgstoši – vienā gadījumā pat piecus gadus – uzturas patvēruma iestādēs.</w:t>
      </w:r>
      <w:r w:rsidR="007A0EC8">
        <w:rPr>
          <w:rStyle w:val="Vresatsauce"/>
          <w:rFonts w:ascii="Times New Roman" w:eastAsia="Times New Roman" w:hAnsi="Times New Roman" w:cs="Times New Roman"/>
          <w:sz w:val="24"/>
          <w:szCs w:val="24"/>
          <w:lang w:eastAsia="lv-LV"/>
        </w:rPr>
        <w:footnoteReference w:customMarkFollows="1" w:id="128"/>
        <w:t>127</w:t>
      </w:r>
    </w:p>
    <w:p w:rsidR="007A0EC8" w:rsidRPr="006B796E" w:rsidRDefault="007A0EC8"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Ir gūta liela pieredze par to, kāda veida alternatīvā aprūpe un atbalsts ir izrādījies pozitīvākais bērniem, kuri atlabst no dažāda smaguma traumām, kas gūtas cilvēku tirdzniecības un ekspluatācijas rezultātā.</w:t>
      </w:r>
      <w:r w:rsidR="007A0EC8">
        <w:rPr>
          <w:rStyle w:val="Vresatsauce"/>
          <w:rFonts w:ascii="Times New Roman" w:eastAsia="Times New Roman" w:hAnsi="Times New Roman" w:cs="Times New Roman"/>
          <w:sz w:val="24"/>
          <w:szCs w:val="24"/>
          <w:lang w:eastAsia="lv-LV"/>
        </w:rPr>
        <w:footnoteReference w:customMarkFollows="1" w:id="129"/>
        <w:t>128</w:t>
      </w:r>
      <w:r w:rsidRPr="006B796E">
        <w:rPr>
          <w:rFonts w:ascii="Times New Roman" w:eastAsia="Times New Roman" w:hAnsi="Times New Roman" w:cs="Times New Roman"/>
          <w:sz w:val="24"/>
          <w:szCs w:val="24"/>
          <w:lang w:eastAsia="lv-LV"/>
        </w:rPr>
        <w:t> Gūtās atziņas ir svarīgas, lai valstis varētu tās ņemt vērā, izstrādājot bērnu atlabšanas veicināšanas politiku, jo īpaši atziņas par nepieciešamajiem resursiem.</w:t>
      </w:r>
    </w:p>
    <w:p w:rsidR="007A0EC8" w:rsidRPr="006B796E" w:rsidRDefault="007A0EC8"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6.4. Darbības, kas veicamas, lai mazinātu varbūtību, ka bērni nonāk atpakaļ cilvēku tirgotāju kontrolē vai pazūd bez vēsts</w:t>
      </w:r>
    </w:p>
    <w:p w:rsidR="007A0EC8" w:rsidRDefault="007A0EC8"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Cilvēku tirgotāji zina, kā manipulēt ar bērnu aizsardzības sistēmām un imigrācijas iestādēm. Jau 1990. gados bija pierādījumi tam, ka cilvēku tirgotāji dažkārt ir devuši norādes nepavadītiem bērniem doties uz oficiālajiem robežkontroles punktiem un tad imigrācijas amatpersonām lūgt patvērumu vai palīdzību, precīzi zinot, ka tā viņi tiek ielaisti valstī un viņiem tiek piešķirta pagaidu izmitināšana. Šādos gadījumos bērni tad iziet ārā, vai nu kad viņus pasauc cilvēku tirgotājs, vai saskaņā ar iepriekš izstrādātu plānu. Valsts iestādes uz šo risku ir reaģējušas dažādos veidos. Dažas ir uzskatījušas, ka ir pamatoti un saprātīgi liegt šādiem bērniem visu veidu sakaru līdzekļus (konfiscējot mobilos telefonus un ļaujot veikt zvanus tikai uzraudzībā) un ievietot viņus “slēgtā” izmitināšanas centrā (tas ir, ieslodzīt viņus, lai arī tikai pašu bērnu labā). Citas ir mēģinājušas izmantot daudzas citas metodes, tostarp ievietojot šos bērnus aprūpei audžuģimenē. Tomēr tika konstatēts, ka bērni turpina iet vai bēgt prom no izmitināšanas iestādēm, kurās tie tika ievietoti.</w:t>
      </w:r>
    </w:p>
    <w:p w:rsidR="007A0EC8" w:rsidRPr="006B796E" w:rsidRDefault="007A0EC8"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Ir daudz iemeslu, kāpēc nepavadīti bērni pamet aprūpes iestādi. Nav zināms, cik no viņiem nonāk atpakaļ cilvēku tirgotāju kontrolē. </w:t>
      </w:r>
      <w:r w:rsidRPr="006B796E">
        <w:rPr>
          <w:rFonts w:ascii="Times New Roman" w:eastAsia="Times New Roman" w:hAnsi="Times New Roman" w:cs="Times New Roman"/>
          <w:i/>
          <w:iCs/>
          <w:sz w:val="24"/>
          <w:szCs w:val="24"/>
          <w:lang w:eastAsia="lv-LV"/>
        </w:rPr>
        <w:t>EUROPOL</w:t>
      </w:r>
      <w:r w:rsidRPr="006B796E">
        <w:rPr>
          <w:rFonts w:ascii="Times New Roman" w:eastAsia="Times New Roman" w:hAnsi="Times New Roman" w:cs="Times New Roman"/>
          <w:sz w:val="24"/>
          <w:szCs w:val="24"/>
          <w:lang w:eastAsia="lv-LV"/>
        </w:rPr>
        <w:t xml:space="preserve"> 2016. gada sākumā bija guvis lielu publicitāti, kad bija ziņojis, ka “Eiropā ir pazuduši 10 000 nepavadītu vai nošķirtu bērnu”</w:t>
      </w:r>
      <w:r w:rsidR="00281759">
        <w:rPr>
          <w:rStyle w:val="Vresatsauce"/>
          <w:rFonts w:ascii="Times New Roman" w:eastAsia="Times New Roman" w:hAnsi="Times New Roman" w:cs="Times New Roman"/>
          <w:sz w:val="24"/>
          <w:szCs w:val="24"/>
          <w:lang w:eastAsia="lv-LV"/>
        </w:rPr>
        <w:footnoteReference w:customMarkFollows="1" w:id="130"/>
        <w:t>129</w:t>
      </w:r>
      <w:r w:rsidRPr="006B796E">
        <w:rPr>
          <w:rFonts w:ascii="Times New Roman" w:eastAsia="Times New Roman" w:hAnsi="Times New Roman" w:cs="Times New Roman"/>
          <w:sz w:val="24"/>
          <w:szCs w:val="24"/>
          <w:lang w:eastAsia="lv-LV"/>
        </w:rPr>
        <w:t xml:space="preserve">, </w:t>
      </w:r>
      <w:r w:rsidRPr="006B796E">
        <w:rPr>
          <w:rFonts w:ascii="Times New Roman" w:eastAsia="Times New Roman" w:hAnsi="Times New Roman" w:cs="Times New Roman"/>
          <w:sz w:val="24"/>
          <w:szCs w:val="24"/>
          <w:lang w:eastAsia="lv-LV"/>
        </w:rPr>
        <w:lastRenderedPageBreak/>
        <w:t xml:space="preserve">taču tā ir tikai aplēse, kas norāda, ka ne bērnu aizsardzības, ne imigrācijas iestādes nezina, kas ir noticis ar šiem bērniem. Itālijas īpašais komisārs pazudušo cilvēku jautājumos bija ziņojis, ka saskaņā ar </w:t>
      </w:r>
      <w:r w:rsidRPr="006B796E">
        <w:rPr>
          <w:rFonts w:ascii="Times New Roman" w:eastAsia="Times New Roman" w:hAnsi="Times New Roman" w:cs="Times New Roman"/>
          <w:i/>
          <w:iCs/>
          <w:sz w:val="24"/>
          <w:szCs w:val="24"/>
          <w:lang w:eastAsia="lv-LV"/>
        </w:rPr>
        <w:t>UNICEF</w:t>
      </w:r>
      <w:r w:rsidRPr="006B796E">
        <w:rPr>
          <w:rFonts w:ascii="Times New Roman" w:eastAsia="Times New Roman" w:hAnsi="Times New Roman" w:cs="Times New Roman"/>
          <w:sz w:val="24"/>
          <w:szCs w:val="24"/>
          <w:lang w:eastAsia="lv-LV"/>
        </w:rPr>
        <w:t xml:space="preserve"> datiem tikai Itālijā vien 2016. gadā vismaz 28 000 nepavadītu bērnu bija aizmukuši no Itālijas uzņemšanas centriem.</w:t>
      </w:r>
      <w:r w:rsidR="00281759">
        <w:rPr>
          <w:rStyle w:val="Vresatsauce"/>
          <w:rFonts w:ascii="Times New Roman" w:eastAsia="Times New Roman" w:hAnsi="Times New Roman" w:cs="Times New Roman"/>
          <w:sz w:val="24"/>
          <w:szCs w:val="24"/>
          <w:lang w:eastAsia="lv-LV"/>
        </w:rPr>
        <w:footnoteReference w:customMarkFollows="1" w:id="131"/>
        <w:t>130</w:t>
      </w:r>
    </w:p>
    <w:p w:rsidR="00281759" w:rsidRPr="006B796E" w:rsidRDefault="00281759"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6.4.1. Risināt spiedienu, kas liek bērniem, kuri ir cilvēku tirdzniecības upuri, “pazust” un atgriezties pie cilvēku tirgotājiem</w:t>
      </w:r>
    </w:p>
    <w:p w:rsidR="00281759" w:rsidRDefault="00281759"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Daudzviet Eiropā tiesībsargājošo un bērnu aizsardzības amatpersonu pieredze rāda, ka bērni saņem norādījumus no cilvēku tirgotājiem, kā viņiem jārīkojas, ja amatpersona viņu ir apturējusi, arestējusi vai ievietojusi alternatīvās aprūpes iestādē. Tas nozīmē, ka pēc ievietošanas izmitināšanas iestādē daži no tās aiziet atpakaļ pie personas, kas bērnu kontrolē. Ja izmitināšanas iestādei rūp un tā atbalsta, ka bērni saņem pietiekami kvalitatīvu aprūpi, tas var motivēt bērnus palikt; tomēr amatpersonas, kas bērnam ir svešas, jo īpaši mazākiem (pirmspubertātes vecuma) bērniem, visticamāk, nespēs pretdarboties bērnu kontrolējošās personas/cilvēku tirgotāja spēcīgajai ietekmei. Tas pats attiecas uz bērniem (galvenokārt pusaugu meitenēm), kas ir iemīlējušās vīrietī, kurš patiesībā ir suteners un cilvēku tirgotājs. Vecāki bērni bieži vien, tāpat kā pieaugušie, apzinās pret sevi un ģimeni izdarīto spiedienu atmaksāt parādu vai pildīt citas cilvēku tirgotāju vai naudas aizdevēju saistības. Iestāde, kas viņus ir identificējusi un vēlas viņus pasargāt, var, iespējams, rīkoties, lai pretdarbotos šim spiedienam, taču, lai to darītu, ir pilnībā jāsaprot šā spiediena būtība, kā arī tas, kā to var mazināt.</w:t>
      </w:r>
    </w:p>
    <w:p w:rsidR="00281759" w:rsidRPr="006B796E" w:rsidRDefault="00281759"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Turpmāk 6.5. sadaļā minēto Vjetnamas bērnu gadījumā tas nozīmē, ka bija jāatrod veids, kā apturēt izmaksu pieaugumu par aizdevumiem, kas paņemti, lai samaksātu par šo bērnu braucienu uz Apvienotā Karalisti (sarežģīts process, jo bija pienācīgi jāsadarbojas ar iestādēm Vjetnamā, lai anulētu šos parādus vai apturētu procentu turpmāko iekasēšanu). Nigērijas pusaudžu gadījumā, kas bija ieradušies Itālijā, daži no viņiem pirms došanās prom no mājām bija devuši rituālo zvērestu (Nigērijā sauktu par “</w:t>
      </w:r>
      <w:r w:rsidRPr="006B796E">
        <w:rPr>
          <w:rFonts w:ascii="Times New Roman" w:eastAsia="Times New Roman" w:hAnsi="Times New Roman" w:cs="Times New Roman"/>
          <w:i/>
          <w:iCs/>
          <w:sz w:val="24"/>
          <w:szCs w:val="24"/>
          <w:lang w:eastAsia="lv-LV"/>
        </w:rPr>
        <w:t>žu-žu</w:t>
      </w:r>
      <w:r w:rsidRPr="006B796E">
        <w:rPr>
          <w:rFonts w:ascii="Times New Roman" w:eastAsia="Times New Roman" w:hAnsi="Times New Roman" w:cs="Times New Roman"/>
          <w:sz w:val="24"/>
          <w:szCs w:val="24"/>
          <w:lang w:eastAsia="lv-LV"/>
        </w:rPr>
        <w:t>”) nopelnīt pietiekami daudz naudas, lai atmaksātu sava tā dēvētā brauciena izmaksas, kas nozīmē, ka bija jāmazina bērnu pārdabiskās bailes, kā arī viņu bažas par fiziskiem draudiem sev un saviem tuviniekiem. Abos gadījumos, lai tiktu rasts risinājums, ir nepieciešama cieša sadarbība ar bērna izcelsmes valsts amatpersonām gan valsts, gan vietējā līmenī, kuras var risināt jautājumus par parādu un par draudiem, kas vērsti pret šiem domājamajiem parādniekiem.</w:t>
      </w:r>
    </w:p>
    <w:p w:rsidR="00281759" w:rsidRPr="006B796E" w:rsidRDefault="00281759"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6.4.2. Vai bērnu, kas ir cilvēku tirdzniecības upuris, turēt apcietinājumā, lai novērstu viņa atkārtotu tirdzniecību?</w:t>
      </w:r>
    </w:p>
    <w:p w:rsidR="00281759" w:rsidRDefault="00281759"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Norvēģijā saskaņā ar 2012. gada Likumu par bērnu labklājību nepavadītus bērnus ir atļauts turēt līdz 6 mēnešiem slēgtā iestādē bez bērna piekrišanas gadījumos, kad tiek uzskatīts, ka pastāv bērna tirdzniecības vai atkārtotas tirdzniecības risks, galvenokārt, lai novērstu bērna saskari ar </w:t>
      </w:r>
      <w:r w:rsidRPr="006B796E">
        <w:rPr>
          <w:rFonts w:ascii="Times New Roman" w:eastAsia="Times New Roman" w:hAnsi="Times New Roman" w:cs="Times New Roman"/>
          <w:sz w:val="24"/>
          <w:szCs w:val="24"/>
          <w:lang w:eastAsia="lv-LV"/>
        </w:rPr>
        <w:lastRenderedPageBreak/>
        <w:t xml:space="preserve">cilvēku tirgotāju (Likuma 4-29. pants). Šiem bērniem var ierobežot arī viņu tiesības zvanīt pa telefonu un izmantot internetu. Šos noteikumus izmanto tikai tad, ja tiek uzskatīts, ka bērnu nevar aizsargāt ar citiem līdzekļiem. 2013. gadā </w:t>
      </w:r>
      <w:r w:rsidRPr="006B796E">
        <w:rPr>
          <w:rFonts w:ascii="Times New Roman" w:eastAsia="Times New Roman" w:hAnsi="Times New Roman" w:cs="Times New Roman"/>
          <w:i/>
          <w:iCs/>
          <w:sz w:val="24"/>
          <w:szCs w:val="24"/>
          <w:lang w:eastAsia="lv-LV"/>
        </w:rPr>
        <w:t>GRETA</w:t>
      </w:r>
      <w:r w:rsidRPr="006B796E">
        <w:rPr>
          <w:rFonts w:ascii="Times New Roman" w:eastAsia="Times New Roman" w:hAnsi="Times New Roman" w:cs="Times New Roman"/>
          <w:sz w:val="24"/>
          <w:szCs w:val="24"/>
          <w:lang w:eastAsia="lv-LV"/>
        </w:rPr>
        <w:t xml:space="preserve"> aicināja Norvēģijas iestādes, lai tās 2012. gada Likumā par bērnu labklājību, kas tiek pārskatīts, ieviestu jaunus pasākumus, “lai nodrošinātu atbilstību starptautiskajiem standartiem par bērna tiesībām, jo īpaši to, lai brīvības atņemšana bērnam būtu galējais līdzeklis”.</w:t>
      </w:r>
      <w:r w:rsidR="00281759">
        <w:rPr>
          <w:rStyle w:val="Vresatsauce"/>
          <w:rFonts w:ascii="Times New Roman" w:eastAsia="Times New Roman" w:hAnsi="Times New Roman" w:cs="Times New Roman"/>
          <w:sz w:val="24"/>
          <w:szCs w:val="24"/>
          <w:lang w:eastAsia="lv-LV"/>
        </w:rPr>
        <w:footnoteReference w:customMarkFollows="1" w:id="132"/>
        <w:t>131</w:t>
      </w:r>
    </w:p>
    <w:p w:rsidR="00281759" w:rsidRPr="006B796E" w:rsidRDefault="00281759"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Pēc tam tika ziņots, ka 50 bērni laikposmā no 2012. gada līdz 2015. gada sākumam tika ievietoti tā dēvētajā aizsardzības ieslodzījuma vietā (27 meitenes, 22 zēni, viena bērna dzimums nav zināms). Tika ziņots, ka slēgtajās iestādēs bērni tika turēti no divām nedēļām līdz sešiem mēnešiem, vidējais turēšanas ilgums bija apmēram astoņas nedēļas. Meitenes tika turētas ieslodzījumā vidēji ilgāku laiku nekā zēni – pētnieki domā, tas bijis tāpēc, ka meitenes bijušas pakļautas seksuālai izmantošanai un, visticamāk, bija slepus aizmukušas ar cilvēku tirgotāju, kuram bija sentimentāli pieķērušās.</w:t>
      </w:r>
      <w:r w:rsidR="00281759">
        <w:rPr>
          <w:rStyle w:val="Vresatsauce"/>
          <w:rFonts w:ascii="Times New Roman" w:eastAsia="Times New Roman" w:hAnsi="Times New Roman" w:cs="Times New Roman"/>
          <w:sz w:val="24"/>
          <w:szCs w:val="24"/>
          <w:lang w:eastAsia="lv-LV"/>
        </w:rPr>
        <w:footnoteReference w:customMarkFollows="1" w:id="133"/>
        <w:t>132</w:t>
      </w:r>
      <w:r w:rsidRPr="006B796E">
        <w:rPr>
          <w:rFonts w:ascii="Times New Roman" w:eastAsia="Times New Roman" w:hAnsi="Times New Roman" w:cs="Times New Roman"/>
          <w:sz w:val="24"/>
          <w:szCs w:val="24"/>
          <w:lang w:eastAsia="lv-LV"/>
        </w:rPr>
        <w:t xml:space="preserve"> 2017. gadā </w:t>
      </w:r>
      <w:r w:rsidRPr="006B796E">
        <w:rPr>
          <w:rFonts w:ascii="Times New Roman" w:eastAsia="Times New Roman" w:hAnsi="Times New Roman" w:cs="Times New Roman"/>
          <w:i/>
          <w:iCs/>
          <w:sz w:val="24"/>
          <w:szCs w:val="24"/>
          <w:lang w:eastAsia="lv-LV"/>
        </w:rPr>
        <w:t>GRETA</w:t>
      </w:r>
      <w:r w:rsidRPr="006B796E">
        <w:rPr>
          <w:rFonts w:ascii="Times New Roman" w:eastAsia="Times New Roman" w:hAnsi="Times New Roman" w:cs="Times New Roman"/>
          <w:sz w:val="24"/>
          <w:szCs w:val="24"/>
          <w:lang w:eastAsia="lv-LV"/>
        </w:rPr>
        <w:t xml:space="preserve"> Norvēģijas iestādēm uzsvēra, ka saskaņā ar Eiropas Padomes Konvencijas 12. panta 7. punktu</w:t>
      </w:r>
    </w:p>
    <w:p w:rsidR="00281759" w:rsidRPr="006B796E" w:rsidRDefault="00281759" w:rsidP="006B796E">
      <w:pPr>
        <w:widowControl w:val="0"/>
        <w:spacing w:after="0" w:line="240" w:lineRule="auto"/>
        <w:jc w:val="both"/>
        <w:rPr>
          <w:rFonts w:ascii="Times New Roman" w:eastAsia="Times New Roman" w:hAnsi="Times New Roman" w:cs="Times New Roman"/>
          <w:sz w:val="24"/>
          <w:szCs w:val="20"/>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“bērni, kas, iespējams, ir cilvēku tirdzniecības upuri, ir jāizmitina atbilstoši viņu īpašajām vajadzībām. </w:t>
      </w:r>
      <w:r w:rsidRPr="006B796E">
        <w:rPr>
          <w:rFonts w:ascii="Times New Roman" w:eastAsia="Times New Roman" w:hAnsi="Times New Roman" w:cs="Times New Roman"/>
          <w:i/>
          <w:iCs/>
          <w:sz w:val="24"/>
          <w:szCs w:val="24"/>
          <w:lang w:eastAsia="lv-LV"/>
        </w:rPr>
        <w:t>GRETA</w:t>
      </w:r>
      <w:r w:rsidRPr="006B796E">
        <w:rPr>
          <w:rFonts w:ascii="Times New Roman" w:eastAsia="Times New Roman" w:hAnsi="Times New Roman" w:cs="Times New Roman"/>
          <w:sz w:val="24"/>
          <w:szCs w:val="24"/>
          <w:lang w:eastAsia="lv-LV"/>
        </w:rPr>
        <w:t xml:space="preserve"> atzīmē, ka bērnu ievietošana iestādē saskaņā ar Likuma par bērnu labklājību 4–29. pantu praktiski ir apcietinājums, un atgādina Konvencijas Paskaidrojuma raksta 155. punktu un ANO Bērnu tiesību konvencijas 37. panta b) punktu, saskaņā ar kuru bērna apcietināšana jāizmanto tikai kā galējas nepieciešamības līdzeklis un uz iespējami īsāku laiku. </w:t>
      </w:r>
      <w:r w:rsidRPr="006B796E">
        <w:rPr>
          <w:rFonts w:ascii="Times New Roman" w:eastAsia="Times New Roman" w:hAnsi="Times New Roman" w:cs="Times New Roman"/>
          <w:i/>
          <w:iCs/>
          <w:sz w:val="24"/>
          <w:szCs w:val="24"/>
          <w:lang w:eastAsia="lv-LV"/>
        </w:rPr>
        <w:t>GRETA</w:t>
      </w:r>
      <w:r w:rsidRPr="006B796E">
        <w:rPr>
          <w:rFonts w:ascii="Times New Roman" w:eastAsia="Times New Roman" w:hAnsi="Times New Roman" w:cs="Times New Roman"/>
          <w:sz w:val="24"/>
          <w:szCs w:val="24"/>
          <w:lang w:eastAsia="lv-LV"/>
        </w:rPr>
        <w:t xml:space="preserve"> uzskata, ka bērna interešu princips vienmēr pilnībā jāievēro un ka Norvēģijas iestādēm jāpārskata Likuma par bērnu labklājību 4–29. panta piemērošana.”</w:t>
      </w:r>
      <w:r w:rsidR="00281759">
        <w:rPr>
          <w:rStyle w:val="Vresatsauce"/>
          <w:rFonts w:ascii="Times New Roman" w:eastAsia="Times New Roman" w:hAnsi="Times New Roman" w:cs="Times New Roman"/>
          <w:sz w:val="24"/>
          <w:szCs w:val="24"/>
          <w:lang w:eastAsia="lv-LV"/>
        </w:rPr>
        <w:footnoteReference w:customMarkFollows="1" w:id="134"/>
        <w:t>133</w:t>
      </w:r>
    </w:p>
    <w:p w:rsidR="00281759" w:rsidRPr="006B796E" w:rsidRDefault="00281759"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6.5. Bērnu pazušanas iespēju mazināšana</w:t>
      </w:r>
    </w:p>
    <w:p w:rsidR="00281759" w:rsidRDefault="00281759"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To bērnu vidū, kas slapstās no aprūpes iestādēm Apvienotajā Karalistē, ir daudz jauniešu no Vjetnamas.</w:t>
      </w:r>
      <w:r w:rsidR="00281759">
        <w:rPr>
          <w:rStyle w:val="Vresatsauce"/>
          <w:rFonts w:ascii="Times New Roman" w:eastAsia="Times New Roman" w:hAnsi="Times New Roman" w:cs="Times New Roman"/>
          <w:sz w:val="24"/>
          <w:szCs w:val="24"/>
          <w:lang w:eastAsia="lv-LV"/>
        </w:rPr>
        <w:footnoteReference w:customMarkFollows="1" w:id="135"/>
        <w:t>134</w:t>
      </w:r>
      <w:r w:rsidRPr="006B796E">
        <w:rPr>
          <w:rFonts w:ascii="Times New Roman" w:eastAsia="Times New Roman" w:hAnsi="Times New Roman" w:cs="Times New Roman"/>
          <w:sz w:val="24"/>
          <w:szCs w:val="24"/>
          <w:lang w:eastAsia="lv-LV"/>
        </w:rPr>
        <w:t xml:space="preserve"> Daži no viņiem tika ievietoti aprūpes iestādēs pēc tam, kad tika konstatēts, ka viņi (nelegāli) strādā par dārzniekiem tā dēvētajās “kaņepju fermās” (proti, mājās ar aizklātiem logiem, kur audzē marihuānas kaņepes, izmantojot mākslīgo siltumu un gaismu). Citi tur tika ievietoti, kad policija vai citas iestādes konstatēja, ka viņi ir migranti bez dokumentiem. Kopējais ik gadu no aprūpes iestādēm aizmukušo bērnu skaits publiski nav zināms. Tomēr vienreiz 2017. gada decembrī policija vienā apgabalā bija publicējusi </w:t>
      </w:r>
      <w:r w:rsidRPr="006B796E">
        <w:rPr>
          <w:rFonts w:ascii="Times New Roman" w:eastAsia="Times New Roman" w:hAnsi="Times New Roman" w:cs="Times New Roman"/>
          <w:sz w:val="24"/>
          <w:szCs w:val="24"/>
          <w:lang w:eastAsia="lv-LV"/>
        </w:rPr>
        <w:lastRenderedPageBreak/>
        <w:t>13 Vjetnamas jauniešu sejas attēlus un personas datus, jo šie jaunieši bija izgājuši no aprūpes iestādēm, kas atrodas divās šā apgabala pilsētās.</w:t>
      </w:r>
      <w:r w:rsidR="00281759">
        <w:rPr>
          <w:rStyle w:val="Vresatsauce"/>
          <w:rFonts w:ascii="Times New Roman" w:eastAsia="Times New Roman" w:hAnsi="Times New Roman" w:cs="Times New Roman"/>
          <w:sz w:val="24"/>
          <w:szCs w:val="24"/>
          <w:lang w:eastAsia="lv-LV"/>
        </w:rPr>
        <w:footnoteReference w:customMarkFollows="1" w:id="136"/>
        <w:t>135</w:t>
      </w:r>
    </w:p>
    <w:p w:rsidR="00281759" w:rsidRPr="006B796E" w:rsidRDefault="00281759"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Tika noteiktas dažādas metodes, kas bērna, kurš, iespējams, ir cilvēku tirdzniecības upuris, aiziešanu no aprūpes iestādes padara vairāk vai mazāk iespējamu. Nesenajā ziņojumā tika atzīmēts, ka. “domājams, ka tas, ka netika apmeklēts izmitināšanas centrs, lai iepazītos ar vjetnamiešu bērniem, arī palielināja šo bērnu pazušanas risku (..). Kopumā visi piekrīt tam, ka bērni, kas ir cilvēku tirdzniecības upuri, drošāk un labāk jūtas, ja ir ievietoti specializētā audžuģimenē (..). Ziemeļīrijas komisārs bērnu un jauniešu lietās vēlētos, lai nošķirtie bērni tiktu ievietoti audžuģimenē, taču šāda iespēja pašreiz nav pieejama.”</w:t>
      </w:r>
      <w:r w:rsidR="00281759">
        <w:rPr>
          <w:rStyle w:val="Vresatsauce"/>
          <w:rFonts w:ascii="Times New Roman" w:eastAsia="Times New Roman" w:hAnsi="Times New Roman" w:cs="Times New Roman"/>
          <w:sz w:val="24"/>
          <w:szCs w:val="24"/>
          <w:lang w:eastAsia="lv-LV"/>
        </w:rPr>
        <w:footnoteReference w:customMarkFollows="1" w:id="137"/>
        <w:t>136</w:t>
      </w:r>
    </w:p>
    <w:p w:rsidR="00281759" w:rsidRPr="006B796E" w:rsidRDefault="00281759" w:rsidP="006B796E">
      <w:pPr>
        <w:widowControl w:val="0"/>
        <w:spacing w:after="0" w:line="240" w:lineRule="auto"/>
        <w:jc w:val="both"/>
        <w:rPr>
          <w:rFonts w:ascii="Times New Roman" w:eastAsia="Times New Roman" w:hAnsi="Times New Roman" w:cs="Times New Roman"/>
          <w:sz w:val="24"/>
          <w:szCs w:val="20"/>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Londonas piepilsētā, kurā atrodas lielākā Londonas lidosta (Hilingdona), bērnu aizsardzības iestāde 2014. gadā ir pieņēmusi Kopīgo protokolu par bērniem un jauniešiem, kas aizbēg no aprūpes iestādēm vai mājām vai ir bezvēsts prombūtnē. Protokols ir paredzēts visiem Hilingdonā dzīvojošiem bērniem un jauniešiem, kas dodas bezvēsts prombūtnē (ne tikai nepavadītiem bērniem, kas ieradušies lidostā). Tajā ir iekļauts noteikums, ka “novērtēšanas procedūrās, tostarp APN [agrīnas palīdzības novērtējumā], ko īsteno dažādas iestādes, jāietver aizbēgšanas riska indikatori”.</w:t>
      </w:r>
      <w:r w:rsidR="00281759">
        <w:rPr>
          <w:rStyle w:val="Vresatsauce"/>
          <w:rFonts w:ascii="Times New Roman" w:eastAsia="Times New Roman" w:hAnsi="Times New Roman" w:cs="Times New Roman"/>
          <w:sz w:val="24"/>
          <w:szCs w:val="24"/>
          <w:lang w:eastAsia="lv-LV"/>
        </w:rPr>
        <w:footnoteReference w:customMarkFollows="1" w:id="138"/>
        <w:t>137</w:t>
      </w:r>
      <w:r w:rsidRPr="006B796E">
        <w:rPr>
          <w:rFonts w:ascii="Times New Roman" w:eastAsia="Times New Roman" w:hAnsi="Times New Roman" w:cs="Times New Roman"/>
          <w:sz w:val="24"/>
          <w:szCs w:val="24"/>
          <w:lang w:eastAsia="lv-LV"/>
        </w:rPr>
        <w:t> Protokolā ir noteikts, kā dažādām iesaistītajām pusēm jārīkojas bērna pazušanas gadījumā – ja bērnu nevar izsekot, triju dienu laikā ir jāsasauc bērna aizsardzības stratēģijas sanāksme, lai izlemtu par turpmāko atbilstošo rīcību. Tomēr šajā protokolā ir arī noteikti preventīvie pasākumi, kas jāveic, kad bērns ir sākotnēji ievietots alternatīvās aprūpes iestādē – būtībā, izstrādājot plašāku aprūpes plānu, tā ietvaros ir jānovērtē arī bērna bezvēsts prombūtnes riski.</w:t>
      </w:r>
      <w:r w:rsidR="00281759">
        <w:rPr>
          <w:rStyle w:val="Vresatsauce"/>
          <w:rFonts w:ascii="Times New Roman" w:eastAsia="Times New Roman" w:hAnsi="Times New Roman" w:cs="Times New Roman"/>
          <w:sz w:val="24"/>
          <w:szCs w:val="24"/>
          <w:lang w:eastAsia="lv-LV"/>
        </w:rPr>
        <w:footnoteReference w:customMarkFollows="1" w:id="139"/>
        <w:t>138</w:t>
      </w:r>
    </w:p>
    <w:p w:rsidR="00281759" w:rsidRDefault="00281759"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Protokolā ietver vispārēju informāciju par bērniem, kas dodas bezvēsts prombūtnē, tostarp viņu profilu un ziņotās tipiskās bezvēsts prombūtnē došanās shēmas. Ietver arī plūsmas diagrammu, kas parāda, kam jādara kas. Protokolā ir skaidri norādīti galvenie jautājumi par dažādu iestāžu </w:t>
      </w:r>
      <w:r w:rsidRPr="006B796E">
        <w:rPr>
          <w:rFonts w:ascii="Times New Roman" w:eastAsia="Times New Roman" w:hAnsi="Times New Roman" w:cs="Times New Roman"/>
          <w:sz w:val="24"/>
          <w:szCs w:val="24"/>
          <w:lang w:eastAsia="lv-LV"/>
        </w:rPr>
        <w:lastRenderedPageBreak/>
        <w:t>atbildību: “Kad ir paziņots par bērna bezvēsts pazušanu bērnu dienesti [bērnu aizsardzības iestāde] joprojām ir atbildīgi par to aprūpē nodoto bērnu. Iestāde netiek atbrīvota no šīs atbildības, kad par bērna pazušanu tiek paziņots policijai”, un “tiklīdz policijai tiek paziņots par bērna pazušanu, policija prioritāri veic izmeklēšanu, lai sameklētu bērnu.”</w:t>
      </w:r>
    </w:p>
    <w:p w:rsidR="00281759" w:rsidRPr="006B796E" w:rsidRDefault="00281759"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Praksē, ja nepavadīts bērns Apvienotajā Karalistē ir bezvēsts prombūtnē, viņu izsekot joprojām ir grūti, daļēji tāpēc, ka nav šādu bērnu centrālā reģistra. NVO “Nacionālā cietsirdīgas attieksmes pret bērniem novēršanas biedrība” [</w:t>
      </w:r>
      <w:r w:rsidRPr="006B796E">
        <w:rPr>
          <w:rFonts w:ascii="Times New Roman" w:eastAsia="Times New Roman" w:hAnsi="Times New Roman" w:cs="Times New Roman"/>
          <w:i/>
          <w:iCs/>
          <w:sz w:val="24"/>
          <w:szCs w:val="24"/>
          <w:lang w:eastAsia="lv-LV"/>
        </w:rPr>
        <w:t>National Society for the Prevention of Cruelty to Children</w:t>
      </w:r>
      <w:r w:rsidRPr="006B796E">
        <w:rPr>
          <w:rFonts w:ascii="Times New Roman" w:eastAsia="Times New Roman" w:hAnsi="Times New Roman" w:cs="Times New Roman"/>
          <w:sz w:val="24"/>
          <w:szCs w:val="24"/>
          <w:lang w:eastAsia="lv-LV"/>
        </w:rPr>
        <w:t>] ir izveidojusi Bērnu, kas ir cilvēku tirdzniecības upuri, konsultatīvo centru, kam esot būtiska loma, meklējot, kur atrodas bezvēsts pazudušie bērni, kuri ir cilvēku tirdzniecības upuri vai par kuriem ir šādas aizdomas (vienlaikus tiek apstiprināta ar specializētajām NVO ciešā sadarbībā strādājošo valsts iestāžu nozīme). Vienā gadījumā NVO bija sazinājusies ar Bērnu, kas ir cilvēku tirdzniecības upuri, konsultatīvo centru, kad bez vēsts bija pazudis bērns Kentā, AK galējos dienvidaustrumos. Centram sadarbībā ar policiju, vietējās pašvaldības iestādēm un citām iestādēm bija izdevies atklāt, ka šis bērns ir izmitināts Glāzgovā, valsts otrā galā.</w:t>
      </w:r>
      <w:r w:rsidR="00281759">
        <w:rPr>
          <w:rStyle w:val="Vresatsauce"/>
          <w:rFonts w:ascii="Times New Roman" w:eastAsia="Times New Roman" w:hAnsi="Times New Roman" w:cs="Times New Roman"/>
          <w:sz w:val="24"/>
          <w:szCs w:val="24"/>
          <w:lang w:eastAsia="lv-LV"/>
        </w:rPr>
        <w:footnoteReference w:customMarkFollows="1" w:id="140"/>
        <w:t>139</w:t>
      </w:r>
    </w:p>
    <w:p w:rsidR="00281759" w:rsidRDefault="00281759">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2F1BEE" w:rsidRDefault="002F1BEE" w:rsidP="006B796E">
      <w:pPr>
        <w:widowControl w:val="0"/>
        <w:spacing w:after="0" w:line="240" w:lineRule="auto"/>
        <w:jc w:val="both"/>
        <w:rPr>
          <w:rFonts w:ascii="Times New Roman" w:eastAsia="Times New Roman" w:hAnsi="Times New Roman" w:cs="Times New Roman"/>
          <w:b/>
          <w:bCs/>
          <w:sz w:val="24"/>
          <w:szCs w:val="24"/>
          <w:lang w:eastAsia="lv-LV"/>
        </w:rPr>
      </w:pPr>
      <w:r w:rsidRPr="002F1BEE">
        <w:rPr>
          <w:rFonts w:ascii="Times New Roman" w:eastAsia="Times New Roman" w:hAnsi="Times New Roman" w:cs="Times New Roman"/>
          <w:b/>
          <w:bCs/>
          <w:noProof/>
          <w:sz w:val="24"/>
          <w:szCs w:val="24"/>
          <w:lang w:eastAsia="lv-LV"/>
        </w:rPr>
        <w:lastRenderedPageBreak/>
        <w:drawing>
          <wp:inline distT="0" distB="0" distL="0" distR="0">
            <wp:extent cx="5760085" cy="7709112"/>
            <wp:effectExtent l="0" t="0" r="0" b="635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085" cy="7709112"/>
                    </a:xfrm>
                    <a:prstGeom prst="rect">
                      <a:avLst/>
                    </a:prstGeom>
                    <a:noFill/>
                    <a:ln>
                      <a:noFill/>
                    </a:ln>
                  </pic:spPr>
                </pic:pic>
              </a:graphicData>
            </a:graphic>
          </wp:inline>
        </w:drawing>
      </w:r>
    </w:p>
    <w:p w:rsidR="002F1BEE" w:rsidRDefault="002F1BEE" w:rsidP="006B796E">
      <w:pPr>
        <w:widowControl w:val="0"/>
        <w:spacing w:after="0" w:line="240" w:lineRule="auto"/>
        <w:jc w:val="both"/>
        <w:rPr>
          <w:rFonts w:ascii="Times New Roman" w:eastAsia="Times New Roman" w:hAnsi="Times New Roman" w:cs="Times New Roman"/>
          <w:b/>
          <w:bCs/>
          <w:sz w:val="24"/>
          <w:szCs w:val="24"/>
          <w:lang w:eastAsia="lv-LV"/>
        </w:rPr>
      </w:pPr>
    </w:p>
    <w:p w:rsidR="00281759" w:rsidRDefault="00281759">
      <w:pP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br w:type="page"/>
      </w: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lastRenderedPageBreak/>
        <w:t>7.1. Pamatprincipi</w:t>
      </w:r>
    </w:p>
    <w:p w:rsidR="00281759" w:rsidRDefault="00281759"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Nesenajā (2017) Kopīgajā vispārējā komentārā Visu migrējošo darba ņēmēju un viņu ģimenes locekļu tiesību aizsardzības komiteja un Bērnu tiesību komiteja norādīja, ka, ja tiek pieņemts lēmums, ka bērna nosūtīšana atpakaļ uz viņa izcelsmes valsti ir bērna interesēs, iespēju robežās kopā ar bērnu jāsagatavo individuālais plāns viņa ilgtspējīgai reintegrācijai.</w:t>
      </w:r>
      <w:r w:rsidR="00114C5F">
        <w:rPr>
          <w:rStyle w:val="Vresatsauce"/>
          <w:rFonts w:ascii="Times New Roman" w:eastAsia="Times New Roman" w:hAnsi="Times New Roman" w:cs="Times New Roman"/>
          <w:sz w:val="24"/>
          <w:szCs w:val="24"/>
          <w:lang w:eastAsia="lv-LV"/>
        </w:rPr>
        <w:footnoteReference w:customMarkFollows="1" w:id="141"/>
        <w:t>140</w:t>
      </w:r>
      <w:r w:rsidRPr="006B796E">
        <w:rPr>
          <w:rFonts w:ascii="Times New Roman" w:eastAsia="Times New Roman" w:hAnsi="Times New Roman" w:cs="Times New Roman"/>
          <w:sz w:val="24"/>
          <w:szCs w:val="24"/>
          <w:lang w:eastAsia="lv-LV"/>
        </w:rPr>
        <w:t xml:space="preserve"> Bērnu tiesību komiteja arī komentēja, kādos apstākļos nepavadīta bērna atpakaļnosūtīšana uz izcelsmes valsti </w:t>
      </w:r>
      <w:r w:rsidRPr="006B796E">
        <w:rPr>
          <w:rFonts w:ascii="Times New Roman" w:eastAsia="Times New Roman" w:hAnsi="Times New Roman" w:cs="Times New Roman"/>
          <w:sz w:val="24"/>
          <w:szCs w:val="24"/>
          <w:u w:val="single"/>
          <w:lang w:eastAsia="lv-LV"/>
        </w:rPr>
        <w:t>nav</w:t>
      </w:r>
      <w:r w:rsidRPr="006B796E">
        <w:rPr>
          <w:rFonts w:ascii="Times New Roman" w:eastAsia="Times New Roman" w:hAnsi="Times New Roman" w:cs="Times New Roman"/>
          <w:sz w:val="24"/>
          <w:szCs w:val="24"/>
          <w:lang w:eastAsia="lv-LV"/>
        </w:rPr>
        <w:t xml:space="preserve"> atbilstīga</w:t>
      </w:r>
      <w:r w:rsidR="00114C5F">
        <w:rPr>
          <w:rStyle w:val="Vresatsauce"/>
          <w:rFonts w:ascii="Times New Roman" w:eastAsia="Times New Roman" w:hAnsi="Times New Roman" w:cs="Times New Roman"/>
          <w:sz w:val="24"/>
          <w:szCs w:val="24"/>
          <w:lang w:eastAsia="lv-LV"/>
        </w:rPr>
        <w:footnoteReference w:customMarkFollows="1" w:id="142"/>
        <w:t>141</w:t>
      </w:r>
      <w:r w:rsidRPr="006B796E">
        <w:rPr>
          <w:rFonts w:ascii="Times New Roman" w:eastAsia="Times New Roman" w:hAnsi="Times New Roman" w:cs="Times New Roman"/>
          <w:sz w:val="24"/>
          <w:szCs w:val="24"/>
          <w:lang w:eastAsia="lv-LV"/>
        </w:rPr>
        <w:t>, un uzskaitīja, kādi faktori ir jāņem vērā, kad tiek apsvērts, vai būtu atbilstīgi bērnu sūtīt atpakaļ uz viņa izcelsmes valsti.</w:t>
      </w:r>
      <w:r w:rsidR="00114C5F">
        <w:rPr>
          <w:rStyle w:val="Vresatsauce"/>
          <w:rFonts w:ascii="Times New Roman" w:eastAsia="Times New Roman" w:hAnsi="Times New Roman" w:cs="Times New Roman"/>
          <w:sz w:val="24"/>
          <w:szCs w:val="24"/>
          <w:lang w:eastAsia="lv-LV"/>
        </w:rPr>
        <w:footnoteReference w:customMarkFollows="1" w:id="143"/>
        <w:t>142</w:t>
      </w:r>
    </w:p>
    <w:p w:rsidR="00281759" w:rsidRPr="006B796E" w:rsidRDefault="00281759"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Vispārējos starptautiskajos standartos ir arī saskaņots nepavadītu vai nošķirtu bērnu nogādāšanas transports. Starpiestāžu darba grupa nepavadītu un nošķirtu bērnu jautājumos ir izdevusi instrumentu kopumu, kurā atzīmē, ka “nosūtīšanas apstākļiem ir jābūt tādiem, lai tiktu ievēroti vispārējie bērna drošības principi (likumīgā aizbildņa piekrišana, eskorts, ja bērns 15 gadus vecs vai jaunāks, īpaši drošības apsvērumi un uzticams biedriskums 16–18 gadus veciem bērniem, medicīniskais eskorts meitenēm grūtniecības stāvoklī un īpaša uzmanība attiecībā uz meitenēm māmiņām un bērniem invalīdiem, utt.)”.</w:t>
      </w:r>
      <w:r w:rsidR="00114C5F">
        <w:rPr>
          <w:rStyle w:val="Vresatsauce"/>
          <w:rFonts w:ascii="Times New Roman" w:eastAsia="Times New Roman" w:hAnsi="Times New Roman" w:cs="Times New Roman"/>
          <w:sz w:val="24"/>
          <w:szCs w:val="24"/>
          <w:lang w:eastAsia="lv-LV"/>
        </w:rPr>
        <w:footnoteReference w:customMarkFollows="1" w:id="144"/>
        <w:t>143</w:t>
      </w:r>
    </w:p>
    <w:p w:rsidR="00114C5F" w:rsidRPr="006B796E" w:rsidRDefault="00114C5F" w:rsidP="006B796E">
      <w:pPr>
        <w:widowControl w:val="0"/>
        <w:spacing w:after="0" w:line="240" w:lineRule="auto"/>
        <w:jc w:val="both"/>
        <w:rPr>
          <w:rFonts w:ascii="Times New Roman" w:eastAsia="Times New Roman" w:hAnsi="Times New Roman" w:cs="Times New Roman"/>
          <w:sz w:val="24"/>
          <w:szCs w:val="20"/>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ODIHR</w:t>
      </w:r>
      <w:r w:rsidR="00114C5F">
        <w:rPr>
          <w:rStyle w:val="Vresatsauce"/>
          <w:rFonts w:ascii="Times New Roman" w:eastAsia="Times New Roman" w:hAnsi="Times New Roman" w:cs="Times New Roman"/>
          <w:i/>
          <w:iCs/>
          <w:sz w:val="24"/>
          <w:szCs w:val="24"/>
          <w:lang w:eastAsia="lv-LV"/>
        </w:rPr>
        <w:footnoteReference w:customMarkFollows="1" w:id="145"/>
        <w:t>144</w:t>
      </w:r>
      <w:r w:rsidRPr="006B796E">
        <w:rPr>
          <w:rFonts w:ascii="Times New Roman" w:eastAsia="Times New Roman" w:hAnsi="Times New Roman" w:cs="Times New Roman"/>
          <w:sz w:val="24"/>
          <w:szCs w:val="24"/>
          <w:lang w:eastAsia="lv-LV"/>
        </w:rPr>
        <w:t xml:space="preserve"> ir izdevis septiņus cilvēktiesību pamatprincipus attiecībā uz cilvēku tirdzniecības upuru atpakaļnosūtīšanu, un to 4. princips attiecas uz bērniem, kas ir cilvēku tirdzniecības upuri. Tas nosaka:</w:t>
      </w:r>
    </w:p>
    <w:p w:rsidR="00114C5F" w:rsidRPr="006B796E" w:rsidRDefault="00114C5F"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“Visi lēmumi attiecībā uz cietušo bērnu, neatkarīgi no tā, vai bērns ir ar pavadoni vai bez tā, ir jāpieņem, primāri izvērtējot bērna intereses; (..) ilgtermiņa risinājuma meklēšana jāsāk ar to, ka analizē ģimenes atkalapvienošanas iespēju.”</w:t>
      </w:r>
    </w:p>
    <w:p w:rsidR="00114C5F" w:rsidRPr="006B796E" w:rsidRDefault="00114C5F"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Attiecībā uz bērniem, kas identificēti valstī, kas nav viņu izcelsmes valsts, ir noteikts šādi:</w:t>
      </w:r>
    </w:p>
    <w:p w:rsidR="00114C5F" w:rsidRPr="006B796E" w:rsidRDefault="00114C5F"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“Galamērķa valstīm jānodrošina, ka cietušiem bērniem, kas nav šīs valsts valstspiederīgie vai pastāvīgie iedzīvotāji, tiek automātiski piešķirta pagaidu uzturēšanās atļauja, kas dod tiesības legāli atrasties šajā valstī, līdz tiek pabeigts bērna interešu izvērtējums un atrasts pastāvīgs risinājums; (..) galamērķa valstīm jāieceļ bērnam, kas ir cilvēku tirdzniecības upuris, likumīgais aizbildnis, un pirms jebkādu procedūru vai tiesvedības uzsākšanas bērnam jānodrošina nepieciešamā juridiskā palīdzība. Bērnam jānodrošina likumīgais aizbildnis, kad viņam tiek sniegta tūlītēja vai ilgtermiņa palīdzība, tostarp laikā, kad notiek bērna integrēšana galamērķa valstī vai kad viņš tiek nosūtīts atpakaļ un tiek integrēts izcelsmes valstī vai trešajā valstī.”</w:t>
      </w:r>
    </w:p>
    <w:p w:rsidR="00114C5F" w:rsidRPr="006B796E" w:rsidRDefault="00114C5F"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lastRenderedPageBreak/>
        <w:t>Īsumā šie septiņi principi ir šādi:</w:t>
      </w:r>
    </w:p>
    <w:p w:rsidR="00114C5F" w:rsidRDefault="00114C5F" w:rsidP="006B796E">
      <w:pPr>
        <w:widowControl w:val="0"/>
        <w:spacing w:after="0" w:line="240" w:lineRule="auto"/>
        <w:jc w:val="both"/>
        <w:rPr>
          <w:rFonts w:ascii="Times New Roman" w:eastAsia="Times New Roman" w:hAnsi="Times New Roman" w:cs="Times New Roman"/>
          <w:sz w:val="24"/>
          <w:szCs w:val="24"/>
          <w:lang w:eastAsia="lv-LV"/>
        </w:rPr>
      </w:pPr>
    </w:p>
    <w:tbl>
      <w:tblPr>
        <w:tblW w:w="0" w:type="auto"/>
        <w:jc w:val="center"/>
        <w:tblLook w:val="04A0" w:firstRow="1" w:lastRow="0" w:firstColumn="1" w:lastColumn="0" w:noHBand="0" w:noVBand="1"/>
      </w:tblPr>
      <w:tblGrid>
        <w:gridCol w:w="534"/>
        <w:gridCol w:w="6095"/>
      </w:tblGrid>
      <w:tr w:rsidR="00114C5F" w:rsidRPr="000E2D02" w:rsidTr="00757159">
        <w:trPr>
          <w:jc w:val="center"/>
        </w:trPr>
        <w:tc>
          <w:tcPr>
            <w:tcW w:w="534" w:type="dxa"/>
          </w:tcPr>
          <w:p w:rsidR="00114C5F" w:rsidRPr="000E2D02" w:rsidRDefault="00114C5F" w:rsidP="00757159">
            <w:pPr>
              <w:pStyle w:val="Pamatteksts"/>
              <w:widowControl/>
              <w:kinsoku w:val="0"/>
              <w:overflowPunct w:val="0"/>
              <w:ind w:left="0"/>
              <w:jc w:val="center"/>
              <w:rPr>
                <w:b/>
                <w:noProof/>
                <w:sz w:val="24"/>
                <w:szCs w:val="24"/>
                <w:lang w:val="en-US"/>
              </w:rPr>
            </w:pPr>
          </w:p>
        </w:tc>
        <w:tc>
          <w:tcPr>
            <w:tcW w:w="6095" w:type="dxa"/>
            <w:shd w:val="clear" w:color="auto" w:fill="A6A6A6"/>
          </w:tcPr>
          <w:p w:rsidR="00114C5F" w:rsidRPr="000E2D02" w:rsidRDefault="00114C5F" w:rsidP="00757159">
            <w:pPr>
              <w:pStyle w:val="Pamatteksts"/>
              <w:widowControl/>
              <w:kinsoku w:val="0"/>
              <w:overflowPunct w:val="0"/>
              <w:ind w:left="0"/>
              <w:jc w:val="both"/>
              <w:rPr>
                <w:b/>
                <w:bCs/>
                <w:noProof/>
                <w:sz w:val="24"/>
                <w:szCs w:val="24"/>
                <w:lang w:val="en-US"/>
              </w:rPr>
            </w:pPr>
            <w:r w:rsidRPr="006B796E">
              <w:rPr>
                <w:b/>
                <w:bCs/>
                <w:sz w:val="24"/>
                <w:szCs w:val="24"/>
              </w:rPr>
              <w:t>Principi</w:t>
            </w:r>
          </w:p>
        </w:tc>
      </w:tr>
      <w:tr w:rsidR="00114C5F" w:rsidRPr="000E2D02" w:rsidTr="00757159">
        <w:trPr>
          <w:jc w:val="center"/>
        </w:trPr>
        <w:tc>
          <w:tcPr>
            <w:tcW w:w="534" w:type="dxa"/>
            <w:shd w:val="clear" w:color="auto" w:fill="BFBFBF"/>
          </w:tcPr>
          <w:p w:rsidR="00114C5F" w:rsidRPr="000E2D02" w:rsidRDefault="00114C5F" w:rsidP="00757159">
            <w:pPr>
              <w:pStyle w:val="Pamatteksts"/>
              <w:widowControl/>
              <w:kinsoku w:val="0"/>
              <w:overflowPunct w:val="0"/>
              <w:ind w:left="0"/>
              <w:jc w:val="center"/>
              <w:rPr>
                <w:b/>
                <w:noProof/>
                <w:sz w:val="24"/>
                <w:szCs w:val="24"/>
                <w:lang w:val="en-US"/>
              </w:rPr>
            </w:pPr>
            <w:r w:rsidRPr="000E2D02">
              <w:rPr>
                <w:b/>
                <w:noProof/>
                <w:sz w:val="24"/>
                <w:szCs w:val="24"/>
                <w:lang w:val="en-US"/>
              </w:rPr>
              <w:t>1</w:t>
            </w:r>
            <w:r>
              <w:rPr>
                <w:b/>
                <w:noProof/>
                <w:sz w:val="24"/>
                <w:szCs w:val="24"/>
                <w:lang w:val="en-US"/>
              </w:rPr>
              <w:t>.</w:t>
            </w:r>
          </w:p>
        </w:tc>
        <w:tc>
          <w:tcPr>
            <w:tcW w:w="6095" w:type="dxa"/>
            <w:shd w:val="clear" w:color="auto" w:fill="D9D9D9"/>
          </w:tcPr>
          <w:p w:rsidR="00114C5F" w:rsidRPr="000E2D02" w:rsidRDefault="00114C5F" w:rsidP="00757159">
            <w:pPr>
              <w:pStyle w:val="Pamatteksts"/>
              <w:widowControl/>
              <w:kinsoku w:val="0"/>
              <w:overflowPunct w:val="0"/>
              <w:ind w:left="0"/>
              <w:jc w:val="both"/>
              <w:rPr>
                <w:noProof/>
                <w:color w:val="231F20"/>
                <w:sz w:val="24"/>
                <w:szCs w:val="24"/>
                <w:lang w:val="en-US"/>
              </w:rPr>
            </w:pPr>
            <w:r w:rsidRPr="006B796E">
              <w:rPr>
                <w:color w:val="231F20"/>
                <w:sz w:val="24"/>
                <w:szCs w:val="24"/>
              </w:rPr>
              <w:t>Atpakaļnosūtīšanai ir jābūt drošai</w:t>
            </w:r>
          </w:p>
        </w:tc>
      </w:tr>
      <w:tr w:rsidR="00114C5F" w:rsidRPr="000E2D02" w:rsidTr="00757159">
        <w:trPr>
          <w:jc w:val="center"/>
        </w:trPr>
        <w:tc>
          <w:tcPr>
            <w:tcW w:w="534" w:type="dxa"/>
            <w:shd w:val="clear" w:color="auto" w:fill="BFBFBF"/>
          </w:tcPr>
          <w:p w:rsidR="00114C5F" w:rsidRPr="000E2D02" w:rsidRDefault="00114C5F" w:rsidP="00757159">
            <w:pPr>
              <w:pStyle w:val="Pamatteksts"/>
              <w:widowControl/>
              <w:kinsoku w:val="0"/>
              <w:overflowPunct w:val="0"/>
              <w:ind w:left="0"/>
              <w:jc w:val="center"/>
              <w:rPr>
                <w:b/>
                <w:noProof/>
                <w:sz w:val="24"/>
                <w:szCs w:val="24"/>
                <w:lang w:val="en-US"/>
              </w:rPr>
            </w:pPr>
            <w:r w:rsidRPr="000E2D02">
              <w:rPr>
                <w:b/>
                <w:noProof/>
                <w:sz w:val="24"/>
                <w:szCs w:val="24"/>
                <w:lang w:val="en-US"/>
              </w:rPr>
              <w:t>2</w:t>
            </w:r>
            <w:r>
              <w:rPr>
                <w:b/>
                <w:noProof/>
                <w:sz w:val="24"/>
                <w:szCs w:val="24"/>
                <w:lang w:val="en-US"/>
              </w:rPr>
              <w:t>.</w:t>
            </w:r>
          </w:p>
        </w:tc>
        <w:tc>
          <w:tcPr>
            <w:tcW w:w="6095" w:type="dxa"/>
            <w:shd w:val="clear" w:color="auto" w:fill="D9D9D9"/>
          </w:tcPr>
          <w:p w:rsidR="00114C5F" w:rsidRPr="000E2D02" w:rsidRDefault="00114C5F" w:rsidP="00757159">
            <w:pPr>
              <w:pStyle w:val="Pamatteksts"/>
              <w:widowControl/>
              <w:kinsoku w:val="0"/>
              <w:overflowPunct w:val="0"/>
              <w:ind w:left="0"/>
              <w:jc w:val="both"/>
              <w:rPr>
                <w:noProof/>
                <w:color w:val="231F20"/>
                <w:sz w:val="24"/>
                <w:szCs w:val="24"/>
                <w:lang w:val="en-US"/>
              </w:rPr>
            </w:pPr>
            <w:r w:rsidRPr="006B796E">
              <w:rPr>
                <w:color w:val="231F20"/>
                <w:sz w:val="24"/>
                <w:szCs w:val="24"/>
              </w:rPr>
              <w:t>Laba pārvaldība</w:t>
            </w:r>
          </w:p>
        </w:tc>
      </w:tr>
      <w:tr w:rsidR="00114C5F" w:rsidRPr="000E2D02" w:rsidTr="00757159">
        <w:trPr>
          <w:jc w:val="center"/>
        </w:trPr>
        <w:tc>
          <w:tcPr>
            <w:tcW w:w="534" w:type="dxa"/>
            <w:shd w:val="clear" w:color="auto" w:fill="BFBFBF"/>
          </w:tcPr>
          <w:p w:rsidR="00114C5F" w:rsidRPr="000E2D02" w:rsidRDefault="00114C5F" w:rsidP="00757159">
            <w:pPr>
              <w:pStyle w:val="Pamatteksts"/>
              <w:widowControl/>
              <w:kinsoku w:val="0"/>
              <w:overflowPunct w:val="0"/>
              <w:ind w:left="0"/>
              <w:jc w:val="center"/>
              <w:rPr>
                <w:b/>
                <w:noProof/>
                <w:sz w:val="24"/>
                <w:szCs w:val="24"/>
                <w:lang w:val="en-US"/>
              </w:rPr>
            </w:pPr>
            <w:r w:rsidRPr="000E2D02">
              <w:rPr>
                <w:b/>
                <w:noProof/>
                <w:sz w:val="24"/>
                <w:szCs w:val="24"/>
                <w:lang w:val="en-US"/>
              </w:rPr>
              <w:t>3</w:t>
            </w:r>
            <w:r>
              <w:rPr>
                <w:b/>
                <w:noProof/>
                <w:sz w:val="24"/>
                <w:szCs w:val="24"/>
                <w:lang w:val="en-US"/>
              </w:rPr>
              <w:t>.</w:t>
            </w:r>
          </w:p>
        </w:tc>
        <w:tc>
          <w:tcPr>
            <w:tcW w:w="6095" w:type="dxa"/>
            <w:shd w:val="clear" w:color="auto" w:fill="D9D9D9"/>
          </w:tcPr>
          <w:p w:rsidR="00114C5F" w:rsidRPr="000E2D02" w:rsidRDefault="00114C5F" w:rsidP="00757159">
            <w:pPr>
              <w:pStyle w:val="Pamatteksts"/>
              <w:widowControl/>
              <w:kinsoku w:val="0"/>
              <w:overflowPunct w:val="0"/>
              <w:ind w:left="0"/>
              <w:jc w:val="both"/>
              <w:rPr>
                <w:noProof/>
                <w:color w:val="231F20"/>
                <w:sz w:val="24"/>
                <w:szCs w:val="24"/>
                <w:lang w:val="en-US"/>
              </w:rPr>
            </w:pPr>
            <w:r w:rsidRPr="006B796E">
              <w:rPr>
                <w:color w:val="231F20"/>
                <w:sz w:val="24"/>
                <w:szCs w:val="24"/>
              </w:rPr>
              <w:t>Aizsardzības pasākumi, ja atpakaļnosūtīšana nav iespējama</w:t>
            </w:r>
          </w:p>
        </w:tc>
      </w:tr>
      <w:tr w:rsidR="00114C5F" w:rsidRPr="000E2D02" w:rsidTr="00757159">
        <w:trPr>
          <w:jc w:val="center"/>
        </w:trPr>
        <w:tc>
          <w:tcPr>
            <w:tcW w:w="534" w:type="dxa"/>
            <w:shd w:val="clear" w:color="auto" w:fill="BFBFBF"/>
          </w:tcPr>
          <w:p w:rsidR="00114C5F" w:rsidRPr="000E2D02" w:rsidRDefault="00114C5F" w:rsidP="00757159">
            <w:pPr>
              <w:pStyle w:val="Pamatteksts"/>
              <w:widowControl/>
              <w:kinsoku w:val="0"/>
              <w:overflowPunct w:val="0"/>
              <w:ind w:left="0"/>
              <w:jc w:val="center"/>
              <w:rPr>
                <w:b/>
                <w:noProof/>
                <w:sz w:val="24"/>
                <w:szCs w:val="24"/>
                <w:lang w:val="en-US"/>
              </w:rPr>
            </w:pPr>
            <w:r w:rsidRPr="000E2D02">
              <w:rPr>
                <w:b/>
                <w:noProof/>
                <w:sz w:val="24"/>
                <w:szCs w:val="24"/>
                <w:lang w:val="en-US"/>
              </w:rPr>
              <w:t>4</w:t>
            </w:r>
            <w:r>
              <w:rPr>
                <w:b/>
                <w:noProof/>
                <w:sz w:val="24"/>
                <w:szCs w:val="24"/>
                <w:lang w:val="en-US"/>
              </w:rPr>
              <w:t>.</w:t>
            </w:r>
          </w:p>
        </w:tc>
        <w:tc>
          <w:tcPr>
            <w:tcW w:w="6095" w:type="dxa"/>
            <w:shd w:val="clear" w:color="auto" w:fill="D9D9D9"/>
          </w:tcPr>
          <w:p w:rsidR="00114C5F" w:rsidRPr="000E2D02" w:rsidRDefault="00114C5F" w:rsidP="00757159">
            <w:pPr>
              <w:pStyle w:val="TableParagraph"/>
              <w:kinsoku w:val="0"/>
              <w:overflowPunct w:val="0"/>
              <w:rPr>
                <w:noProof/>
                <w:color w:val="231F20"/>
                <w:lang w:val="en-US"/>
              </w:rPr>
            </w:pPr>
            <w:r w:rsidRPr="006B796E">
              <w:rPr>
                <w:color w:val="231F20"/>
              </w:rPr>
              <w:t>Īpaši aizsardzības pasākumi, sūtot atpakaļ cietušos bērnus</w:t>
            </w:r>
          </w:p>
        </w:tc>
      </w:tr>
      <w:tr w:rsidR="00114C5F" w:rsidRPr="000E2D02" w:rsidTr="00757159">
        <w:trPr>
          <w:jc w:val="center"/>
        </w:trPr>
        <w:tc>
          <w:tcPr>
            <w:tcW w:w="534" w:type="dxa"/>
            <w:shd w:val="clear" w:color="auto" w:fill="BFBFBF"/>
          </w:tcPr>
          <w:p w:rsidR="00114C5F" w:rsidRPr="000E2D02" w:rsidRDefault="00114C5F" w:rsidP="00757159">
            <w:pPr>
              <w:pStyle w:val="Pamatteksts"/>
              <w:widowControl/>
              <w:kinsoku w:val="0"/>
              <w:overflowPunct w:val="0"/>
              <w:ind w:left="0"/>
              <w:jc w:val="center"/>
              <w:rPr>
                <w:b/>
                <w:noProof/>
                <w:sz w:val="24"/>
                <w:szCs w:val="24"/>
                <w:lang w:val="en-US"/>
              </w:rPr>
            </w:pPr>
            <w:r w:rsidRPr="000E2D02">
              <w:rPr>
                <w:b/>
                <w:noProof/>
                <w:sz w:val="24"/>
                <w:szCs w:val="24"/>
                <w:lang w:val="en-US"/>
              </w:rPr>
              <w:t>5</w:t>
            </w:r>
            <w:r>
              <w:rPr>
                <w:b/>
                <w:noProof/>
                <w:sz w:val="24"/>
                <w:szCs w:val="24"/>
                <w:lang w:val="en-US"/>
              </w:rPr>
              <w:t>.</w:t>
            </w:r>
          </w:p>
        </w:tc>
        <w:tc>
          <w:tcPr>
            <w:tcW w:w="6095" w:type="dxa"/>
            <w:shd w:val="clear" w:color="auto" w:fill="D9D9D9"/>
          </w:tcPr>
          <w:p w:rsidR="00114C5F" w:rsidRPr="000E2D02" w:rsidRDefault="00114C5F" w:rsidP="00757159">
            <w:pPr>
              <w:pStyle w:val="Pamatteksts"/>
              <w:widowControl/>
              <w:kinsoku w:val="0"/>
              <w:overflowPunct w:val="0"/>
              <w:ind w:left="0"/>
              <w:jc w:val="both"/>
              <w:rPr>
                <w:noProof/>
                <w:color w:val="231F20"/>
                <w:sz w:val="24"/>
                <w:szCs w:val="24"/>
                <w:lang w:val="en-US"/>
              </w:rPr>
            </w:pPr>
            <w:r w:rsidRPr="006B796E">
              <w:rPr>
                <w:color w:val="231F20"/>
                <w:sz w:val="24"/>
                <w:szCs w:val="24"/>
              </w:rPr>
              <w:t>Pastāvīgs risinājums, kas nerada turpmāku kaitējumu</w:t>
            </w:r>
          </w:p>
        </w:tc>
      </w:tr>
      <w:tr w:rsidR="00114C5F" w:rsidRPr="000E2D02" w:rsidTr="00757159">
        <w:trPr>
          <w:jc w:val="center"/>
        </w:trPr>
        <w:tc>
          <w:tcPr>
            <w:tcW w:w="534" w:type="dxa"/>
            <w:shd w:val="clear" w:color="auto" w:fill="BFBFBF"/>
          </w:tcPr>
          <w:p w:rsidR="00114C5F" w:rsidRPr="000E2D02" w:rsidRDefault="00114C5F" w:rsidP="00757159">
            <w:pPr>
              <w:pStyle w:val="Pamatteksts"/>
              <w:widowControl/>
              <w:kinsoku w:val="0"/>
              <w:overflowPunct w:val="0"/>
              <w:ind w:left="0"/>
              <w:jc w:val="center"/>
              <w:rPr>
                <w:b/>
                <w:noProof/>
                <w:sz w:val="24"/>
                <w:szCs w:val="24"/>
                <w:lang w:val="en-US"/>
              </w:rPr>
            </w:pPr>
            <w:r w:rsidRPr="000E2D02">
              <w:rPr>
                <w:b/>
                <w:noProof/>
                <w:sz w:val="24"/>
                <w:szCs w:val="24"/>
                <w:lang w:val="en-US"/>
              </w:rPr>
              <w:t>6</w:t>
            </w:r>
            <w:r>
              <w:rPr>
                <w:b/>
                <w:noProof/>
                <w:sz w:val="24"/>
                <w:szCs w:val="24"/>
                <w:lang w:val="en-US"/>
              </w:rPr>
              <w:t>.</w:t>
            </w:r>
          </w:p>
        </w:tc>
        <w:tc>
          <w:tcPr>
            <w:tcW w:w="6095" w:type="dxa"/>
            <w:shd w:val="clear" w:color="auto" w:fill="D9D9D9"/>
          </w:tcPr>
          <w:p w:rsidR="00114C5F" w:rsidRPr="000E2D02" w:rsidRDefault="00114C5F" w:rsidP="00757159">
            <w:pPr>
              <w:pStyle w:val="Pamatteksts"/>
              <w:widowControl/>
              <w:kinsoku w:val="0"/>
              <w:overflowPunct w:val="0"/>
              <w:ind w:left="0"/>
              <w:jc w:val="both"/>
              <w:rPr>
                <w:noProof/>
                <w:color w:val="231F20"/>
                <w:sz w:val="24"/>
                <w:szCs w:val="24"/>
                <w:lang w:val="en-US"/>
              </w:rPr>
            </w:pPr>
            <w:r w:rsidRPr="006B796E">
              <w:rPr>
                <w:color w:val="231F20"/>
                <w:sz w:val="24"/>
                <w:szCs w:val="24"/>
              </w:rPr>
              <w:t>Efektīvas tiesiskās aizsardzības pieejamība</w:t>
            </w:r>
          </w:p>
        </w:tc>
      </w:tr>
      <w:tr w:rsidR="00114C5F" w:rsidRPr="000E2D02" w:rsidTr="00757159">
        <w:trPr>
          <w:jc w:val="center"/>
        </w:trPr>
        <w:tc>
          <w:tcPr>
            <w:tcW w:w="534" w:type="dxa"/>
            <w:shd w:val="clear" w:color="auto" w:fill="BFBFBF"/>
          </w:tcPr>
          <w:p w:rsidR="00114C5F" w:rsidRPr="000E2D02" w:rsidRDefault="00114C5F" w:rsidP="00757159">
            <w:pPr>
              <w:pStyle w:val="Pamatteksts"/>
              <w:widowControl/>
              <w:kinsoku w:val="0"/>
              <w:overflowPunct w:val="0"/>
              <w:ind w:left="0"/>
              <w:jc w:val="center"/>
              <w:rPr>
                <w:b/>
                <w:noProof/>
                <w:sz w:val="24"/>
                <w:szCs w:val="24"/>
                <w:lang w:val="en-US"/>
              </w:rPr>
            </w:pPr>
            <w:r w:rsidRPr="000E2D02">
              <w:rPr>
                <w:b/>
                <w:noProof/>
                <w:sz w:val="24"/>
                <w:szCs w:val="24"/>
                <w:lang w:val="en-US"/>
              </w:rPr>
              <w:t>7</w:t>
            </w:r>
            <w:r>
              <w:rPr>
                <w:b/>
                <w:noProof/>
                <w:sz w:val="24"/>
                <w:szCs w:val="24"/>
                <w:lang w:val="en-US"/>
              </w:rPr>
              <w:t>.</w:t>
            </w:r>
          </w:p>
        </w:tc>
        <w:tc>
          <w:tcPr>
            <w:tcW w:w="6095" w:type="dxa"/>
            <w:shd w:val="clear" w:color="auto" w:fill="D9D9D9"/>
          </w:tcPr>
          <w:p w:rsidR="00114C5F" w:rsidRPr="000E2D02" w:rsidRDefault="00114C5F" w:rsidP="00757159">
            <w:pPr>
              <w:pStyle w:val="Pamatteksts"/>
              <w:widowControl/>
              <w:kinsoku w:val="0"/>
              <w:overflowPunct w:val="0"/>
              <w:ind w:left="0"/>
              <w:jc w:val="both"/>
              <w:rPr>
                <w:noProof/>
                <w:color w:val="231F20"/>
                <w:sz w:val="24"/>
                <w:szCs w:val="24"/>
                <w:lang w:val="en-US"/>
              </w:rPr>
            </w:pPr>
            <w:r w:rsidRPr="006B796E">
              <w:rPr>
                <w:color w:val="231F20"/>
                <w:sz w:val="24"/>
                <w:szCs w:val="24"/>
              </w:rPr>
              <w:t>Sadarbība un uzraudzība</w:t>
            </w:r>
          </w:p>
        </w:tc>
      </w:tr>
    </w:tbl>
    <w:p w:rsidR="00114C5F" w:rsidRDefault="00114C5F"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Pamatojoties uz informāciju, ko Starptautiskais Migrācijas politikas izstrādes centrs (</w:t>
      </w:r>
      <w:r w:rsidRPr="006B796E">
        <w:rPr>
          <w:rFonts w:ascii="Times New Roman" w:eastAsia="Times New Roman" w:hAnsi="Times New Roman" w:cs="Times New Roman"/>
          <w:i/>
          <w:iCs/>
          <w:sz w:val="24"/>
          <w:szCs w:val="24"/>
          <w:lang w:eastAsia="lv-LV"/>
        </w:rPr>
        <w:t>ICMPD</w:t>
      </w:r>
      <w:r w:rsidRPr="006B796E">
        <w:rPr>
          <w:rFonts w:ascii="Times New Roman" w:eastAsia="Times New Roman" w:hAnsi="Times New Roman" w:cs="Times New Roman"/>
          <w:sz w:val="24"/>
          <w:szCs w:val="24"/>
          <w:lang w:eastAsia="lv-LV"/>
        </w:rPr>
        <w:t xml:space="preserve">) ir apkopojis par atpakaļnosūtīšanas gadījumiem, tas ir ieteicis veikt turpmāk minētās darbības ar atpakaļnosūtīšanu saistīto septiņu pasākumu ietvaros. Faktiski </w:t>
      </w:r>
      <w:r w:rsidRPr="006B796E">
        <w:rPr>
          <w:rFonts w:ascii="Times New Roman" w:eastAsia="Times New Roman" w:hAnsi="Times New Roman" w:cs="Times New Roman"/>
          <w:i/>
          <w:iCs/>
          <w:sz w:val="24"/>
          <w:szCs w:val="24"/>
          <w:lang w:eastAsia="lv-LV"/>
        </w:rPr>
        <w:t>ICMPD</w:t>
      </w:r>
      <w:r w:rsidRPr="006B796E">
        <w:rPr>
          <w:rFonts w:ascii="Times New Roman" w:eastAsia="Times New Roman" w:hAnsi="Times New Roman" w:cs="Times New Roman"/>
          <w:sz w:val="24"/>
          <w:szCs w:val="24"/>
          <w:lang w:eastAsia="lv-LV"/>
        </w:rPr>
        <w:t xml:space="preserve"> uzskata, ka šīs darbības ir laba prakse (attiecībā gan uz repatriējamiem pieaugušajiem, gan bērniem).</w:t>
      </w:r>
      <w:r w:rsidR="00114C5F">
        <w:rPr>
          <w:rStyle w:val="Vresatsauce"/>
          <w:rFonts w:ascii="Times New Roman" w:eastAsia="Times New Roman" w:hAnsi="Times New Roman" w:cs="Times New Roman"/>
          <w:sz w:val="24"/>
          <w:szCs w:val="24"/>
          <w:lang w:eastAsia="lv-LV"/>
        </w:rPr>
        <w:footnoteReference w:customMarkFollows="1" w:id="146"/>
        <w:t>145</w:t>
      </w:r>
    </w:p>
    <w:p w:rsidR="00114C5F" w:rsidRDefault="00114C5F" w:rsidP="006B796E">
      <w:pPr>
        <w:widowControl w:val="0"/>
        <w:spacing w:after="0" w:line="240" w:lineRule="auto"/>
        <w:jc w:val="both"/>
        <w:rPr>
          <w:rFonts w:ascii="Times New Roman" w:eastAsia="Times New Roman" w:hAnsi="Times New Roman" w:cs="Times New Roman"/>
          <w:sz w:val="24"/>
          <w:szCs w:val="24"/>
          <w:lang w:eastAsia="lv-LV"/>
        </w:rPr>
      </w:pPr>
    </w:p>
    <w:tbl>
      <w:tblPr>
        <w:tblW w:w="5000" w:type="pct"/>
        <w:tblCellMar>
          <w:left w:w="0" w:type="dxa"/>
          <w:right w:w="0" w:type="dxa"/>
        </w:tblCellMar>
        <w:tblLook w:val="0000" w:firstRow="0" w:lastRow="0" w:firstColumn="0" w:lastColumn="0" w:noHBand="0" w:noVBand="0"/>
      </w:tblPr>
      <w:tblGrid>
        <w:gridCol w:w="994"/>
        <w:gridCol w:w="8057"/>
      </w:tblGrid>
      <w:tr w:rsidR="00114C5F" w:rsidRPr="000E2D02" w:rsidTr="00114C5F">
        <w:tblPrEx>
          <w:tblCellMar>
            <w:top w:w="0" w:type="dxa"/>
            <w:left w:w="0" w:type="dxa"/>
            <w:bottom w:w="0" w:type="dxa"/>
            <w:right w:w="0" w:type="dxa"/>
          </w:tblCellMar>
        </w:tblPrEx>
        <w:tc>
          <w:tcPr>
            <w:tcW w:w="549" w:type="pct"/>
            <w:tcBorders>
              <w:top w:val="nil"/>
              <w:left w:val="nil"/>
              <w:bottom w:val="single" w:sz="16" w:space="0" w:color="FFFFFF"/>
              <w:right w:val="single" w:sz="8" w:space="0" w:color="FFFFFF"/>
            </w:tcBorders>
            <w:shd w:val="clear" w:color="auto" w:fill="808080"/>
          </w:tcPr>
          <w:p w:rsidR="00114C5F" w:rsidRPr="000E2D02" w:rsidRDefault="00114C5F" w:rsidP="00114C5F">
            <w:pPr>
              <w:pStyle w:val="TableParagraph"/>
              <w:widowControl/>
              <w:kinsoku w:val="0"/>
              <w:overflowPunct w:val="0"/>
              <w:jc w:val="center"/>
              <w:rPr>
                <w:b/>
                <w:bCs/>
                <w:noProof/>
                <w:lang w:val="en-US"/>
              </w:rPr>
            </w:pPr>
            <w:r w:rsidRPr="006B796E">
              <w:rPr>
                <w:b/>
                <w:bCs/>
              </w:rPr>
              <w:t>Darbība</w:t>
            </w:r>
            <w:r>
              <w:rPr>
                <w:b/>
                <w:bCs/>
              </w:rPr>
              <w:t>s</w:t>
            </w:r>
          </w:p>
        </w:tc>
        <w:tc>
          <w:tcPr>
            <w:tcW w:w="4451" w:type="pct"/>
            <w:tcBorders>
              <w:top w:val="nil"/>
              <w:left w:val="single" w:sz="8" w:space="0" w:color="FFFFFF"/>
              <w:bottom w:val="single" w:sz="16" w:space="0" w:color="FFFFFF"/>
              <w:right w:val="single" w:sz="16" w:space="0" w:color="FFFFFF"/>
            </w:tcBorders>
            <w:shd w:val="clear" w:color="auto" w:fill="A6A6A6"/>
          </w:tcPr>
          <w:p w:rsidR="00114C5F" w:rsidRPr="006B796E" w:rsidRDefault="00114C5F" w:rsidP="00114C5F">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6. pasākums</w:t>
            </w:r>
          </w:p>
          <w:p w:rsidR="00114C5F" w:rsidRPr="000E2D02" w:rsidRDefault="00114C5F" w:rsidP="00114C5F">
            <w:pPr>
              <w:pStyle w:val="TableParagraph"/>
              <w:widowControl/>
              <w:kinsoku w:val="0"/>
              <w:overflowPunct w:val="0"/>
              <w:jc w:val="both"/>
              <w:rPr>
                <w:b/>
                <w:bCs/>
                <w:noProof/>
                <w:lang w:val="en-US"/>
              </w:rPr>
            </w:pPr>
            <w:r w:rsidRPr="006B796E">
              <w:rPr>
                <w:b/>
                <w:bCs/>
              </w:rPr>
              <w:t>Informācijas apmaiņa starp saņēmēju organizāciju, nosūtošo organizāciju un personu, kurai sniedz palīdzību</w:t>
            </w:r>
          </w:p>
        </w:tc>
      </w:tr>
      <w:tr w:rsidR="00114C5F" w:rsidRPr="000E2D02" w:rsidTr="00114C5F">
        <w:tblPrEx>
          <w:tblCellMar>
            <w:top w:w="0" w:type="dxa"/>
            <w:left w:w="0" w:type="dxa"/>
            <w:bottom w:w="0" w:type="dxa"/>
            <w:right w:w="0" w:type="dxa"/>
          </w:tblCellMar>
        </w:tblPrEx>
        <w:tc>
          <w:tcPr>
            <w:tcW w:w="549" w:type="pct"/>
            <w:tcBorders>
              <w:top w:val="single" w:sz="16" w:space="0" w:color="FFFFFF"/>
              <w:left w:val="nil"/>
              <w:bottom w:val="single" w:sz="16" w:space="0" w:color="FFFFFF"/>
              <w:right w:val="single" w:sz="8" w:space="0" w:color="FFFFFF"/>
            </w:tcBorders>
            <w:shd w:val="clear" w:color="auto" w:fill="BFBFBF"/>
          </w:tcPr>
          <w:p w:rsidR="00114C5F" w:rsidRPr="000E2D02" w:rsidRDefault="00114C5F" w:rsidP="00757159">
            <w:pPr>
              <w:pStyle w:val="TableParagraph"/>
              <w:widowControl/>
              <w:kinsoku w:val="0"/>
              <w:overflowPunct w:val="0"/>
              <w:jc w:val="center"/>
              <w:rPr>
                <w:b/>
                <w:bCs/>
                <w:noProof/>
                <w:lang w:val="en-US"/>
              </w:rPr>
            </w:pPr>
            <w:r w:rsidRPr="000E2D02">
              <w:rPr>
                <w:b/>
                <w:bCs/>
                <w:noProof/>
                <w:lang w:val="en-US"/>
              </w:rPr>
              <w:t>1</w:t>
            </w:r>
            <w:r>
              <w:rPr>
                <w:b/>
                <w:bCs/>
                <w:noProof/>
                <w:lang w:val="en-US"/>
              </w:rPr>
              <w:t>.</w:t>
            </w:r>
          </w:p>
        </w:tc>
        <w:tc>
          <w:tcPr>
            <w:tcW w:w="4451" w:type="pct"/>
            <w:tcBorders>
              <w:top w:val="single" w:sz="16" w:space="0" w:color="FFFFFF"/>
              <w:left w:val="single" w:sz="8" w:space="0" w:color="FFFFFF"/>
              <w:bottom w:val="single" w:sz="16" w:space="0" w:color="FFFFFF"/>
              <w:right w:val="single" w:sz="16" w:space="0" w:color="FFFFFF"/>
            </w:tcBorders>
            <w:shd w:val="clear" w:color="auto" w:fill="D9D9D9"/>
          </w:tcPr>
          <w:p w:rsidR="00114C5F" w:rsidRPr="000E2D02" w:rsidRDefault="00114C5F" w:rsidP="00757159">
            <w:pPr>
              <w:pStyle w:val="TableParagraph"/>
              <w:widowControl/>
              <w:kinsoku w:val="0"/>
              <w:overflowPunct w:val="0"/>
              <w:jc w:val="both"/>
              <w:rPr>
                <w:noProof/>
                <w:lang w:val="en-US"/>
              </w:rPr>
            </w:pPr>
            <w:r w:rsidRPr="006B796E">
              <w:t>Informē cilvēku tirdzniecības upuri par riskiem un drošību, kā arī sociālās iekļaušanas novērtējuma rezultātu</w:t>
            </w:r>
          </w:p>
        </w:tc>
      </w:tr>
      <w:tr w:rsidR="00114C5F" w:rsidRPr="000E2D02" w:rsidTr="00114C5F">
        <w:tblPrEx>
          <w:tblCellMar>
            <w:top w:w="0" w:type="dxa"/>
            <w:left w:w="0" w:type="dxa"/>
            <w:bottom w:w="0" w:type="dxa"/>
            <w:right w:w="0" w:type="dxa"/>
          </w:tblCellMar>
        </w:tblPrEx>
        <w:tc>
          <w:tcPr>
            <w:tcW w:w="549" w:type="pct"/>
            <w:tcBorders>
              <w:top w:val="single" w:sz="16" w:space="0" w:color="FFFFFF"/>
              <w:left w:val="nil"/>
              <w:bottom w:val="single" w:sz="16" w:space="0" w:color="FFFFFF"/>
              <w:right w:val="single" w:sz="8" w:space="0" w:color="FFFFFF"/>
            </w:tcBorders>
            <w:shd w:val="clear" w:color="auto" w:fill="BFBFBF"/>
          </w:tcPr>
          <w:p w:rsidR="00114C5F" w:rsidRPr="000E2D02" w:rsidRDefault="00114C5F" w:rsidP="00757159">
            <w:pPr>
              <w:pStyle w:val="TableParagraph"/>
              <w:widowControl/>
              <w:kinsoku w:val="0"/>
              <w:overflowPunct w:val="0"/>
              <w:jc w:val="center"/>
              <w:rPr>
                <w:b/>
                <w:bCs/>
                <w:noProof/>
                <w:lang w:val="en-US"/>
              </w:rPr>
            </w:pPr>
            <w:r w:rsidRPr="000E2D02">
              <w:rPr>
                <w:b/>
                <w:bCs/>
                <w:noProof/>
                <w:lang w:val="en-US"/>
              </w:rPr>
              <w:t>2</w:t>
            </w:r>
            <w:r>
              <w:rPr>
                <w:b/>
                <w:bCs/>
                <w:noProof/>
                <w:lang w:val="en-US"/>
              </w:rPr>
              <w:t>.</w:t>
            </w:r>
          </w:p>
        </w:tc>
        <w:tc>
          <w:tcPr>
            <w:tcW w:w="4451" w:type="pct"/>
            <w:tcBorders>
              <w:top w:val="single" w:sz="16" w:space="0" w:color="FFFFFF"/>
              <w:left w:val="single" w:sz="8" w:space="0" w:color="FFFFFF"/>
              <w:bottom w:val="single" w:sz="16" w:space="0" w:color="FFFFFF"/>
              <w:right w:val="single" w:sz="16" w:space="0" w:color="FFFFFF"/>
            </w:tcBorders>
            <w:shd w:val="clear" w:color="auto" w:fill="D9D9D9"/>
          </w:tcPr>
          <w:p w:rsidR="00114C5F" w:rsidRPr="000E2D02" w:rsidRDefault="00114C5F" w:rsidP="00757159">
            <w:pPr>
              <w:pStyle w:val="TableParagraph"/>
              <w:widowControl/>
              <w:kinsoku w:val="0"/>
              <w:overflowPunct w:val="0"/>
              <w:jc w:val="both"/>
              <w:rPr>
                <w:noProof/>
                <w:lang w:val="en-US"/>
              </w:rPr>
            </w:pPr>
            <w:r w:rsidRPr="006B796E">
              <w:t>Sazinās ar pakalpojuma sniedzēju izcelsmes valstī, lai apmainītos ar informāciju un koordinētu atpakaļnosūtīšanas procesu</w:t>
            </w:r>
          </w:p>
        </w:tc>
      </w:tr>
      <w:tr w:rsidR="00114C5F" w:rsidRPr="000E2D02" w:rsidTr="00114C5F">
        <w:tblPrEx>
          <w:tblCellMar>
            <w:top w:w="0" w:type="dxa"/>
            <w:left w:w="0" w:type="dxa"/>
            <w:bottom w:w="0" w:type="dxa"/>
            <w:right w:w="0" w:type="dxa"/>
          </w:tblCellMar>
        </w:tblPrEx>
        <w:tc>
          <w:tcPr>
            <w:tcW w:w="549" w:type="pct"/>
            <w:tcBorders>
              <w:top w:val="single" w:sz="16" w:space="0" w:color="FFFFFF"/>
              <w:left w:val="nil"/>
              <w:bottom w:val="single" w:sz="16" w:space="0" w:color="FFFFFF"/>
              <w:right w:val="single" w:sz="8" w:space="0" w:color="FFFFFF"/>
            </w:tcBorders>
            <w:shd w:val="clear" w:color="auto" w:fill="BFBFBF"/>
          </w:tcPr>
          <w:p w:rsidR="00114C5F" w:rsidRPr="000E2D02" w:rsidRDefault="00114C5F" w:rsidP="00757159">
            <w:pPr>
              <w:pStyle w:val="TableParagraph"/>
              <w:widowControl/>
              <w:kinsoku w:val="0"/>
              <w:overflowPunct w:val="0"/>
              <w:jc w:val="center"/>
              <w:rPr>
                <w:b/>
                <w:bCs/>
                <w:noProof/>
                <w:lang w:val="en-US"/>
              </w:rPr>
            </w:pPr>
            <w:r w:rsidRPr="000E2D02">
              <w:rPr>
                <w:b/>
                <w:bCs/>
                <w:noProof/>
                <w:lang w:val="en-US"/>
              </w:rPr>
              <w:t>3</w:t>
            </w:r>
            <w:r>
              <w:rPr>
                <w:b/>
                <w:bCs/>
                <w:noProof/>
                <w:lang w:val="en-US"/>
              </w:rPr>
              <w:t>.</w:t>
            </w:r>
          </w:p>
        </w:tc>
        <w:tc>
          <w:tcPr>
            <w:tcW w:w="4451" w:type="pct"/>
            <w:tcBorders>
              <w:top w:val="single" w:sz="16" w:space="0" w:color="FFFFFF"/>
              <w:left w:val="single" w:sz="8" w:space="0" w:color="FFFFFF"/>
              <w:bottom w:val="single" w:sz="16" w:space="0" w:color="FFFFFF"/>
              <w:right w:val="single" w:sz="16" w:space="0" w:color="FFFFFF"/>
            </w:tcBorders>
            <w:shd w:val="clear" w:color="auto" w:fill="D9D9D9"/>
          </w:tcPr>
          <w:p w:rsidR="00114C5F" w:rsidRPr="000E2D02" w:rsidRDefault="00114C5F" w:rsidP="00757159">
            <w:pPr>
              <w:pStyle w:val="TableParagraph"/>
              <w:widowControl/>
              <w:kinsoku w:val="0"/>
              <w:overflowPunct w:val="0"/>
              <w:jc w:val="both"/>
              <w:rPr>
                <w:noProof/>
                <w:lang w:val="en-US"/>
              </w:rPr>
            </w:pPr>
            <w:r w:rsidRPr="006B796E">
              <w:t>Informē cilvēku tirdzniecības upuri par identitātes statusu, brauciena/nosūtīšanas procesu, pieejamo palīdzību izcelsmes valstī un reintegrācijas plānu</w:t>
            </w:r>
          </w:p>
        </w:tc>
      </w:tr>
      <w:tr w:rsidR="00114C5F" w:rsidRPr="000E2D02" w:rsidTr="00114C5F">
        <w:tblPrEx>
          <w:tblCellMar>
            <w:top w:w="0" w:type="dxa"/>
            <w:left w:w="0" w:type="dxa"/>
            <w:bottom w:w="0" w:type="dxa"/>
            <w:right w:w="0" w:type="dxa"/>
          </w:tblCellMar>
        </w:tblPrEx>
        <w:tc>
          <w:tcPr>
            <w:tcW w:w="549" w:type="pct"/>
            <w:tcBorders>
              <w:top w:val="single" w:sz="16" w:space="0" w:color="FFFFFF"/>
              <w:left w:val="nil"/>
              <w:bottom w:val="single" w:sz="16" w:space="0" w:color="FFFFFF"/>
              <w:right w:val="single" w:sz="8" w:space="0" w:color="FFFFFF"/>
            </w:tcBorders>
            <w:shd w:val="clear" w:color="auto" w:fill="BFBFBF"/>
          </w:tcPr>
          <w:p w:rsidR="00114C5F" w:rsidRPr="000E2D02" w:rsidRDefault="00114C5F" w:rsidP="00757159">
            <w:pPr>
              <w:pStyle w:val="TableParagraph"/>
              <w:widowControl/>
              <w:kinsoku w:val="0"/>
              <w:overflowPunct w:val="0"/>
              <w:jc w:val="center"/>
              <w:rPr>
                <w:b/>
                <w:bCs/>
                <w:noProof/>
                <w:lang w:val="en-US"/>
              </w:rPr>
            </w:pPr>
            <w:r w:rsidRPr="000E2D02">
              <w:rPr>
                <w:b/>
                <w:bCs/>
                <w:noProof/>
                <w:lang w:val="en-US"/>
              </w:rPr>
              <w:t>4</w:t>
            </w:r>
            <w:r>
              <w:rPr>
                <w:b/>
                <w:bCs/>
                <w:noProof/>
                <w:lang w:val="en-US"/>
              </w:rPr>
              <w:t>.</w:t>
            </w:r>
          </w:p>
        </w:tc>
        <w:tc>
          <w:tcPr>
            <w:tcW w:w="4451" w:type="pct"/>
            <w:tcBorders>
              <w:top w:val="single" w:sz="16" w:space="0" w:color="FFFFFF"/>
              <w:left w:val="single" w:sz="8" w:space="0" w:color="FFFFFF"/>
              <w:bottom w:val="single" w:sz="16" w:space="0" w:color="FFFFFF"/>
              <w:right w:val="single" w:sz="16" w:space="0" w:color="FFFFFF"/>
            </w:tcBorders>
            <w:shd w:val="clear" w:color="auto" w:fill="D9D9D9"/>
          </w:tcPr>
          <w:p w:rsidR="00114C5F" w:rsidRPr="000E2D02" w:rsidRDefault="00114C5F" w:rsidP="00757159">
            <w:pPr>
              <w:pStyle w:val="TableParagraph"/>
              <w:widowControl/>
              <w:kinsoku w:val="0"/>
              <w:overflowPunct w:val="0"/>
              <w:jc w:val="both"/>
              <w:rPr>
                <w:noProof/>
                <w:lang w:val="en-US"/>
              </w:rPr>
            </w:pPr>
            <w:r w:rsidRPr="006B796E">
              <w:t>Saņem apstiprinājumu, ka cilvēku tirdzniecības upuris tiks saņemts un viņam tiks sniegta palīdzība</w:t>
            </w:r>
          </w:p>
        </w:tc>
      </w:tr>
      <w:tr w:rsidR="00114C5F" w:rsidRPr="000E2D02" w:rsidTr="00114C5F">
        <w:tblPrEx>
          <w:tblCellMar>
            <w:top w:w="0" w:type="dxa"/>
            <w:left w:w="0" w:type="dxa"/>
            <w:bottom w:w="0" w:type="dxa"/>
            <w:right w:w="0" w:type="dxa"/>
          </w:tblCellMar>
        </w:tblPrEx>
        <w:tc>
          <w:tcPr>
            <w:tcW w:w="549" w:type="pct"/>
            <w:tcBorders>
              <w:top w:val="single" w:sz="16" w:space="0" w:color="FFFFFF"/>
              <w:left w:val="nil"/>
              <w:bottom w:val="single" w:sz="16" w:space="0" w:color="FFFFFF"/>
              <w:right w:val="single" w:sz="8" w:space="0" w:color="FFFFFF"/>
            </w:tcBorders>
          </w:tcPr>
          <w:p w:rsidR="00114C5F" w:rsidRPr="000E2D02" w:rsidRDefault="00114C5F" w:rsidP="00757159">
            <w:pPr>
              <w:jc w:val="center"/>
              <w:rPr>
                <w:noProof/>
                <w:lang w:val="en-US"/>
              </w:rPr>
            </w:pPr>
          </w:p>
        </w:tc>
        <w:tc>
          <w:tcPr>
            <w:tcW w:w="4451" w:type="pct"/>
            <w:tcBorders>
              <w:top w:val="single" w:sz="16" w:space="0" w:color="FFFFFF"/>
              <w:left w:val="single" w:sz="8" w:space="0" w:color="FFFFFF"/>
              <w:bottom w:val="single" w:sz="16" w:space="0" w:color="FFFFFF"/>
              <w:right w:val="single" w:sz="16" w:space="0" w:color="FFFFFF"/>
            </w:tcBorders>
            <w:shd w:val="clear" w:color="auto" w:fill="A6A6A6"/>
          </w:tcPr>
          <w:p w:rsidR="00114C5F" w:rsidRPr="006B796E" w:rsidRDefault="00114C5F" w:rsidP="00114C5F">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7. pasākums</w:t>
            </w:r>
          </w:p>
          <w:p w:rsidR="00114C5F" w:rsidRPr="000E2D02" w:rsidRDefault="00114C5F" w:rsidP="00114C5F">
            <w:pPr>
              <w:pStyle w:val="TableParagraph"/>
              <w:widowControl/>
              <w:kinsoku w:val="0"/>
              <w:overflowPunct w:val="0"/>
              <w:jc w:val="both"/>
              <w:rPr>
                <w:b/>
                <w:bCs/>
                <w:noProof/>
                <w:lang w:val="en-US"/>
              </w:rPr>
            </w:pPr>
            <w:r w:rsidRPr="006B796E">
              <w:rPr>
                <w:b/>
                <w:bCs/>
              </w:rPr>
              <w:t>Droša pārvešana/nosūtīšana un palīdzība ierodoties</w:t>
            </w:r>
          </w:p>
        </w:tc>
      </w:tr>
      <w:tr w:rsidR="00114C5F" w:rsidRPr="000E2D02" w:rsidTr="00114C5F">
        <w:tblPrEx>
          <w:tblCellMar>
            <w:top w:w="0" w:type="dxa"/>
            <w:left w:w="0" w:type="dxa"/>
            <w:bottom w:w="0" w:type="dxa"/>
            <w:right w:w="0" w:type="dxa"/>
          </w:tblCellMar>
        </w:tblPrEx>
        <w:tc>
          <w:tcPr>
            <w:tcW w:w="549" w:type="pct"/>
            <w:tcBorders>
              <w:top w:val="single" w:sz="16" w:space="0" w:color="FFFFFF"/>
              <w:left w:val="nil"/>
              <w:bottom w:val="single" w:sz="16" w:space="0" w:color="FFFFFF"/>
              <w:right w:val="single" w:sz="8" w:space="0" w:color="FFFFFF"/>
            </w:tcBorders>
            <w:shd w:val="clear" w:color="auto" w:fill="BFBFBF"/>
          </w:tcPr>
          <w:p w:rsidR="00114C5F" w:rsidRPr="000E2D02" w:rsidRDefault="00114C5F" w:rsidP="00757159">
            <w:pPr>
              <w:pStyle w:val="TableParagraph"/>
              <w:widowControl/>
              <w:kinsoku w:val="0"/>
              <w:overflowPunct w:val="0"/>
              <w:jc w:val="center"/>
              <w:rPr>
                <w:b/>
                <w:bCs/>
                <w:noProof/>
                <w:lang w:val="en-US"/>
              </w:rPr>
            </w:pPr>
            <w:r w:rsidRPr="000E2D02">
              <w:rPr>
                <w:b/>
                <w:bCs/>
                <w:noProof/>
                <w:lang w:val="en-US"/>
              </w:rPr>
              <w:t>1</w:t>
            </w:r>
            <w:r>
              <w:rPr>
                <w:b/>
                <w:bCs/>
                <w:noProof/>
                <w:lang w:val="en-US"/>
              </w:rPr>
              <w:t>.</w:t>
            </w:r>
          </w:p>
        </w:tc>
        <w:tc>
          <w:tcPr>
            <w:tcW w:w="4451" w:type="pct"/>
            <w:tcBorders>
              <w:top w:val="single" w:sz="16" w:space="0" w:color="FFFFFF"/>
              <w:left w:val="single" w:sz="8" w:space="0" w:color="FFFFFF"/>
              <w:bottom w:val="single" w:sz="16" w:space="0" w:color="FFFFFF"/>
              <w:right w:val="single" w:sz="16" w:space="0" w:color="FFFFFF"/>
            </w:tcBorders>
            <w:shd w:val="clear" w:color="auto" w:fill="D9D9D9"/>
          </w:tcPr>
          <w:p w:rsidR="00114C5F" w:rsidRPr="000E2D02" w:rsidRDefault="00114C5F" w:rsidP="00757159">
            <w:pPr>
              <w:pStyle w:val="TableParagraph"/>
              <w:widowControl/>
              <w:kinsoku w:val="0"/>
              <w:overflowPunct w:val="0"/>
              <w:jc w:val="both"/>
              <w:rPr>
                <w:noProof/>
                <w:lang w:val="en-US"/>
              </w:rPr>
            </w:pPr>
            <w:r w:rsidRPr="006B796E">
              <w:t>Cilvēku tirdzniecības upurim nodrošina nepieciešamos ceļošanas dokumentus/priekšmetus/informāciju</w:t>
            </w:r>
          </w:p>
        </w:tc>
      </w:tr>
      <w:tr w:rsidR="00114C5F" w:rsidRPr="000E2D02" w:rsidTr="00114C5F">
        <w:tblPrEx>
          <w:tblCellMar>
            <w:top w:w="0" w:type="dxa"/>
            <w:left w:w="0" w:type="dxa"/>
            <w:bottom w:w="0" w:type="dxa"/>
            <w:right w:w="0" w:type="dxa"/>
          </w:tblCellMar>
        </w:tblPrEx>
        <w:tc>
          <w:tcPr>
            <w:tcW w:w="549" w:type="pct"/>
            <w:tcBorders>
              <w:top w:val="single" w:sz="16" w:space="0" w:color="FFFFFF"/>
              <w:left w:val="nil"/>
              <w:bottom w:val="single" w:sz="16" w:space="0" w:color="FFFFFF"/>
              <w:right w:val="single" w:sz="8" w:space="0" w:color="FFFFFF"/>
            </w:tcBorders>
            <w:shd w:val="clear" w:color="auto" w:fill="BFBFBF"/>
          </w:tcPr>
          <w:p w:rsidR="00114C5F" w:rsidRPr="000E2D02" w:rsidRDefault="00114C5F" w:rsidP="00757159">
            <w:pPr>
              <w:pStyle w:val="TableParagraph"/>
              <w:widowControl/>
              <w:kinsoku w:val="0"/>
              <w:overflowPunct w:val="0"/>
              <w:jc w:val="center"/>
              <w:rPr>
                <w:b/>
                <w:bCs/>
                <w:noProof/>
                <w:lang w:val="en-US"/>
              </w:rPr>
            </w:pPr>
            <w:r w:rsidRPr="000E2D02">
              <w:rPr>
                <w:b/>
                <w:bCs/>
                <w:noProof/>
                <w:lang w:val="en-US"/>
              </w:rPr>
              <w:t>2</w:t>
            </w:r>
            <w:r>
              <w:rPr>
                <w:b/>
                <w:bCs/>
                <w:noProof/>
                <w:lang w:val="en-US"/>
              </w:rPr>
              <w:t>.</w:t>
            </w:r>
          </w:p>
        </w:tc>
        <w:tc>
          <w:tcPr>
            <w:tcW w:w="4451" w:type="pct"/>
            <w:tcBorders>
              <w:top w:val="single" w:sz="16" w:space="0" w:color="FFFFFF"/>
              <w:left w:val="single" w:sz="8" w:space="0" w:color="FFFFFF"/>
              <w:bottom w:val="single" w:sz="16" w:space="0" w:color="FFFFFF"/>
              <w:right w:val="single" w:sz="16" w:space="0" w:color="FFFFFF"/>
            </w:tcBorders>
            <w:shd w:val="clear" w:color="auto" w:fill="D9D9D9"/>
          </w:tcPr>
          <w:p w:rsidR="00114C5F" w:rsidRPr="000E2D02" w:rsidRDefault="00114C5F" w:rsidP="00757159">
            <w:pPr>
              <w:pStyle w:val="TableParagraph"/>
              <w:widowControl/>
              <w:kinsoku w:val="0"/>
              <w:overflowPunct w:val="0"/>
              <w:jc w:val="both"/>
              <w:rPr>
                <w:noProof/>
                <w:lang w:val="en-US"/>
              </w:rPr>
            </w:pPr>
            <w:r w:rsidRPr="006B796E">
              <w:t>Nodrošina pavadoni, ja tiek nosūtīti nepilngadīgie</w:t>
            </w:r>
          </w:p>
        </w:tc>
      </w:tr>
      <w:tr w:rsidR="00114C5F" w:rsidRPr="000E2D02" w:rsidTr="00114C5F">
        <w:tblPrEx>
          <w:tblCellMar>
            <w:top w:w="0" w:type="dxa"/>
            <w:left w:w="0" w:type="dxa"/>
            <w:bottom w:w="0" w:type="dxa"/>
            <w:right w:w="0" w:type="dxa"/>
          </w:tblCellMar>
        </w:tblPrEx>
        <w:tc>
          <w:tcPr>
            <w:tcW w:w="549" w:type="pct"/>
            <w:tcBorders>
              <w:top w:val="single" w:sz="16" w:space="0" w:color="FFFFFF"/>
              <w:left w:val="nil"/>
              <w:bottom w:val="single" w:sz="16" w:space="0" w:color="FFFFFF"/>
              <w:right w:val="single" w:sz="8" w:space="0" w:color="FFFFFF"/>
            </w:tcBorders>
            <w:shd w:val="clear" w:color="auto" w:fill="BFBFBF"/>
          </w:tcPr>
          <w:p w:rsidR="00114C5F" w:rsidRPr="000E2D02" w:rsidRDefault="00114C5F" w:rsidP="00757159">
            <w:pPr>
              <w:pStyle w:val="TableParagraph"/>
              <w:widowControl/>
              <w:kinsoku w:val="0"/>
              <w:overflowPunct w:val="0"/>
              <w:jc w:val="center"/>
              <w:rPr>
                <w:b/>
                <w:bCs/>
                <w:noProof/>
                <w:lang w:val="en-US"/>
              </w:rPr>
            </w:pPr>
            <w:r w:rsidRPr="000E2D02">
              <w:rPr>
                <w:b/>
                <w:bCs/>
                <w:noProof/>
                <w:lang w:val="en-US"/>
              </w:rPr>
              <w:t>3</w:t>
            </w:r>
            <w:r>
              <w:rPr>
                <w:b/>
                <w:bCs/>
                <w:noProof/>
                <w:lang w:val="en-US"/>
              </w:rPr>
              <w:t>.</w:t>
            </w:r>
          </w:p>
        </w:tc>
        <w:tc>
          <w:tcPr>
            <w:tcW w:w="4451" w:type="pct"/>
            <w:tcBorders>
              <w:top w:val="single" w:sz="16" w:space="0" w:color="FFFFFF"/>
              <w:left w:val="single" w:sz="8" w:space="0" w:color="FFFFFF"/>
              <w:bottom w:val="single" w:sz="16" w:space="0" w:color="FFFFFF"/>
              <w:right w:val="single" w:sz="16" w:space="0" w:color="FFFFFF"/>
            </w:tcBorders>
            <w:shd w:val="clear" w:color="auto" w:fill="D9D9D9"/>
          </w:tcPr>
          <w:p w:rsidR="00114C5F" w:rsidRPr="000E2D02" w:rsidRDefault="00114C5F" w:rsidP="00757159">
            <w:pPr>
              <w:pStyle w:val="TableParagraph"/>
              <w:widowControl/>
              <w:kinsoku w:val="0"/>
              <w:overflowPunct w:val="0"/>
              <w:jc w:val="both"/>
              <w:rPr>
                <w:noProof/>
                <w:lang w:val="en-US"/>
              </w:rPr>
            </w:pPr>
            <w:r w:rsidRPr="006B796E">
              <w:t>Nodrošina, ka cilvēku tirdzniecības upuri saņem/sagaida pakalpojuma sniedzējs uz izcelsmes valsts robežas/lidostā/ostā.</w:t>
            </w:r>
          </w:p>
        </w:tc>
      </w:tr>
      <w:tr w:rsidR="00114C5F" w:rsidRPr="000E2D02" w:rsidTr="00114C5F">
        <w:tblPrEx>
          <w:tblCellMar>
            <w:top w:w="0" w:type="dxa"/>
            <w:left w:w="0" w:type="dxa"/>
            <w:bottom w:w="0" w:type="dxa"/>
            <w:right w:w="0" w:type="dxa"/>
          </w:tblCellMar>
        </w:tblPrEx>
        <w:tc>
          <w:tcPr>
            <w:tcW w:w="549" w:type="pct"/>
            <w:tcBorders>
              <w:top w:val="single" w:sz="16" w:space="0" w:color="FFFFFF"/>
              <w:left w:val="nil"/>
              <w:bottom w:val="single" w:sz="16" w:space="0" w:color="FFFFFF"/>
              <w:right w:val="single" w:sz="8" w:space="0" w:color="FFFFFF"/>
            </w:tcBorders>
            <w:shd w:val="clear" w:color="auto" w:fill="BFBFBF"/>
          </w:tcPr>
          <w:p w:rsidR="00114C5F" w:rsidRPr="000E2D02" w:rsidRDefault="00114C5F" w:rsidP="00757159">
            <w:pPr>
              <w:pStyle w:val="TableParagraph"/>
              <w:widowControl/>
              <w:kinsoku w:val="0"/>
              <w:overflowPunct w:val="0"/>
              <w:jc w:val="center"/>
              <w:rPr>
                <w:b/>
                <w:bCs/>
                <w:noProof/>
                <w:lang w:val="en-US"/>
              </w:rPr>
            </w:pPr>
            <w:r w:rsidRPr="000E2D02">
              <w:rPr>
                <w:b/>
                <w:bCs/>
                <w:noProof/>
                <w:lang w:val="en-US"/>
              </w:rPr>
              <w:t>4</w:t>
            </w:r>
            <w:r>
              <w:rPr>
                <w:b/>
                <w:bCs/>
                <w:noProof/>
                <w:lang w:val="en-US"/>
              </w:rPr>
              <w:t>.</w:t>
            </w:r>
          </w:p>
        </w:tc>
        <w:tc>
          <w:tcPr>
            <w:tcW w:w="4451" w:type="pct"/>
            <w:tcBorders>
              <w:top w:val="single" w:sz="16" w:space="0" w:color="FFFFFF"/>
              <w:left w:val="single" w:sz="8" w:space="0" w:color="FFFFFF"/>
              <w:bottom w:val="single" w:sz="16" w:space="0" w:color="FFFFFF"/>
              <w:right w:val="single" w:sz="16" w:space="0" w:color="FFFFFF"/>
            </w:tcBorders>
            <w:shd w:val="clear" w:color="auto" w:fill="D9D9D9"/>
          </w:tcPr>
          <w:p w:rsidR="00114C5F" w:rsidRPr="000E2D02" w:rsidRDefault="00114C5F" w:rsidP="00757159">
            <w:pPr>
              <w:pStyle w:val="TableParagraph"/>
              <w:widowControl/>
              <w:kinsoku w:val="0"/>
              <w:overflowPunct w:val="0"/>
              <w:jc w:val="both"/>
              <w:rPr>
                <w:noProof/>
                <w:lang w:val="en-US"/>
              </w:rPr>
            </w:pPr>
            <w:r w:rsidRPr="006B796E">
              <w:t>Cilvēku tirdzniecības upurim sniedz sākotnējo orientāciju un palīdzību</w:t>
            </w:r>
          </w:p>
        </w:tc>
      </w:tr>
      <w:tr w:rsidR="00114C5F" w:rsidRPr="000E2D02" w:rsidTr="00114C5F">
        <w:tblPrEx>
          <w:tblCellMar>
            <w:top w:w="0" w:type="dxa"/>
            <w:left w:w="0" w:type="dxa"/>
            <w:bottom w:w="0" w:type="dxa"/>
            <w:right w:w="0" w:type="dxa"/>
          </w:tblCellMar>
        </w:tblPrEx>
        <w:tc>
          <w:tcPr>
            <w:tcW w:w="549" w:type="pct"/>
            <w:tcBorders>
              <w:top w:val="single" w:sz="16" w:space="0" w:color="FFFFFF"/>
              <w:left w:val="nil"/>
              <w:bottom w:val="single" w:sz="16" w:space="0" w:color="FFFFFF"/>
              <w:right w:val="single" w:sz="8" w:space="0" w:color="FFFFFF"/>
            </w:tcBorders>
            <w:shd w:val="clear" w:color="auto" w:fill="BFBFBF"/>
          </w:tcPr>
          <w:p w:rsidR="00114C5F" w:rsidRPr="000E2D02" w:rsidRDefault="00114C5F" w:rsidP="00757159">
            <w:pPr>
              <w:pStyle w:val="TableParagraph"/>
              <w:widowControl/>
              <w:kinsoku w:val="0"/>
              <w:overflowPunct w:val="0"/>
              <w:jc w:val="center"/>
              <w:rPr>
                <w:b/>
                <w:bCs/>
                <w:noProof/>
                <w:lang w:val="en-US"/>
              </w:rPr>
            </w:pPr>
            <w:r w:rsidRPr="000E2D02">
              <w:rPr>
                <w:b/>
                <w:bCs/>
                <w:noProof/>
                <w:lang w:val="en-US"/>
              </w:rPr>
              <w:t>5</w:t>
            </w:r>
            <w:r>
              <w:rPr>
                <w:b/>
                <w:bCs/>
                <w:noProof/>
                <w:lang w:val="en-US"/>
              </w:rPr>
              <w:t>.</w:t>
            </w:r>
          </w:p>
        </w:tc>
        <w:tc>
          <w:tcPr>
            <w:tcW w:w="4451" w:type="pct"/>
            <w:tcBorders>
              <w:top w:val="single" w:sz="16" w:space="0" w:color="FFFFFF"/>
              <w:left w:val="single" w:sz="8" w:space="0" w:color="FFFFFF"/>
              <w:bottom w:val="single" w:sz="16" w:space="0" w:color="FFFFFF"/>
              <w:right w:val="single" w:sz="16" w:space="0" w:color="FFFFFF"/>
            </w:tcBorders>
            <w:shd w:val="clear" w:color="auto" w:fill="D9D9D9"/>
          </w:tcPr>
          <w:p w:rsidR="00114C5F" w:rsidRPr="000E2D02" w:rsidRDefault="00114C5F" w:rsidP="00757159">
            <w:pPr>
              <w:pStyle w:val="TableParagraph"/>
              <w:widowControl/>
              <w:kinsoku w:val="0"/>
              <w:overflowPunct w:val="0"/>
              <w:jc w:val="both"/>
              <w:rPr>
                <w:noProof/>
                <w:lang w:val="en-US"/>
              </w:rPr>
            </w:pPr>
            <w:r w:rsidRPr="006B796E">
              <w:t>Apstiprina/iegūst apstiprinājumu, ka cilvēku tirdzniecības upuris ir droši ieradies</w:t>
            </w:r>
          </w:p>
        </w:tc>
      </w:tr>
    </w:tbl>
    <w:p w:rsidR="00114C5F" w:rsidRDefault="00114C5F"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114C5F">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7.2. Cilvēku tirdzniecības upura pienācīgas uzņemšanas organizēšana pēc repatriācijas</w:t>
      </w:r>
    </w:p>
    <w:p w:rsidR="00114C5F" w:rsidRDefault="00114C5F"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Pienākumi ir ne tikai valstīm, kurās bērni, kas ir cilvēku tirdzniecības upuri, tiek pirmo reizi identificēti un viņiem tiek sniegta sākotnējā aizsardzība un palīdzība, bet arī valstīm, uz kurām bērni tiek nosūtīti atpakaļ, ir pienākumi nodrošināt repatriēto bērnu drošību un atlabšanu, nepieļaut, ka šie bērni tiek jebkādā veidā apkaunoti vai vajāti, sniegt turpmāku palīdzību, lai viņi varētu sākt savu dzīvi no jauna, un nodrošināt pienācīgu tiesas pieejamību un kaitējuma atlīdzināšanu par nodarītajām ciešanām. Tā kā daži bērni primāri ir pametuši mājas, lai izkļūtu </w:t>
      </w:r>
      <w:r w:rsidRPr="006B796E">
        <w:rPr>
          <w:rFonts w:ascii="Times New Roman" w:eastAsia="Times New Roman" w:hAnsi="Times New Roman" w:cs="Times New Roman"/>
          <w:sz w:val="24"/>
          <w:szCs w:val="24"/>
          <w:lang w:eastAsia="lv-LV"/>
        </w:rPr>
        <w:lastRenderedPageBreak/>
        <w:t>no galējas nabadzības vai vardarbības ģimenēs, var gadīties, ka izcelsmes valstu iestādēm ir problemātiski nodrošināt pienācīgus resursus, lai izpildītu visus valstij noteiktos pienākumus.</w:t>
      </w:r>
    </w:p>
    <w:p w:rsidR="00114C5F" w:rsidRDefault="00114C5F"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Ir pierādījies, ka ir noderīgi noslēgt divpusējas un daudzpusējas vienošanās, lai garantētu apmierinošus atpakaļnosūtīšanas nosacījumus. Tomēr šīs sadaļas pirmais piemērs attiecas uz pasākumiem, kas nepieciešami, lai nodrošinātu vairāku atšķirīgu iestāžu koordinēšanu izcelsmes valstī.</w:t>
      </w:r>
    </w:p>
    <w:p w:rsidR="00114C5F" w:rsidRPr="006B796E" w:rsidRDefault="00114C5F"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7.2.1. Praktiski piemēri</w:t>
      </w:r>
    </w:p>
    <w:p w:rsidR="00114C5F" w:rsidRDefault="00114C5F"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2004. un 2005. gadā Bulgārijai bija jāorganizē vairāku simtu tādu bērnu uzņemšana un reintegrēšana, kas Austrijā bija identificēti kā “nepavadīti bērni” un bija nonākuši konfliktā ar likumu (sk. 4.6. sadaļā minēto piemēro), daudzi vai lielākā daļa no kuriem bija nelegāli izvesti, lai pelnītu naudu pieaugušām (vai gados vecākām) personām, kas viņus kontrolē, veicot kabatas zādzības vai citus noziegumus. Bulgārijas politiskajās nostādnēs bija noteikti šādi divi galvenie reaģēšanas pasākumi.</w:t>
      </w:r>
    </w:p>
    <w:p w:rsidR="00114C5F" w:rsidRPr="006B796E" w:rsidRDefault="00114C5F"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1. Izstrādāt un pieņemt mehānismu, kas nepieciešams, lai koordinētu no ārvalstīm atpakaļ nosūtītu nepavadītu bērnu un bērnu, kas ir cilvēku tirdzniecības upuri, lietu nosūtīšanu izskatīšanai un sniegtu aprūpi; šajā koordinācijas mehānismā ir iesaistīta Iekšlietu ministrija, Ārlietu ministrija, Bērnu aizsardzības valsts aģentūra un Sociālās palīdzības aģentūra, kuras visas sadarbojas ar Cilvēku tirdzniecības apkarošanas valsts komisiju un kuras koordinē iekšlietu ministrs un Bērnu aizsardzības valsts aģentūras priekšsēdētājs. Bulgārijas iestādes paskaidrojušas, ka nolūks bijis “veicināt katra valsts iekšienē vai ārvalstīs notikuša bērnu tirdzniecības gadījuma kombinētu, ātru un efektīvu izsekošanu”.</w:t>
      </w:r>
      <w:r w:rsidR="00114C5F">
        <w:rPr>
          <w:rStyle w:val="Vresatsauce"/>
          <w:rFonts w:ascii="Times New Roman" w:eastAsia="Times New Roman" w:hAnsi="Times New Roman" w:cs="Times New Roman"/>
          <w:sz w:val="24"/>
          <w:szCs w:val="24"/>
          <w:lang w:eastAsia="lv-LV"/>
        </w:rPr>
        <w:footnoteReference w:customMarkFollows="1" w:id="147"/>
        <w:t>146</w:t>
      </w: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 Liegt attiecīgajiem bērniem atkārtoti izbraukt no Bulgārijas uz laiku līdz diviem gadiem (saskaņā ar Bulgārijas Likuma par personu apliecinošiem dokumentiem (spēkā no 2005. gada) 76.a pantu), ja ir ziņots, ka šie bērni (t. i., visi tie, kas nav sasnieguši 18 gadu vecumu) ir bijuši pakļauti seksuālai izmantošanai vai nevērīgai attieksmei vai iesaistīti ubagošanā vai sīku noziegumu veikšanā ārvalstīs (t. i., no citām ES dalībvalstīm repatriēti bērni). Iestādes interpretēja šīs darbības un nodarījumus kā zīmi, ka attiecīgie bērni ir pakļauti augstam cilvēku tirdzniecības vai atkārtotas tirdzniecības riskam, tādējādi šis aizliegums tika pamatots kā atkārtotas cilvēku tirdzniecības novēršanas līdzeklis.</w:t>
      </w:r>
    </w:p>
    <w:p w:rsidR="00114C5F" w:rsidRPr="006B796E" w:rsidRDefault="00114C5F"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Faktiski koordinācijas mehānisms ir nosūtīšanas sistēma bērniem, kuri nosūtīti atpakaļ uz Bulgāriju no citām valstīm, kas galvenokārt nosaka, kuras iestādes Bulgārijā jāinformē par bērnu un kādas darbības katrai iesaistītajai pusei ir jāveic.</w:t>
      </w:r>
      <w:r w:rsidR="00114C5F">
        <w:rPr>
          <w:rStyle w:val="Vresatsauce"/>
          <w:rFonts w:ascii="Times New Roman" w:eastAsia="Times New Roman" w:hAnsi="Times New Roman" w:cs="Times New Roman"/>
          <w:sz w:val="24"/>
          <w:szCs w:val="24"/>
          <w:lang w:eastAsia="lv-LV"/>
        </w:rPr>
        <w:footnoteReference w:customMarkFollows="1" w:id="148"/>
        <w:t>147</w:t>
      </w:r>
      <w:r w:rsidRPr="006B796E">
        <w:rPr>
          <w:rFonts w:ascii="Times New Roman" w:eastAsia="Times New Roman" w:hAnsi="Times New Roman" w:cs="Times New Roman"/>
          <w:sz w:val="24"/>
          <w:szCs w:val="24"/>
          <w:lang w:eastAsia="lv-LV"/>
        </w:rPr>
        <w:t xml:space="preserve"> Tas nenosaka, kādas procedūras jāveic pirms bērna faktiskās atpakaļnosūtīšanas, lai arī tās valsts iestādei, kura nosūta atpakaļ bērnu, būtu jāsniedz pēc iespējas plašāka informācija par bērna veselību un emocionālo stāvokli, kā arī piezīmes, ko snieguši speciālisti, kas ar bērnu praktiski strādājuši viņa </w:t>
      </w:r>
      <w:r w:rsidRPr="006B796E">
        <w:rPr>
          <w:rFonts w:ascii="Times New Roman" w:eastAsia="Times New Roman" w:hAnsi="Times New Roman" w:cs="Times New Roman"/>
          <w:sz w:val="24"/>
          <w:szCs w:val="24"/>
          <w:lang w:eastAsia="lv-LV"/>
        </w:rPr>
        <w:lastRenderedPageBreak/>
        <w:t>uzturēšanās laikā šajā valstī. Koordinācijas mehānisms tika grozīts 2010. gadā, lai labāk koordinētu valsts un pašvaldību iestādes, kas izvietotas Bulgārijas teritorijas dažādās daļās, tostarp to “krīzes centru” vadītājus, kuros izmitināti bērni, kas ir cilvēku tirdzniecības upuri. Krīzes centri esot izveidoti 14 vietās valsts teritorijā. Iestādes 2014. gadā ziņojušas, ka “parasti pirmais pasākums, ko veic attiecībā uz bērniem, kas ir cilvēku tirdzniecības upuri, ir viņu ievietošana krīzes centrā, kur bērni paliek uz laiku līdz 3 mēnešiem. Bērnu uzturēšanos krīzes centrā var pagarināt līdz 6 mēnešiem, ja tas nepieciešams nopietnu apstākļu dēļ.”</w:t>
      </w:r>
      <w:r w:rsidR="00114C5F">
        <w:rPr>
          <w:rStyle w:val="Vresatsauce"/>
          <w:rFonts w:ascii="Times New Roman" w:eastAsia="Times New Roman" w:hAnsi="Times New Roman" w:cs="Times New Roman"/>
          <w:sz w:val="24"/>
          <w:szCs w:val="24"/>
          <w:lang w:eastAsia="lv-LV"/>
        </w:rPr>
        <w:footnoteReference w:customMarkFollows="1" w:id="149"/>
        <w:t>148</w:t>
      </w:r>
    </w:p>
    <w:p w:rsidR="00114C5F" w:rsidRPr="006B796E" w:rsidRDefault="00114C5F"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2014. gadā Bulgārijas iestādes bija teikušas Bērnu tiesību komitejai, ka “kopš 2007. gada krīzes centri tiek uzskatīti par valsts deleģētu darbību, t. i., tie tiek finansēti no valsts budžeta ar pašvaldības budžetu starpniecību. Galvenie krīzes centros sniegtie pakalpojumi ir patvēruma un pārtikas nodrošināšana, veselības vajadzību apmierināšana, psiholoģiskais atbalsts, dzīves un sociālo prasmju apguve, nodrošināšana, ka bērns izglītojas skolā, sagatavošana reintegrācijai ģimenē un, ja tas nav iespējams, attiecīgi atbilstošu bērna aizsardzības pasākumu veikšana.”</w:t>
      </w:r>
      <w:r w:rsidR="002430E3">
        <w:rPr>
          <w:rStyle w:val="Vresatsauce"/>
          <w:rFonts w:ascii="Times New Roman" w:eastAsia="Times New Roman" w:hAnsi="Times New Roman" w:cs="Times New Roman"/>
          <w:sz w:val="24"/>
          <w:szCs w:val="24"/>
          <w:lang w:eastAsia="lv-LV"/>
        </w:rPr>
        <w:footnoteReference w:customMarkFollows="1" w:id="150"/>
        <w:t>149</w:t>
      </w:r>
      <w:r w:rsidRPr="006B796E">
        <w:rPr>
          <w:rFonts w:ascii="Times New Roman" w:eastAsia="Times New Roman" w:hAnsi="Times New Roman" w:cs="Times New Roman"/>
          <w:sz w:val="24"/>
          <w:szCs w:val="24"/>
          <w:lang w:eastAsia="lv-LV"/>
        </w:rPr>
        <w:t> Iestādes atzīst, ka dažkārt bērni ir nelikumīgi izvesti uz ārvalstīm un tur ekspluatēti ar bērna vecāku ziņu un piekrišanu, un šādos gadījumos iestādes uzskata, ka atkalapvienošana ar ģimeni nav bērna interesēs: “Šādos gadījumos bērns obligāti tiek izmitināts ārpus ģimenes un tiek meklētas alternatīvas sociālo pakalpojumu formas – audžuģimenes, aprūpes veida sociālie dienesti utt. (..) Kad bērns atstāj krīzes centru, viņam, ja nepieciešams, var sniegt norādes izmantot citus apkaimē pieejamus pakalpojumus.”</w:t>
      </w:r>
      <w:r w:rsidR="002430E3">
        <w:rPr>
          <w:rStyle w:val="Vresatsauce"/>
          <w:rFonts w:ascii="Times New Roman" w:eastAsia="Times New Roman" w:hAnsi="Times New Roman" w:cs="Times New Roman"/>
          <w:sz w:val="24"/>
          <w:szCs w:val="24"/>
          <w:lang w:eastAsia="lv-LV"/>
        </w:rPr>
        <w:footnoteReference w:customMarkFollows="1" w:id="151"/>
        <w:t>150</w:t>
      </w:r>
    </w:p>
    <w:p w:rsidR="00114C5F" w:rsidRPr="006B796E" w:rsidRDefault="00114C5F"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2012.–2014. gadā no citām ES valstīm esot nosūtīti atpakaļ uz Bulgāriju un nodoti koordinācijas mehānismam 142 bērni, kas identificēti kā cilvēku tirdzniecības upuri.</w:t>
      </w:r>
      <w:r w:rsidR="002430E3">
        <w:rPr>
          <w:rStyle w:val="Vresatsauce"/>
          <w:rFonts w:ascii="Times New Roman" w:eastAsia="Times New Roman" w:hAnsi="Times New Roman" w:cs="Times New Roman"/>
          <w:sz w:val="24"/>
          <w:szCs w:val="24"/>
          <w:lang w:eastAsia="lv-LV"/>
        </w:rPr>
        <w:footnoteReference w:customMarkFollows="1" w:id="152"/>
        <w:t>151</w:t>
      </w:r>
      <w:r w:rsidRPr="006B796E">
        <w:rPr>
          <w:rFonts w:ascii="Times New Roman" w:eastAsia="Times New Roman" w:hAnsi="Times New Roman" w:cs="Times New Roman"/>
          <w:sz w:val="24"/>
          <w:szCs w:val="24"/>
          <w:lang w:eastAsia="lv-LV"/>
        </w:rPr>
        <w:t> Bulgārijas Bērnu aizsardzības valsts aģentūra bija pārliecināta, ka nepavadītu Bulgārijas bērnu skaits, par kuriem ziņots Bulgārijas vēstniecībām vai aģentūrām citās valstīs (sociāliem dienestiem vai tiesībaizsardzības iestādēm), ir samazinājies no 60 bērniem 2013. gadā uz 36 bērniem 2014. gadā. Tomēr šī aģentūra bažījās, ka tas varētu būt tāpēc, ka attiecīgie bērni galamērķa valstīs netiek identificēti vai aizsargāti.</w:t>
      </w:r>
    </w:p>
    <w:p w:rsidR="002430E3" w:rsidRPr="006B796E" w:rsidRDefault="002430E3"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7.2.2. Bērnu aizsardzība un palīdzības sniegšana pēc viņu atgriešanās savā izcelsmes valstī</w:t>
      </w:r>
    </w:p>
    <w:p w:rsidR="002430E3" w:rsidRDefault="002430E3"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Dažās valstīs repatriētos bērnus pēc viņu atgriešanās savā izcelsmes valstī parasti nosūta uz alternatīvās aprūpes iestādi. Lai arī ir svarīgi, lai bērns, kas ir cilvēku tirdzniecības upuris, netiktu automātiski apvienots ar saviem vecākiem vai citiem ģimenes locekļiem, ja iepriekš, veicot sociālo lietas apstākļu izpēti, nav saņemts apstiprinājums, ka tas būtu atbilstoši, tikpat svarīgi ir arī ievērot ANO Pamatnostādnēs noteikto “nepieciešamības principu”, t. i., vajadzību bērnam atrasties alternatīvās aprūpes iestādē pārskata, kad pagājušas dažas dienas pēc bērna ierašanās, bet pēc tam – katru mēnesi. Ja bērnus alternatīvās aprūpes iestādē parasti tur sešus mēnešus vai ilgāk, acīmredzami ir svarīgi uzraudzīt katra bērna labklājību un ilgākā termiņā dokumentēt, kā šāda aprūpe ietekmē bērnus, un noteikt, kas ar viņiem notiks turpmāk (vai ko viņi vēlas darīt pēc aprūpes iestādes atstāšanas).</w:t>
      </w:r>
    </w:p>
    <w:p w:rsidR="002430E3" w:rsidRPr="006B796E" w:rsidRDefault="002430E3"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lastRenderedPageBreak/>
        <w:t>Bulgārijas iestādes ir teikušas attiecīgajām līguma izpildes uzraudzības struktūrām</w:t>
      </w:r>
      <w:r w:rsidR="002430E3">
        <w:rPr>
          <w:rStyle w:val="Vresatsauce"/>
          <w:rFonts w:ascii="Times New Roman" w:eastAsia="Times New Roman" w:hAnsi="Times New Roman" w:cs="Times New Roman"/>
          <w:sz w:val="24"/>
          <w:szCs w:val="24"/>
          <w:lang w:eastAsia="lv-LV"/>
        </w:rPr>
        <w:footnoteReference w:customMarkFollows="1" w:id="153"/>
        <w:t>152</w:t>
      </w:r>
      <w:r w:rsidRPr="006B796E">
        <w:rPr>
          <w:rFonts w:ascii="Times New Roman" w:eastAsia="Times New Roman" w:hAnsi="Times New Roman" w:cs="Times New Roman"/>
          <w:sz w:val="24"/>
          <w:szCs w:val="24"/>
          <w:lang w:eastAsia="lv-LV"/>
        </w:rPr>
        <w:t>, ka no ārvalstīm repatriētie bērni pēc viņu ierašanās tiek automātiski ievietoti alternatīvās aprūpes iestādē (kas tiek sauktas par “krīzes centriem”, kuros izmitina no dažādām vardarbības formām cietušos). Viņu lietas nodod izskatīšanai tiesā, kurai ir jānosaka, vai bērna vecākiem oficiāli jāatņem vecāku atbildība; pa to laiku par šādiem bērniem juridiski atbild sociālie dienesti (Sociālās palīdzības direktorāts). Šķiet, ka atpakaļ nosūtītos bērnus sākotnēji ievieto alternatīvās aprūpes iestādē uz trim līdz sešiem mēnešiem, savukārt sociālajiem dienestiem būtu jāuzrauga katrs atpakaļ nosūtītais bērns pilnu gadu.</w:t>
      </w:r>
      <w:r w:rsidR="002430E3">
        <w:rPr>
          <w:rStyle w:val="Vresatsauce"/>
          <w:rFonts w:ascii="Times New Roman" w:eastAsia="Times New Roman" w:hAnsi="Times New Roman" w:cs="Times New Roman"/>
          <w:sz w:val="24"/>
          <w:szCs w:val="24"/>
          <w:lang w:eastAsia="lv-LV"/>
        </w:rPr>
        <w:footnoteReference w:customMarkFollows="1" w:id="154"/>
        <w:t>153</w:t>
      </w:r>
    </w:p>
    <w:p w:rsidR="002430E3" w:rsidRDefault="002430E3"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7.3. Divpusēji nolīgumi par nelegāli izvesto vai nepavadīto bērnu atpakaļnosūtīšanu</w:t>
      </w:r>
    </w:p>
    <w:p w:rsidR="002430E3" w:rsidRDefault="002430E3"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Noteiktos apstākļos ir ieteicams bērnus, kas ir cilvēku tirdzniecības upuri, sūtīt atpakaļ uz viņu izcelsmes valsti. Tā tas ir tad, ja viņi nav bēgļi un ja bērna interešu novērtējumā nav identificēti nekādi nozīmīgi riski vai citi iemesli, kas liecinātu par pretējo nosūtīšanai. Tomēr atpakaļsūtīšanas loģistika ir problemātiska; iesaistītajām valstīm ir jāvienojas par daudziem jautājumiem, pirms var rīkoties. Tāpēc abu pušu interesēs ir noslēgt oficiālus divpusējus vai daudzpusējus atpakaļnosūtīšanas nolīgumus. Un pat tādā gadījumā ir piemēri, kad atpakaļsūtīšana aizkavējas daudzu iemeslu dēļ. Vienā reģionā ārpus Eiropas (Rietumāfrikā un Centrālāfrikā) </w:t>
      </w:r>
      <w:r w:rsidRPr="006B796E">
        <w:rPr>
          <w:rFonts w:ascii="Times New Roman" w:eastAsia="Times New Roman" w:hAnsi="Times New Roman" w:cs="Times New Roman"/>
          <w:i/>
          <w:iCs/>
          <w:sz w:val="24"/>
          <w:szCs w:val="24"/>
          <w:lang w:eastAsia="lv-LV"/>
        </w:rPr>
        <w:t>UNICEF</w:t>
      </w:r>
      <w:r w:rsidRPr="006B796E">
        <w:rPr>
          <w:rFonts w:ascii="Times New Roman" w:eastAsia="Times New Roman" w:hAnsi="Times New Roman" w:cs="Times New Roman"/>
          <w:sz w:val="24"/>
          <w:szCs w:val="24"/>
          <w:lang w:eastAsia="lv-LV"/>
        </w:rPr>
        <w:t xml:space="preserve"> pirms vairāk nekā desmit gadiem bija mēģinājis risināt dažus no šiem šķēršļiem, piedāvājot tipveida divpusējo nolīgumu par sadarbību un savstarpēju juridisko palīdzību, nodrošinot bērnu aizsardzību pret pārrobežu cilvēku tirdzniecību (sk. turpmāk 2. pielikumu).</w:t>
      </w:r>
    </w:p>
    <w:p w:rsidR="002430E3" w:rsidRPr="006B796E" w:rsidRDefault="002430E3"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Šāds divpusējs nolīgums ir, piemēram, Albānijas un Grieķijas nolīgums (Grieķijas Republikas valdības un Albānijas Republikas Ministru padomes Nolīgums par bērnu, kas ir cilvēku tirdzniecības upuri, aizsardzību un palīdzības sniegšanu). Tā noteikumi ir abu pušu nozīmīgi centieni izstrādāt nolīgumu, kurā būtu ievērotas iesaistīto bērnu tiesības, un tādējādi tas ir paraugs, ko var izmantot citi. Albānija to ratificēja 2006. gadā, bet Grieķija – 2008. gadā, un tas stājās spēkā 2009. gadā.</w:t>
      </w:r>
      <w:r w:rsidR="002430E3">
        <w:rPr>
          <w:rStyle w:val="Vresatsauce"/>
          <w:rFonts w:ascii="Times New Roman" w:eastAsia="Times New Roman" w:hAnsi="Times New Roman" w:cs="Times New Roman"/>
          <w:sz w:val="24"/>
          <w:szCs w:val="24"/>
          <w:lang w:eastAsia="lv-LV"/>
        </w:rPr>
        <w:footnoteReference w:customMarkFollows="1" w:id="155"/>
        <w:t>154</w:t>
      </w:r>
      <w:r w:rsidRPr="006B796E">
        <w:rPr>
          <w:rFonts w:ascii="Times New Roman" w:eastAsia="Times New Roman" w:hAnsi="Times New Roman" w:cs="Times New Roman"/>
          <w:sz w:val="24"/>
          <w:szCs w:val="24"/>
          <w:lang w:eastAsia="lv-LV"/>
        </w:rPr>
        <w:t> Spiediens uz Albāniju un Grieķiju noslēgt vienošanos tika izdarīts 2000. gadu sākumā, kad tika ziņots, ka Grieķijā dzīvojošie Albānijas bērni tiek vesti uz Grieķijas un Albānijas robežu, lai tiktu repatriēti, iepriekš par to neinformējot Albānijas amatpersonas.</w:t>
      </w:r>
    </w:p>
    <w:p w:rsidR="002430E3" w:rsidRDefault="002430E3" w:rsidP="006B796E">
      <w:pPr>
        <w:widowControl w:val="0"/>
        <w:spacing w:after="0" w:line="240" w:lineRule="auto"/>
        <w:jc w:val="both"/>
        <w:rPr>
          <w:rFonts w:ascii="Times New Roman" w:eastAsia="Times New Roman" w:hAnsi="Times New Roman" w:cs="Times New Roman"/>
          <w:sz w:val="24"/>
          <w:szCs w:val="24"/>
          <w:lang w:eastAsia="lv-LV"/>
        </w:rPr>
      </w:pPr>
    </w:p>
    <w:p w:rsidR="002430E3" w:rsidRPr="006B796E" w:rsidRDefault="002430E3"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2430E3" w:rsidRDefault="00D6592D" w:rsidP="002430E3">
      <w:pPr>
        <w:widowControl w:val="0"/>
        <w:spacing w:after="0" w:line="240" w:lineRule="auto"/>
        <w:jc w:val="center"/>
        <w:rPr>
          <w:rFonts w:ascii="Times New Roman" w:eastAsia="Times New Roman" w:hAnsi="Times New Roman" w:cs="Times New Roman"/>
          <w:b/>
          <w:bCs/>
          <w:sz w:val="28"/>
          <w:szCs w:val="28"/>
          <w:lang w:eastAsia="lv-LV"/>
        </w:rPr>
      </w:pPr>
      <w:r w:rsidRPr="002430E3">
        <w:rPr>
          <w:rFonts w:ascii="Times New Roman" w:eastAsia="Times New Roman" w:hAnsi="Times New Roman" w:cs="Times New Roman"/>
          <w:b/>
          <w:bCs/>
          <w:sz w:val="28"/>
          <w:szCs w:val="28"/>
          <w:lang w:eastAsia="lv-LV"/>
        </w:rPr>
        <w:t>“(..) vajadzību bērnam atrasties alternatīvās aprūpes iestādē pārskata, kad pagājušas dažas dienas pēc bērna ierašanās, bet pēc tam – katru mēnesi.”</w:t>
      </w:r>
    </w:p>
    <w:p w:rsidR="002430E3" w:rsidRDefault="002430E3" w:rsidP="006B796E">
      <w:pPr>
        <w:widowControl w:val="0"/>
        <w:spacing w:after="0" w:line="240" w:lineRule="auto"/>
        <w:jc w:val="both"/>
        <w:rPr>
          <w:rFonts w:ascii="Times New Roman" w:eastAsia="Times New Roman" w:hAnsi="Times New Roman" w:cs="Times New Roman"/>
          <w:sz w:val="24"/>
          <w:szCs w:val="24"/>
          <w:lang w:eastAsia="lv-LV"/>
        </w:rPr>
      </w:pPr>
    </w:p>
    <w:p w:rsidR="002430E3" w:rsidRDefault="002430E3"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Lai divu valstu nolīgums varētu darboties, abām līguma pusēm ir jānosaka, kura valdības iestāde būs “kontaktpunkts”, t. i., ar kuru iestādi otrai pusei ir jāsazinās, ja ir tāda nepieciešamība. Minētajā nolīgumā tas tiek dēvēts par “atbildīgo iestādi” (saskaņā ar 7. panta 2. punktu). Grieķijā tas ir Veselības, labklājības un sociālās nodrošināšanas ministrijas Ārkārtas sociālās solidaritātes nacionālais centrs, savukārt Albānijā tā ir valdības Apvienotā komisija to bērnu aizsardzības jomā, kas ir cilvēku tirdzniecības upuri.</w:t>
      </w:r>
    </w:p>
    <w:p w:rsidR="002430E3" w:rsidRPr="006B796E" w:rsidRDefault="002430E3"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lastRenderedPageBreak/>
        <w:t>Attiecībā uz pamatjautājumu par identifikāciju un sākotnējo aizsardzību un palīdzību nolīgumā ir noteikts (9. panta 1. punktā):</w:t>
      </w:r>
    </w:p>
    <w:p w:rsidR="002430E3" w:rsidRPr="006B796E" w:rsidRDefault="002430E3"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“Atbildīgā iestāde sadarbībā ar prokuroru starptautiskajām bērnu organizācijām un nevalstiskām organizācijām, kas iesaistītas bērnu aizsardzības darbībās, ka arī nevalstiskiem rīcībspēkiem proaktīvi cenšas identificēt cietušo bērnu un sadarbībā ar kompetento policijas dienestu organizē bērna tūlītēju nosūtīšanu uz aprūpes centru. Aprūpes centriem ir jābūt aizsargātiem, drošiem un piemērotiem bērna vecumam un vajadzībām. Katrā ziņā puses garantē, ka centri piedāvā bērnu aizsardzību, maltītes, medicīnisko palīdzību, psiholoģisko atbalstu un izglītības un izklaides pasākumu iespējas. Šim nolūkam centrālā koordinēšanas struktūra un katras līgumslēdzējas puses atbildīgā iestāde var noslēgt nolīgumus, direktīvas un saprašanās memorandus ar starptautiskajām organizācijām un nevalstiskajām organizācijām, kas iesaistītas bērnu aizsardzības darbībās, ka arī ar nevalstiskiem rīcībspēkiem nolūkā nodrošināt sociālos pakalpojumus un aprūpes centrus.”</w:t>
      </w:r>
    </w:p>
    <w:p w:rsidR="002430E3" w:rsidRPr="006B796E" w:rsidRDefault="002430E3"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Nolīgumā noteikts, ka jāieceļ “pagaidu aizbildnis” (10. pants), kuram ir jāuztur sakari ar bērnu un ar dažādām organizācijām un dienestiem, kas ir iesaistīti procesā un ir atbildīgi par bērna vajadzību apmierināšanu, un bērna drošas repatriācijas gadījumā ir “jāgarantē”, ka bērna atpakaļnosūtīšana tiek pienācīgi sagatavota saistībā ar ģimenes un bērna sagatavošanu, drošu atpakaļnosūtīšanu un bērna interešu ievērošanu.”</w:t>
      </w:r>
    </w:p>
    <w:p w:rsidR="002430E3" w:rsidRPr="006B796E" w:rsidRDefault="002430E3"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Jautājumā par “drošu repatriāciju” nolīgumā noteikts, ka “bērnu nosūtīšanu atpakaļ īsteno, izmantojot procedūru, kas ir brīvprātīga, leģitīma, nodrošina palīdzību, ir labi sagatavota un droša, kā arī ir saskaņā ar bērna interesēm” (14. panta 1. punkts). Pēc bērna atgriešanās savā izcelsmes valstī šīs valsts atbildīgajai iestādei ir “jāizstrādā un jāīsteno īpaši projekti, kas vērsti uz bērna reintegrēšanu izcelsmes valstī. Šajos projektos ietver aizsardzību, medicīnisko un psiholoģisko atbalstu, reintegrāciju izglītības sistēmā, juridisko konsultāciju sniegšanu un pārstāvību, kā arī visu citu veidu palīdzību vai pasākumus, kas jāsniedz saskaņā ar tiesību aktiem bērnu aizsardzības jomā izcelsmes valstī” (14. panta 2. punkts). Šai iestādei būtu arī “jānovērtē cietušo bērnu labklājība un jāuzrauga viņu dzīve pēc atkalapvienošanās ar ģimeni vai ievietošanas alternatīvās aprūpes iestādē izcelsmes valstī, kā arī divreiz gadā jāsniedz ziņojums uzņemošās valsts atbildīgajai iestādei, līdz bērns sasniedz 18 gadu vecumu”.</w:t>
      </w:r>
    </w:p>
    <w:p w:rsidR="002430E3" w:rsidRPr="006B796E" w:rsidRDefault="002430E3"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Daļēji pamatojoties uz šajā nolīgumā gūto pieredzi, ziņojumā par transnacionālajem mehānismiem cietušo nosūtīšanai ir ieteikts, ka “struktūrām, kas atbild par </w:t>
      </w:r>
      <w:r w:rsidRPr="006B796E">
        <w:rPr>
          <w:rFonts w:ascii="Times New Roman" w:eastAsia="Times New Roman" w:hAnsi="Times New Roman" w:cs="Times New Roman"/>
          <w:i/>
          <w:iCs/>
          <w:sz w:val="24"/>
          <w:szCs w:val="24"/>
          <w:lang w:eastAsia="lv-LV"/>
        </w:rPr>
        <w:t>NRM</w:t>
      </w:r>
      <w:r w:rsidRPr="006B796E">
        <w:rPr>
          <w:rFonts w:ascii="Times New Roman" w:eastAsia="Times New Roman" w:hAnsi="Times New Roman" w:cs="Times New Roman"/>
          <w:sz w:val="24"/>
          <w:szCs w:val="24"/>
          <w:lang w:eastAsia="lv-LV"/>
        </w:rPr>
        <w:t xml:space="preserve"> un </w:t>
      </w:r>
      <w:r w:rsidRPr="006B796E">
        <w:rPr>
          <w:rFonts w:ascii="Times New Roman" w:eastAsia="Times New Roman" w:hAnsi="Times New Roman" w:cs="Times New Roman"/>
          <w:i/>
          <w:iCs/>
          <w:sz w:val="24"/>
          <w:szCs w:val="24"/>
          <w:lang w:eastAsia="lv-LV"/>
        </w:rPr>
        <w:t>TRM</w:t>
      </w:r>
      <w:r w:rsidRPr="006B796E">
        <w:rPr>
          <w:rFonts w:ascii="Times New Roman" w:eastAsia="Times New Roman" w:hAnsi="Times New Roman" w:cs="Times New Roman"/>
          <w:sz w:val="24"/>
          <w:szCs w:val="24"/>
          <w:lang w:eastAsia="lv-LV"/>
        </w:rPr>
        <w:t>, jānodrošina, ka starptautiskās sadarbības pieprasījumus attiecībā uz bērniem, kas ir cilvēku tirdzniecības upuri, pārvalda viena valsts iestāde”.</w:t>
      </w:r>
      <w:r w:rsidR="002430E3">
        <w:rPr>
          <w:rStyle w:val="Vresatsauce"/>
          <w:rFonts w:ascii="Times New Roman" w:eastAsia="Times New Roman" w:hAnsi="Times New Roman" w:cs="Times New Roman"/>
          <w:sz w:val="24"/>
          <w:szCs w:val="24"/>
          <w:lang w:eastAsia="lv-LV"/>
        </w:rPr>
        <w:footnoteReference w:customMarkFollows="1" w:id="156"/>
        <w:t>155</w:t>
      </w:r>
    </w:p>
    <w:p w:rsidR="002430E3" w:rsidRPr="006B796E" w:rsidRDefault="002430E3" w:rsidP="006B796E">
      <w:pPr>
        <w:widowControl w:val="0"/>
        <w:spacing w:after="0" w:line="240" w:lineRule="auto"/>
        <w:jc w:val="both"/>
        <w:rPr>
          <w:rFonts w:ascii="Times New Roman" w:eastAsia="Times New Roman" w:hAnsi="Times New Roman" w:cs="Times New Roman"/>
          <w:sz w:val="24"/>
          <w:szCs w:val="20"/>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7.4. Daudzpusēji nolīgumi par nelegāli izvesto un citu nepavadīto bērnu atpakaļnosūtīšanu</w:t>
      </w:r>
    </w:p>
    <w:p w:rsidR="002430E3" w:rsidRDefault="002430E3"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Drīz vien pēc Padomju Savienības sabrukšanas vairums jaunizveidotās Neatkarīgo Valstu Sadraudzības (NVS) dalībvalstu Volgogradā 1993. gadā noslēdza vienošanos par to, kādi reaģēšanas pasākumi jāveic katrai valstij saistībā ar nepavadītiem bērniem, kuri, domājams, nāk no citas NVS valsts.</w:t>
      </w:r>
      <w:r w:rsidR="00010697">
        <w:rPr>
          <w:rStyle w:val="Vresatsauce"/>
          <w:rFonts w:ascii="Times New Roman" w:eastAsia="Times New Roman" w:hAnsi="Times New Roman" w:cs="Times New Roman"/>
          <w:sz w:val="24"/>
          <w:szCs w:val="24"/>
          <w:lang w:eastAsia="lv-LV"/>
        </w:rPr>
        <w:footnoteReference w:customMarkFollows="1" w:id="157"/>
        <w:t>156</w:t>
      </w:r>
      <w:r w:rsidRPr="006B796E">
        <w:rPr>
          <w:rFonts w:ascii="Times New Roman" w:eastAsia="Times New Roman" w:hAnsi="Times New Roman" w:cs="Times New Roman"/>
          <w:sz w:val="24"/>
          <w:szCs w:val="24"/>
          <w:lang w:eastAsia="lv-LV"/>
        </w:rPr>
        <w:t xml:space="preserve"> Tika ziņots, ka turpmākajos divdesmit gados ir pieaudzis nepavadītu un </w:t>
      </w:r>
      <w:r w:rsidRPr="006B796E">
        <w:rPr>
          <w:rFonts w:ascii="Times New Roman" w:eastAsia="Times New Roman" w:hAnsi="Times New Roman" w:cs="Times New Roman"/>
          <w:sz w:val="24"/>
          <w:szCs w:val="24"/>
          <w:lang w:eastAsia="lv-LV"/>
        </w:rPr>
        <w:lastRenderedPageBreak/>
        <w:t>nošķirtu bērnu skaits vairākās NVS valstīs, vienlaikus ir ziņots par bez vecāku gādības palikušiem bērniem, kas dzīvo uz ielas lielpilsētās, piemēram, Maskavā un Sanktpēterburgā. Kad EDSO īpašā pārstāve bija apmeklējusi Krievijas Federāciju 2017. gada februārī, viņa tika informēta, ka daži migrējošo darba ņēmēju bērni bijuši spiesti strādāt neformālajā sektorā, lai atbalstītu savu ģimeni, un ir pieredzējuši ekspluatāciju no darba devēju puses. Viņa atzīmēja, ka migrantu bērni ir grupa, kas, šķiet, ir pakļauta būtiskam cilvēku tirdzniecības un ļaunprātīgas izmantošanas riskam.</w:t>
      </w:r>
      <w:r w:rsidR="00B60A1B">
        <w:rPr>
          <w:rStyle w:val="Vresatsauce"/>
          <w:rFonts w:ascii="Times New Roman" w:eastAsia="Times New Roman" w:hAnsi="Times New Roman" w:cs="Times New Roman"/>
          <w:sz w:val="24"/>
          <w:szCs w:val="24"/>
          <w:lang w:eastAsia="lv-LV"/>
        </w:rPr>
        <w:footnoteReference w:customMarkFollows="1" w:id="158"/>
        <w:t>157</w:t>
      </w:r>
      <w:r w:rsidRPr="006B796E">
        <w:rPr>
          <w:rFonts w:ascii="Times New Roman" w:eastAsia="Times New Roman" w:hAnsi="Times New Roman" w:cs="Times New Roman"/>
          <w:sz w:val="24"/>
          <w:szCs w:val="24"/>
          <w:lang w:eastAsia="lv-LV"/>
        </w:rPr>
        <w:t> Lai arī nav veikts attiecīgo statistikas datu apkopojums, lai parādītu, cik liels ir to gadījumu īpatsvars, kuros ir iesaistīti bērni, Sanktpēterburgas Sarkanā krusta Starptautiskās sadarbības centrs ir ziņojis, ka no vairāk nekā 15 000 zvaniem uz dienesta uzticības tālruni, kas veikti 2009.–2016. gadā, apmēram 5 procenti (t. i., 750 zvani) bija saistīti ar cilvēku tirdzniecības jautājumiem un darba tiesību pārkāpumiem.</w:t>
      </w:r>
      <w:r w:rsidR="00B60A1B">
        <w:rPr>
          <w:rStyle w:val="Vresatsauce"/>
          <w:rFonts w:ascii="Times New Roman" w:eastAsia="Times New Roman" w:hAnsi="Times New Roman" w:cs="Times New Roman"/>
          <w:sz w:val="24"/>
          <w:szCs w:val="24"/>
          <w:lang w:eastAsia="lv-LV"/>
        </w:rPr>
        <w:footnoteReference w:customMarkFollows="1" w:id="159"/>
        <w:t>158</w:t>
      </w:r>
    </w:p>
    <w:p w:rsidR="00010697" w:rsidRPr="006B796E" w:rsidRDefault="00010697"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Krievijas Federācija ir piedzīvojusi ievērojamu imigrācijas vilni no citām NVS valstīm; Krievijā ir ieceļojušas veselas ģimenes un arī atsevišķi migranti, tostarp neatkarīgi bērni migranti. 2015. gadā </w:t>
      </w:r>
      <w:r w:rsidRPr="006B796E">
        <w:rPr>
          <w:rFonts w:ascii="Times New Roman" w:eastAsia="Times New Roman" w:hAnsi="Times New Roman" w:cs="Times New Roman"/>
          <w:i/>
          <w:iCs/>
          <w:sz w:val="24"/>
          <w:szCs w:val="24"/>
          <w:lang w:eastAsia="lv-LV"/>
        </w:rPr>
        <w:t>IOM</w:t>
      </w:r>
      <w:r w:rsidRPr="006B796E">
        <w:rPr>
          <w:rFonts w:ascii="Times New Roman" w:eastAsia="Times New Roman" w:hAnsi="Times New Roman" w:cs="Times New Roman"/>
          <w:sz w:val="24"/>
          <w:szCs w:val="24"/>
          <w:lang w:eastAsia="lv-LV"/>
        </w:rPr>
        <w:t xml:space="preserve"> ir ziņojusi, ka Krievijas Federācijā dzīvo ap pieciem miljoniem migrantu, kas dzimuši Centrālāzijā, atzīmējot, ka “vīrieši un sievietes, kas ir migrējošie darba ņēmēji no Centrālāzijas, var būt pakļauti ekspluatācijai un ļaunprātīgai rīcībai, jo īpaši neformālās nodarbinātības sektorā, piemēram, būvniecībā, lauksaimniecībā un mājsaimniecības darbos”.</w:t>
      </w:r>
      <w:r w:rsidR="00B60A1B">
        <w:rPr>
          <w:rStyle w:val="Vresatsauce"/>
          <w:rFonts w:ascii="Times New Roman" w:eastAsia="Times New Roman" w:hAnsi="Times New Roman" w:cs="Times New Roman"/>
          <w:sz w:val="24"/>
          <w:szCs w:val="24"/>
          <w:lang w:eastAsia="lv-LV"/>
        </w:rPr>
        <w:footnoteReference w:customMarkFollows="1" w:id="160"/>
        <w:t>159</w:t>
      </w:r>
      <w:r w:rsidRPr="006B796E">
        <w:rPr>
          <w:rFonts w:ascii="Times New Roman" w:eastAsia="Times New Roman" w:hAnsi="Times New Roman" w:cs="Times New Roman"/>
          <w:sz w:val="24"/>
          <w:szCs w:val="24"/>
          <w:lang w:eastAsia="lv-LV"/>
        </w:rPr>
        <w:t> Saskaņā ar oficiālo avotu 2015. gada aplēsēm tikai no četrām Centrālāzijas valstīm vien savu pastāvīgo uzturēšanos Krievijas Federācijā esot oficiāli reģistrējuši 939 000 migrantu.</w:t>
      </w:r>
      <w:r w:rsidR="00B60A1B">
        <w:rPr>
          <w:rStyle w:val="Vresatsauce"/>
          <w:rFonts w:ascii="Times New Roman" w:eastAsia="Times New Roman" w:hAnsi="Times New Roman" w:cs="Times New Roman"/>
          <w:sz w:val="24"/>
          <w:szCs w:val="24"/>
          <w:lang w:eastAsia="lv-LV"/>
        </w:rPr>
        <w:footnoteReference w:customMarkFollows="1" w:id="161"/>
        <w:t>160</w:t>
      </w:r>
      <w:r w:rsidRPr="006B796E">
        <w:rPr>
          <w:rFonts w:ascii="Times New Roman" w:eastAsia="Times New Roman" w:hAnsi="Times New Roman" w:cs="Times New Roman"/>
          <w:sz w:val="24"/>
          <w:szCs w:val="24"/>
          <w:lang w:eastAsia="lv-LV"/>
        </w:rPr>
        <w:t> Tomēr šajos statistikas datos nebija iekļauti bērni, kas ieceļojuši Krievijas Federācijā vieni paši.</w:t>
      </w:r>
    </w:p>
    <w:p w:rsidR="00B60A1B" w:rsidRPr="006B796E" w:rsidRDefault="00B60A1B" w:rsidP="006B796E">
      <w:pPr>
        <w:widowControl w:val="0"/>
        <w:spacing w:after="0" w:line="240" w:lineRule="auto"/>
        <w:jc w:val="both"/>
        <w:rPr>
          <w:rFonts w:ascii="Times New Roman" w:eastAsia="Times New Roman" w:hAnsi="Times New Roman" w:cs="Times New Roman"/>
          <w:sz w:val="24"/>
          <w:szCs w:val="20"/>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Procedūras, kas tika saskaņotas Volgogradā 1993. gadā, tika atkārtoti apstiprinātas Kišiņevā 2002. gadā uz nākamajiem pieciem gadiem (t. i., līdz 2007. gadam).</w:t>
      </w:r>
      <w:r w:rsidR="00B60A1B">
        <w:rPr>
          <w:rStyle w:val="Vresatsauce"/>
          <w:rFonts w:ascii="Times New Roman" w:eastAsia="Times New Roman" w:hAnsi="Times New Roman" w:cs="Times New Roman"/>
          <w:sz w:val="24"/>
          <w:szCs w:val="24"/>
          <w:lang w:eastAsia="lv-LV"/>
        </w:rPr>
        <w:footnoteReference w:customMarkFollows="1" w:id="162"/>
        <w:t>161</w:t>
      </w:r>
      <w:r w:rsidRPr="006B796E">
        <w:rPr>
          <w:rFonts w:ascii="Times New Roman" w:eastAsia="Times New Roman" w:hAnsi="Times New Roman" w:cs="Times New Roman"/>
          <w:sz w:val="24"/>
          <w:szCs w:val="24"/>
          <w:lang w:eastAsia="lv-LV"/>
        </w:rPr>
        <w:t> Šīs procedūras ir administratīvā procedūra tādu nepavadītu bērnu aizturēšanai (nolīgumā norādīti kā “bez aizbildnības atstāti nepilngadīgie”), kas nākuši no citām nolīgumu parakstījušām valstīm, viņu ievietošanai specializētās iestādēs, kas bieži vien ir Iekšlietu ministrijas pakļautības iestādes (valstī, kurā bērns ir identificēts), un bērnu repatriācijai bez lietas izskatīšanas vai tiesiskās procedūras dažādos centros, kurus administrē attiecīgās valdības ministrijas. Tie ir bijuši “slēgtie” centri, proti, attiecīgie bērni nedrīkst iziet ārā, bet viņiem tiek piemērota administratīva aizturēšana.</w:t>
      </w:r>
    </w:p>
    <w:p w:rsidR="00B60A1B"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Nepavadītus bērnus, kurus paredzēts sūtīt atpakaļ, izmitina divu veidu aprūpes centros (uzskaitīti Kišiņevas nolīguma pielikumā). Vairumā valstu tie ir aizturēšanas centri, kas ir Iekšlietu ministriju pārraudzībā, savukārt citi ir aprūpes centri (parasti tos pārrauga par </w:t>
      </w:r>
      <w:r w:rsidRPr="006B796E">
        <w:rPr>
          <w:rFonts w:ascii="Times New Roman" w:eastAsia="Times New Roman" w:hAnsi="Times New Roman" w:cs="Times New Roman"/>
          <w:sz w:val="24"/>
          <w:szCs w:val="24"/>
          <w:lang w:eastAsia="lv-LV"/>
        </w:rPr>
        <w:lastRenderedPageBreak/>
        <w:t>veselības aizsardzību vai sociālajām lietām atbildīgās ministrijas) bez vecāku gādības palikušiem bērniem vai bērniem, kas ir bijuši pakļauti vardarbībai. Krievijas Federācijā (lielākā no iesaistītajām valstīm), piemēram, ir iezīmēti aizturēšanas centri (dēvēti kā “konfliktā ar likumu nonākušu nepilngadīgo īslaicīgas rehabilitācijas un izolācijas centri”), kurus vada Iekšlietu ministrija un kurus izmanto desmit pilsētās, savukārt sociālās rehabilitācijas centrus bez vecāku gādības palikušiem bērniem (tos uzrauga par veselību un sociālo aizsardzību atbildīgās iestādes) izmanto četrās pilsētās, bet sociālās patvēruma vietas bērniem – vēl divās citās pilsētās.</w:t>
      </w:r>
    </w:p>
    <w:p w:rsidR="00B60A1B" w:rsidRPr="006B796E"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Saskaņā ar Kišiņevas nolīguma 6. panta noteikumiem, ja ir identificēts un aizturēts nepavadīts bērns, viņu nogādā uz tuvāko “specializēto iestādi” viņa mītnes valstī 30 dienu laikā no brīža, kad iestādes ir noteikušas, ka bērnam valstī, kurā viņš tika atrasts, nav vecāku vai likumīgā aizbildņa. Paredzēts, ka šo bērnu pavada nosūtošās valsts amatpersonas.</w:t>
      </w:r>
    </w:p>
    <w:p w:rsidR="00B60A1B" w:rsidRPr="006B796E"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Lai arī Kišiņevas nolīguma darbības laiks ir pieci gadi, šķiet, ka tas ir galvenais juridiskais teksts, kas nosaka, kam jānotiek ar noteiktā NVS valstī identificētu nepavadītu bērnu, pat ja attiecīgais bērns ir bijis pakļauts vardarbībai vai ekspluatācijai. Tomēr tika ziņots, ka 2014. gadā aizturēšanas centri dažās nolīguma dalībvalstīs esot bijuši slēgti, kas liek domāt, ka nolīgumā paredzētās procedūras vairs netiek ievērotas (konkrēti Azerbaidžāna, Gruzija un Moldova</w:t>
      </w:r>
      <w:r w:rsidR="00B60A1B">
        <w:rPr>
          <w:rStyle w:val="Vresatsauce"/>
          <w:rFonts w:ascii="Times New Roman" w:eastAsia="Times New Roman" w:hAnsi="Times New Roman" w:cs="Times New Roman"/>
          <w:sz w:val="24"/>
          <w:szCs w:val="24"/>
          <w:lang w:eastAsia="lv-LV"/>
        </w:rPr>
        <w:footnoteReference w:customMarkFollows="1" w:id="163"/>
        <w:t>162</w:t>
      </w:r>
      <w:r w:rsidRPr="006B796E">
        <w:rPr>
          <w:rFonts w:ascii="Times New Roman" w:eastAsia="Times New Roman" w:hAnsi="Times New Roman" w:cs="Times New Roman"/>
          <w:sz w:val="24"/>
          <w:szCs w:val="24"/>
          <w:lang w:eastAsia="lv-LV"/>
        </w:rPr>
        <w:t xml:space="preserve"> – visas ir Eiropas Padomes Konvencijas par cīņu pret cilvēku tirdzniecību dalībvalstis).</w:t>
      </w:r>
    </w:p>
    <w:p w:rsidR="00B60A1B" w:rsidRPr="006B796E"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B60A1B" w:rsidRPr="006B796E"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B60A1B" w:rsidRDefault="00D6592D" w:rsidP="00B60A1B">
      <w:pPr>
        <w:widowControl w:val="0"/>
        <w:spacing w:after="0" w:line="240" w:lineRule="auto"/>
        <w:jc w:val="center"/>
        <w:rPr>
          <w:rFonts w:ascii="Times New Roman" w:eastAsia="Times New Roman" w:hAnsi="Times New Roman" w:cs="Times New Roman"/>
          <w:b/>
          <w:bCs/>
          <w:sz w:val="28"/>
          <w:szCs w:val="28"/>
          <w:lang w:eastAsia="lv-LV"/>
        </w:rPr>
      </w:pPr>
      <w:r w:rsidRPr="00B60A1B">
        <w:rPr>
          <w:rFonts w:ascii="Times New Roman" w:eastAsia="Times New Roman" w:hAnsi="Times New Roman" w:cs="Times New Roman"/>
          <w:b/>
          <w:bCs/>
          <w:sz w:val="28"/>
          <w:szCs w:val="28"/>
          <w:lang w:eastAsia="lv-LV"/>
        </w:rPr>
        <w:t>“Stiprināt struktūras, lai veicinātu cilvēku tirdzniecībā cietušo bērnu sociālo iekļaušanu un (re)integrāciju izcelsmes un galamērķa valstīs, ņemot vērā bērnu īpašās vajadzības.”</w:t>
      </w:r>
    </w:p>
    <w:p w:rsidR="00B60A1B"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B60A1B">
      <w:pPr>
        <w:widowControl w:val="0"/>
        <w:spacing w:after="0" w:line="240" w:lineRule="auto"/>
        <w:jc w:val="center"/>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(PC.DEC/685, Papildinājums EDSO Rīcības plānam cilvēku tirdzniecības apkarošanai – Risinot bērnu, kas ir cilvēku tirdzniecības upuri, īpašās vajadzības būt pasargātiem un saņemt palīdzību; ieteicamās darbības valsts līmenī)</w:t>
      </w:r>
    </w:p>
    <w:p w:rsidR="00B60A1B" w:rsidRDefault="00B60A1B">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D6592D" w:rsidRPr="002F1BEE" w:rsidRDefault="00D6592D" w:rsidP="006B796E">
      <w:pPr>
        <w:widowControl w:val="0"/>
        <w:spacing w:after="0" w:line="240" w:lineRule="auto"/>
        <w:jc w:val="both"/>
        <w:rPr>
          <w:rFonts w:ascii="Times New Roman" w:eastAsia="Times New Roman" w:hAnsi="Times New Roman" w:cs="Times New Roman"/>
          <w:b/>
          <w:bCs/>
          <w:sz w:val="28"/>
          <w:szCs w:val="24"/>
          <w:lang w:eastAsia="lv-LV"/>
        </w:rPr>
      </w:pPr>
      <w:r w:rsidRPr="002F1BEE">
        <w:rPr>
          <w:rFonts w:ascii="Times New Roman" w:eastAsia="Times New Roman" w:hAnsi="Times New Roman" w:cs="Times New Roman"/>
          <w:b/>
          <w:bCs/>
          <w:sz w:val="28"/>
          <w:szCs w:val="24"/>
          <w:lang w:eastAsia="lv-LV"/>
        </w:rPr>
        <w:lastRenderedPageBreak/>
        <w:t>SECINĀJUMI UN IETEIKUMI</w:t>
      </w:r>
    </w:p>
    <w:p w:rsidR="00B60A1B"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B60A1B"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Daudzi no EDSO agrāk pieņemtajiem ieteikumiem (sk. 2.3. sadaļu) joprojām EDSO dalībvalstīm ir jāīsteno (vai pilnībā jāīsteno). Lai tos neatkārtotu, turpmāk sniegti ieteikumi, kas vērsti uz konkrētiem šajā speciālajā pētījumā aplūkotajiem jautājumiem.</w:t>
      </w:r>
    </w:p>
    <w:p w:rsidR="00B60A1B"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B60A1B"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B60A1B" w:rsidRDefault="00B60A1B" w:rsidP="00B60A1B">
      <w:pPr>
        <w:widowControl w:val="0"/>
        <w:spacing w:after="0" w:line="240" w:lineRule="auto"/>
        <w:jc w:val="center"/>
        <w:rPr>
          <w:rFonts w:ascii="Times New Roman" w:eastAsia="Times New Roman" w:hAnsi="Times New Roman" w:cs="Times New Roman"/>
          <w:sz w:val="24"/>
          <w:szCs w:val="24"/>
          <w:lang w:eastAsia="lv-LV"/>
        </w:rPr>
      </w:pPr>
      <w:r w:rsidRPr="000E2D02">
        <w:rPr>
          <w:noProof/>
          <w:sz w:val="24"/>
          <w:szCs w:val="24"/>
          <w:lang w:eastAsia="lv-LV"/>
        </w:rPr>
        <w:drawing>
          <wp:inline distT="0" distB="0" distL="0" distR="0">
            <wp:extent cx="1906270" cy="2096135"/>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6270" cy="2096135"/>
                    </a:xfrm>
                    <a:prstGeom prst="rect">
                      <a:avLst/>
                    </a:prstGeom>
                    <a:noFill/>
                    <a:ln>
                      <a:noFill/>
                    </a:ln>
                  </pic:spPr>
                </pic:pic>
              </a:graphicData>
            </a:graphic>
          </wp:inline>
        </w:drawing>
      </w:r>
    </w:p>
    <w:p w:rsidR="00B60A1B"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B60A1B" w:rsidRPr="006B796E"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Ieteikumi saistībā ar lēmumu pieņemšanu (nodrošinot, ka bērna intereses ir primārais apsvērums)</w:t>
      </w:r>
    </w:p>
    <w:p w:rsidR="00B60A1B" w:rsidRDefault="00B60A1B" w:rsidP="006B796E">
      <w:pPr>
        <w:widowControl w:val="0"/>
        <w:spacing w:after="0" w:line="240" w:lineRule="auto"/>
        <w:jc w:val="both"/>
        <w:rPr>
          <w:rFonts w:ascii="Times New Roman" w:eastAsia="Times New Roman" w:hAnsi="Times New Roman" w:cs="Times New Roman"/>
          <w:b/>
          <w:bCs/>
          <w:sz w:val="24"/>
          <w:szCs w:val="24"/>
          <w:lang w:eastAsia="lv-LV"/>
        </w:rPr>
      </w:pPr>
    </w:p>
    <w:p w:rsidR="00B60A1B" w:rsidRDefault="00B60A1B"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1. </w:t>
      </w:r>
      <w:r w:rsidRPr="006B796E">
        <w:rPr>
          <w:rFonts w:ascii="Times New Roman" w:eastAsia="Times New Roman" w:hAnsi="Times New Roman" w:cs="Times New Roman"/>
          <w:sz w:val="24"/>
          <w:szCs w:val="24"/>
          <w:lang w:eastAsia="lv-LV"/>
        </w:rPr>
        <w:t>Nodrošināt, ka bērnu tirdzniecība tiek risināta kā bērna aizsardzības jautājums saskaņā ar bērnu aizsardzības pamata noteikumiem, kur bērnu aizsardzības speciālistiem ir vadošā loma visās lēmumu pieņemšanas procedūrās, kas varētu būtiski ietekmēt tā bērna labklājību, kas ir cilvēku tirdzniecības upuris, tostarp attiecībā uz lēmumiem par imigrācijas statusu.</w:t>
      </w:r>
    </w:p>
    <w:p w:rsidR="00B60A1B" w:rsidRDefault="00B60A1B"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2. </w:t>
      </w:r>
      <w:r w:rsidRPr="006B796E">
        <w:rPr>
          <w:rFonts w:ascii="Times New Roman" w:eastAsia="Times New Roman" w:hAnsi="Times New Roman" w:cs="Times New Roman"/>
          <w:sz w:val="24"/>
          <w:szCs w:val="24"/>
          <w:lang w:eastAsia="lv-LV"/>
        </w:rPr>
        <w:t>Nodrošināt, ka nacionālais cietušo nosūtīšanas mehānisms atpazīst bērnu, kas ir cilvēku tirdzniecības upuri, īpašo situāciju, tostarp cilvēku tirdzniecības un ekspluatācijas īpašās formas, kas vērstas tieši uz bērniem, kā arī bērnu, kas ir cilvēku tirdzniecības upuri, vajadzības un tiesības, un tiek izveidoti nosūtīšanas kanāli, kas ir visvairāk piemēroti bērniem, garantējot, ka ārvalstniekiem pakalpojumu pieejamība ir vismaz tādā pašā līmenī kā valstspiederīgajiem bērniem, kuri ir kļuvuši par tirdzniecības upuriem.</w:t>
      </w:r>
    </w:p>
    <w:p w:rsidR="00B60A1B" w:rsidRDefault="00B60A1B"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3. </w:t>
      </w:r>
      <w:r w:rsidRPr="006B796E">
        <w:rPr>
          <w:rFonts w:ascii="Times New Roman" w:eastAsia="Times New Roman" w:hAnsi="Times New Roman" w:cs="Times New Roman"/>
          <w:sz w:val="24"/>
          <w:szCs w:val="24"/>
          <w:lang w:eastAsia="lv-LV"/>
        </w:rPr>
        <w:t>Nodrošināt, ka ir izstrādāti pamata noteikumi vai procedūras, kurās tiek izmantota daudznozaru pieeja, novērtējot un nosakot katra atsevišķa bērna intereses, un ka šie noteikumi un procedūras tiek sistemātiski īstenoti.</w:t>
      </w:r>
    </w:p>
    <w:p w:rsidR="00B60A1B" w:rsidRDefault="00B60A1B"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4. </w:t>
      </w:r>
      <w:r w:rsidRPr="006B796E">
        <w:rPr>
          <w:rFonts w:ascii="Times New Roman" w:eastAsia="Times New Roman" w:hAnsi="Times New Roman" w:cs="Times New Roman"/>
          <w:sz w:val="24"/>
          <w:szCs w:val="24"/>
          <w:lang w:eastAsia="lv-LV"/>
        </w:rPr>
        <w:t>Nodrošināt, ka bērniem, kas var būt cilvēku tirdzniecības upuri, iespējami drīz pēc viņu identificēšanas tiek iecelts pagaidu aizbildnis (izņemot, ja ir pieejams kāds no vecākiem un ja ir atbilstoši, ka lēmuma pieņemšanas posmos bērnu pavadītu viens no vecākiem) un ka bērna likumīgie konsultanti un aizbildnis ir iesaistīti lēmumos saistībā ar visaptverošu risinājumu bērnam.</w:t>
      </w:r>
    </w:p>
    <w:p w:rsidR="00B60A1B" w:rsidRDefault="00B60A1B"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5. </w:t>
      </w:r>
      <w:r w:rsidRPr="006B796E">
        <w:rPr>
          <w:rFonts w:ascii="Times New Roman" w:eastAsia="Times New Roman" w:hAnsi="Times New Roman" w:cs="Times New Roman"/>
          <w:sz w:val="24"/>
          <w:szCs w:val="24"/>
          <w:lang w:eastAsia="lv-LV"/>
        </w:rPr>
        <w:t xml:space="preserve">Tiklīdz valsts kompetentā iestāde ir identificējusi bērnu kā cilvēku tirdzniecības upuri, bērnu aizsardzības amatpersonām jāuzņemas izpētīt, kāds ilglaicīgs risinājums bērnam būtu </w:t>
      </w:r>
      <w:r w:rsidRPr="006B796E">
        <w:rPr>
          <w:rFonts w:ascii="Times New Roman" w:eastAsia="Times New Roman" w:hAnsi="Times New Roman" w:cs="Times New Roman"/>
          <w:sz w:val="24"/>
          <w:szCs w:val="24"/>
          <w:lang w:eastAsia="lv-LV"/>
        </w:rPr>
        <w:lastRenderedPageBreak/>
        <w:t>vispiemērotākais. Apsver iespēju izveidot procesu, lai lemtu par visaptverošu, drošu un ilgtspējīgu risinājumu, kas var darboties, izmantojot bērnu aizsardzības mehānismus, un ietver vairāku iestāžu veiktu bērna interešu novērtējumu, pēc tam – bērna interešu noteikšanu bērnu aizsardzības satvarā.</w:t>
      </w:r>
    </w:p>
    <w:p w:rsidR="00B60A1B" w:rsidRDefault="00B60A1B"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6. </w:t>
      </w:r>
      <w:r w:rsidRPr="006B796E">
        <w:rPr>
          <w:rFonts w:ascii="Times New Roman" w:eastAsia="Times New Roman" w:hAnsi="Times New Roman" w:cs="Times New Roman"/>
          <w:sz w:val="24"/>
          <w:szCs w:val="24"/>
          <w:lang w:eastAsia="lv-LV"/>
        </w:rPr>
        <w:t>Novērtējot bērna intereses, jāņem vērā bērna viedoklis, bērna identitāte, ģimenes vides saglabāšana un attiecību uzturēšana ar tuviniekiem un draugiem (ja vien netiek skaidri konstatēts, ka tas nav bērna interesēs), bērna aprūpe, aizsardzība un drošība, neaizsargātības stāvoklis, tiesības uz veselību un izglītību.</w:t>
      </w:r>
    </w:p>
    <w:p w:rsidR="00B60A1B"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B60A1B" w:rsidRPr="006B796E"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Ieteikumi saistībā ar bērniem, kas ir cilvēku tirdzniecības upuri, sniegto izmitināšanu un drošību</w:t>
      </w:r>
    </w:p>
    <w:p w:rsidR="00B60A1B" w:rsidRDefault="00B60A1B"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7. </w:t>
      </w:r>
      <w:r w:rsidRPr="006B796E">
        <w:rPr>
          <w:rFonts w:ascii="Times New Roman" w:eastAsia="Times New Roman" w:hAnsi="Times New Roman" w:cs="Times New Roman"/>
          <w:sz w:val="24"/>
          <w:szCs w:val="24"/>
          <w:lang w:eastAsia="lv-LV"/>
        </w:rPr>
        <w:t>Nodrošināt, ka visām likumā noteiktām (valsts) iestādēm, kas nonāk saskarē ar bērniem (neatkarīgi no tā, vai viņi ir vai nav cilvēku tirdzniecības upuri), ir izstrādāta atbilstīga bērnu aizsardzības politika un ziņošanas procedūras.</w:t>
      </w:r>
    </w:p>
    <w:p w:rsidR="00B60A1B" w:rsidRDefault="00B60A1B"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8. </w:t>
      </w:r>
      <w:r w:rsidRPr="006B796E">
        <w:rPr>
          <w:rFonts w:ascii="Times New Roman" w:eastAsia="Times New Roman" w:hAnsi="Times New Roman" w:cs="Times New Roman"/>
          <w:sz w:val="24"/>
          <w:szCs w:val="24"/>
          <w:lang w:eastAsia="lv-LV"/>
        </w:rPr>
        <w:t>Bērniem, kas, iespējams, kļuvuši par cilvēku tirdzniecības upuriem un, domājams, nevar atgriezties mājās jebkādu iemeslu dēļ, jānodrošina specializēta droša izmitināšana no brīža, kad bērns ir identificēts kā iespējamais cietušais, un viņš nav jāievieto ārkārtas vai vispārējā uzņemšanas centrā. Bērniem ir tiesības būt citu ģimenes locekļu tuvumā, ja vien netiek uzskatīts, kas tas nav bērna interesēs.</w:t>
      </w:r>
    </w:p>
    <w:p w:rsidR="00B60A1B" w:rsidRDefault="00B60A1B"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9. </w:t>
      </w:r>
      <w:r w:rsidRPr="006B796E">
        <w:rPr>
          <w:rFonts w:ascii="Times New Roman" w:eastAsia="Times New Roman" w:hAnsi="Times New Roman" w:cs="Times New Roman"/>
          <w:sz w:val="24"/>
          <w:szCs w:val="24"/>
          <w:lang w:eastAsia="lv-LV"/>
        </w:rPr>
        <w:t>Tiklīdz bērns ir identificēts, ierosināt darbības, lai nodrošinātu bērna drošību, tostarp bērna vecumam un dzimumam atbilstošas darbības, lai novērstu seksuālu vardarbību.</w:t>
      </w:r>
    </w:p>
    <w:p w:rsidR="00B60A1B" w:rsidRDefault="00B60A1B"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10. </w:t>
      </w:r>
      <w:r w:rsidRPr="006B796E">
        <w:rPr>
          <w:rFonts w:ascii="Times New Roman" w:eastAsia="Times New Roman" w:hAnsi="Times New Roman" w:cs="Times New Roman"/>
          <w:sz w:val="24"/>
          <w:szCs w:val="24"/>
          <w:lang w:eastAsia="lv-LV"/>
        </w:rPr>
        <w:t>Nodrošināt, ka bērniem, kas cietuši no sliktas izturēšanās, tiek sniegta pienācīgas aprūpes un rehabilitācijas programmas un ka tiek novērsta jebkāda veida atkārtota viktimizācija.</w:t>
      </w:r>
    </w:p>
    <w:p w:rsidR="00B60A1B" w:rsidRDefault="00B60A1B"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11. </w:t>
      </w:r>
      <w:r w:rsidRPr="006B796E">
        <w:rPr>
          <w:rFonts w:ascii="Times New Roman" w:eastAsia="Times New Roman" w:hAnsi="Times New Roman" w:cs="Times New Roman"/>
          <w:sz w:val="24"/>
          <w:szCs w:val="24"/>
          <w:lang w:eastAsia="lv-LV"/>
        </w:rPr>
        <w:t>Nodrošināt, ka bērni, kas ir cilvēku tirdzniecības upuri, netiek ieslodzīti (proti, viņiem nav mazākas pārvietošanās brīvības kā citiem līdzīga vecuma bērniem). Bērnam jāpiemēro ierobežojumi tikai kā galējais līdzeklis, t. i., ja mazāk ierobežojoši pasākumi nesniegtu līdzvērtīgu rezultātu. Ja bērns, kas ir cilvēku tirdzniecības upuris, tiek turēts ieslodzījumā (vai nu ieslodzījuma iestādē, vai slēgtā “drošā” izmitināšanas vienībā), tas jādara iespējami īsāku laiku un ar tiesu iestādes atļauju. Būtu sīki jāreģistrē iemesli, lai tos pēc tam varētu novērtēt neatkarīga iestāde. Tiklīdz ir reģistrēts, ka atsevišķi bērni ir turēti ieslodzījumā vairāk nekā tikai dažas reizes (piemēram, sešas reizes), kompetentai iestādei jāuzdod veikt neatkarīgu pārskatīšanu, lai novērtētu, vai ieslodzījums bijis nepieciešams un kā tas ietekmējis attiecīgos bērnus.</w:t>
      </w:r>
    </w:p>
    <w:p w:rsidR="00B60A1B" w:rsidRPr="006B796E"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Ieteikumi saistībā ar “atpakaļnosūtīšanu” (repatriāciju)</w:t>
      </w:r>
    </w:p>
    <w:p w:rsidR="00B60A1B" w:rsidRDefault="00B60A1B"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12. </w:t>
      </w:r>
      <w:r w:rsidRPr="006B796E">
        <w:rPr>
          <w:rFonts w:ascii="Times New Roman" w:eastAsia="Times New Roman" w:hAnsi="Times New Roman" w:cs="Times New Roman"/>
          <w:sz w:val="24"/>
          <w:szCs w:val="24"/>
          <w:lang w:eastAsia="lv-LV"/>
        </w:rPr>
        <w:t>Ja ir iecerēts bērnu, kas ir cilvēku tirdzniecības upuris, sūtīt atpakaļ uz viņa izcelsmes valsti, ir jāveic riska un drošības novērtējumi. Nosūtīšanas mehānismā jābūt skaidri noteiktai prasībai to darīt vai jābūt citai juridiski saistošai procedūrai.</w:t>
      </w:r>
    </w:p>
    <w:p w:rsidR="00B60A1B" w:rsidRPr="006B796E"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13. </w:t>
      </w:r>
      <w:r w:rsidRPr="006B796E">
        <w:rPr>
          <w:rFonts w:ascii="Times New Roman" w:eastAsia="Times New Roman" w:hAnsi="Times New Roman" w:cs="Times New Roman"/>
          <w:sz w:val="24"/>
          <w:szCs w:val="24"/>
          <w:lang w:eastAsia="lv-LV"/>
        </w:rPr>
        <w:t>Nodrošināt, ka centrālās valdības iestādē ir kontaktpunkts, kam citu valstu amatpersonas var adresēt pieprasījumus par bērniem, kuri ir tirdzniecības upuri (kā arī citiem nepavadītiem un nošķirtiem bērniem), un kas var saņemt un ātri nodot sociālās lietas apstākļu izpētes pieprasījumus par katru atsevišķo bērnu.</w:t>
      </w:r>
    </w:p>
    <w:p w:rsidR="00B60A1B" w:rsidRPr="006B796E"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14. </w:t>
      </w:r>
      <w:r w:rsidRPr="006B796E">
        <w:rPr>
          <w:rFonts w:ascii="Times New Roman" w:eastAsia="Times New Roman" w:hAnsi="Times New Roman" w:cs="Times New Roman"/>
          <w:sz w:val="24"/>
          <w:szCs w:val="24"/>
          <w:lang w:eastAsia="lv-LV"/>
        </w:rPr>
        <w:t>Nodrošināt attiecīgajam sociālajam dienestam vai bērnu aizsardzības iestādei pietiekamus resursus, lai tie varētu nekavējoties reaģēt uz sociālās lietas apstākļu izpētes pieprasījumiem par bērnu, kas ir cilvēku tirdzniecības upuris, un nodrošināt, ka ir izstrādātas pieprasījumu pārsūtīšanas procedūras un ka rezultāti nerada nepamatotus kavējumus.</w:t>
      </w:r>
    </w:p>
    <w:p w:rsidR="00B60A1B" w:rsidRDefault="00B60A1B">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2F1BEE" w:rsidRDefault="002F1BEE" w:rsidP="006B796E">
      <w:pPr>
        <w:widowControl w:val="0"/>
        <w:spacing w:after="0" w:line="240" w:lineRule="auto"/>
        <w:jc w:val="both"/>
        <w:rPr>
          <w:rFonts w:ascii="Times New Roman" w:eastAsia="Times New Roman" w:hAnsi="Times New Roman" w:cs="Times New Roman"/>
          <w:b/>
          <w:bCs/>
          <w:sz w:val="24"/>
          <w:szCs w:val="24"/>
          <w:lang w:eastAsia="lv-LV"/>
        </w:rPr>
      </w:pPr>
      <w:r w:rsidRPr="002F1BEE">
        <w:rPr>
          <w:rFonts w:ascii="Times New Roman" w:eastAsia="Times New Roman" w:hAnsi="Times New Roman" w:cs="Times New Roman"/>
          <w:b/>
          <w:bCs/>
          <w:noProof/>
          <w:sz w:val="24"/>
          <w:szCs w:val="24"/>
          <w:lang w:eastAsia="lv-LV"/>
        </w:rPr>
        <w:lastRenderedPageBreak/>
        <w:drawing>
          <wp:inline distT="0" distB="0" distL="0" distR="0">
            <wp:extent cx="5760085" cy="7724667"/>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85" cy="7724667"/>
                    </a:xfrm>
                    <a:prstGeom prst="rect">
                      <a:avLst/>
                    </a:prstGeom>
                    <a:noFill/>
                    <a:ln>
                      <a:noFill/>
                    </a:ln>
                  </pic:spPr>
                </pic:pic>
              </a:graphicData>
            </a:graphic>
          </wp:inline>
        </w:drawing>
      </w:r>
    </w:p>
    <w:p w:rsidR="002F1BEE" w:rsidRDefault="002F1BEE" w:rsidP="006B796E">
      <w:pPr>
        <w:widowControl w:val="0"/>
        <w:spacing w:after="0" w:line="240" w:lineRule="auto"/>
        <w:jc w:val="both"/>
        <w:rPr>
          <w:rFonts w:ascii="Times New Roman" w:eastAsia="Times New Roman" w:hAnsi="Times New Roman" w:cs="Times New Roman"/>
          <w:b/>
          <w:bCs/>
          <w:sz w:val="24"/>
          <w:szCs w:val="24"/>
          <w:lang w:eastAsia="lv-LV"/>
        </w:rPr>
      </w:pPr>
    </w:p>
    <w:p w:rsidR="00B60A1B" w:rsidRDefault="00B60A1B">
      <w:pPr>
        <w:rPr>
          <w:rFonts w:ascii="Times New Roman" w:eastAsia="Times New Roman" w:hAnsi="Times New Roman" w:cs="Times New Roman"/>
          <w:b/>
          <w:bCs/>
          <w:sz w:val="24"/>
          <w:szCs w:val="28"/>
          <w:lang w:eastAsia="lv-LV"/>
        </w:rPr>
      </w:pPr>
      <w:r>
        <w:rPr>
          <w:rFonts w:ascii="Times New Roman" w:eastAsia="Times New Roman" w:hAnsi="Times New Roman" w:cs="Times New Roman"/>
          <w:b/>
          <w:bCs/>
          <w:sz w:val="24"/>
          <w:szCs w:val="28"/>
          <w:lang w:eastAsia="lv-LV"/>
        </w:rPr>
        <w:br w:type="page"/>
      </w:r>
    </w:p>
    <w:p w:rsidR="00D6592D" w:rsidRPr="002F1BEE" w:rsidRDefault="00D6592D" w:rsidP="006B796E">
      <w:pPr>
        <w:widowControl w:val="0"/>
        <w:spacing w:after="0" w:line="240" w:lineRule="auto"/>
        <w:jc w:val="both"/>
        <w:rPr>
          <w:rFonts w:ascii="Times New Roman" w:eastAsia="Times New Roman" w:hAnsi="Times New Roman" w:cs="Times New Roman"/>
          <w:b/>
          <w:bCs/>
          <w:sz w:val="28"/>
          <w:szCs w:val="28"/>
          <w:lang w:eastAsia="lv-LV"/>
        </w:rPr>
      </w:pPr>
      <w:r w:rsidRPr="002F1BEE">
        <w:rPr>
          <w:rFonts w:ascii="Times New Roman" w:eastAsia="Times New Roman" w:hAnsi="Times New Roman" w:cs="Times New Roman"/>
          <w:b/>
          <w:bCs/>
          <w:sz w:val="28"/>
          <w:szCs w:val="28"/>
          <w:lang w:eastAsia="lv-LV"/>
        </w:rPr>
        <w:lastRenderedPageBreak/>
        <w:t>1. pielikums</w:t>
      </w:r>
    </w:p>
    <w:p w:rsidR="00B60A1B" w:rsidRDefault="00B60A1B" w:rsidP="006B796E">
      <w:pPr>
        <w:widowControl w:val="0"/>
        <w:spacing w:after="0" w:line="240" w:lineRule="auto"/>
        <w:jc w:val="both"/>
        <w:rPr>
          <w:rFonts w:ascii="Times New Roman" w:eastAsia="Times New Roman" w:hAnsi="Times New Roman" w:cs="Times New Roman"/>
          <w:b/>
          <w:bCs/>
          <w:sz w:val="24"/>
          <w:szCs w:val="24"/>
          <w:lang w:eastAsia="lv-LV"/>
        </w:rPr>
      </w:pPr>
    </w:p>
    <w:p w:rsidR="00B60A1B" w:rsidRDefault="00B60A1B"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32. pants divu līguma izpildes uzraudzības struktūru Kopīgajam vispārējam komentāram (2017) par bērnu cilvēktiesību vispārējiem principiem saistībā ar starptautisko migrāciju</w:t>
      </w:r>
    </w:p>
    <w:p w:rsidR="00B60A1B"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Komentējot bērna interešu principa īstenošanu ar migrāciju saistītajās procedūrās un lēmumos, kas varētu ietekmēt bērnus, Visu migrējošo darba ņēmēju un viņu ģimenes locekļu tiesību aizsardzības komiteja un Bērnu tiesību komiteja uzsver (abu Kopīgā vispārējā komentāra</w:t>
      </w:r>
      <w:r w:rsidR="00B60A1B">
        <w:rPr>
          <w:rStyle w:val="Vresatsauce"/>
          <w:rFonts w:ascii="Times New Roman" w:eastAsia="Times New Roman" w:hAnsi="Times New Roman" w:cs="Times New Roman"/>
          <w:sz w:val="24"/>
          <w:szCs w:val="24"/>
          <w:lang w:eastAsia="lv-LV"/>
        </w:rPr>
        <w:footnoteReference w:customMarkFollows="1" w:id="164"/>
        <w:t>163</w:t>
      </w:r>
      <w:r w:rsidRPr="006B796E">
        <w:rPr>
          <w:rFonts w:ascii="Times New Roman" w:eastAsia="Times New Roman" w:hAnsi="Times New Roman" w:cs="Times New Roman"/>
          <w:sz w:val="24"/>
          <w:szCs w:val="24"/>
          <w:lang w:eastAsia="lv-LV"/>
        </w:rPr>
        <w:t xml:space="preserve"> 31. pantā), ka ir nepieciešams sistemātiski veikt interešu novērtēšanas un noteikšanas procedūras, pieņemot vai lai varētu pieņemt ar migrāciju saistītos un citus lēmumus, kas ietekmē bērnus migrantus.</w:t>
      </w:r>
    </w:p>
    <w:p w:rsidR="00B60A1B" w:rsidRPr="006B796E"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Kopīgā vispārējā komentāra 32. pantā “Komitejas uzsver, ka dalībvalstīm būtu:</w:t>
      </w:r>
    </w:p>
    <w:p w:rsidR="00B60A1B" w:rsidRPr="006B796E"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 jāpiešķir augsta prioritāte bērna interesēm savos tiesību aktos, politiskajās nostādnēs un praksē;</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b) jānodrošina, ka bērna interešu princips tiek pienācīgi integrēts, saskanīgi interpretēts un piemērots, izmantojot stingras individualizētas procedūras visos likumdošanas, administratīvajos un tiesas procesos un lēmumos un visās migrācijas politiskajās nostādnēs un programmās, kas attiecas uz bērniem un tos ietekmē, tostarp konsulārās aizsardzības politikā un pakalpojumos. Jānodrošina pienācīgi resursi, lai nodrošinātu, ka šis princips tiek ieviests praksē;</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c) jānodrošina, ka visi izstrādātie un veiktie interešu novērtējumi un interešu noteikšana piešķir pienācīgu svaru tam, ka īstermiņā un ilgtermiņā tiek ievērotas bērna tiesības lēmumu pieņemšanas procesos, kas skar bērnus; arīdzan jānodrošina, ka tiek izstrādātas pienācīgas procesa drošības garantijas, tostarp tiesības uz brīvu, kompetentu un neatkarīgu juridisko pārstāvību. Bērna interešu novērtējums iesaistītajām pusēm jāveic neatkarīgi no migrācijas iestādēm daudznozaru veidā, tostarp jēgpilni piedaloties iestādēm, kas atbild par bērnu aizsardzību un labklājību, un citām attiecīgajām iesaistītajām pusēm, piemēram, vecākiem, aizbildņiem un likumīgajiem pārstāvjiem, kā arī pašam bērnam;</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d) jāizstrādā procedūras un jānosaka kritēriji, lai sniegtu norādījumus visām attiecīgajām personām, kas iesaistītas migrācijas procedūrās, par bērna interešu noteikšanu un par to, ka tām ir jābūt primārajam apsvērumam, tostarp ieceļošanas, uzturēšanās, pārmitināšanas un atpakaļnosūtīšanas procedūrās, kā arī jāizstrādā mehānismi, kuru mērķis ir uzraudzīt to pienācīgu īstenošanu praksē;</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e) jānovērtē un jānosaka bērna intereses dažādos migrācijas un patvēruma lūgšanas procedūru posmos, kuros vecāki sava migrācijas statusa dēļ varētu tikt aizturēti vai deportēti. Jāizstrādā labāko interešu noteikšanas procedūras, pieņemot lēmumus, saskaņā ar kuriem bērns varētu tikt nošķirts no savas ģimenes, un tādi paši standarti jāpiemēro bērna aizbildniecībā, kad bērna interesēm jābūt primārajam apsvērumam. Adopcijas gadījumos svarīgākais apsvērums ir bērna intereses;</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f) jāveic labāko interešu novērtējums katrā atsevišķā gadījumā, lai vajadzības gadījumā un saskaņā ar Pamatnostādnēm par bērnu alternatīvo aprūpi izlemtu par to, kāda veida izmitināšana būtu vispiemērotākā nepavadītam vai nošķirtam bērnam vai bērniem ar vecākiem. Šajā procesā </w:t>
      </w:r>
      <w:r w:rsidRPr="006B796E">
        <w:rPr>
          <w:rFonts w:ascii="Times New Roman" w:eastAsia="Times New Roman" w:hAnsi="Times New Roman" w:cs="Times New Roman"/>
          <w:sz w:val="24"/>
          <w:szCs w:val="24"/>
          <w:lang w:eastAsia="lv-LV"/>
        </w:rPr>
        <w:lastRenderedPageBreak/>
        <w:t>lielāka prioritāte jāpiešķir kopienas sniegtās aprūpes risinājumiem. Jebkādi pasākumi, kas ierobežo bērnu brīvību, lai viņus aizsargātu, piemēram, ievietošana apsargājamā izmitināšanas iestādē, jāievieš bērnu aizsardzības sistēmā, ievērojot vienādus standartus un drošības garantijas; šiem pasākumiem ir jābūt stingri likumīgiem un samērīgiem ar mērķi aizsargāt konkrēto bērnu no kaitējuma sev vai citiem; tiem ir jābūt visaptveroša aprūpes plāna sastāvdaļai; tie ir jānošķir no migrācijas tiesībaizsardzības politikas, prakses un iestādēm;</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g) jāveic labāko interešu noteikšana gadījumos, kad migrantu ģimenei draud izraidīšana migrācijas statusa dēļ, lai novērtētu, kā deportācija ietekmē bērnu tiesības un attīstību, tostarp viņu garīgo veselību;</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h) jānodrošina, ka bērni tiek nekavējoties identificēti robežkontroles punktos vai citās migrācijas kontroles procedūrās, kas ir valsts jurisdikcijā, un ka pret ikvienu, kurš uzstāj, ka ir bērns, izturētos kā pret bērnu, nekavējoties nodotu viņu bērnu aizsardzības iestādēm un citiem attiecīgajiem dienestiem un ieceltu aizbildni, ja bērns ir bez pavadoņa vai nošķirts;</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i) jāsniedz norādes visām attiecīgajām iestādēm par bērna interešu praktisku piemērošanu bērniem migrantiem, tostarp bērniem tranzītā, un jāizstrādā mehānismi, kuru mērķis ir uzraudzīt šā principa pienācīgu īstenošanu praksē;</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j) jāizstrādā un praktiski jāievieš labāko interešu noteikšanas procedūra attiecībā uz nepavadītiem bērniem un bērniem ar ģimenēm, lai identificētu un piemērotu visaptverošus, drošus un ilgtspējīgus risinājumus, tostarp turpmāku integrēšanu un izmitināšanu valstī, kas ir pašreizējā dzīvesvieta, repatriāciju uz izcelsmes valsti vai pārmitināšanu trešā valstī. Šādi risinājumi var ietvert vidēja termiņa iespējas un to, ka bērniem un ģimenēm ir iespējas iegūt piekļuvi drošam pastāvīgās uzturēšanās statusam bērna interesēs. Jānodrošina, ka labāko interešu noteikšanas procedūras vada bērnu aizsardzības iestādes bērnu aizsardzības sistēmas ietvaros. Iespējamie risinājumi un plāni jāapspriež un jāizstrādā kopā ar bērnu un viņam piemērotā un iejūtīgā veidā saskaņā ar Bērnu tiesību komitejas Vispārējo komentāru Nr. 12 (2009) par bērna tiesībām tikt uzklausītam;</w:t>
      </w: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k) ja tiek noteikts, ka atpakaļnosūtīšana ir bērna interesēs, iespēju robežās kopā ar bērnu jāsagatavo individuālais plāns viņa ilgtspējīgai reintegrācijai. Komitejas uzsver, ka izcelsmes, tranzīta, galamērķa un atpakaļnosūtīšanas valstīm jāizstrādā visaptverošs satvars, piešķirot resursus politikas un visaptverošu starpinstitucionālo koordinācijas mehānismu īstenošanai. Šim satvaram gadījumos, kad bērni tiek sūtīti atpakaļ uz viņu izcelsmes valsti vai trešajām valstīm, jānodrošina šo bērnu efektīva reintegrācija, izmantojot uz tiesībām balstītu pieeju, tostarp tūlītēji aizsardzības pasākumi un ilgtermiņa risinājumi, jo īpaši efektīva izglītības, veselības, psihosociālā atbalsta, ģimenes dzīves, sociālās iekļaušanas pieejamība, tiesas pieejamība un aizsardzība pret visu veidu vardarbību. Visos šādos apstākļos jānodrošina, ka visas iesaistītās iestādes veic kvalitatīvu un uz tiesībām balstītu paveiktā darba kontroli, tostarp neatkarīgu uzraudzību un novērtēšanu. Komitejas uzsver, ka atpakaļnosūtīšanas un reintegrācijas pasākumiem jābūt ilgtspējīgiem no bērna tiesību uz dzīvību, izdzīvošanas un attīstības skatupunkta.”</w:t>
      </w:r>
    </w:p>
    <w:p w:rsidR="00B60A1B" w:rsidRDefault="00B60A1B">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D6592D" w:rsidRPr="002F1BEE" w:rsidRDefault="00D6592D" w:rsidP="006B796E">
      <w:pPr>
        <w:widowControl w:val="0"/>
        <w:spacing w:after="0" w:line="240" w:lineRule="auto"/>
        <w:jc w:val="both"/>
        <w:rPr>
          <w:rFonts w:ascii="Times New Roman" w:eastAsia="Times New Roman" w:hAnsi="Times New Roman" w:cs="Times New Roman"/>
          <w:b/>
          <w:bCs/>
          <w:sz w:val="28"/>
          <w:szCs w:val="28"/>
          <w:lang w:eastAsia="lv-LV"/>
        </w:rPr>
      </w:pPr>
      <w:r w:rsidRPr="002F1BEE">
        <w:rPr>
          <w:rFonts w:ascii="Times New Roman" w:eastAsia="Times New Roman" w:hAnsi="Times New Roman" w:cs="Times New Roman"/>
          <w:b/>
          <w:bCs/>
          <w:sz w:val="28"/>
          <w:szCs w:val="28"/>
          <w:lang w:eastAsia="lv-LV"/>
        </w:rPr>
        <w:lastRenderedPageBreak/>
        <w:t>2. pielikums</w:t>
      </w:r>
    </w:p>
    <w:p w:rsidR="00B60A1B" w:rsidRDefault="00B60A1B" w:rsidP="006B796E">
      <w:pPr>
        <w:widowControl w:val="0"/>
        <w:spacing w:after="0" w:line="240" w:lineRule="auto"/>
        <w:jc w:val="both"/>
        <w:rPr>
          <w:rFonts w:ascii="Times New Roman" w:eastAsia="Times New Roman" w:hAnsi="Times New Roman" w:cs="Times New Roman"/>
          <w:b/>
          <w:bCs/>
          <w:sz w:val="24"/>
          <w:szCs w:val="24"/>
          <w:lang w:eastAsia="lv-LV"/>
        </w:rPr>
      </w:pPr>
    </w:p>
    <w:p w:rsidR="00B60A1B" w:rsidRDefault="00B60A1B"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UNICEF tipveida divpusējais nolīgums par sadarbību un savstarpēju juridisko palīdzību, nodrošinot bērnu aizsardzību pret pārrobežu cilvēku tirdzniecību</w:t>
      </w:r>
    </w:p>
    <w:p w:rsidR="00B60A1B"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Pilns tipveida nolīguma teksts ir pieejams: http://www.unhcr.org/50aa01009.pdf. </w:t>
      </w:r>
      <w:r w:rsidRPr="006B796E">
        <w:rPr>
          <w:rFonts w:ascii="Times New Roman" w:eastAsia="Times New Roman" w:hAnsi="Times New Roman" w:cs="Times New Roman"/>
          <w:i/>
          <w:iCs/>
          <w:sz w:val="24"/>
          <w:szCs w:val="24"/>
          <w:lang w:eastAsia="lv-LV"/>
        </w:rPr>
        <w:t>UNICEF</w:t>
      </w:r>
      <w:r w:rsidRPr="006B796E">
        <w:rPr>
          <w:rFonts w:ascii="Times New Roman" w:eastAsia="Times New Roman" w:hAnsi="Times New Roman" w:cs="Times New Roman"/>
          <w:sz w:val="24"/>
          <w:szCs w:val="24"/>
          <w:lang w:eastAsia="lv-LV"/>
        </w:rPr>
        <w:t xml:space="preserve"> 2004. gadā ir izstrādājis tipveida divpusējo nolīgumu izmantošanai Rietumāfrikā un Centrālāfrikā, un tā 27 panti skar šādus jautājumus:</w:t>
      </w:r>
    </w:p>
    <w:p w:rsidR="00B60A1B" w:rsidRPr="006B796E"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1. pants. Nolīguma darbības joma</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 pants. Definīcijas</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3. pants. Koordinācijas iestādes</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4. pants. Bērna intereses</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5. pants. Diskriminācijas aizliegums</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6. pants. Vecuma noteikšana un pieņēmums</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7. pants. Palīdzības sniegšana cietušajiem un viņu aizsardzība</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9. pants. Cietušo rehabilitācija un sociālā reintegrācija</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10. pants. Cietušo aizsardzība pret ieslodzīšanu</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11. pants. Ģimenes atkalapvienošana</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12. pants. Cietušo repatriācija</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13. pants. Iespējas došana cietušajiem palikt uzņēmējvalstī</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14. pants. Cietušo reģistrācija un dokumentēšana</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15. pants. Izsekošana</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16. pants. Uzņemšanas un tranzīta centri</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17. pants. Bērnu tirdzniecības novēršana</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18. pants. Atzīšana par kriminālnoziegumu un tiesībaizsardzība</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19. pants. Jurisdikcija</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20. pants. Izdošana</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21. pants. Pasākumi uz robežas</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22. pants. Informācijas apmaiņa un apmācība</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23. pants. Ceļošanas vai personu apliecinošo dokumentu drošība un kontrole</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24. pants. Savstarpējās palīdzības pieprasījuma saturs</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25. pants. Informācijas vai pierādījumu izmantošanas ierobežojumi</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26. pants. Dokumentu izsniegšana</w:t>
      </w:r>
    </w:p>
    <w:p w:rsidR="00D6592D"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27. pants. Liecību sniegšana pieprasījuma saņēmējā valstī</w:t>
      </w:r>
    </w:p>
    <w:p w:rsidR="00B60A1B" w:rsidRDefault="00B60A1B">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D6592D" w:rsidRPr="002F1BEE" w:rsidRDefault="00D6592D" w:rsidP="006B796E">
      <w:pPr>
        <w:widowControl w:val="0"/>
        <w:spacing w:after="0" w:line="240" w:lineRule="auto"/>
        <w:jc w:val="both"/>
        <w:rPr>
          <w:rFonts w:ascii="Times New Roman" w:eastAsia="Times New Roman" w:hAnsi="Times New Roman" w:cs="Times New Roman"/>
          <w:b/>
          <w:bCs/>
          <w:sz w:val="28"/>
          <w:szCs w:val="28"/>
          <w:lang w:eastAsia="lv-LV"/>
        </w:rPr>
      </w:pPr>
      <w:r w:rsidRPr="002F1BEE">
        <w:rPr>
          <w:rFonts w:ascii="Times New Roman" w:eastAsia="Times New Roman" w:hAnsi="Times New Roman" w:cs="Times New Roman"/>
          <w:b/>
          <w:bCs/>
          <w:sz w:val="28"/>
          <w:szCs w:val="28"/>
          <w:lang w:eastAsia="lv-LV"/>
        </w:rPr>
        <w:lastRenderedPageBreak/>
        <w:t>Atsauces</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Anti-Trafficking Monitoring Group (UK), Proposal for a Revised National Referral Mechanism (NRM) for Children</w:t>
      </w:r>
      <w:r w:rsidRPr="006B796E">
        <w:rPr>
          <w:rFonts w:ascii="Times New Roman" w:eastAsia="Times New Roman" w:hAnsi="Times New Roman" w:cs="Times New Roman"/>
          <w:sz w:val="24"/>
          <w:szCs w:val="24"/>
          <w:lang w:eastAsia="lv-LV"/>
        </w:rPr>
        <w:t xml:space="preserve"> (Londona, 2014). https://www.ecpat.org.uk/Handlers/Down-load.ashx?IDMF=9c439adf-97ef-45f8-ad4f-c73752f2676d</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P. Cazenave, “Regional report on the implementation of the UNICEF guidelines for the protection of the rights of child victims of trafficking in South Eastern Europe. Assessment of the situation in Albania, Kosovo and the Former Yugoslav Republic of Macedonia”</w:t>
      </w:r>
      <w:r w:rsidRPr="006B796E">
        <w:rPr>
          <w:rFonts w:ascii="Times New Roman" w:eastAsia="Times New Roman" w:hAnsi="Times New Roman" w:cs="Times New Roman"/>
          <w:sz w:val="24"/>
          <w:szCs w:val="24"/>
          <w:lang w:eastAsia="lv-LV"/>
        </w:rPr>
        <w:t xml:space="preserve">, </w:t>
      </w:r>
      <w:r w:rsidRPr="006B796E">
        <w:rPr>
          <w:rFonts w:ascii="Times New Roman" w:eastAsia="Times New Roman" w:hAnsi="Times New Roman" w:cs="Times New Roman"/>
          <w:i/>
          <w:iCs/>
          <w:sz w:val="24"/>
          <w:szCs w:val="24"/>
          <w:lang w:eastAsia="lv-LV"/>
        </w:rPr>
        <w:t>Terre des Hommes</w:t>
      </w:r>
      <w:r w:rsidRPr="006B796E">
        <w:rPr>
          <w:rFonts w:ascii="Times New Roman" w:eastAsia="Times New Roman" w:hAnsi="Times New Roman" w:cs="Times New Roman"/>
          <w:sz w:val="24"/>
          <w:szCs w:val="24"/>
          <w:lang w:eastAsia="lv-LV"/>
        </w:rPr>
        <w:t xml:space="preserve"> (Losana, 2010).</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Cazenave, P., Protecting Migrant Children in a Freedom of Movement Area. Transnational monitoring of return procedures involving Romanian and Bulgarian migrant children in Greece and France, Terre des Hommes</w:t>
      </w:r>
      <w:r w:rsidRPr="006B796E">
        <w:rPr>
          <w:rFonts w:ascii="Times New Roman" w:eastAsia="Times New Roman" w:hAnsi="Times New Roman" w:cs="Times New Roman"/>
          <w:sz w:val="24"/>
          <w:szCs w:val="24"/>
          <w:lang w:eastAsia="lv-LV"/>
        </w:rPr>
        <w:t xml:space="preserve"> (Budapešta, 2012).</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Charpentier, C., Coopération en Europe du sud-est contre la traite des êtres humains et la criminalité connexe, Programmation2018.https://onu-vienne.delegfrance.org/La-lutte-contre-la-traite-des-etres-humains-en-Europe-du-sud-est Child Rights Information Network (CRIN), In Whose Interests? How the Law Treats Unaccompanied Children in the Countries of the Commonwealth of Independent States</w:t>
      </w:r>
      <w:r w:rsidRPr="006B796E">
        <w:rPr>
          <w:rFonts w:ascii="Times New Roman" w:eastAsia="Times New Roman" w:hAnsi="Times New Roman" w:cs="Times New Roman"/>
          <w:sz w:val="24"/>
          <w:szCs w:val="24"/>
          <w:lang w:eastAsia="lv-LV"/>
        </w:rPr>
        <w:t xml:space="preserve"> (Londona, 2014).</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County Administrative Board of Stockholm, National Referral Mechanism – Protecting and supporting victims of Trafficking in Human Beings in Sweden</w:t>
      </w:r>
      <w:r w:rsidRPr="006B796E">
        <w:rPr>
          <w:rFonts w:ascii="Times New Roman" w:eastAsia="Times New Roman" w:hAnsi="Times New Roman" w:cs="Times New Roman"/>
          <w:sz w:val="24"/>
          <w:szCs w:val="24"/>
          <w:lang w:eastAsia="lv-LV"/>
        </w:rPr>
        <w:t xml:space="preserve"> (Stokholma, 2016).</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Delap, E., and J. Wedge, Reintegration Guidelines. Inter-agency Group on Children’s Reintegration (the Group includes Family for Every Child, Better Care Network, CESVI, CPC Learning Network, ECPAT, Faith to Action Initiative, Friends International, Juconi Foundation, Maestral, Next Generation Nepal, Retrak, Save the Children, UNICEF, USAID and World Vision)</w:t>
      </w:r>
      <w:r w:rsidRPr="006B796E">
        <w:rPr>
          <w:rFonts w:ascii="Times New Roman" w:eastAsia="Times New Roman" w:hAnsi="Times New Roman" w:cs="Times New Roman"/>
          <w:sz w:val="24"/>
          <w:szCs w:val="24"/>
          <w:lang w:eastAsia="lv-LV"/>
        </w:rPr>
        <w:t xml:space="preserve"> (Londona, 2016). https://riselearningnetwork.org/wp-content/uploads/2016/09/Guidelines-on-Childrens-Reintegration-DIGITAL-.pdf</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Dettmeijer-Vermeulen, C. E., (National Rapporteur on Trafficking in Human Beings, Netherlands), Human Trafficking. Seventh Report from the National Rapporteur</w:t>
      </w:r>
      <w:r w:rsidRPr="006B796E">
        <w:rPr>
          <w:rFonts w:ascii="Times New Roman" w:eastAsia="Times New Roman" w:hAnsi="Times New Roman" w:cs="Times New Roman"/>
          <w:sz w:val="24"/>
          <w:szCs w:val="24"/>
          <w:lang w:eastAsia="lv-LV"/>
        </w:rPr>
        <w:t xml:space="preserve"> (Hāga, Nacionālā ziņotāja birojs, 2009).</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European Migration Network, Asylum and Migration Glossary</w:t>
      </w:r>
      <w:r w:rsidRPr="006B796E">
        <w:rPr>
          <w:rFonts w:ascii="Times New Roman" w:eastAsia="Times New Roman" w:hAnsi="Times New Roman" w:cs="Times New Roman"/>
          <w:sz w:val="24"/>
          <w:szCs w:val="24"/>
          <w:lang w:eastAsia="lv-LV"/>
        </w:rPr>
        <w:t xml:space="preserve"> 3.0., 2014. http://migration.commission.ge/files/emn-glossary-en-version.pdf</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European Union Agency for Fundamental Rights, Guardianship for children deprived of parental care. A handbook to reinforce guardianship systems to cater for the specific needs of child victims of trafficking</w:t>
      </w:r>
      <w:r w:rsidRPr="006B796E">
        <w:rPr>
          <w:rFonts w:ascii="Times New Roman" w:eastAsia="Times New Roman" w:hAnsi="Times New Roman" w:cs="Times New Roman"/>
          <w:sz w:val="24"/>
          <w:szCs w:val="24"/>
          <w:lang w:eastAsia="lv-LV"/>
        </w:rPr>
        <w:t xml:space="preserve"> (Vīne, 2014).</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Finch, N., Better support, better protection: Steps lawyers and guardians can take to better identify and protect trafficked children</w:t>
      </w:r>
      <w:r w:rsidRPr="006B796E">
        <w:rPr>
          <w:rFonts w:ascii="Times New Roman" w:eastAsia="Times New Roman" w:hAnsi="Times New Roman" w:cs="Times New Roman"/>
          <w:sz w:val="24"/>
          <w:szCs w:val="24"/>
          <w:lang w:eastAsia="lv-LV"/>
        </w:rPr>
        <w:t xml:space="preserve"> (</w:t>
      </w:r>
      <w:r w:rsidRPr="006B796E">
        <w:rPr>
          <w:rFonts w:ascii="Times New Roman" w:eastAsia="Times New Roman" w:hAnsi="Times New Roman" w:cs="Times New Roman"/>
          <w:i/>
          <w:iCs/>
          <w:sz w:val="24"/>
          <w:szCs w:val="24"/>
          <w:lang w:eastAsia="lv-LV"/>
        </w:rPr>
        <w:t>ECPAT UK</w:t>
      </w:r>
      <w:r w:rsidRPr="006B796E">
        <w:rPr>
          <w:rFonts w:ascii="Times New Roman" w:eastAsia="Times New Roman" w:hAnsi="Times New Roman" w:cs="Times New Roman"/>
          <w:sz w:val="24"/>
          <w:szCs w:val="24"/>
          <w:lang w:eastAsia="lv-LV"/>
        </w:rPr>
        <w:t xml:space="preserve"> Londona, 2016).</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Finch, N., Lighting The Way: Steps that lawyers, legal guardians and child trafficking advocates in the UK can take to better identify and protect children who may have been trafficked, ECPAT-UK</w:t>
      </w:r>
      <w:r w:rsidRPr="006B796E">
        <w:rPr>
          <w:rFonts w:ascii="Times New Roman" w:eastAsia="Times New Roman" w:hAnsi="Times New Roman" w:cs="Times New Roman"/>
          <w:sz w:val="24"/>
          <w:szCs w:val="24"/>
          <w:lang w:eastAsia="lv-LV"/>
        </w:rPr>
        <w:t xml:space="preserve"> (Londona, 2017).</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lastRenderedPageBreak/>
        <w:t>Fundamental Rights Agency (FRA), Guardianship for children deprived of parental care; A handbook to reinforce guardianship services to cater for the specific needs of child victims of trafficking</w:t>
      </w:r>
      <w:r w:rsidRPr="006B796E">
        <w:rPr>
          <w:rFonts w:ascii="Times New Roman" w:eastAsia="Times New Roman" w:hAnsi="Times New Roman" w:cs="Times New Roman"/>
          <w:sz w:val="24"/>
          <w:szCs w:val="24"/>
          <w:lang w:eastAsia="lv-LV"/>
        </w:rPr>
        <w:t xml:space="preserve"> (Vīne, 2014).</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Child Protection Working Group, Interagency Guidelines for Case Management and Child Protection. The Role of Case Management in the Protection of Children: A Guide for Policy &amp; Programme Managers and Caseworkers</w:t>
      </w:r>
      <w:r w:rsidRPr="006B796E">
        <w:rPr>
          <w:rFonts w:ascii="Times New Roman" w:eastAsia="Times New Roman" w:hAnsi="Times New Roman" w:cs="Times New Roman"/>
          <w:sz w:val="24"/>
          <w:szCs w:val="24"/>
          <w:lang w:eastAsia="lv-LV"/>
        </w:rPr>
        <w:t xml:space="preserve"> (2014). http://www.cpcnetwork.org/wp-content/uploads/2014/08/CM_guidelines_ENG_.pdf</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Haldorsson, O. L., Barnahus Quality Standards. Guidance for Multidisciplinary and Interagency Response To Child Victims and Witnesses of Violence, Council of the Baltic Sea States Secretariat and Child Circle, Promise Project Series</w:t>
      </w:r>
      <w:r w:rsidRPr="006B796E">
        <w:rPr>
          <w:rFonts w:ascii="Times New Roman" w:eastAsia="Times New Roman" w:hAnsi="Times New Roman" w:cs="Times New Roman"/>
          <w:sz w:val="24"/>
          <w:szCs w:val="24"/>
          <w:lang w:eastAsia="lv-LV"/>
        </w:rPr>
        <w:t xml:space="preserve"> (Stokholma, 2017).</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Hillingdon Local Safeguarding Children Board, Joint Protocol. Children and young people who runaway or go missing from care or home</w:t>
      </w:r>
      <w:r w:rsidRPr="006B796E">
        <w:rPr>
          <w:rFonts w:ascii="Times New Roman" w:eastAsia="Times New Roman" w:hAnsi="Times New Roman" w:cs="Times New Roman"/>
          <w:sz w:val="24"/>
          <w:szCs w:val="24"/>
          <w:lang w:eastAsia="lv-LV"/>
        </w:rPr>
        <w:t xml:space="preserve"> (Londona, 2014). http://hillingdonchildcare.proceduresonline.com/pdfs/child_yp_runaway.pdf </w:t>
      </w:r>
      <w:r w:rsidRPr="006B796E">
        <w:rPr>
          <w:rFonts w:ascii="Times New Roman" w:eastAsia="Times New Roman" w:hAnsi="Times New Roman" w:cs="Times New Roman"/>
          <w:i/>
          <w:iCs/>
          <w:sz w:val="24"/>
          <w:szCs w:val="24"/>
          <w:lang w:eastAsia="lv-LV"/>
        </w:rPr>
        <w:t>Interagency Working Group on Sexual Exploitation of Children, Terminology Guidelines for the Protection of Children from Sexual Exploitation and Sexual Abuse (“Luxembourg Guidelines”)</w:t>
      </w:r>
      <w:r w:rsidRPr="006B796E">
        <w:rPr>
          <w:rFonts w:ascii="Times New Roman" w:eastAsia="Times New Roman" w:hAnsi="Times New Roman" w:cs="Times New Roman"/>
          <w:sz w:val="24"/>
          <w:szCs w:val="24"/>
          <w:lang w:eastAsia="lv-LV"/>
        </w:rPr>
        <w:t xml:space="preserve"> (2016).</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Inter-agency Working Group on Unaccompanied and Separated Children, Toolkit on Unaccompanied and Separated Children, Alliance for Child Protection in Humanitarian Action</w:t>
      </w:r>
      <w:r w:rsidRPr="006B796E">
        <w:rPr>
          <w:rFonts w:ascii="Times New Roman" w:eastAsia="Times New Roman" w:hAnsi="Times New Roman" w:cs="Times New Roman"/>
          <w:sz w:val="24"/>
          <w:szCs w:val="24"/>
          <w:lang w:eastAsia="lv-LV"/>
        </w:rPr>
        <w:t xml:space="preserve"> (2016).</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International Organization for Migration (IOM), IOM World Migration Report 2018</w:t>
      </w:r>
      <w:r w:rsidRPr="006B796E">
        <w:rPr>
          <w:rFonts w:ascii="Times New Roman" w:eastAsia="Times New Roman" w:hAnsi="Times New Roman" w:cs="Times New Roman"/>
          <w:sz w:val="24"/>
          <w:szCs w:val="24"/>
          <w:lang w:eastAsia="lv-LV"/>
        </w:rPr>
        <w:t xml:space="preserve"> (Ženēva, 2018).</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Koppenberg S., Unbegleitete Minderjährige in Österreich. Rechtsrahmen, Praxis und Statistiken, IOM</w:t>
      </w:r>
      <w:r w:rsidRPr="006B796E">
        <w:rPr>
          <w:rFonts w:ascii="Times New Roman" w:eastAsia="Times New Roman" w:hAnsi="Times New Roman" w:cs="Times New Roman"/>
          <w:sz w:val="24"/>
          <w:szCs w:val="24"/>
          <w:lang w:eastAsia="lv-LV"/>
        </w:rPr>
        <w:t xml:space="preserve"> (Vīne, 2014).</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Kravchuk, N., Re-Defining Unaccompanied and Separated Children in Russia, Pravo. Zhurnal Vysshey shkoly ekonomiki</w:t>
      </w:r>
      <w:r w:rsidRPr="006B796E">
        <w:rPr>
          <w:rFonts w:ascii="Times New Roman" w:eastAsia="Times New Roman" w:hAnsi="Times New Roman" w:cs="Times New Roman"/>
          <w:sz w:val="24"/>
          <w:szCs w:val="24"/>
          <w:lang w:eastAsia="lv-LV"/>
        </w:rPr>
        <w:t>, Nr. 2, 36.–44. lpp. (2016). https://law-journal.hse.ru/data/2016/07/13/1116452596/%D0%BA%D1%80%D0%B0%D0%B2%D1%87%D1%83%D0%BA.pdf</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Los Angeles County, Law Enforcement First Responder Protocol for Commercially Sexually Exploited Children</w:t>
      </w:r>
      <w:r w:rsidRPr="006B796E">
        <w:rPr>
          <w:rFonts w:ascii="Times New Roman" w:eastAsia="Times New Roman" w:hAnsi="Times New Roman" w:cs="Times New Roman"/>
          <w:sz w:val="24"/>
          <w:szCs w:val="24"/>
          <w:lang w:eastAsia="lv-LV"/>
        </w:rPr>
        <w:t xml:space="preserve"> (Kalifornija, 2015). http://ceo.lacounty.gov/pdf/LA%20CountyFRP150611.pdf</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Matthews, A., Literature review on how the Home Office ensures it acts in the best interests of the child when conducting its immigration, asylum and nationality functions, specifically how it determines, reviews and secures the child’s best interests. Prepared for the Independent Chief Inspector of Borders and Immigration.</w:t>
      </w:r>
      <w:r w:rsidRPr="006B796E">
        <w:rPr>
          <w:rFonts w:ascii="Times New Roman" w:eastAsia="Times New Roman" w:hAnsi="Times New Roman" w:cs="Times New Roman"/>
          <w:sz w:val="24"/>
          <w:szCs w:val="24"/>
          <w:lang w:eastAsia="lv-LV"/>
        </w:rPr>
        <w:t xml:space="preserve"> 2017. gada jūlijs. https://www.gov.uk/government/uploads/system/uploads/attachment_data/file/695293/Literature_review_UASC_-_FINAL Dec_2017_.pdf</w:t>
      </w:r>
    </w:p>
    <w:p w:rsidR="00B60A1B"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Darba, sociālās aizsardzības un ģimenes lietu ministrija (Moldovas Republika) un </w:t>
      </w:r>
      <w:r w:rsidRPr="006B796E">
        <w:rPr>
          <w:rFonts w:ascii="Times New Roman" w:eastAsia="Times New Roman" w:hAnsi="Times New Roman" w:cs="Times New Roman"/>
          <w:i/>
          <w:iCs/>
          <w:sz w:val="24"/>
          <w:szCs w:val="24"/>
          <w:lang w:eastAsia="lv-LV"/>
        </w:rPr>
        <w:t>Terre des Hommes Moldova</w:t>
      </w:r>
      <w:r w:rsidRPr="006B796E">
        <w:rPr>
          <w:rFonts w:ascii="Times New Roman" w:eastAsia="Times New Roman" w:hAnsi="Times New Roman" w:cs="Times New Roman"/>
          <w:sz w:val="24"/>
          <w:szCs w:val="24"/>
          <w:lang w:eastAsia="lv-LV"/>
        </w:rPr>
        <w:t xml:space="preserve">, </w:t>
      </w:r>
      <w:r w:rsidRPr="006B796E">
        <w:rPr>
          <w:rFonts w:ascii="Times New Roman" w:eastAsia="Times New Roman" w:hAnsi="Times New Roman" w:cs="Times New Roman"/>
          <w:i/>
          <w:iCs/>
          <w:sz w:val="24"/>
          <w:szCs w:val="24"/>
          <w:lang w:eastAsia="lv-LV"/>
        </w:rPr>
        <w:t>Case management for children identified without legal representatives on the territory of other States. Guidance for Professionals</w:t>
      </w:r>
      <w:r w:rsidRPr="006B796E">
        <w:rPr>
          <w:rFonts w:ascii="Times New Roman" w:eastAsia="Times New Roman" w:hAnsi="Times New Roman" w:cs="Times New Roman"/>
          <w:sz w:val="24"/>
          <w:szCs w:val="24"/>
          <w:lang w:eastAsia="lv-LV"/>
        </w:rPr>
        <w:t xml:space="preserve"> (Kišiņeva, 2014).</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O’Leary, P., and J. Squire, Case Management: Systems and Accountability, Social Work in Child Protection Projects</w:t>
      </w:r>
      <w:r w:rsidRPr="006B796E">
        <w:rPr>
          <w:rFonts w:ascii="Times New Roman" w:eastAsia="Times New Roman" w:hAnsi="Times New Roman" w:cs="Times New Roman"/>
          <w:sz w:val="24"/>
          <w:szCs w:val="24"/>
          <w:lang w:eastAsia="lv-LV"/>
        </w:rPr>
        <w:t xml:space="preserve"> (</w:t>
      </w:r>
      <w:r w:rsidRPr="006B796E">
        <w:rPr>
          <w:rFonts w:ascii="Times New Roman" w:eastAsia="Times New Roman" w:hAnsi="Times New Roman" w:cs="Times New Roman"/>
          <w:i/>
          <w:iCs/>
          <w:sz w:val="24"/>
          <w:szCs w:val="24"/>
          <w:lang w:eastAsia="lv-LV"/>
        </w:rPr>
        <w:t>Terre des Hommes</w:t>
      </w:r>
      <w:r w:rsidRPr="006B796E">
        <w:rPr>
          <w:rFonts w:ascii="Times New Roman" w:eastAsia="Times New Roman" w:hAnsi="Times New Roman" w:cs="Times New Roman"/>
          <w:sz w:val="24"/>
          <w:szCs w:val="24"/>
          <w:lang w:eastAsia="lv-LV"/>
        </w:rPr>
        <w:t xml:space="preserve"> un Bātas Universitāte, 2009).</w:t>
      </w:r>
    </w:p>
    <w:p w:rsidR="00B60A1B"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EDSO Demokrātisko institūciju un cilvēktiesību birojs </w:t>
      </w:r>
      <w:r w:rsidRPr="006B796E">
        <w:rPr>
          <w:rFonts w:ascii="Times New Roman" w:eastAsia="Times New Roman" w:hAnsi="Times New Roman" w:cs="Times New Roman"/>
          <w:i/>
          <w:iCs/>
          <w:sz w:val="24"/>
          <w:szCs w:val="24"/>
          <w:lang w:eastAsia="lv-LV"/>
        </w:rPr>
        <w:t>(ODIHR), National Referral Mechanisms – Joining Efforts to Protect the Rights of Trafficked Persons: A Practical Handbook</w:t>
      </w:r>
      <w:r w:rsidRPr="006B796E">
        <w:rPr>
          <w:rFonts w:ascii="Times New Roman" w:eastAsia="Times New Roman" w:hAnsi="Times New Roman" w:cs="Times New Roman"/>
          <w:sz w:val="24"/>
          <w:szCs w:val="24"/>
          <w:lang w:eastAsia="lv-LV"/>
        </w:rPr>
        <w:t xml:space="preserve"> (Varšava, 2004).</w:t>
      </w:r>
    </w:p>
    <w:p w:rsidR="00B60A1B"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EDSO </w:t>
      </w:r>
      <w:r w:rsidRPr="006B796E">
        <w:rPr>
          <w:rFonts w:ascii="Times New Roman" w:eastAsia="Times New Roman" w:hAnsi="Times New Roman" w:cs="Times New Roman"/>
          <w:i/>
          <w:iCs/>
          <w:sz w:val="24"/>
          <w:szCs w:val="24"/>
          <w:lang w:eastAsia="lv-LV"/>
        </w:rPr>
        <w:t>ODIHR</w:t>
      </w:r>
      <w:r w:rsidRPr="006B796E">
        <w:rPr>
          <w:rFonts w:ascii="Times New Roman" w:eastAsia="Times New Roman" w:hAnsi="Times New Roman" w:cs="Times New Roman"/>
          <w:sz w:val="24"/>
          <w:szCs w:val="24"/>
          <w:lang w:eastAsia="lv-LV"/>
        </w:rPr>
        <w:t xml:space="preserve">, </w:t>
      </w:r>
      <w:r w:rsidRPr="006B796E">
        <w:rPr>
          <w:rFonts w:ascii="Times New Roman" w:eastAsia="Times New Roman" w:hAnsi="Times New Roman" w:cs="Times New Roman"/>
          <w:i/>
          <w:iCs/>
          <w:sz w:val="24"/>
          <w:szCs w:val="24"/>
          <w:lang w:eastAsia="lv-LV"/>
        </w:rPr>
        <w:t>National Referral Mechanisms – Joining Efforts to Protect the Rights of Trafficked Persons: A Practical Handbook</w:t>
      </w:r>
      <w:r w:rsidRPr="006B796E">
        <w:rPr>
          <w:rFonts w:ascii="Times New Roman" w:eastAsia="Times New Roman" w:hAnsi="Times New Roman" w:cs="Times New Roman"/>
          <w:sz w:val="24"/>
          <w:szCs w:val="24"/>
          <w:lang w:eastAsia="lv-LV"/>
        </w:rPr>
        <w:t xml:space="preserve"> (Varšava, 2004).</w:t>
      </w:r>
    </w:p>
    <w:p w:rsidR="00B60A1B"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EDSO </w:t>
      </w:r>
      <w:r w:rsidRPr="006B796E">
        <w:rPr>
          <w:rFonts w:ascii="Times New Roman" w:eastAsia="Times New Roman" w:hAnsi="Times New Roman" w:cs="Times New Roman"/>
          <w:i/>
          <w:iCs/>
          <w:sz w:val="24"/>
          <w:szCs w:val="24"/>
          <w:lang w:eastAsia="lv-LV"/>
        </w:rPr>
        <w:t>ODIHR, Guiding Principles on Human Rights in the Return of Trafficked Persons</w:t>
      </w:r>
      <w:r w:rsidRPr="006B796E">
        <w:rPr>
          <w:rFonts w:ascii="Times New Roman" w:eastAsia="Times New Roman" w:hAnsi="Times New Roman" w:cs="Times New Roman"/>
          <w:sz w:val="24"/>
          <w:szCs w:val="24"/>
          <w:lang w:eastAsia="lv-LV"/>
        </w:rPr>
        <w:t xml:space="preserve"> (Varšava, 2014).</w:t>
      </w:r>
    </w:p>
    <w:p w:rsidR="00B60A1B"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EDSO Cilvēku tirdzniecības apkarošanas īpašā pārstāvja un koordinatora birojs, </w:t>
      </w:r>
      <w:r w:rsidRPr="006B796E">
        <w:rPr>
          <w:rFonts w:ascii="Times New Roman" w:eastAsia="Times New Roman" w:hAnsi="Times New Roman" w:cs="Times New Roman"/>
          <w:i/>
          <w:iCs/>
          <w:sz w:val="24"/>
          <w:szCs w:val="24"/>
          <w:lang w:eastAsia="lv-LV"/>
        </w:rPr>
        <w:t>Unprotected Work, Invisible Exploitation: Trafficking for the Purpose of Domestic Servitude</w:t>
      </w:r>
      <w:r w:rsidRPr="006B796E">
        <w:rPr>
          <w:rFonts w:ascii="Times New Roman" w:eastAsia="Times New Roman" w:hAnsi="Times New Roman" w:cs="Times New Roman"/>
          <w:sz w:val="24"/>
          <w:szCs w:val="24"/>
          <w:lang w:eastAsia="lv-LV"/>
        </w:rPr>
        <w:t>, Speciālo pētījumu sērija Nr. 4 (Vīne, 2010).</w:t>
      </w:r>
    </w:p>
    <w:p w:rsidR="00B60A1B"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EDSO Cilvēku tirdzniecības apkarošanas īpašā pārstāvja un koordinatora birojs (apspriežoties ar Alianses pret cilvēku tirdzniecību ekspertu koordinācijas grupu), Politika un likumdošanas ieteikumi, lai efektīvi īstenotu nesodīšanas noteikumu attiecībā uz cilvēku tirdzniecības upuriem [</w:t>
      </w:r>
      <w:r w:rsidRPr="006B796E">
        <w:rPr>
          <w:rFonts w:ascii="Times New Roman" w:eastAsia="Times New Roman" w:hAnsi="Times New Roman" w:cs="Times New Roman"/>
          <w:i/>
          <w:iCs/>
          <w:sz w:val="24"/>
          <w:szCs w:val="24"/>
          <w:lang w:eastAsia="lv-LV"/>
        </w:rPr>
        <w:t>Policy and legislative recommendations towards the effective implementation of the non-punishment provision with regard to victims of trafficking</w:t>
      </w:r>
      <w:r w:rsidRPr="006B796E">
        <w:rPr>
          <w:rFonts w:ascii="Times New Roman" w:eastAsia="Times New Roman" w:hAnsi="Times New Roman" w:cs="Times New Roman"/>
          <w:sz w:val="24"/>
          <w:szCs w:val="24"/>
          <w:lang w:eastAsia="lv-LV"/>
        </w:rPr>
        <w:t>] (Vīne, 2013).</w:t>
      </w:r>
    </w:p>
    <w:p w:rsidR="00B60A1B"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EDSO Cilvēku tirdzniecības apkarošanas īpašā pārstāvja un koordinatora birojs, 2016. gada apsekošanas ziņojums par centieniem īstenot EDSO saistības un ieteiktos pasākumus cīņai pret cilvēku tirdzniecību [</w:t>
      </w:r>
      <w:r w:rsidRPr="006B796E">
        <w:rPr>
          <w:rFonts w:ascii="Times New Roman" w:eastAsia="Times New Roman" w:hAnsi="Times New Roman" w:cs="Times New Roman"/>
          <w:i/>
          <w:iCs/>
          <w:sz w:val="24"/>
          <w:szCs w:val="24"/>
          <w:lang w:eastAsia="lv-LV"/>
        </w:rPr>
        <w:t>Survey Report 2016 of Efforts to Implement OSCE Commitments and Recommended Actions to Combat Human Trafficking</w:t>
      </w:r>
      <w:r w:rsidRPr="006B796E">
        <w:rPr>
          <w:rFonts w:ascii="Times New Roman" w:eastAsia="Times New Roman" w:hAnsi="Times New Roman" w:cs="Times New Roman"/>
          <w:sz w:val="24"/>
          <w:szCs w:val="24"/>
          <w:lang w:eastAsia="lv-LV"/>
        </w:rPr>
        <w:t>], EDSO (Vīne, 2016).</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Peyroux, O., Delinquants et Victimes. La traite des enfants d’Europe de l’Est en France, Editions Non-Lieu</w:t>
      </w:r>
      <w:r w:rsidRPr="006B796E">
        <w:rPr>
          <w:rFonts w:ascii="Times New Roman" w:eastAsia="Times New Roman" w:hAnsi="Times New Roman" w:cs="Times New Roman"/>
          <w:sz w:val="24"/>
          <w:szCs w:val="24"/>
          <w:lang w:eastAsia="lv-LV"/>
        </w:rPr>
        <w:t xml:space="preserve"> (Parīze, 2013) (tulkojums angļu valodā: </w:t>
      </w:r>
      <w:r w:rsidRPr="006B796E">
        <w:rPr>
          <w:rFonts w:ascii="Times New Roman" w:eastAsia="Times New Roman" w:hAnsi="Times New Roman" w:cs="Times New Roman"/>
          <w:i/>
          <w:iCs/>
          <w:sz w:val="24"/>
          <w:szCs w:val="24"/>
          <w:lang w:eastAsia="lv-LV"/>
        </w:rPr>
        <w:t>Fantasies and Realities Fueling Child Trafficking in Europe</w:t>
      </w:r>
      <w:r w:rsidRPr="006B796E">
        <w:rPr>
          <w:rFonts w:ascii="Times New Roman" w:eastAsia="Times New Roman" w:hAnsi="Times New Roman" w:cs="Times New Roman"/>
          <w:sz w:val="24"/>
          <w:szCs w:val="24"/>
          <w:lang w:eastAsia="lv-LV"/>
        </w:rPr>
        <w:t xml:space="preserve">, </w:t>
      </w:r>
      <w:r w:rsidRPr="006B796E">
        <w:rPr>
          <w:rFonts w:ascii="Times New Roman" w:eastAsia="Times New Roman" w:hAnsi="Times New Roman" w:cs="Times New Roman"/>
          <w:i/>
          <w:iCs/>
          <w:sz w:val="24"/>
          <w:szCs w:val="24"/>
          <w:lang w:eastAsia="lv-LV"/>
        </w:rPr>
        <w:t>ECPAT</w:t>
      </w:r>
      <w:r w:rsidRPr="006B796E">
        <w:rPr>
          <w:rFonts w:ascii="Times New Roman" w:eastAsia="Times New Roman" w:hAnsi="Times New Roman" w:cs="Times New Roman"/>
          <w:sz w:val="24"/>
          <w:szCs w:val="24"/>
          <w:lang w:eastAsia="lv-LV"/>
        </w:rPr>
        <w:t>-Francija, 2015).</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Peyroux, O., and R. Icleanu, Research – Romania. Diagnosis of the minors originating in Brăila and Constanța who are victims of human trafficking,</w:t>
      </w:r>
      <w:r w:rsidRPr="006B796E">
        <w:rPr>
          <w:rFonts w:ascii="Times New Roman" w:eastAsia="Times New Roman" w:hAnsi="Times New Roman" w:cs="Times New Roman"/>
          <w:sz w:val="24"/>
          <w:szCs w:val="24"/>
          <w:lang w:eastAsia="lv-LV"/>
        </w:rPr>
        <w:t xml:space="preserve"> Ārlietu un staraptautiskās attīstības ministrija (Francija) un </w:t>
      </w:r>
      <w:r w:rsidRPr="006B796E">
        <w:rPr>
          <w:rFonts w:ascii="Times New Roman" w:eastAsia="Times New Roman" w:hAnsi="Times New Roman" w:cs="Times New Roman"/>
          <w:i/>
          <w:iCs/>
          <w:sz w:val="24"/>
          <w:szCs w:val="24"/>
          <w:lang w:eastAsia="lv-LV"/>
        </w:rPr>
        <w:t>Terre des Hommes</w:t>
      </w:r>
      <w:r w:rsidRPr="006B796E">
        <w:rPr>
          <w:rFonts w:ascii="Times New Roman" w:eastAsia="Times New Roman" w:hAnsi="Times New Roman" w:cs="Times New Roman"/>
          <w:sz w:val="24"/>
          <w:szCs w:val="24"/>
          <w:lang w:eastAsia="lv-LV"/>
        </w:rPr>
        <w:t xml:space="preserve"> (2015).</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Peyroux, O., Les enfants victimes de la Traite des Etres Humains originaires de Sliven, Nova Zagora et Pazardjik</w:t>
      </w:r>
      <w:r w:rsidRPr="006B796E">
        <w:rPr>
          <w:rFonts w:ascii="Times New Roman" w:eastAsia="Times New Roman" w:hAnsi="Times New Roman" w:cs="Times New Roman"/>
          <w:sz w:val="24"/>
          <w:szCs w:val="24"/>
          <w:lang w:eastAsia="lv-LV"/>
        </w:rPr>
        <w:t xml:space="preserve">, Pētījuma ziņojums par Bulgāriju, </w:t>
      </w:r>
      <w:r w:rsidRPr="006B796E">
        <w:rPr>
          <w:rFonts w:ascii="Times New Roman" w:eastAsia="Times New Roman" w:hAnsi="Times New Roman" w:cs="Times New Roman"/>
          <w:i/>
          <w:iCs/>
          <w:sz w:val="24"/>
          <w:szCs w:val="24"/>
          <w:lang w:eastAsia="lv-LV"/>
        </w:rPr>
        <w:t>Terre des Hommes Foundation</w:t>
      </w:r>
      <w:r w:rsidRPr="006B796E">
        <w:rPr>
          <w:rFonts w:ascii="Times New Roman" w:eastAsia="Times New Roman" w:hAnsi="Times New Roman" w:cs="Times New Roman"/>
          <w:sz w:val="24"/>
          <w:szCs w:val="24"/>
          <w:lang w:eastAsia="lv-LV"/>
        </w:rPr>
        <w:t xml:space="preserve"> (sadarbībā ar Bulgārijas partneriem) (2015).</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Ross, S., N. Curry un N. Goodwin, Case management. What it is and how it can best be implemented. King’s Fund</w:t>
      </w:r>
      <w:r w:rsidRPr="006B796E">
        <w:rPr>
          <w:rFonts w:ascii="Times New Roman" w:eastAsia="Times New Roman" w:hAnsi="Times New Roman" w:cs="Times New Roman"/>
          <w:sz w:val="24"/>
          <w:szCs w:val="24"/>
          <w:lang w:eastAsia="lv-LV"/>
        </w:rPr>
        <w:t xml:space="preserve"> (2011). https://www.kingsfund.org.uk/sites/default/files/Case-Management-paper-The-Kings-Fund-Paper-November-2011_0.pdf</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Terre des Hommes</w:t>
      </w:r>
      <w:r w:rsidRPr="006B796E">
        <w:rPr>
          <w:rFonts w:ascii="Times New Roman" w:eastAsia="Times New Roman" w:hAnsi="Times New Roman" w:cs="Times New Roman"/>
          <w:sz w:val="24"/>
          <w:szCs w:val="24"/>
          <w:lang w:eastAsia="lv-LV"/>
        </w:rPr>
        <w:t xml:space="preserve"> (Centrāleiropas un Dienvidaustrumeiropas reģionālais birojs), </w:t>
      </w:r>
      <w:r w:rsidRPr="006B796E">
        <w:rPr>
          <w:rFonts w:ascii="Times New Roman" w:eastAsia="Times New Roman" w:hAnsi="Times New Roman" w:cs="Times New Roman"/>
          <w:i/>
          <w:iCs/>
          <w:sz w:val="24"/>
          <w:szCs w:val="24"/>
          <w:lang w:eastAsia="lv-LV"/>
        </w:rPr>
        <w:t>Review of the National Referral Mechanisms in Bulgaria, Greece, Romania and Slovenia for Child Victims of Trafficking, VICTOR (Victims of Child Trafficking: Our Responsibility) Project</w:t>
      </w:r>
      <w:r w:rsidRPr="006B796E">
        <w:rPr>
          <w:rFonts w:ascii="Times New Roman" w:eastAsia="Times New Roman" w:hAnsi="Times New Roman" w:cs="Times New Roman"/>
          <w:sz w:val="24"/>
          <w:szCs w:val="24"/>
          <w:lang w:eastAsia="lv-LV"/>
        </w:rPr>
        <w:t xml:space="preserve"> (Atēnas, 2015). http://www.victorproject.eu/media/uploads_file/2015/07/16/p19qbbt0pc1a4t1gg6tr4866182q5.pdf</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Tuggey, L. un Smith, T., Achieving a durable solution for trafficked children, UNICEF UK</w:t>
      </w:r>
      <w:r w:rsidRPr="006B796E">
        <w:rPr>
          <w:rFonts w:ascii="Times New Roman" w:eastAsia="Times New Roman" w:hAnsi="Times New Roman" w:cs="Times New Roman"/>
          <w:sz w:val="24"/>
          <w:szCs w:val="24"/>
          <w:lang w:eastAsia="lv-LV"/>
        </w:rPr>
        <w:t xml:space="preserve"> (Londona, 2015).</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Tyuryukanova, E.V. un the Institute for Urban Economics, Human Trafficking in the Russian Federation. Inventory and Analysis of the Current Situation and Responses, UN/IOM Working Group on Trafficking in Human Beings</w:t>
      </w:r>
      <w:r w:rsidRPr="006B796E">
        <w:rPr>
          <w:rFonts w:ascii="Times New Roman" w:eastAsia="Times New Roman" w:hAnsi="Times New Roman" w:cs="Times New Roman"/>
          <w:sz w:val="24"/>
          <w:szCs w:val="24"/>
          <w:lang w:eastAsia="lv-LV"/>
        </w:rPr>
        <w:t xml:space="preserve"> (Maskava, 2006).</w:t>
      </w:r>
    </w:p>
    <w:p w:rsidR="00B60A1B"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Apvienotās Karalistes Iekšlietu ministrija, </w:t>
      </w:r>
      <w:r w:rsidRPr="006B796E">
        <w:rPr>
          <w:rFonts w:ascii="Times New Roman" w:eastAsia="Times New Roman" w:hAnsi="Times New Roman" w:cs="Times New Roman"/>
          <w:i/>
          <w:iCs/>
          <w:sz w:val="24"/>
          <w:szCs w:val="24"/>
          <w:lang w:eastAsia="lv-LV"/>
        </w:rPr>
        <w:t>Review of the National Referral Mechanism for victims of human trafficking</w:t>
      </w:r>
      <w:r w:rsidRPr="006B796E">
        <w:rPr>
          <w:rFonts w:ascii="Times New Roman" w:eastAsia="Times New Roman" w:hAnsi="Times New Roman" w:cs="Times New Roman"/>
          <w:sz w:val="24"/>
          <w:szCs w:val="24"/>
          <w:lang w:eastAsia="lv-LV"/>
        </w:rPr>
        <w:t xml:space="preserve"> (Londona, 2014).</w:t>
      </w:r>
    </w:p>
    <w:p w:rsidR="00B60A1B"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ANO augstais komisārs bēgļu jautājumos (</w:t>
      </w:r>
      <w:r w:rsidRPr="006B796E">
        <w:rPr>
          <w:rFonts w:ascii="Times New Roman" w:eastAsia="Times New Roman" w:hAnsi="Times New Roman" w:cs="Times New Roman"/>
          <w:i/>
          <w:iCs/>
          <w:sz w:val="24"/>
          <w:szCs w:val="24"/>
          <w:lang w:eastAsia="lv-LV"/>
        </w:rPr>
        <w:t>UNHCR</w:t>
      </w:r>
      <w:r w:rsidRPr="006B796E">
        <w:rPr>
          <w:rFonts w:ascii="Times New Roman" w:eastAsia="Times New Roman" w:hAnsi="Times New Roman" w:cs="Times New Roman"/>
          <w:sz w:val="24"/>
          <w:szCs w:val="24"/>
          <w:lang w:eastAsia="lv-LV"/>
        </w:rPr>
        <w:t xml:space="preserve">), </w:t>
      </w:r>
      <w:r w:rsidRPr="006B796E">
        <w:rPr>
          <w:rFonts w:ascii="Times New Roman" w:eastAsia="Times New Roman" w:hAnsi="Times New Roman" w:cs="Times New Roman"/>
          <w:i/>
          <w:iCs/>
          <w:sz w:val="24"/>
          <w:szCs w:val="24"/>
          <w:lang w:eastAsia="lv-LV"/>
        </w:rPr>
        <w:t>The Principle of Non-Refoulement as a Norm of Customary International Law. Response to the Questions Posed to UNHCR by the Federal Constitutional Court of the Federal Republic of Germany in Cases 2 BvR 1938/93, 2 BvR 1953/93, 2 BvR 1954/93</w:t>
      </w:r>
      <w:r w:rsidRPr="006B796E">
        <w:rPr>
          <w:rFonts w:ascii="Times New Roman" w:eastAsia="Times New Roman" w:hAnsi="Times New Roman" w:cs="Times New Roman"/>
          <w:sz w:val="24"/>
          <w:szCs w:val="24"/>
          <w:lang w:eastAsia="lv-LV"/>
        </w:rPr>
        <w:t>, 1994. gada 31. janvāris, pieejams: http://www.refworld.org/docid/437b6db64.html [piekļūts 2018. gada 8. jūnijā]</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UNICEF, Model Bilateral Agreement on Co-operation and Mutual Legal Assistance in Protecting Children from Trans-Border Trafficking</w:t>
      </w:r>
      <w:r w:rsidRPr="006B796E">
        <w:rPr>
          <w:rFonts w:ascii="Times New Roman" w:eastAsia="Times New Roman" w:hAnsi="Times New Roman" w:cs="Times New Roman"/>
          <w:sz w:val="24"/>
          <w:szCs w:val="24"/>
          <w:lang w:eastAsia="lv-LV"/>
        </w:rPr>
        <w:t xml:space="preserve"> (Dakara, 2004). http://www.unhcr.org/50aa01009.pdf</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UNICEF, Guidelines on the Protection of Child Victims of Trafficking. UNICEF Technical Notes</w:t>
      </w:r>
      <w:r w:rsidRPr="006B796E">
        <w:rPr>
          <w:rFonts w:ascii="Times New Roman" w:eastAsia="Times New Roman" w:hAnsi="Times New Roman" w:cs="Times New Roman"/>
          <w:sz w:val="24"/>
          <w:szCs w:val="24"/>
          <w:lang w:eastAsia="lv-LV"/>
        </w:rPr>
        <w:t xml:space="preserve"> (</w:t>
      </w:r>
      <w:r w:rsidRPr="006B796E">
        <w:rPr>
          <w:rFonts w:ascii="Times New Roman" w:eastAsia="Times New Roman" w:hAnsi="Times New Roman" w:cs="Times New Roman"/>
          <w:i/>
          <w:iCs/>
          <w:sz w:val="24"/>
          <w:szCs w:val="24"/>
          <w:lang w:eastAsia="lv-LV"/>
        </w:rPr>
        <w:t>UNICEF</w:t>
      </w:r>
      <w:r w:rsidRPr="006B796E">
        <w:rPr>
          <w:rFonts w:ascii="Times New Roman" w:eastAsia="Times New Roman" w:hAnsi="Times New Roman" w:cs="Times New Roman"/>
          <w:sz w:val="24"/>
          <w:szCs w:val="24"/>
          <w:lang w:eastAsia="lv-LV"/>
        </w:rPr>
        <w:t>, Ņujorka, 2006). https://www.unicef.org/protection/Unicef_Victims_Guidelines_en.pdf</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UNICEF, Reference Guide on Protecting the Rights of Child Victims of Trafficking in Europe</w:t>
      </w:r>
      <w:r w:rsidRPr="006B796E">
        <w:rPr>
          <w:rFonts w:ascii="Times New Roman" w:eastAsia="Times New Roman" w:hAnsi="Times New Roman" w:cs="Times New Roman"/>
          <w:sz w:val="24"/>
          <w:szCs w:val="24"/>
          <w:lang w:eastAsia="lv-LV"/>
        </w:rPr>
        <w:t xml:space="preserve"> (</w:t>
      </w:r>
      <w:r w:rsidRPr="006B796E">
        <w:rPr>
          <w:rFonts w:ascii="Times New Roman" w:eastAsia="Times New Roman" w:hAnsi="Times New Roman" w:cs="Times New Roman"/>
          <w:i/>
          <w:iCs/>
          <w:sz w:val="24"/>
          <w:szCs w:val="24"/>
          <w:lang w:eastAsia="lv-LV"/>
        </w:rPr>
        <w:t>UNICEF</w:t>
      </w:r>
      <w:r w:rsidRPr="006B796E">
        <w:rPr>
          <w:rFonts w:ascii="Times New Roman" w:eastAsia="Times New Roman" w:hAnsi="Times New Roman" w:cs="Times New Roman"/>
          <w:sz w:val="24"/>
          <w:szCs w:val="24"/>
          <w:lang w:eastAsia="lv-LV"/>
        </w:rPr>
        <w:t>, Ženēva, 2006). https://www.unicef.org/ceecis/protection_4440.html</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UNICEF, A handbook on adapting and implementing UNICEF’s Guidelines for the protection of the rights of child victims of trafficking at national level in West and Central Africa</w:t>
      </w:r>
      <w:r w:rsidRPr="006B796E">
        <w:rPr>
          <w:rFonts w:ascii="Times New Roman" w:eastAsia="Times New Roman" w:hAnsi="Times New Roman" w:cs="Times New Roman"/>
          <w:sz w:val="24"/>
          <w:szCs w:val="24"/>
          <w:lang w:eastAsia="lv-LV"/>
        </w:rPr>
        <w:t xml:space="preserve"> (</w:t>
      </w:r>
      <w:r w:rsidRPr="006B796E">
        <w:rPr>
          <w:rFonts w:ascii="Times New Roman" w:eastAsia="Times New Roman" w:hAnsi="Times New Roman" w:cs="Times New Roman"/>
          <w:i/>
          <w:iCs/>
          <w:sz w:val="24"/>
          <w:szCs w:val="24"/>
          <w:lang w:eastAsia="lv-LV"/>
        </w:rPr>
        <w:t>UNICEF</w:t>
      </w:r>
      <w:r w:rsidRPr="006B796E">
        <w:rPr>
          <w:rFonts w:ascii="Times New Roman" w:eastAsia="Times New Roman" w:hAnsi="Times New Roman" w:cs="Times New Roman"/>
          <w:sz w:val="24"/>
          <w:szCs w:val="24"/>
          <w:lang w:eastAsia="lv-LV"/>
        </w:rPr>
        <w:t xml:space="preserve"> Rietumāfrikas un Centrālāfrikas reģionālais birojs, Dakara, 2010). Pieejams: https://www.unicef.org/wcaro/UNICEF_guidelines_methodology.pdf</w:t>
      </w:r>
    </w:p>
    <w:p w:rsidR="00B60A1B"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ANO Civilizāciju alianses (</w:t>
      </w:r>
      <w:r w:rsidRPr="006B796E">
        <w:rPr>
          <w:rFonts w:ascii="Times New Roman" w:eastAsia="Times New Roman" w:hAnsi="Times New Roman" w:cs="Times New Roman"/>
          <w:i/>
          <w:iCs/>
          <w:sz w:val="24"/>
          <w:szCs w:val="24"/>
          <w:lang w:eastAsia="lv-LV"/>
        </w:rPr>
        <w:t>UNAOC</w:t>
      </w:r>
      <w:r w:rsidRPr="006B796E">
        <w:rPr>
          <w:rFonts w:ascii="Times New Roman" w:eastAsia="Times New Roman" w:hAnsi="Times New Roman" w:cs="Times New Roman"/>
          <w:sz w:val="24"/>
          <w:szCs w:val="24"/>
          <w:lang w:eastAsia="lv-LV"/>
        </w:rPr>
        <w:t xml:space="preserve">) un </w:t>
      </w:r>
      <w:r w:rsidRPr="006B796E">
        <w:rPr>
          <w:rFonts w:ascii="Times New Roman" w:eastAsia="Times New Roman" w:hAnsi="Times New Roman" w:cs="Times New Roman"/>
          <w:i/>
          <w:iCs/>
          <w:sz w:val="24"/>
          <w:szCs w:val="24"/>
          <w:lang w:eastAsia="lv-LV"/>
        </w:rPr>
        <w:t>Panos Europe</w:t>
      </w:r>
      <w:r w:rsidRPr="006B796E">
        <w:rPr>
          <w:rFonts w:ascii="Times New Roman" w:eastAsia="Times New Roman" w:hAnsi="Times New Roman" w:cs="Times New Roman"/>
          <w:sz w:val="24"/>
          <w:szCs w:val="24"/>
          <w:lang w:eastAsia="lv-LV"/>
        </w:rPr>
        <w:t xml:space="preserve">, </w:t>
      </w:r>
      <w:r w:rsidRPr="006B796E">
        <w:rPr>
          <w:rFonts w:ascii="Times New Roman" w:eastAsia="Times New Roman" w:hAnsi="Times New Roman" w:cs="Times New Roman"/>
          <w:i/>
          <w:iCs/>
          <w:sz w:val="24"/>
          <w:szCs w:val="24"/>
          <w:lang w:eastAsia="lv-LV"/>
        </w:rPr>
        <w:t>Media- Friendly Glossary on Migration</w:t>
      </w:r>
      <w:r w:rsidRPr="006B796E">
        <w:rPr>
          <w:rFonts w:ascii="Times New Roman" w:eastAsia="Times New Roman" w:hAnsi="Times New Roman" w:cs="Times New Roman"/>
          <w:sz w:val="24"/>
          <w:szCs w:val="24"/>
          <w:lang w:eastAsia="lv-LV"/>
        </w:rPr>
        <w:t xml:space="preserve"> (2014).</w:t>
      </w:r>
    </w:p>
    <w:p w:rsidR="00B60A1B" w:rsidRDefault="00B60A1B" w:rsidP="006B796E">
      <w:pPr>
        <w:widowControl w:val="0"/>
        <w:spacing w:after="0" w:line="240" w:lineRule="auto"/>
        <w:jc w:val="both"/>
        <w:rPr>
          <w:rFonts w:ascii="Times New Roman" w:eastAsia="Times New Roman" w:hAnsi="Times New Roman" w:cs="Times New Roman"/>
          <w:i/>
          <w:i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UNHCR</w:t>
      </w:r>
      <w:r w:rsidRPr="006B796E">
        <w:rPr>
          <w:rFonts w:ascii="Times New Roman" w:eastAsia="Times New Roman" w:hAnsi="Times New Roman" w:cs="Times New Roman"/>
          <w:sz w:val="24"/>
          <w:szCs w:val="24"/>
          <w:lang w:eastAsia="lv-LV"/>
        </w:rPr>
        <w:t xml:space="preserve"> un </w:t>
      </w:r>
      <w:r w:rsidRPr="006B796E">
        <w:rPr>
          <w:rFonts w:ascii="Times New Roman" w:eastAsia="Times New Roman" w:hAnsi="Times New Roman" w:cs="Times New Roman"/>
          <w:i/>
          <w:iCs/>
          <w:sz w:val="24"/>
          <w:szCs w:val="24"/>
          <w:lang w:eastAsia="lv-LV"/>
        </w:rPr>
        <w:t>UNICEF</w:t>
      </w:r>
      <w:r w:rsidRPr="006B796E">
        <w:rPr>
          <w:rFonts w:ascii="Times New Roman" w:eastAsia="Times New Roman" w:hAnsi="Times New Roman" w:cs="Times New Roman"/>
          <w:sz w:val="24"/>
          <w:szCs w:val="24"/>
          <w:lang w:eastAsia="lv-LV"/>
        </w:rPr>
        <w:t>, Droši un veseli. Ko valstis var darīt, lai nodrošinātu, ka Eiropā tiek ievērotas bez pavadības nepilngadīgo un no vecākiem nošķirtu bērnu labākās intereses (2014)</w:t>
      </w:r>
    </w:p>
    <w:p w:rsidR="00B60A1B"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 xml:space="preserve">Voko, K., un I. Tahsini, </w:t>
      </w:r>
      <w:r w:rsidRPr="006B796E">
        <w:rPr>
          <w:rFonts w:ascii="Times New Roman" w:eastAsia="Times New Roman" w:hAnsi="Times New Roman" w:cs="Times New Roman"/>
          <w:i/>
          <w:iCs/>
          <w:sz w:val="24"/>
          <w:szCs w:val="24"/>
          <w:lang w:eastAsia="lv-LV"/>
        </w:rPr>
        <w:t>Children on the Move in Albania. Response of Child Protection System to Their Needs. Situational Analysis, Save the Children</w:t>
      </w:r>
      <w:r w:rsidRPr="006B796E">
        <w:rPr>
          <w:rFonts w:ascii="Times New Roman" w:eastAsia="Times New Roman" w:hAnsi="Times New Roman" w:cs="Times New Roman"/>
          <w:sz w:val="24"/>
          <w:szCs w:val="24"/>
          <w:lang w:eastAsia="lv-LV"/>
        </w:rPr>
        <w:t xml:space="preserve"> (Tirāna, 2014).</w:t>
      </w:r>
    </w:p>
    <w:p w:rsidR="00B60A1B" w:rsidRDefault="00B60A1B">
      <w:pPr>
        <w:rPr>
          <w:rFonts w:ascii="Times New Roman" w:eastAsia="Times New Roman" w:hAnsi="Times New Roman" w:cs="Times New Roman"/>
          <w:b/>
          <w:bCs/>
          <w:sz w:val="24"/>
          <w:szCs w:val="28"/>
          <w:lang w:eastAsia="lv-LV"/>
        </w:rPr>
      </w:pPr>
      <w:r>
        <w:rPr>
          <w:rFonts w:ascii="Times New Roman" w:eastAsia="Times New Roman" w:hAnsi="Times New Roman" w:cs="Times New Roman"/>
          <w:b/>
          <w:bCs/>
          <w:sz w:val="24"/>
          <w:szCs w:val="28"/>
          <w:lang w:eastAsia="lv-LV"/>
        </w:rPr>
        <w:br w:type="page"/>
      </w:r>
    </w:p>
    <w:p w:rsidR="00D6592D" w:rsidRPr="002F1BEE" w:rsidRDefault="00D6592D" w:rsidP="006B796E">
      <w:pPr>
        <w:widowControl w:val="0"/>
        <w:spacing w:after="0" w:line="240" w:lineRule="auto"/>
        <w:jc w:val="both"/>
        <w:rPr>
          <w:rFonts w:ascii="Times New Roman" w:eastAsia="Times New Roman" w:hAnsi="Times New Roman" w:cs="Times New Roman"/>
          <w:b/>
          <w:bCs/>
          <w:sz w:val="28"/>
          <w:szCs w:val="28"/>
          <w:lang w:eastAsia="lv-LV"/>
        </w:rPr>
      </w:pPr>
      <w:r w:rsidRPr="002F1BEE">
        <w:rPr>
          <w:rFonts w:ascii="Times New Roman" w:eastAsia="Times New Roman" w:hAnsi="Times New Roman" w:cs="Times New Roman"/>
          <w:b/>
          <w:bCs/>
          <w:sz w:val="28"/>
          <w:szCs w:val="28"/>
          <w:lang w:eastAsia="lv-LV"/>
        </w:rPr>
        <w:lastRenderedPageBreak/>
        <w:t>Mūsu publikācijas</w:t>
      </w:r>
    </w:p>
    <w:p w:rsidR="00B60A1B" w:rsidRDefault="00B60A1B"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Visas publikācijas ir pieejamas interneta vietnē http://www.osce.org/cthb</w:t>
      </w:r>
    </w:p>
    <w:p w:rsidR="00B60A1B" w:rsidRDefault="00B60A1B" w:rsidP="006B796E">
      <w:pPr>
        <w:widowControl w:val="0"/>
        <w:spacing w:after="0" w:line="240" w:lineRule="auto"/>
        <w:jc w:val="both"/>
        <w:rPr>
          <w:rFonts w:ascii="Times New Roman" w:eastAsia="Times New Roman" w:hAnsi="Times New Roman" w:cs="Times New Roman"/>
          <w:b/>
          <w:bCs/>
          <w:sz w:val="24"/>
          <w:szCs w:val="24"/>
          <w:lang w:eastAsia="lv-LV"/>
        </w:rPr>
      </w:pPr>
    </w:p>
    <w:p w:rsidR="00B60A1B" w:rsidRDefault="00B60A1B" w:rsidP="006B796E">
      <w:pPr>
        <w:widowControl w:val="0"/>
        <w:spacing w:after="0" w:line="240" w:lineRule="auto"/>
        <w:jc w:val="both"/>
        <w:rPr>
          <w:rFonts w:ascii="Times New Roman" w:eastAsia="Times New Roman" w:hAnsi="Times New Roman" w:cs="Times New Roman"/>
          <w:b/>
          <w:bCs/>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Speciālo pētījumu sērijas</w:t>
      </w:r>
    </w:p>
    <w:p w:rsidR="00B60A1B" w:rsidRDefault="00B60A1B" w:rsidP="006B796E">
      <w:pPr>
        <w:widowControl w:val="0"/>
        <w:spacing w:after="0" w:line="240" w:lineRule="auto"/>
        <w:jc w:val="both"/>
        <w:rPr>
          <w:rFonts w:ascii="Times New Roman" w:eastAsia="Times New Roman" w:hAnsi="Times New Roman" w:cs="Times New Roman"/>
          <w:b/>
          <w:bCs/>
          <w:sz w:val="24"/>
          <w:szCs w:val="24"/>
          <w:lang w:eastAsia="lv-LV"/>
        </w:rPr>
      </w:pPr>
    </w:p>
    <w:p w:rsidR="00B60A1B" w:rsidRDefault="00B60A1B" w:rsidP="006B796E">
      <w:pPr>
        <w:widowControl w:val="0"/>
        <w:spacing w:after="0" w:line="240" w:lineRule="auto"/>
        <w:jc w:val="both"/>
        <w:rPr>
          <w:rFonts w:ascii="Times New Roman" w:eastAsia="Times New Roman" w:hAnsi="Times New Roman" w:cs="Times New Roman"/>
          <w:b/>
          <w:bCs/>
          <w:sz w:val="24"/>
          <w:szCs w:val="24"/>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997"/>
        <w:gridCol w:w="3021"/>
        <w:gridCol w:w="3043"/>
      </w:tblGrid>
      <w:tr w:rsidR="00AA75EA" w:rsidRPr="000E2D02" w:rsidTr="00AA75EA">
        <w:tc>
          <w:tcPr>
            <w:tcW w:w="3096" w:type="dxa"/>
          </w:tcPr>
          <w:p w:rsidR="00AA75EA" w:rsidRPr="000E2D02" w:rsidRDefault="00AA75EA" w:rsidP="00757159">
            <w:pPr>
              <w:pStyle w:val="Pamatteksts"/>
              <w:widowControl/>
              <w:kinsoku w:val="0"/>
              <w:overflowPunct w:val="0"/>
              <w:ind w:left="0"/>
              <w:jc w:val="center"/>
              <w:rPr>
                <w:bCs/>
                <w:noProof/>
                <w:sz w:val="24"/>
                <w:szCs w:val="24"/>
                <w:lang w:val="en-US"/>
              </w:rPr>
            </w:pPr>
            <w:r w:rsidRPr="000E2D02">
              <w:rPr>
                <w:noProof/>
                <w:lang w:val="en-US"/>
              </w:rPr>
              <w:object w:dxaOrig="2070" w:dyaOrig="2745">
                <v:shape id="_x0000_i1066" type="#_x0000_t75" style="width:103.25pt;height:137.2pt" o:ole="">
                  <v:imagedata r:id="rId41" o:title=""/>
                </v:shape>
                <o:OLEObject Type="Embed" ProgID="PBrush" ShapeID="_x0000_i1066" DrawAspect="Content" ObjectID="_1624471414" r:id="rId42"/>
              </w:object>
            </w:r>
          </w:p>
        </w:tc>
        <w:tc>
          <w:tcPr>
            <w:tcW w:w="3096" w:type="dxa"/>
          </w:tcPr>
          <w:p w:rsidR="00AA75EA" w:rsidRPr="000E2D02" w:rsidRDefault="00AA75EA" w:rsidP="00757159">
            <w:pPr>
              <w:pStyle w:val="Pamatteksts"/>
              <w:widowControl/>
              <w:kinsoku w:val="0"/>
              <w:overflowPunct w:val="0"/>
              <w:ind w:left="0"/>
              <w:jc w:val="center"/>
              <w:rPr>
                <w:bCs/>
                <w:noProof/>
                <w:sz w:val="24"/>
                <w:szCs w:val="24"/>
                <w:lang w:val="en-US"/>
              </w:rPr>
            </w:pPr>
            <w:r w:rsidRPr="000E2D02">
              <w:rPr>
                <w:noProof/>
                <w:lang w:val="en-US"/>
              </w:rPr>
              <w:object w:dxaOrig="2100" w:dyaOrig="2745">
                <v:shape id="_x0000_i1067" type="#_x0000_t75" style="width:105.3pt;height:137.2pt" o:ole="">
                  <v:imagedata r:id="rId43" o:title=""/>
                </v:shape>
                <o:OLEObject Type="Embed" ProgID="PBrush" ShapeID="_x0000_i1067" DrawAspect="Content" ObjectID="_1624471415" r:id="rId44"/>
              </w:object>
            </w:r>
          </w:p>
        </w:tc>
        <w:tc>
          <w:tcPr>
            <w:tcW w:w="3096" w:type="dxa"/>
          </w:tcPr>
          <w:p w:rsidR="00AA75EA" w:rsidRPr="000E2D02" w:rsidRDefault="00AA75EA" w:rsidP="00757159">
            <w:pPr>
              <w:pStyle w:val="Pamatteksts"/>
              <w:widowControl/>
              <w:kinsoku w:val="0"/>
              <w:overflowPunct w:val="0"/>
              <w:ind w:left="0"/>
              <w:jc w:val="center"/>
              <w:rPr>
                <w:bCs/>
                <w:noProof/>
                <w:sz w:val="24"/>
                <w:szCs w:val="24"/>
                <w:lang w:val="en-US"/>
              </w:rPr>
            </w:pPr>
            <w:r w:rsidRPr="000E2D02">
              <w:rPr>
                <w:noProof/>
                <w:lang w:val="en-US"/>
              </w:rPr>
              <w:object w:dxaOrig="2070" w:dyaOrig="2715">
                <v:shape id="_x0000_i1068" type="#_x0000_t75" style="width:103.25pt;height:135.85pt" o:ole="">
                  <v:imagedata r:id="rId45" o:title=""/>
                </v:shape>
                <o:OLEObject Type="Embed" ProgID="PBrush" ShapeID="_x0000_i1068" DrawAspect="Content" ObjectID="_1624471416" r:id="rId46"/>
              </w:object>
            </w:r>
          </w:p>
        </w:tc>
      </w:tr>
      <w:tr w:rsidR="00AA75EA" w:rsidRPr="000E2D02" w:rsidTr="00AA75EA">
        <w:tc>
          <w:tcPr>
            <w:tcW w:w="3096" w:type="dxa"/>
          </w:tcPr>
          <w:p w:rsidR="00AA75EA" w:rsidRPr="006B796E" w:rsidRDefault="00AA75EA" w:rsidP="00AA75EA">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Speciālais pētījums Nr. 9</w:t>
            </w:r>
          </w:p>
          <w:p w:rsidR="00AA75EA" w:rsidRPr="00AA75EA" w:rsidRDefault="00AA75EA" w:rsidP="00AA75EA">
            <w:pPr>
              <w:pStyle w:val="Pamatteksts"/>
              <w:widowControl/>
              <w:kinsoku w:val="0"/>
              <w:overflowPunct w:val="0"/>
              <w:ind w:left="0"/>
              <w:jc w:val="both"/>
              <w:rPr>
                <w:sz w:val="24"/>
                <w:szCs w:val="24"/>
              </w:rPr>
            </w:pPr>
            <w:r w:rsidRPr="006B796E">
              <w:rPr>
                <w:sz w:val="24"/>
                <w:szCs w:val="24"/>
              </w:rPr>
              <w:t>Bērnu tirdzniecība un bērnu aizsardzība. Nodrošināt, ka bērnu aizsardzības mehānismi aizsargā to bērnu tiesības, kas ir cilvēku tirdzniecības upuri, un nodrošina viņu vajadzības, 2018</w:t>
            </w:r>
          </w:p>
        </w:tc>
        <w:tc>
          <w:tcPr>
            <w:tcW w:w="3096" w:type="dxa"/>
          </w:tcPr>
          <w:p w:rsidR="00AA75EA" w:rsidRPr="006B796E" w:rsidRDefault="00AA75EA" w:rsidP="00AA75EA">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Speciālais pētījums Nr. 8</w:t>
            </w:r>
          </w:p>
          <w:p w:rsidR="00AA75EA" w:rsidRPr="00AA75EA" w:rsidRDefault="00AA75EA" w:rsidP="00AA75EA">
            <w:pPr>
              <w:pStyle w:val="Pamatteksts"/>
              <w:widowControl/>
              <w:kinsoku w:val="0"/>
              <w:overflowPunct w:val="0"/>
              <w:ind w:left="0"/>
              <w:jc w:val="both"/>
              <w:rPr>
                <w:sz w:val="24"/>
                <w:szCs w:val="24"/>
              </w:rPr>
            </w:pPr>
            <w:r w:rsidRPr="006B796E">
              <w:rPr>
                <w:sz w:val="24"/>
                <w:szCs w:val="24"/>
              </w:rPr>
              <w:t>Pilsoniskās sabiedrības izšķirīgā loma cilvēku tirdzniecības novēršanā, 2018</w:t>
            </w:r>
          </w:p>
        </w:tc>
        <w:tc>
          <w:tcPr>
            <w:tcW w:w="3096" w:type="dxa"/>
          </w:tcPr>
          <w:p w:rsidR="00AA75EA" w:rsidRPr="006B796E" w:rsidRDefault="00AA75EA" w:rsidP="00AA75EA">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Speciālais pētījums Nr. 7</w:t>
            </w:r>
          </w:p>
          <w:p w:rsidR="00AA75EA" w:rsidRPr="00AA75EA" w:rsidRDefault="00AA75EA" w:rsidP="00AA75EA">
            <w:pPr>
              <w:pStyle w:val="Pamatteksts"/>
              <w:widowControl/>
              <w:kinsoku w:val="0"/>
              <w:overflowPunct w:val="0"/>
              <w:ind w:left="0"/>
              <w:jc w:val="both"/>
              <w:rPr>
                <w:sz w:val="24"/>
                <w:szCs w:val="24"/>
              </w:rPr>
            </w:pPr>
            <w:r w:rsidRPr="006B796E">
              <w:rPr>
                <w:sz w:val="24"/>
                <w:szCs w:val="24"/>
              </w:rPr>
              <w:t>Izbeidzot ekspluatāciju. Nodrošinot, ka uzņēmumi neveicina cilvēku tirdzniecību, – valstu un privātā sektora pienākumi, 2014</w:t>
            </w:r>
          </w:p>
        </w:tc>
      </w:tr>
      <w:tr w:rsidR="00AA75EA" w:rsidRPr="000E2D02" w:rsidTr="00AA75EA">
        <w:tc>
          <w:tcPr>
            <w:tcW w:w="3096" w:type="dxa"/>
          </w:tcPr>
          <w:p w:rsidR="00AA75EA" w:rsidRPr="000E2D02" w:rsidRDefault="00AA75EA" w:rsidP="00757159">
            <w:pPr>
              <w:pStyle w:val="Pamatteksts"/>
              <w:widowControl/>
              <w:kinsoku w:val="0"/>
              <w:overflowPunct w:val="0"/>
              <w:ind w:left="0"/>
              <w:jc w:val="center"/>
              <w:rPr>
                <w:bCs/>
                <w:noProof/>
                <w:sz w:val="24"/>
                <w:szCs w:val="24"/>
                <w:lang w:val="en-US"/>
              </w:rPr>
            </w:pPr>
            <w:r w:rsidRPr="000E2D02">
              <w:rPr>
                <w:noProof/>
                <w:lang w:val="en-US"/>
              </w:rPr>
              <w:object w:dxaOrig="2040" w:dyaOrig="2745">
                <v:shape id="_x0000_i1069" type="#_x0000_t75" style="width:101.9pt;height:137.2pt" o:ole="">
                  <v:imagedata r:id="rId47" o:title=""/>
                </v:shape>
                <o:OLEObject Type="Embed" ProgID="PBrush" ShapeID="_x0000_i1069" DrawAspect="Content" ObjectID="_1624471417" r:id="rId48"/>
              </w:object>
            </w:r>
          </w:p>
        </w:tc>
        <w:tc>
          <w:tcPr>
            <w:tcW w:w="3096" w:type="dxa"/>
          </w:tcPr>
          <w:p w:rsidR="00AA75EA" w:rsidRPr="000E2D02" w:rsidRDefault="00AA75EA" w:rsidP="00757159">
            <w:pPr>
              <w:pStyle w:val="Pamatteksts"/>
              <w:widowControl/>
              <w:kinsoku w:val="0"/>
              <w:overflowPunct w:val="0"/>
              <w:ind w:left="0"/>
              <w:jc w:val="center"/>
              <w:rPr>
                <w:bCs/>
                <w:noProof/>
                <w:sz w:val="24"/>
                <w:szCs w:val="24"/>
                <w:lang w:val="en-US"/>
              </w:rPr>
            </w:pPr>
            <w:r w:rsidRPr="000E2D02">
              <w:rPr>
                <w:noProof/>
                <w:lang w:val="en-US"/>
              </w:rPr>
              <w:object w:dxaOrig="2070" w:dyaOrig="2760">
                <v:shape id="_x0000_i1070" type="#_x0000_t75" style="width:103.25pt;height:137.9pt" o:ole="">
                  <v:imagedata r:id="rId49" o:title=""/>
                </v:shape>
                <o:OLEObject Type="Embed" ProgID="PBrush" ShapeID="_x0000_i1070" DrawAspect="Content" ObjectID="_1624471418" r:id="rId50"/>
              </w:object>
            </w:r>
          </w:p>
        </w:tc>
        <w:tc>
          <w:tcPr>
            <w:tcW w:w="3096" w:type="dxa"/>
          </w:tcPr>
          <w:p w:rsidR="00AA75EA" w:rsidRPr="000E2D02" w:rsidRDefault="00AA75EA" w:rsidP="00757159">
            <w:pPr>
              <w:pStyle w:val="Pamatteksts"/>
              <w:widowControl/>
              <w:kinsoku w:val="0"/>
              <w:overflowPunct w:val="0"/>
              <w:ind w:left="0"/>
              <w:jc w:val="center"/>
              <w:rPr>
                <w:bCs/>
                <w:noProof/>
                <w:sz w:val="24"/>
                <w:szCs w:val="24"/>
                <w:lang w:val="en-US"/>
              </w:rPr>
            </w:pPr>
            <w:r w:rsidRPr="000E2D02">
              <w:rPr>
                <w:noProof/>
                <w:lang w:val="en-US"/>
              </w:rPr>
              <w:object w:dxaOrig="2085" w:dyaOrig="2730">
                <v:shape id="_x0000_i1071" type="#_x0000_t75" style="width:103.9pt;height:136.55pt" o:ole="">
                  <v:imagedata r:id="rId51" o:title=""/>
                </v:shape>
                <o:OLEObject Type="Embed" ProgID="PBrush" ShapeID="_x0000_i1071" DrawAspect="Content" ObjectID="_1624471419" r:id="rId52"/>
              </w:object>
            </w:r>
          </w:p>
        </w:tc>
      </w:tr>
      <w:tr w:rsidR="00AA75EA" w:rsidRPr="000E2D02" w:rsidTr="00AA75EA">
        <w:tc>
          <w:tcPr>
            <w:tcW w:w="3096" w:type="dxa"/>
          </w:tcPr>
          <w:p w:rsidR="00AA75EA" w:rsidRPr="006B796E" w:rsidRDefault="00AA75EA" w:rsidP="00AA75EA">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Speciālais pētījums Nr. 6</w:t>
            </w:r>
          </w:p>
          <w:p w:rsidR="00AA75EA" w:rsidRPr="00AA75EA" w:rsidRDefault="00AA75EA" w:rsidP="00AA75EA">
            <w:pPr>
              <w:pStyle w:val="Pamatteksts"/>
              <w:widowControl/>
              <w:kinsoku w:val="0"/>
              <w:overflowPunct w:val="0"/>
              <w:ind w:left="0"/>
              <w:jc w:val="both"/>
              <w:rPr>
                <w:sz w:val="24"/>
                <w:szCs w:val="24"/>
              </w:rPr>
            </w:pPr>
            <w:r w:rsidRPr="006B796E">
              <w:rPr>
                <w:sz w:val="24"/>
                <w:szCs w:val="24"/>
              </w:rPr>
              <w:t>Cilvēku tirdzniecība orgānu izņemšanas nolūkā EDSO reģionā, 2013</w:t>
            </w:r>
          </w:p>
        </w:tc>
        <w:tc>
          <w:tcPr>
            <w:tcW w:w="3096" w:type="dxa"/>
          </w:tcPr>
          <w:p w:rsidR="00AA75EA" w:rsidRPr="006B796E" w:rsidRDefault="00AA75EA" w:rsidP="00AA75EA">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Speciālais pētījums Nr. 5</w:t>
            </w:r>
          </w:p>
          <w:p w:rsidR="00AA75EA" w:rsidRPr="00AA75EA" w:rsidRDefault="00AA75EA" w:rsidP="00AA75EA">
            <w:pPr>
              <w:pStyle w:val="Pamatteksts"/>
              <w:widowControl/>
              <w:kinsoku w:val="0"/>
              <w:overflowPunct w:val="0"/>
              <w:ind w:left="0"/>
              <w:jc w:val="both"/>
              <w:rPr>
                <w:sz w:val="24"/>
                <w:szCs w:val="24"/>
              </w:rPr>
            </w:pPr>
            <w:r w:rsidRPr="006B796E">
              <w:rPr>
                <w:sz w:val="24"/>
                <w:szCs w:val="24"/>
              </w:rPr>
              <w:t>Cilvēku tirdzniecība, kas izpaužas kā spīdzināšana un citu veidu ļaunprātīga izturēšanās, 2013</w:t>
            </w:r>
          </w:p>
        </w:tc>
        <w:tc>
          <w:tcPr>
            <w:tcW w:w="3096" w:type="dxa"/>
          </w:tcPr>
          <w:p w:rsidR="00AA75EA" w:rsidRPr="006B796E" w:rsidRDefault="00AA75EA" w:rsidP="00AA75EA">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Speciālais pētījums Nr. 4</w:t>
            </w:r>
          </w:p>
          <w:p w:rsidR="00AA75EA" w:rsidRPr="00AA75EA" w:rsidRDefault="00AA75EA" w:rsidP="00AA75EA">
            <w:pPr>
              <w:pStyle w:val="Pamatteksts"/>
              <w:widowControl/>
              <w:kinsoku w:val="0"/>
              <w:overflowPunct w:val="0"/>
              <w:ind w:left="0"/>
              <w:jc w:val="both"/>
              <w:rPr>
                <w:sz w:val="24"/>
                <w:szCs w:val="24"/>
              </w:rPr>
            </w:pPr>
            <w:r w:rsidRPr="006B796E">
              <w:rPr>
                <w:sz w:val="24"/>
                <w:szCs w:val="24"/>
              </w:rPr>
              <w:t>Neaizsargāts darbs, neredzamā ekspluatācija – cilvēku tirdzniecība mājkalpībai (EN/RU/FR), 2010</w:t>
            </w:r>
          </w:p>
        </w:tc>
      </w:tr>
      <w:tr w:rsidR="00AA75EA" w:rsidRPr="000E2D02" w:rsidTr="00AA75EA">
        <w:tc>
          <w:tcPr>
            <w:tcW w:w="3096" w:type="dxa"/>
          </w:tcPr>
          <w:p w:rsidR="00AA75EA" w:rsidRPr="000E2D02" w:rsidRDefault="00AA75EA" w:rsidP="00757159">
            <w:pPr>
              <w:pStyle w:val="Pamatteksts"/>
              <w:widowControl/>
              <w:kinsoku w:val="0"/>
              <w:overflowPunct w:val="0"/>
              <w:ind w:left="0"/>
              <w:jc w:val="center"/>
              <w:rPr>
                <w:bCs/>
                <w:noProof/>
                <w:sz w:val="24"/>
                <w:szCs w:val="24"/>
                <w:lang w:val="en-US"/>
              </w:rPr>
            </w:pPr>
            <w:r w:rsidRPr="000E2D02">
              <w:rPr>
                <w:noProof/>
                <w:lang w:val="en-US"/>
              </w:rPr>
              <w:object w:dxaOrig="2040" w:dyaOrig="2700">
                <v:shape id="_x0000_i1072" type="#_x0000_t75" style="width:101.9pt;height:135.15pt" o:ole="">
                  <v:imagedata r:id="rId53" o:title=""/>
                </v:shape>
                <o:OLEObject Type="Embed" ProgID="PBrush" ShapeID="_x0000_i1072" DrawAspect="Content" ObjectID="_1624471420" r:id="rId54"/>
              </w:object>
            </w:r>
          </w:p>
        </w:tc>
        <w:tc>
          <w:tcPr>
            <w:tcW w:w="3096" w:type="dxa"/>
          </w:tcPr>
          <w:p w:rsidR="00AA75EA" w:rsidRPr="000E2D02" w:rsidRDefault="00AA75EA" w:rsidP="00757159">
            <w:pPr>
              <w:pStyle w:val="Pamatteksts"/>
              <w:widowControl/>
              <w:kinsoku w:val="0"/>
              <w:overflowPunct w:val="0"/>
              <w:ind w:left="0"/>
              <w:jc w:val="center"/>
              <w:rPr>
                <w:bCs/>
                <w:noProof/>
                <w:sz w:val="24"/>
                <w:szCs w:val="24"/>
                <w:lang w:val="en-US"/>
              </w:rPr>
            </w:pPr>
            <w:r w:rsidRPr="000E2D02">
              <w:rPr>
                <w:noProof/>
                <w:lang w:val="en-US"/>
              </w:rPr>
              <w:object w:dxaOrig="2040" w:dyaOrig="2730">
                <v:shape id="_x0000_i1073" type="#_x0000_t75" style="width:101.9pt;height:136.55pt" o:ole="">
                  <v:imagedata r:id="rId55" o:title=""/>
                </v:shape>
                <o:OLEObject Type="Embed" ProgID="PBrush" ShapeID="_x0000_i1073" DrawAspect="Content" ObjectID="_1624471421" r:id="rId56"/>
              </w:object>
            </w:r>
          </w:p>
        </w:tc>
        <w:tc>
          <w:tcPr>
            <w:tcW w:w="3096" w:type="dxa"/>
          </w:tcPr>
          <w:p w:rsidR="00AA75EA" w:rsidRPr="000E2D02" w:rsidRDefault="00AA75EA" w:rsidP="00757159">
            <w:pPr>
              <w:pStyle w:val="Pamatteksts"/>
              <w:widowControl/>
              <w:kinsoku w:val="0"/>
              <w:overflowPunct w:val="0"/>
              <w:ind w:left="0"/>
              <w:jc w:val="center"/>
              <w:rPr>
                <w:bCs/>
                <w:noProof/>
                <w:sz w:val="24"/>
                <w:szCs w:val="24"/>
                <w:lang w:val="en-US"/>
              </w:rPr>
            </w:pPr>
            <w:r w:rsidRPr="000E2D02">
              <w:rPr>
                <w:noProof/>
                <w:lang w:val="en-US"/>
              </w:rPr>
              <w:object w:dxaOrig="2040" w:dyaOrig="2910">
                <v:shape id="_x0000_i1074" type="#_x0000_t75" style="width:101.9pt;height:145.35pt" o:ole="">
                  <v:imagedata r:id="rId57" o:title=""/>
                </v:shape>
                <o:OLEObject Type="Embed" ProgID="PBrush" ShapeID="_x0000_i1074" DrawAspect="Content" ObjectID="_1624471422" r:id="rId58"/>
              </w:object>
            </w:r>
          </w:p>
        </w:tc>
      </w:tr>
      <w:tr w:rsidR="00AA75EA" w:rsidRPr="000E2D02" w:rsidTr="00AA75EA">
        <w:tc>
          <w:tcPr>
            <w:tcW w:w="3096" w:type="dxa"/>
          </w:tcPr>
          <w:p w:rsidR="00AA75EA" w:rsidRPr="006B796E" w:rsidRDefault="00AA75EA" w:rsidP="00AA75EA">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Speciālais pētījums Nr. 3</w:t>
            </w:r>
          </w:p>
          <w:p w:rsidR="00AA75EA" w:rsidRPr="00AA75EA" w:rsidRDefault="00AA75EA" w:rsidP="00AA75EA">
            <w:pPr>
              <w:pStyle w:val="Pamatteksts"/>
              <w:widowControl/>
              <w:kinsoku w:val="0"/>
              <w:overflowPunct w:val="0"/>
              <w:ind w:left="0"/>
              <w:jc w:val="both"/>
              <w:rPr>
                <w:sz w:val="24"/>
                <w:szCs w:val="24"/>
              </w:rPr>
            </w:pPr>
            <w:r w:rsidRPr="006B796E">
              <w:rPr>
                <w:sz w:val="24"/>
                <w:szCs w:val="24"/>
              </w:rPr>
              <w:t>Kopsavilkums par izaicinājumiem, kas jārisina saistībā ar cilvēku tirdzniecību darba ekspluatācijai lauksaimniecības nozarē EDSO reģionā, 2009</w:t>
            </w:r>
          </w:p>
        </w:tc>
        <w:tc>
          <w:tcPr>
            <w:tcW w:w="3096" w:type="dxa"/>
          </w:tcPr>
          <w:p w:rsidR="00AA75EA" w:rsidRPr="006B796E" w:rsidRDefault="00AA75EA" w:rsidP="00AA75EA">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Speciālais pētījums Nr. 2</w:t>
            </w:r>
          </w:p>
          <w:p w:rsidR="00AA75EA" w:rsidRPr="00AA75EA" w:rsidRDefault="00AA75EA" w:rsidP="00AA75EA">
            <w:pPr>
              <w:pStyle w:val="Pamatteksts"/>
              <w:widowControl/>
              <w:kinsoku w:val="0"/>
              <w:overflowPunct w:val="0"/>
              <w:ind w:left="0"/>
              <w:jc w:val="both"/>
              <w:rPr>
                <w:sz w:val="24"/>
                <w:szCs w:val="24"/>
              </w:rPr>
            </w:pPr>
            <w:r w:rsidRPr="006B796E">
              <w:rPr>
                <w:sz w:val="24"/>
                <w:szCs w:val="24"/>
              </w:rPr>
              <w:t>Cilvēku tirdzniecība darba ekspluatācijai/piespiedu darbs un vergošana, 2008</w:t>
            </w:r>
          </w:p>
        </w:tc>
        <w:tc>
          <w:tcPr>
            <w:tcW w:w="3096" w:type="dxa"/>
          </w:tcPr>
          <w:p w:rsidR="00AA75EA" w:rsidRPr="006B796E" w:rsidRDefault="00AA75EA" w:rsidP="00AA75EA">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Speciālais pētījums Nr. 1</w:t>
            </w:r>
          </w:p>
          <w:p w:rsidR="00AA75EA" w:rsidRPr="00AA75EA" w:rsidRDefault="00AA75EA" w:rsidP="00AA75EA">
            <w:pPr>
              <w:pStyle w:val="Pamatteksts"/>
              <w:widowControl/>
              <w:kinsoku w:val="0"/>
              <w:overflowPunct w:val="0"/>
              <w:ind w:left="0"/>
              <w:jc w:val="both"/>
              <w:rPr>
                <w:sz w:val="24"/>
                <w:szCs w:val="24"/>
              </w:rPr>
            </w:pPr>
            <w:r w:rsidRPr="006B796E">
              <w:rPr>
                <w:sz w:val="24"/>
                <w:szCs w:val="24"/>
              </w:rPr>
              <w:t>Kopsavilkums par izaicinājumiem, ar ko saskaras, īstenojot tiesiskus atbildes pasākumus uz cilvēku tirdzniecību darba ekspluatācijai EDSO reģionā, 2007</w:t>
            </w:r>
          </w:p>
        </w:tc>
      </w:tr>
    </w:tbl>
    <w:p w:rsidR="00B60A1B" w:rsidRDefault="00B60A1B" w:rsidP="006B796E">
      <w:pPr>
        <w:widowControl w:val="0"/>
        <w:spacing w:after="0" w:line="240" w:lineRule="auto"/>
        <w:jc w:val="both"/>
        <w:rPr>
          <w:rFonts w:ascii="Times New Roman" w:eastAsia="Times New Roman" w:hAnsi="Times New Roman" w:cs="Times New Roman"/>
          <w:b/>
          <w:bCs/>
          <w:sz w:val="24"/>
          <w:szCs w:val="24"/>
          <w:lang w:eastAsia="lv-LV"/>
        </w:rPr>
      </w:pPr>
    </w:p>
    <w:p w:rsidR="00AA75EA" w:rsidRDefault="00AA75EA">
      <w:pP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br w:type="page"/>
      </w: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lastRenderedPageBreak/>
        <w:t>Ikgadējie ziņojumi</w:t>
      </w:r>
    </w:p>
    <w:p w:rsidR="00AA75EA" w:rsidRDefault="00AA75EA" w:rsidP="006B796E">
      <w:pPr>
        <w:widowControl w:val="0"/>
        <w:spacing w:after="0" w:line="240" w:lineRule="auto"/>
        <w:jc w:val="both"/>
        <w:rPr>
          <w:rFonts w:ascii="Times New Roman" w:eastAsia="Times New Roman" w:hAnsi="Times New Roman" w:cs="Times New Roman"/>
          <w:b/>
          <w:bCs/>
          <w:sz w:val="24"/>
          <w:szCs w:val="24"/>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034"/>
        <w:gridCol w:w="3012"/>
        <w:gridCol w:w="3015"/>
      </w:tblGrid>
      <w:tr w:rsidR="00AA75EA" w:rsidRPr="000E2D02" w:rsidTr="00AA75EA">
        <w:tc>
          <w:tcPr>
            <w:tcW w:w="3096" w:type="dxa"/>
          </w:tcPr>
          <w:p w:rsidR="00AA75EA" w:rsidRPr="000E2D02" w:rsidRDefault="00AA75EA" w:rsidP="00757159">
            <w:pPr>
              <w:pStyle w:val="Pamatteksts"/>
              <w:widowControl/>
              <w:kinsoku w:val="0"/>
              <w:overflowPunct w:val="0"/>
              <w:ind w:left="0"/>
              <w:jc w:val="center"/>
              <w:rPr>
                <w:bCs/>
                <w:noProof/>
                <w:sz w:val="24"/>
                <w:szCs w:val="24"/>
                <w:lang w:val="en-US"/>
              </w:rPr>
            </w:pPr>
            <w:r w:rsidRPr="000E2D02">
              <w:rPr>
                <w:noProof/>
                <w:lang w:val="en-US"/>
              </w:rPr>
              <w:object w:dxaOrig="2325" w:dyaOrig="2865">
                <v:shape id="_x0000_i1110" type="#_x0000_t75" style="width:116.15pt;height:143.3pt" o:ole="">
                  <v:imagedata r:id="rId59" o:title=""/>
                </v:shape>
                <o:OLEObject Type="Embed" ProgID="PBrush" ShapeID="_x0000_i1110" DrawAspect="Content" ObjectID="_1624471423" r:id="rId60"/>
              </w:object>
            </w:r>
          </w:p>
        </w:tc>
        <w:tc>
          <w:tcPr>
            <w:tcW w:w="3096" w:type="dxa"/>
          </w:tcPr>
          <w:p w:rsidR="00AA75EA" w:rsidRPr="000E2D02" w:rsidRDefault="00AA75EA" w:rsidP="00757159">
            <w:pPr>
              <w:pStyle w:val="Pamatteksts"/>
              <w:widowControl/>
              <w:kinsoku w:val="0"/>
              <w:overflowPunct w:val="0"/>
              <w:ind w:left="0"/>
              <w:jc w:val="center"/>
              <w:rPr>
                <w:bCs/>
                <w:noProof/>
                <w:sz w:val="24"/>
                <w:szCs w:val="24"/>
                <w:lang w:val="en-US"/>
              </w:rPr>
            </w:pPr>
            <w:r w:rsidRPr="000E2D02">
              <w:rPr>
                <w:noProof/>
                <w:lang w:val="en-US"/>
              </w:rPr>
              <w:object w:dxaOrig="2070" w:dyaOrig="2865">
                <v:shape id="_x0000_i1111" type="#_x0000_t75" style="width:103.25pt;height:143.3pt" o:ole="">
                  <v:imagedata r:id="rId61" o:title=""/>
                </v:shape>
                <o:OLEObject Type="Embed" ProgID="PBrush" ShapeID="_x0000_i1111" DrawAspect="Content" ObjectID="_1624471424" r:id="rId62"/>
              </w:object>
            </w:r>
          </w:p>
        </w:tc>
        <w:tc>
          <w:tcPr>
            <w:tcW w:w="3096" w:type="dxa"/>
          </w:tcPr>
          <w:p w:rsidR="00AA75EA" w:rsidRPr="000E2D02" w:rsidRDefault="00AA75EA" w:rsidP="00757159">
            <w:pPr>
              <w:pStyle w:val="Pamatteksts"/>
              <w:widowControl/>
              <w:kinsoku w:val="0"/>
              <w:overflowPunct w:val="0"/>
              <w:ind w:left="0"/>
              <w:jc w:val="center"/>
              <w:rPr>
                <w:bCs/>
                <w:noProof/>
                <w:sz w:val="24"/>
                <w:szCs w:val="24"/>
                <w:lang w:val="en-US"/>
              </w:rPr>
            </w:pPr>
            <w:r w:rsidRPr="000E2D02">
              <w:rPr>
                <w:noProof/>
                <w:lang w:val="en-US"/>
              </w:rPr>
              <w:object w:dxaOrig="2040" w:dyaOrig="2865">
                <v:shape id="_x0000_i1112" type="#_x0000_t75" style="width:101.9pt;height:143.3pt" o:ole="">
                  <v:imagedata r:id="rId63" o:title=""/>
                </v:shape>
                <o:OLEObject Type="Embed" ProgID="PBrush" ShapeID="_x0000_i1112" DrawAspect="Content" ObjectID="_1624471425" r:id="rId64"/>
              </w:object>
            </w:r>
          </w:p>
        </w:tc>
      </w:tr>
      <w:tr w:rsidR="00AA75EA" w:rsidRPr="000E2D02" w:rsidTr="00AA75EA">
        <w:tc>
          <w:tcPr>
            <w:tcW w:w="3096" w:type="dxa"/>
          </w:tcPr>
          <w:p w:rsidR="00AA75EA" w:rsidRPr="006B796E" w:rsidRDefault="00AA75EA" w:rsidP="00AA75EA">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2016.–2017. gada ziņojums</w:t>
            </w:r>
          </w:p>
          <w:p w:rsidR="00AA75EA" w:rsidRPr="000E2D02" w:rsidRDefault="00AA75EA" w:rsidP="00AA75EA">
            <w:pPr>
              <w:pStyle w:val="Pamatteksts"/>
              <w:widowControl/>
              <w:kinsoku w:val="0"/>
              <w:overflowPunct w:val="0"/>
              <w:ind w:left="0"/>
              <w:jc w:val="both"/>
              <w:rPr>
                <w:noProof/>
                <w:sz w:val="24"/>
                <w:szCs w:val="24"/>
                <w:lang w:val="en-US"/>
              </w:rPr>
            </w:pPr>
            <w:r w:rsidRPr="006B796E">
              <w:rPr>
                <w:sz w:val="24"/>
                <w:szCs w:val="24"/>
              </w:rPr>
              <w:t>EDSO Cilvēku tirdzniecības apkarošanas īpašais pārstāvis un koordinators</w:t>
            </w:r>
          </w:p>
        </w:tc>
        <w:tc>
          <w:tcPr>
            <w:tcW w:w="3096" w:type="dxa"/>
          </w:tcPr>
          <w:p w:rsidR="00AA75EA" w:rsidRPr="006B796E" w:rsidRDefault="00AA75EA" w:rsidP="00AA75EA">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2014.–2015. gada ziņojums</w:t>
            </w:r>
          </w:p>
          <w:p w:rsidR="00AA75EA" w:rsidRPr="000E2D02" w:rsidRDefault="00AA75EA" w:rsidP="00AA75EA">
            <w:pPr>
              <w:pStyle w:val="Pamatteksts"/>
              <w:widowControl/>
              <w:kinsoku w:val="0"/>
              <w:overflowPunct w:val="0"/>
              <w:ind w:left="0"/>
              <w:jc w:val="both"/>
              <w:rPr>
                <w:bCs/>
                <w:noProof/>
                <w:sz w:val="24"/>
                <w:szCs w:val="24"/>
                <w:lang w:val="en-US"/>
              </w:rPr>
            </w:pPr>
            <w:r w:rsidRPr="006B796E">
              <w:rPr>
                <w:sz w:val="24"/>
                <w:szCs w:val="24"/>
              </w:rPr>
              <w:t>EDSO Cilvēku tirdzniecības apkarošanas īpašais pārstāvis un koordinators</w:t>
            </w:r>
          </w:p>
        </w:tc>
        <w:tc>
          <w:tcPr>
            <w:tcW w:w="3096" w:type="dxa"/>
          </w:tcPr>
          <w:p w:rsidR="00AA75EA" w:rsidRPr="006B796E" w:rsidRDefault="00AA75EA" w:rsidP="00AA75EA">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2013. gada ziņojums</w:t>
            </w:r>
          </w:p>
          <w:p w:rsidR="00AA75EA" w:rsidRPr="000E2D02" w:rsidRDefault="00AA75EA" w:rsidP="00AA75EA">
            <w:pPr>
              <w:pStyle w:val="Pamatteksts"/>
              <w:widowControl/>
              <w:kinsoku w:val="0"/>
              <w:overflowPunct w:val="0"/>
              <w:ind w:left="0"/>
              <w:jc w:val="both"/>
              <w:rPr>
                <w:noProof/>
                <w:sz w:val="24"/>
                <w:szCs w:val="24"/>
                <w:lang w:val="en-US"/>
              </w:rPr>
            </w:pPr>
            <w:r w:rsidRPr="006B796E">
              <w:rPr>
                <w:sz w:val="24"/>
                <w:szCs w:val="24"/>
              </w:rPr>
              <w:t>Novēršot cilvēku tirdzniecību un ekspluatāciju – cilvēktiesības, sociālais taisnīgums un tiesiskums</w:t>
            </w:r>
          </w:p>
        </w:tc>
      </w:tr>
      <w:tr w:rsidR="00AA75EA" w:rsidRPr="000E2D02" w:rsidTr="00AA75EA">
        <w:tc>
          <w:tcPr>
            <w:tcW w:w="3096" w:type="dxa"/>
          </w:tcPr>
          <w:p w:rsidR="00AA75EA" w:rsidRPr="000E2D02" w:rsidRDefault="00AA75EA" w:rsidP="00757159">
            <w:pPr>
              <w:pStyle w:val="Pamatteksts"/>
              <w:widowControl/>
              <w:kinsoku w:val="0"/>
              <w:overflowPunct w:val="0"/>
              <w:ind w:left="0"/>
              <w:jc w:val="center"/>
              <w:rPr>
                <w:bCs/>
                <w:noProof/>
                <w:sz w:val="24"/>
                <w:szCs w:val="24"/>
                <w:lang w:val="en-US"/>
              </w:rPr>
            </w:pPr>
            <w:r w:rsidRPr="000E2D02">
              <w:rPr>
                <w:noProof/>
                <w:lang w:val="en-US"/>
              </w:rPr>
              <w:object w:dxaOrig="2070" w:dyaOrig="2880">
                <v:shape id="_x0000_i1113" type="#_x0000_t75" style="width:103.25pt;height:2in" o:ole="">
                  <v:imagedata r:id="rId65" o:title=""/>
                </v:shape>
                <o:OLEObject Type="Embed" ProgID="PBrush" ShapeID="_x0000_i1113" DrawAspect="Content" ObjectID="_1624471426" r:id="rId66"/>
              </w:object>
            </w:r>
          </w:p>
        </w:tc>
        <w:tc>
          <w:tcPr>
            <w:tcW w:w="3096" w:type="dxa"/>
          </w:tcPr>
          <w:p w:rsidR="00AA75EA" w:rsidRPr="000E2D02" w:rsidRDefault="00AA75EA" w:rsidP="00757159">
            <w:pPr>
              <w:pStyle w:val="Pamatteksts"/>
              <w:widowControl/>
              <w:kinsoku w:val="0"/>
              <w:overflowPunct w:val="0"/>
              <w:ind w:left="0"/>
              <w:jc w:val="center"/>
              <w:rPr>
                <w:bCs/>
                <w:noProof/>
                <w:sz w:val="24"/>
                <w:szCs w:val="24"/>
                <w:lang w:val="en-US"/>
              </w:rPr>
            </w:pPr>
            <w:r w:rsidRPr="000E2D02">
              <w:rPr>
                <w:noProof/>
                <w:lang w:val="en-US"/>
              </w:rPr>
              <w:object w:dxaOrig="2070" w:dyaOrig="2880">
                <v:shape id="_x0000_i1114" type="#_x0000_t75" style="width:103.25pt;height:2in" o:ole="">
                  <v:imagedata r:id="rId67" o:title=""/>
                </v:shape>
                <o:OLEObject Type="Embed" ProgID="PBrush" ShapeID="_x0000_i1114" DrawAspect="Content" ObjectID="_1624471427" r:id="rId68"/>
              </w:object>
            </w:r>
          </w:p>
        </w:tc>
        <w:tc>
          <w:tcPr>
            <w:tcW w:w="3096" w:type="dxa"/>
          </w:tcPr>
          <w:p w:rsidR="00AA75EA" w:rsidRPr="000E2D02" w:rsidRDefault="00AA75EA" w:rsidP="00757159">
            <w:pPr>
              <w:pStyle w:val="Pamatteksts"/>
              <w:widowControl/>
              <w:kinsoku w:val="0"/>
              <w:overflowPunct w:val="0"/>
              <w:ind w:left="0"/>
              <w:jc w:val="center"/>
              <w:rPr>
                <w:bCs/>
                <w:noProof/>
                <w:sz w:val="24"/>
                <w:szCs w:val="24"/>
                <w:lang w:val="en-US"/>
              </w:rPr>
            </w:pPr>
            <w:r w:rsidRPr="000E2D02">
              <w:rPr>
                <w:noProof/>
                <w:lang w:val="en-US"/>
              </w:rPr>
              <w:object w:dxaOrig="2085" w:dyaOrig="2880">
                <v:shape id="_x0000_i1115" type="#_x0000_t75" style="width:103.9pt;height:2in" o:ole="">
                  <v:imagedata r:id="rId69" o:title=""/>
                </v:shape>
                <o:OLEObject Type="Embed" ProgID="PBrush" ShapeID="_x0000_i1115" DrawAspect="Content" ObjectID="_1624471428" r:id="rId70"/>
              </w:object>
            </w:r>
          </w:p>
        </w:tc>
      </w:tr>
      <w:tr w:rsidR="00AA75EA" w:rsidRPr="000E2D02" w:rsidTr="00AA75EA">
        <w:tc>
          <w:tcPr>
            <w:tcW w:w="3096" w:type="dxa"/>
          </w:tcPr>
          <w:p w:rsidR="00AA75EA" w:rsidRPr="006B796E" w:rsidRDefault="00AA75EA" w:rsidP="00AA75EA">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b/>
                <w:bCs/>
                <w:sz w:val="24"/>
                <w:szCs w:val="24"/>
                <w:lang w:eastAsia="lv-LV"/>
              </w:rPr>
              <w:t>2012. gada ziņojums</w:t>
            </w:r>
          </w:p>
          <w:p w:rsidR="00AA75EA" w:rsidRPr="000E2D02" w:rsidRDefault="00AA75EA" w:rsidP="00AA75EA">
            <w:pPr>
              <w:pStyle w:val="Pamatteksts"/>
              <w:widowControl/>
              <w:kinsoku w:val="0"/>
              <w:overflowPunct w:val="0"/>
              <w:ind w:left="0"/>
              <w:jc w:val="both"/>
              <w:rPr>
                <w:bCs/>
                <w:noProof/>
                <w:sz w:val="24"/>
                <w:szCs w:val="24"/>
                <w:lang w:val="en-US"/>
              </w:rPr>
            </w:pPr>
            <w:r w:rsidRPr="006B796E">
              <w:rPr>
                <w:sz w:val="24"/>
                <w:szCs w:val="24"/>
              </w:rPr>
              <w:t>Apkarojot cilvēku tirdzniecību kā mūsdienu verdzības formu – diskriminācijas aizliegums un pilnvarojums</w:t>
            </w:r>
          </w:p>
        </w:tc>
        <w:tc>
          <w:tcPr>
            <w:tcW w:w="3096" w:type="dxa"/>
          </w:tcPr>
          <w:p w:rsidR="00AA75EA" w:rsidRPr="006B796E" w:rsidRDefault="00AA75EA" w:rsidP="00AA75EA">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2011. gada ziņojums</w:t>
            </w:r>
          </w:p>
          <w:p w:rsidR="00AA75EA" w:rsidRPr="000E2D02" w:rsidRDefault="00AA75EA" w:rsidP="00AA75EA">
            <w:pPr>
              <w:pStyle w:val="Pamatteksts"/>
              <w:widowControl/>
              <w:kinsoku w:val="0"/>
              <w:overflowPunct w:val="0"/>
              <w:ind w:left="0"/>
              <w:jc w:val="both"/>
              <w:rPr>
                <w:bCs/>
                <w:noProof/>
                <w:sz w:val="24"/>
                <w:szCs w:val="24"/>
                <w:lang w:val="en-US"/>
              </w:rPr>
            </w:pPr>
            <w:r w:rsidRPr="006B796E">
              <w:rPr>
                <w:sz w:val="24"/>
                <w:szCs w:val="24"/>
              </w:rPr>
              <w:t>Novēršanas pasākumu programma – cilvēku tirdzniecība darba ekspluatācijai</w:t>
            </w:r>
          </w:p>
        </w:tc>
        <w:tc>
          <w:tcPr>
            <w:tcW w:w="3096" w:type="dxa"/>
          </w:tcPr>
          <w:p w:rsidR="00AA75EA" w:rsidRPr="006B796E" w:rsidRDefault="00AA75EA" w:rsidP="00AA75EA">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2010. gada ziņojums</w:t>
            </w:r>
          </w:p>
          <w:p w:rsidR="00AA75EA" w:rsidRPr="000E2D02" w:rsidRDefault="00AA75EA" w:rsidP="00AA75EA">
            <w:pPr>
              <w:pStyle w:val="Pamatteksts"/>
              <w:widowControl/>
              <w:kinsoku w:val="0"/>
              <w:overflowPunct w:val="0"/>
              <w:ind w:left="0"/>
              <w:jc w:val="both"/>
              <w:rPr>
                <w:bCs/>
                <w:noProof/>
                <w:sz w:val="24"/>
                <w:szCs w:val="24"/>
                <w:lang w:val="en-US"/>
              </w:rPr>
            </w:pPr>
            <w:r w:rsidRPr="006B796E">
              <w:rPr>
                <w:sz w:val="24"/>
                <w:szCs w:val="24"/>
              </w:rPr>
              <w:t>Apkarojot cilvēku tirdzniecību kā mūsdienu verdzības formu – tiesību, brīvību un drošības jautājums</w:t>
            </w:r>
          </w:p>
        </w:tc>
      </w:tr>
      <w:tr w:rsidR="00AA75EA" w:rsidRPr="000E2D02" w:rsidTr="00AA75EA">
        <w:tc>
          <w:tcPr>
            <w:tcW w:w="3096" w:type="dxa"/>
          </w:tcPr>
          <w:p w:rsidR="00AA75EA" w:rsidRPr="000E2D02" w:rsidRDefault="00AA75EA" w:rsidP="00757159">
            <w:pPr>
              <w:pStyle w:val="Pamatteksts"/>
              <w:widowControl/>
              <w:kinsoku w:val="0"/>
              <w:overflowPunct w:val="0"/>
              <w:ind w:left="0"/>
              <w:jc w:val="center"/>
              <w:rPr>
                <w:bCs/>
                <w:noProof/>
                <w:sz w:val="24"/>
                <w:szCs w:val="24"/>
                <w:lang w:val="en-US"/>
              </w:rPr>
            </w:pPr>
            <w:r w:rsidRPr="000E2D02">
              <w:rPr>
                <w:noProof/>
                <w:lang w:val="en-US"/>
              </w:rPr>
              <w:object w:dxaOrig="2070" w:dyaOrig="2865">
                <v:shape id="_x0000_i1116" type="#_x0000_t75" style="width:103.25pt;height:143.3pt" o:ole="">
                  <v:imagedata r:id="rId71" o:title=""/>
                </v:shape>
                <o:OLEObject Type="Embed" ProgID="PBrush" ShapeID="_x0000_i1116" DrawAspect="Content" ObjectID="_1624471429" r:id="rId72"/>
              </w:object>
            </w:r>
          </w:p>
        </w:tc>
        <w:tc>
          <w:tcPr>
            <w:tcW w:w="3096" w:type="dxa"/>
          </w:tcPr>
          <w:p w:rsidR="00AA75EA" w:rsidRPr="000E2D02" w:rsidRDefault="00AA75EA" w:rsidP="00757159">
            <w:pPr>
              <w:pStyle w:val="Pamatteksts"/>
              <w:widowControl/>
              <w:kinsoku w:val="0"/>
              <w:overflowPunct w:val="0"/>
              <w:ind w:left="0"/>
              <w:jc w:val="center"/>
              <w:rPr>
                <w:bCs/>
                <w:noProof/>
                <w:sz w:val="24"/>
                <w:szCs w:val="24"/>
                <w:lang w:val="en-US"/>
              </w:rPr>
            </w:pPr>
            <w:r w:rsidRPr="000E2D02">
              <w:rPr>
                <w:noProof/>
                <w:lang w:val="en-US"/>
              </w:rPr>
              <w:object w:dxaOrig="2040" w:dyaOrig="2895">
                <v:shape id="_x0000_i1117" type="#_x0000_t75" style="width:101.9pt;height:144.7pt" o:ole="">
                  <v:imagedata r:id="rId73" o:title=""/>
                </v:shape>
                <o:OLEObject Type="Embed" ProgID="PBrush" ShapeID="_x0000_i1117" DrawAspect="Content" ObjectID="_1624471430" r:id="rId74"/>
              </w:object>
            </w:r>
          </w:p>
        </w:tc>
        <w:tc>
          <w:tcPr>
            <w:tcW w:w="3096" w:type="dxa"/>
          </w:tcPr>
          <w:p w:rsidR="00AA75EA" w:rsidRPr="000E2D02" w:rsidRDefault="00AA75EA" w:rsidP="00757159">
            <w:pPr>
              <w:pStyle w:val="Pamatteksts"/>
              <w:widowControl/>
              <w:kinsoku w:val="0"/>
              <w:overflowPunct w:val="0"/>
              <w:ind w:left="0"/>
              <w:jc w:val="center"/>
              <w:rPr>
                <w:bCs/>
                <w:noProof/>
                <w:sz w:val="24"/>
                <w:szCs w:val="24"/>
                <w:lang w:val="en-US"/>
              </w:rPr>
            </w:pPr>
            <w:r w:rsidRPr="000E2D02">
              <w:rPr>
                <w:noProof/>
                <w:lang w:val="en-US"/>
              </w:rPr>
              <w:object w:dxaOrig="2100" w:dyaOrig="2865">
                <v:shape id="_x0000_i1118" type="#_x0000_t75" style="width:105.3pt;height:143.3pt" o:ole="">
                  <v:imagedata r:id="rId75" o:title=""/>
                </v:shape>
                <o:OLEObject Type="Embed" ProgID="PBrush" ShapeID="_x0000_i1118" DrawAspect="Content" ObjectID="_1624471431" r:id="rId76"/>
              </w:object>
            </w:r>
          </w:p>
        </w:tc>
      </w:tr>
      <w:tr w:rsidR="00AA75EA" w:rsidRPr="000E2D02" w:rsidTr="00AA75EA">
        <w:tc>
          <w:tcPr>
            <w:tcW w:w="3096" w:type="dxa"/>
          </w:tcPr>
          <w:p w:rsidR="00AA75EA" w:rsidRPr="006B796E" w:rsidRDefault="00AA75EA" w:rsidP="00AA75EA">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2009. gada ziņojums</w:t>
            </w:r>
          </w:p>
          <w:p w:rsidR="00AA75EA" w:rsidRPr="000E2D02" w:rsidRDefault="00AA75EA" w:rsidP="00AA75EA">
            <w:pPr>
              <w:pStyle w:val="Pamatteksts"/>
              <w:widowControl/>
              <w:kinsoku w:val="0"/>
              <w:overflowPunct w:val="0"/>
              <w:ind w:left="0"/>
              <w:jc w:val="both"/>
              <w:rPr>
                <w:bCs/>
                <w:noProof/>
                <w:sz w:val="24"/>
                <w:szCs w:val="24"/>
                <w:lang w:val="en-US"/>
              </w:rPr>
            </w:pPr>
            <w:r w:rsidRPr="006B796E">
              <w:rPr>
                <w:sz w:val="24"/>
                <w:szCs w:val="24"/>
              </w:rPr>
              <w:t>Programma pārmaiņu īstenošanai – ieviešot platformu rīcībai pret cilvēku tirdzniecību</w:t>
            </w:r>
          </w:p>
        </w:tc>
        <w:tc>
          <w:tcPr>
            <w:tcW w:w="3096" w:type="dxa"/>
          </w:tcPr>
          <w:p w:rsidR="00AA75EA" w:rsidRPr="006B796E" w:rsidRDefault="00AA75EA" w:rsidP="00AA75EA">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2008. gada ziņojums</w:t>
            </w:r>
          </w:p>
          <w:p w:rsidR="00AA75EA" w:rsidRPr="000E2D02" w:rsidRDefault="00AA75EA" w:rsidP="00AA75EA">
            <w:pPr>
              <w:pStyle w:val="Pamatteksts"/>
              <w:widowControl/>
              <w:kinsoku w:val="0"/>
              <w:overflowPunct w:val="0"/>
              <w:ind w:left="0"/>
              <w:jc w:val="both"/>
              <w:rPr>
                <w:bCs/>
                <w:noProof/>
                <w:sz w:val="24"/>
                <w:szCs w:val="24"/>
                <w:lang w:val="en-US"/>
              </w:rPr>
            </w:pPr>
            <w:r w:rsidRPr="006B796E">
              <w:rPr>
                <w:sz w:val="24"/>
                <w:szCs w:val="24"/>
              </w:rPr>
              <w:t>Centieni novērst cilvēku tirdzniecību EDSO reģionā – koordinēšanas un ziņošanas mehānismi</w:t>
            </w:r>
            <w:r w:rsidRPr="000E2D02">
              <w:rPr>
                <w:bCs/>
                <w:noProof/>
                <w:sz w:val="24"/>
                <w:szCs w:val="24"/>
                <w:lang w:val="en-US"/>
              </w:rPr>
              <w:t xml:space="preserve"> </w:t>
            </w:r>
          </w:p>
        </w:tc>
        <w:tc>
          <w:tcPr>
            <w:tcW w:w="3096" w:type="dxa"/>
          </w:tcPr>
          <w:p w:rsidR="00AA75EA" w:rsidRPr="006B796E" w:rsidRDefault="00AA75EA" w:rsidP="00AA75EA">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2007. gada ziņojums</w:t>
            </w:r>
          </w:p>
          <w:p w:rsidR="00AA75EA" w:rsidRPr="000E2D02" w:rsidRDefault="00AA75EA" w:rsidP="00AA75EA">
            <w:pPr>
              <w:pStyle w:val="Pamatteksts"/>
              <w:widowControl/>
              <w:kinsoku w:val="0"/>
              <w:overflowPunct w:val="0"/>
              <w:ind w:left="0"/>
              <w:jc w:val="both"/>
              <w:rPr>
                <w:bCs/>
                <w:noProof/>
                <w:sz w:val="24"/>
                <w:szCs w:val="24"/>
                <w:lang w:val="en-US"/>
              </w:rPr>
            </w:pPr>
            <w:r w:rsidRPr="006B796E">
              <w:rPr>
                <w:sz w:val="24"/>
                <w:szCs w:val="24"/>
              </w:rPr>
              <w:t>Rīcības platforma</w:t>
            </w:r>
            <w:r w:rsidRPr="000E2D02">
              <w:rPr>
                <w:bCs/>
                <w:noProof/>
                <w:sz w:val="24"/>
                <w:szCs w:val="24"/>
                <w:lang w:val="en-US"/>
              </w:rPr>
              <w:t xml:space="preserve"> </w:t>
            </w:r>
          </w:p>
        </w:tc>
      </w:tr>
    </w:tbl>
    <w:p w:rsidR="00AA75EA" w:rsidRDefault="00AA75EA" w:rsidP="006B796E">
      <w:pPr>
        <w:widowControl w:val="0"/>
        <w:spacing w:after="0" w:line="240" w:lineRule="auto"/>
        <w:jc w:val="both"/>
        <w:rPr>
          <w:rFonts w:ascii="Times New Roman" w:eastAsia="Times New Roman" w:hAnsi="Times New Roman" w:cs="Times New Roman"/>
          <w:b/>
          <w:bCs/>
          <w:sz w:val="24"/>
          <w:szCs w:val="24"/>
          <w:lang w:eastAsia="lv-LV"/>
        </w:rPr>
      </w:pPr>
    </w:p>
    <w:p w:rsidR="00AA75EA" w:rsidRDefault="00AA75EA">
      <w:pP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lastRenderedPageBreak/>
        <w:br w:type="page"/>
      </w:r>
    </w:p>
    <w:p w:rsidR="00D6592D" w:rsidRPr="006B796E" w:rsidRDefault="00D6592D" w:rsidP="006B796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lastRenderedPageBreak/>
        <w:t>Citas publikācijas</w:t>
      </w:r>
    </w:p>
    <w:p w:rsidR="00AA75EA" w:rsidRDefault="00AA75EA" w:rsidP="006B796E">
      <w:pPr>
        <w:widowControl w:val="0"/>
        <w:spacing w:after="0" w:line="240" w:lineRule="auto"/>
        <w:jc w:val="both"/>
        <w:rPr>
          <w:rFonts w:ascii="Times New Roman" w:eastAsia="Times New Roman" w:hAnsi="Times New Roman" w:cs="Times New Roman"/>
          <w:b/>
          <w:bCs/>
          <w:sz w:val="24"/>
          <w:szCs w:val="24"/>
          <w:lang w:eastAsia="lv-LV"/>
        </w:rPr>
      </w:pPr>
    </w:p>
    <w:p w:rsidR="00AA75EA" w:rsidRDefault="00AA75EA" w:rsidP="006B796E">
      <w:pPr>
        <w:widowControl w:val="0"/>
        <w:spacing w:after="0" w:line="240" w:lineRule="auto"/>
        <w:jc w:val="both"/>
        <w:rPr>
          <w:rFonts w:ascii="Times New Roman" w:eastAsia="Times New Roman" w:hAnsi="Times New Roman" w:cs="Times New Roman"/>
          <w:b/>
          <w:bCs/>
          <w:sz w:val="24"/>
          <w:szCs w:val="24"/>
          <w:lang w:eastAsia="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149"/>
        <w:gridCol w:w="2105"/>
        <w:gridCol w:w="2702"/>
        <w:gridCol w:w="2105"/>
      </w:tblGrid>
      <w:tr w:rsidR="00AA75EA" w:rsidRPr="000E2D02" w:rsidTr="00AA75EA">
        <w:trPr>
          <w:jc w:val="center"/>
        </w:trPr>
        <w:tc>
          <w:tcPr>
            <w:tcW w:w="2316" w:type="dxa"/>
            <w:shd w:val="clear" w:color="auto" w:fill="auto"/>
          </w:tcPr>
          <w:p w:rsidR="00AA75EA" w:rsidRPr="000E2D02" w:rsidRDefault="00AA75EA" w:rsidP="00757159">
            <w:pPr>
              <w:pStyle w:val="Pamatteksts"/>
              <w:widowControl/>
              <w:kinsoku w:val="0"/>
              <w:overflowPunct w:val="0"/>
              <w:ind w:left="0"/>
              <w:jc w:val="center"/>
              <w:rPr>
                <w:b/>
                <w:bCs/>
                <w:noProof/>
                <w:sz w:val="24"/>
                <w:szCs w:val="24"/>
                <w:lang w:val="en-US"/>
              </w:rPr>
            </w:pPr>
            <w:r w:rsidRPr="000E2D02">
              <w:rPr>
                <w:noProof/>
                <w:lang w:val="en-US"/>
              </w:rPr>
              <w:object w:dxaOrig="2055" w:dyaOrig="2730">
                <v:shape id="_x0000_i1136" type="#_x0000_t75" style="width:102.55pt;height:136.55pt" o:ole="">
                  <v:imagedata r:id="rId77" o:title=""/>
                </v:shape>
                <o:OLEObject Type="Embed" ProgID="PBrush" ShapeID="_x0000_i1136" DrawAspect="Content" ObjectID="_1624471432" r:id="rId78"/>
              </w:object>
            </w:r>
          </w:p>
        </w:tc>
        <w:tc>
          <w:tcPr>
            <w:tcW w:w="2271" w:type="dxa"/>
            <w:shd w:val="clear" w:color="auto" w:fill="auto"/>
          </w:tcPr>
          <w:p w:rsidR="00AA75EA" w:rsidRPr="000E2D02" w:rsidRDefault="00AA75EA" w:rsidP="00757159">
            <w:pPr>
              <w:pStyle w:val="Pamatteksts"/>
              <w:widowControl/>
              <w:kinsoku w:val="0"/>
              <w:overflowPunct w:val="0"/>
              <w:ind w:left="0"/>
              <w:jc w:val="center"/>
              <w:rPr>
                <w:b/>
                <w:bCs/>
                <w:noProof/>
                <w:sz w:val="24"/>
                <w:szCs w:val="24"/>
                <w:lang w:val="en-US"/>
              </w:rPr>
            </w:pPr>
            <w:r w:rsidRPr="000E2D02">
              <w:rPr>
                <w:noProof/>
                <w:lang w:val="en-US"/>
              </w:rPr>
              <w:object w:dxaOrig="2055" w:dyaOrig="2880">
                <v:shape id="_x0000_i1137" type="#_x0000_t75" style="width:102.55pt;height:2in" o:ole="">
                  <v:imagedata r:id="rId79" o:title=""/>
                </v:shape>
                <o:OLEObject Type="Embed" ProgID="PBrush" ShapeID="_x0000_i1137" DrawAspect="Content" ObjectID="_1624471433" r:id="rId80"/>
              </w:object>
            </w:r>
          </w:p>
        </w:tc>
        <w:tc>
          <w:tcPr>
            <w:tcW w:w="2977" w:type="dxa"/>
            <w:shd w:val="clear" w:color="auto" w:fill="auto"/>
          </w:tcPr>
          <w:p w:rsidR="00AA75EA" w:rsidRPr="000E2D02" w:rsidRDefault="00AA75EA" w:rsidP="00757159">
            <w:pPr>
              <w:pStyle w:val="Pamatteksts"/>
              <w:widowControl/>
              <w:kinsoku w:val="0"/>
              <w:overflowPunct w:val="0"/>
              <w:ind w:left="0"/>
              <w:jc w:val="center"/>
              <w:rPr>
                <w:b/>
                <w:bCs/>
                <w:noProof/>
                <w:sz w:val="24"/>
                <w:szCs w:val="24"/>
                <w:lang w:val="en-US"/>
              </w:rPr>
            </w:pPr>
            <w:r w:rsidRPr="000E2D02">
              <w:rPr>
                <w:noProof/>
                <w:lang w:val="en-US"/>
              </w:rPr>
              <w:object w:dxaOrig="2070" w:dyaOrig="2520">
                <v:shape id="_x0000_i1138" type="#_x0000_t75" style="width:103.25pt;height:126.35pt" o:ole="">
                  <v:imagedata r:id="rId81" o:title=""/>
                </v:shape>
                <o:OLEObject Type="Embed" ProgID="PBrush" ShapeID="_x0000_i1138" DrawAspect="Content" ObjectID="_1624471434" r:id="rId82"/>
              </w:object>
            </w:r>
          </w:p>
        </w:tc>
        <w:tc>
          <w:tcPr>
            <w:tcW w:w="2271" w:type="dxa"/>
            <w:shd w:val="clear" w:color="auto" w:fill="auto"/>
          </w:tcPr>
          <w:p w:rsidR="00AA75EA" w:rsidRPr="000E2D02" w:rsidRDefault="00AA75EA" w:rsidP="00757159">
            <w:pPr>
              <w:pStyle w:val="Pamatteksts"/>
              <w:widowControl/>
              <w:kinsoku w:val="0"/>
              <w:overflowPunct w:val="0"/>
              <w:ind w:left="0"/>
              <w:jc w:val="center"/>
              <w:rPr>
                <w:b/>
                <w:bCs/>
                <w:noProof/>
                <w:sz w:val="24"/>
                <w:szCs w:val="24"/>
                <w:lang w:val="en-US"/>
              </w:rPr>
            </w:pPr>
            <w:r w:rsidRPr="000E2D02">
              <w:rPr>
                <w:noProof/>
                <w:lang w:val="en-US"/>
              </w:rPr>
              <w:object w:dxaOrig="2055" w:dyaOrig="2745">
                <v:shape id="_x0000_i1139" type="#_x0000_t75" style="width:102.55pt;height:137.2pt" o:ole="">
                  <v:imagedata r:id="rId83" o:title=""/>
                </v:shape>
                <o:OLEObject Type="Embed" ProgID="PBrush" ShapeID="_x0000_i1139" DrawAspect="Content" ObjectID="_1624471435" r:id="rId84"/>
              </w:object>
            </w:r>
          </w:p>
        </w:tc>
      </w:tr>
      <w:tr w:rsidR="00AA75EA" w:rsidRPr="000E2D02" w:rsidTr="00AA75EA">
        <w:trPr>
          <w:jc w:val="center"/>
        </w:trPr>
        <w:tc>
          <w:tcPr>
            <w:tcW w:w="2316" w:type="dxa"/>
            <w:shd w:val="clear" w:color="auto" w:fill="auto"/>
          </w:tcPr>
          <w:p w:rsidR="00AA75EA" w:rsidRPr="006B796E" w:rsidRDefault="00AA75EA" w:rsidP="00AA75EA">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2018</w:t>
            </w:r>
          </w:p>
          <w:p w:rsidR="00AA75EA" w:rsidRPr="000E2D02" w:rsidRDefault="00AA75EA" w:rsidP="00AA75EA">
            <w:pPr>
              <w:pStyle w:val="Pamatteksts"/>
              <w:widowControl/>
              <w:kinsoku w:val="0"/>
              <w:overflowPunct w:val="0"/>
              <w:ind w:left="0"/>
              <w:rPr>
                <w:b/>
                <w:bCs/>
                <w:noProof/>
                <w:sz w:val="24"/>
                <w:szCs w:val="24"/>
                <w:lang w:val="en-US"/>
              </w:rPr>
            </w:pPr>
            <w:r w:rsidRPr="006B796E">
              <w:rPr>
                <w:sz w:val="24"/>
                <w:szCs w:val="24"/>
              </w:rPr>
              <w:t>Attiecīgie atsauces materiāli un resursi par darbaspēka ētisku ieguvi un cilvēku tirdzniecības novēršanu darba ekspluatācijai piegādes ķēdēs</w:t>
            </w:r>
          </w:p>
        </w:tc>
        <w:tc>
          <w:tcPr>
            <w:tcW w:w="2271" w:type="dxa"/>
            <w:shd w:val="clear" w:color="auto" w:fill="auto"/>
          </w:tcPr>
          <w:p w:rsidR="00F253CE" w:rsidRPr="006B796E" w:rsidRDefault="00F253CE" w:rsidP="00F253C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2018</w:t>
            </w:r>
          </w:p>
          <w:p w:rsidR="00AA75EA" w:rsidRPr="00AA75EA" w:rsidRDefault="00F253CE" w:rsidP="00F253CE">
            <w:pPr>
              <w:pStyle w:val="Pamatteksts"/>
              <w:widowControl/>
              <w:kinsoku w:val="0"/>
              <w:overflowPunct w:val="0"/>
              <w:ind w:left="0"/>
              <w:jc w:val="both"/>
              <w:rPr>
                <w:noProof/>
                <w:sz w:val="24"/>
                <w:szCs w:val="24"/>
                <w:lang w:val="en-US"/>
              </w:rPr>
            </w:pPr>
            <w:r w:rsidRPr="006B796E">
              <w:rPr>
                <w:sz w:val="24"/>
                <w:szCs w:val="24"/>
              </w:rPr>
              <w:t>Tipveida vadlīnijas attiecībā uz valdības pasākumiem, kas veicami, lai novērstu cilvēku tirdzniecību darba ekspluatācijai piegādes ķēdēs</w:t>
            </w:r>
          </w:p>
        </w:tc>
        <w:tc>
          <w:tcPr>
            <w:tcW w:w="2977" w:type="dxa"/>
            <w:shd w:val="clear" w:color="auto" w:fill="auto"/>
          </w:tcPr>
          <w:p w:rsidR="00F253CE" w:rsidRPr="006B796E" w:rsidRDefault="00F253CE" w:rsidP="00F253C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2017</w:t>
            </w:r>
          </w:p>
          <w:p w:rsidR="00AA75EA" w:rsidRPr="00AA75EA" w:rsidRDefault="00F253CE" w:rsidP="00F253CE">
            <w:pPr>
              <w:pStyle w:val="Pamatteksts"/>
              <w:widowControl/>
              <w:kinsoku w:val="0"/>
              <w:overflowPunct w:val="0"/>
              <w:ind w:left="0"/>
              <w:jc w:val="both"/>
              <w:rPr>
                <w:noProof/>
                <w:sz w:val="24"/>
                <w:szCs w:val="24"/>
                <w:lang w:val="en-US"/>
              </w:rPr>
            </w:pPr>
            <w:r w:rsidRPr="006B796E">
              <w:rPr>
                <w:sz w:val="24"/>
                <w:szCs w:val="24"/>
              </w:rPr>
              <w:t>No uzņemšanas līdz atzīšanai – cilvēku tirdzniecības upuru identificēšana un aizsardzība migrācijas plūsmu sajaukumā</w:t>
            </w:r>
          </w:p>
        </w:tc>
        <w:tc>
          <w:tcPr>
            <w:tcW w:w="2271" w:type="dxa"/>
            <w:shd w:val="clear" w:color="auto" w:fill="auto"/>
          </w:tcPr>
          <w:p w:rsidR="00F253CE" w:rsidRPr="006B796E" w:rsidRDefault="00F253CE" w:rsidP="00F253C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2016</w:t>
            </w:r>
          </w:p>
          <w:p w:rsidR="00AA75EA" w:rsidRPr="000E2D02" w:rsidRDefault="00F253CE" w:rsidP="00F253CE">
            <w:pPr>
              <w:pStyle w:val="Pamatteksts"/>
              <w:widowControl/>
              <w:kinsoku w:val="0"/>
              <w:overflowPunct w:val="0"/>
              <w:ind w:left="0"/>
              <w:rPr>
                <w:b/>
                <w:bCs/>
                <w:noProof/>
                <w:sz w:val="24"/>
                <w:szCs w:val="24"/>
                <w:lang w:val="en-US"/>
              </w:rPr>
            </w:pPr>
            <w:r w:rsidRPr="006B796E">
              <w:rPr>
                <w:sz w:val="24"/>
                <w:szCs w:val="24"/>
              </w:rPr>
              <w:t>Komentārs saistībā ar EDSO Rīcības plānu cilvēku tirdzniecības apkarošanai (EN/RU)</w:t>
            </w:r>
          </w:p>
        </w:tc>
      </w:tr>
      <w:tr w:rsidR="00AA75EA" w:rsidRPr="000E2D02" w:rsidTr="00AA75EA">
        <w:trPr>
          <w:jc w:val="center"/>
        </w:trPr>
        <w:tc>
          <w:tcPr>
            <w:tcW w:w="2316" w:type="dxa"/>
            <w:shd w:val="clear" w:color="auto" w:fill="auto"/>
          </w:tcPr>
          <w:p w:rsidR="00AA75EA" w:rsidRPr="000E2D02" w:rsidRDefault="00AA75EA" w:rsidP="00757159">
            <w:pPr>
              <w:pStyle w:val="Pamatteksts"/>
              <w:widowControl/>
              <w:kinsoku w:val="0"/>
              <w:overflowPunct w:val="0"/>
              <w:ind w:left="0"/>
              <w:jc w:val="center"/>
              <w:rPr>
                <w:b/>
                <w:bCs/>
                <w:noProof/>
                <w:sz w:val="24"/>
                <w:szCs w:val="24"/>
                <w:lang w:val="en-US"/>
              </w:rPr>
            </w:pPr>
            <w:r w:rsidRPr="000E2D02">
              <w:rPr>
                <w:noProof/>
                <w:lang w:val="en-US"/>
              </w:rPr>
              <w:object w:dxaOrig="2085" w:dyaOrig="2745">
                <v:shape id="_x0000_i1140" type="#_x0000_t75" style="width:103.9pt;height:137.2pt" o:ole="">
                  <v:imagedata r:id="rId85" o:title=""/>
                </v:shape>
                <o:OLEObject Type="Embed" ProgID="PBrush" ShapeID="_x0000_i1140" DrawAspect="Content" ObjectID="_1624471436" r:id="rId86"/>
              </w:object>
            </w:r>
          </w:p>
        </w:tc>
        <w:tc>
          <w:tcPr>
            <w:tcW w:w="2271" w:type="dxa"/>
            <w:shd w:val="clear" w:color="auto" w:fill="auto"/>
          </w:tcPr>
          <w:p w:rsidR="00AA75EA" w:rsidRPr="000E2D02" w:rsidRDefault="00AA75EA" w:rsidP="00757159">
            <w:pPr>
              <w:pStyle w:val="Pamatteksts"/>
              <w:widowControl/>
              <w:kinsoku w:val="0"/>
              <w:overflowPunct w:val="0"/>
              <w:ind w:left="0"/>
              <w:jc w:val="center"/>
              <w:rPr>
                <w:b/>
                <w:bCs/>
                <w:noProof/>
                <w:sz w:val="24"/>
                <w:szCs w:val="24"/>
                <w:lang w:val="en-US"/>
              </w:rPr>
            </w:pPr>
            <w:r w:rsidRPr="000E2D02">
              <w:rPr>
                <w:noProof/>
                <w:lang w:val="en-US"/>
              </w:rPr>
              <w:object w:dxaOrig="1710" w:dyaOrig="2475">
                <v:shape id="_x0000_i1141" type="#_x0000_t75" style="width:85.6pt;height:123.6pt" o:ole="">
                  <v:imagedata r:id="rId87" o:title=""/>
                </v:shape>
                <o:OLEObject Type="Embed" ProgID="PBrush" ShapeID="_x0000_i1141" DrawAspect="Content" ObjectID="_1624471437" r:id="rId88"/>
              </w:object>
            </w:r>
          </w:p>
        </w:tc>
        <w:tc>
          <w:tcPr>
            <w:tcW w:w="2977" w:type="dxa"/>
            <w:shd w:val="clear" w:color="auto" w:fill="auto"/>
          </w:tcPr>
          <w:p w:rsidR="00AA75EA" w:rsidRPr="000E2D02" w:rsidRDefault="00AA75EA" w:rsidP="00757159">
            <w:pPr>
              <w:pStyle w:val="Pamatteksts"/>
              <w:widowControl/>
              <w:kinsoku w:val="0"/>
              <w:overflowPunct w:val="0"/>
              <w:ind w:left="0"/>
              <w:jc w:val="center"/>
              <w:rPr>
                <w:b/>
                <w:bCs/>
                <w:noProof/>
                <w:sz w:val="24"/>
                <w:szCs w:val="24"/>
                <w:lang w:val="en-US"/>
              </w:rPr>
            </w:pPr>
            <w:r w:rsidRPr="000E2D02">
              <w:rPr>
                <w:noProof/>
                <w:lang w:val="en-US"/>
              </w:rPr>
              <w:object w:dxaOrig="2085" w:dyaOrig="2700">
                <v:shape id="_x0000_i1142" type="#_x0000_t75" style="width:103.9pt;height:135.15pt" o:ole="">
                  <v:imagedata r:id="rId89" o:title=""/>
                </v:shape>
                <o:OLEObject Type="Embed" ProgID="PBrush" ShapeID="_x0000_i1142" DrawAspect="Content" ObjectID="_1624471438" r:id="rId90"/>
              </w:object>
            </w:r>
          </w:p>
        </w:tc>
        <w:tc>
          <w:tcPr>
            <w:tcW w:w="2271" w:type="dxa"/>
            <w:shd w:val="clear" w:color="auto" w:fill="auto"/>
          </w:tcPr>
          <w:p w:rsidR="00AA75EA" w:rsidRPr="000E2D02" w:rsidRDefault="00AA75EA" w:rsidP="00757159">
            <w:pPr>
              <w:pStyle w:val="Pamatteksts"/>
              <w:widowControl/>
              <w:kinsoku w:val="0"/>
              <w:overflowPunct w:val="0"/>
              <w:ind w:left="0"/>
              <w:jc w:val="center"/>
              <w:rPr>
                <w:b/>
                <w:bCs/>
                <w:noProof/>
                <w:sz w:val="24"/>
                <w:szCs w:val="24"/>
                <w:lang w:val="en-US"/>
              </w:rPr>
            </w:pPr>
            <w:r w:rsidRPr="000E2D02">
              <w:rPr>
                <w:noProof/>
                <w:lang w:val="en-US"/>
              </w:rPr>
              <w:object w:dxaOrig="2055" w:dyaOrig="2715">
                <v:shape id="_x0000_i1143" type="#_x0000_t75" style="width:102.55pt;height:135.85pt" o:ole="">
                  <v:imagedata r:id="rId91" o:title=""/>
                </v:shape>
                <o:OLEObject Type="Embed" ProgID="PBrush" ShapeID="_x0000_i1143" DrawAspect="Content" ObjectID="_1624471439" r:id="rId92"/>
              </w:object>
            </w:r>
          </w:p>
        </w:tc>
      </w:tr>
      <w:tr w:rsidR="00AA75EA" w:rsidRPr="000E2D02" w:rsidTr="00AA75EA">
        <w:trPr>
          <w:jc w:val="center"/>
        </w:trPr>
        <w:tc>
          <w:tcPr>
            <w:tcW w:w="2316" w:type="dxa"/>
            <w:shd w:val="clear" w:color="auto" w:fill="auto"/>
          </w:tcPr>
          <w:p w:rsidR="00F253CE" w:rsidRPr="006B796E" w:rsidRDefault="00F253CE" w:rsidP="00F253C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2016</w:t>
            </w:r>
          </w:p>
          <w:p w:rsidR="00AA75EA" w:rsidRPr="000E2D02" w:rsidRDefault="00F253CE" w:rsidP="00F253CE">
            <w:pPr>
              <w:pStyle w:val="Pamatteksts"/>
              <w:widowControl/>
              <w:kinsoku w:val="0"/>
              <w:overflowPunct w:val="0"/>
              <w:ind w:left="0"/>
              <w:jc w:val="both"/>
              <w:rPr>
                <w:bCs/>
                <w:noProof/>
                <w:sz w:val="24"/>
                <w:szCs w:val="24"/>
                <w:lang w:val="en-US"/>
              </w:rPr>
            </w:pPr>
            <w:r w:rsidRPr="006B796E">
              <w:rPr>
                <w:sz w:val="24"/>
                <w:szCs w:val="24"/>
              </w:rPr>
              <w:t>2016. gada apsekošanas ziņojums</w:t>
            </w:r>
            <w:r w:rsidRPr="000E2D02">
              <w:rPr>
                <w:bCs/>
                <w:noProof/>
                <w:sz w:val="24"/>
                <w:szCs w:val="24"/>
                <w:lang w:val="en-US"/>
              </w:rPr>
              <w:t xml:space="preserve"> </w:t>
            </w:r>
          </w:p>
        </w:tc>
        <w:tc>
          <w:tcPr>
            <w:tcW w:w="2271" w:type="dxa"/>
            <w:shd w:val="clear" w:color="auto" w:fill="auto"/>
          </w:tcPr>
          <w:p w:rsidR="00F253CE" w:rsidRPr="006B796E" w:rsidRDefault="00F253CE" w:rsidP="00F253C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2014</w:t>
            </w:r>
          </w:p>
          <w:p w:rsidR="00AA75EA" w:rsidRPr="000E2D02" w:rsidRDefault="00F253CE" w:rsidP="00F253CE">
            <w:pPr>
              <w:pStyle w:val="Pamatteksts"/>
              <w:widowControl/>
              <w:kinsoku w:val="0"/>
              <w:overflowPunct w:val="0"/>
              <w:ind w:left="0"/>
              <w:jc w:val="both"/>
              <w:rPr>
                <w:b/>
                <w:bCs/>
                <w:noProof/>
                <w:sz w:val="24"/>
                <w:szCs w:val="24"/>
                <w:lang w:val="en-US"/>
              </w:rPr>
            </w:pPr>
            <w:r w:rsidRPr="006B796E">
              <w:rPr>
                <w:sz w:val="24"/>
                <w:szCs w:val="24"/>
              </w:rPr>
              <w:t>Rokasgrāmata. Kā novērst cilvēku tirdzniecību mājkalpībai diplomātiskā korpusa mājsaimniecībās un aizsargāt privātos mājsaimniecības darbiniekus</w:t>
            </w:r>
          </w:p>
        </w:tc>
        <w:tc>
          <w:tcPr>
            <w:tcW w:w="2977" w:type="dxa"/>
            <w:shd w:val="clear" w:color="auto" w:fill="auto"/>
          </w:tcPr>
          <w:p w:rsidR="00F253CE" w:rsidRPr="006B796E" w:rsidRDefault="00F253CE" w:rsidP="00F253C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2014</w:t>
            </w:r>
          </w:p>
          <w:p w:rsidR="00AA75EA" w:rsidRPr="000E2D02" w:rsidRDefault="00F253CE" w:rsidP="00F253CE">
            <w:pPr>
              <w:pStyle w:val="Pamatteksts"/>
              <w:widowControl/>
              <w:kinsoku w:val="0"/>
              <w:overflowPunct w:val="0"/>
              <w:ind w:left="0"/>
              <w:jc w:val="both"/>
              <w:rPr>
                <w:b/>
                <w:bCs/>
                <w:noProof/>
                <w:sz w:val="24"/>
                <w:szCs w:val="24"/>
                <w:lang w:val="en-US"/>
              </w:rPr>
            </w:pPr>
            <w:r w:rsidRPr="006B796E">
              <w:rPr>
                <w:sz w:val="24"/>
                <w:szCs w:val="24"/>
              </w:rPr>
              <w:t xml:space="preserve">Piesaistot noziedzīgi iegūtu līdzekļu legalizācijas novēršanas režīmus, lai novērstu cilvēku tirdzniecību, </w:t>
            </w:r>
            <w:r w:rsidRPr="006B796E">
              <w:rPr>
                <w:i/>
                <w:iCs/>
                <w:sz w:val="24"/>
                <w:szCs w:val="24"/>
              </w:rPr>
              <w:t>OCEEA/OSR/TNTD/SPMU</w:t>
            </w:r>
          </w:p>
        </w:tc>
        <w:tc>
          <w:tcPr>
            <w:tcW w:w="2271" w:type="dxa"/>
            <w:shd w:val="clear" w:color="auto" w:fill="auto"/>
          </w:tcPr>
          <w:p w:rsidR="00F253CE" w:rsidRPr="006B796E" w:rsidRDefault="00F253CE" w:rsidP="00F253C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2013</w:t>
            </w:r>
          </w:p>
          <w:p w:rsidR="00AA75EA" w:rsidRPr="000E2D02" w:rsidRDefault="00F253CE" w:rsidP="00F253CE">
            <w:pPr>
              <w:pStyle w:val="Pamatteksts"/>
              <w:widowControl/>
              <w:kinsoku w:val="0"/>
              <w:overflowPunct w:val="0"/>
              <w:ind w:left="0"/>
              <w:jc w:val="both"/>
              <w:rPr>
                <w:b/>
                <w:bCs/>
                <w:noProof/>
                <w:sz w:val="24"/>
                <w:szCs w:val="24"/>
                <w:lang w:val="en-US"/>
              </w:rPr>
            </w:pPr>
            <w:r w:rsidRPr="006B796E">
              <w:rPr>
                <w:sz w:val="24"/>
                <w:szCs w:val="24"/>
              </w:rPr>
              <w:t>Veicināt sadarbību, lai novērstu cilvēku tirdzniecību Vidusjūras reģionā</w:t>
            </w:r>
          </w:p>
        </w:tc>
      </w:tr>
      <w:tr w:rsidR="00AA75EA" w:rsidRPr="000E2D02" w:rsidTr="00AA75EA">
        <w:trPr>
          <w:jc w:val="center"/>
        </w:trPr>
        <w:tc>
          <w:tcPr>
            <w:tcW w:w="2316" w:type="dxa"/>
            <w:shd w:val="clear" w:color="auto" w:fill="auto"/>
          </w:tcPr>
          <w:p w:rsidR="00AA75EA" w:rsidRPr="000E2D02" w:rsidRDefault="00AA75EA" w:rsidP="00757159">
            <w:pPr>
              <w:pStyle w:val="Pamatteksts"/>
              <w:widowControl/>
              <w:kinsoku w:val="0"/>
              <w:overflowPunct w:val="0"/>
              <w:ind w:left="0"/>
              <w:jc w:val="center"/>
              <w:rPr>
                <w:b/>
                <w:bCs/>
                <w:noProof/>
                <w:sz w:val="24"/>
                <w:szCs w:val="24"/>
                <w:lang w:val="en-US"/>
              </w:rPr>
            </w:pPr>
            <w:r w:rsidRPr="000E2D02">
              <w:rPr>
                <w:noProof/>
                <w:lang w:val="en-US"/>
              </w:rPr>
              <w:object w:dxaOrig="2100" w:dyaOrig="2700">
                <v:shape id="_x0000_i1144" type="#_x0000_t75" style="width:105.3pt;height:135.15pt" o:ole="">
                  <v:imagedata r:id="rId93" o:title=""/>
                </v:shape>
                <o:OLEObject Type="Embed" ProgID="PBrush" ShapeID="_x0000_i1144" DrawAspect="Content" ObjectID="_1624471440" r:id="rId94"/>
              </w:object>
            </w:r>
          </w:p>
        </w:tc>
        <w:tc>
          <w:tcPr>
            <w:tcW w:w="2271" w:type="dxa"/>
            <w:shd w:val="clear" w:color="auto" w:fill="auto"/>
          </w:tcPr>
          <w:p w:rsidR="00AA75EA" w:rsidRPr="000E2D02" w:rsidRDefault="00AA75EA" w:rsidP="00757159">
            <w:pPr>
              <w:pStyle w:val="Pamatteksts"/>
              <w:widowControl/>
              <w:kinsoku w:val="0"/>
              <w:overflowPunct w:val="0"/>
              <w:ind w:left="0"/>
              <w:jc w:val="center"/>
              <w:rPr>
                <w:b/>
                <w:bCs/>
                <w:noProof/>
                <w:sz w:val="24"/>
                <w:szCs w:val="24"/>
                <w:lang w:val="en-US"/>
              </w:rPr>
            </w:pPr>
            <w:r w:rsidRPr="000E2D02">
              <w:rPr>
                <w:noProof/>
                <w:lang w:val="en-US"/>
              </w:rPr>
              <w:object w:dxaOrig="2055" w:dyaOrig="2865">
                <v:shape id="_x0000_i1145" type="#_x0000_t75" style="width:102.55pt;height:143.3pt" o:ole="">
                  <v:imagedata r:id="rId95" o:title=""/>
                </v:shape>
                <o:OLEObject Type="Embed" ProgID="PBrush" ShapeID="_x0000_i1145" DrawAspect="Content" ObjectID="_1624471441" r:id="rId96"/>
              </w:object>
            </w:r>
          </w:p>
        </w:tc>
        <w:tc>
          <w:tcPr>
            <w:tcW w:w="2977" w:type="dxa"/>
            <w:shd w:val="clear" w:color="auto" w:fill="auto"/>
          </w:tcPr>
          <w:p w:rsidR="00AA75EA" w:rsidRPr="000E2D02" w:rsidRDefault="00AA75EA" w:rsidP="00757159">
            <w:pPr>
              <w:pStyle w:val="Pamatteksts"/>
              <w:widowControl/>
              <w:kinsoku w:val="0"/>
              <w:overflowPunct w:val="0"/>
              <w:ind w:left="0"/>
              <w:jc w:val="center"/>
              <w:rPr>
                <w:b/>
                <w:bCs/>
                <w:noProof/>
                <w:sz w:val="24"/>
                <w:szCs w:val="24"/>
                <w:lang w:val="en-US"/>
              </w:rPr>
            </w:pPr>
          </w:p>
        </w:tc>
        <w:tc>
          <w:tcPr>
            <w:tcW w:w="2271" w:type="dxa"/>
            <w:shd w:val="clear" w:color="auto" w:fill="auto"/>
          </w:tcPr>
          <w:p w:rsidR="00AA75EA" w:rsidRPr="000E2D02" w:rsidRDefault="00AA75EA" w:rsidP="00757159">
            <w:pPr>
              <w:pStyle w:val="Pamatteksts"/>
              <w:widowControl/>
              <w:kinsoku w:val="0"/>
              <w:overflowPunct w:val="0"/>
              <w:ind w:left="0"/>
              <w:jc w:val="center"/>
              <w:rPr>
                <w:b/>
                <w:bCs/>
                <w:noProof/>
                <w:sz w:val="24"/>
                <w:szCs w:val="24"/>
                <w:lang w:val="en-US"/>
              </w:rPr>
            </w:pPr>
          </w:p>
        </w:tc>
      </w:tr>
      <w:tr w:rsidR="00AA75EA" w:rsidRPr="000E2D02" w:rsidTr="00AA75EA">
        <w:trPr>
          <w:jc w:val="center"/>
        </w:trPr>
        <w:tc>
          <w:tcPr>
            <w:tcW w:w="2316" w:type="dxa"/>
            <w:shd w:val="clear" w:color="auto" w:fill="auto"/>
          </w:tcPr>
          <w:p w:rsidR="00F253CE" w:rsidRPr="006B796E" w:rsidRDefault="00F253CE" w:rsidP="00F253C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2013</w:t>
            </w:r>
          </w:p>
          <w:p w:rsidR="00AA75EA" w:rsidRPr="000E2D02" w:rsidRDefault="00F253CE" w:rsidP="00F253CE">
            <w:pPr>
              <w:pStyle w:val="Pamatteksts"/>
              <w:widowControl/>
              <w:kinsoku w:val="0"/>
              <w:overflowPunct w:val="0"/>
              <w:ind w:left="0"/>
              <w:jc w:val="both"/>
              <w:rPr>
                <w:b/>
                <w:bCs/>
                <w:noProof/>
                <w:sz w:val="24"/>
                <w:szCs w:val="24"/>
                <w:lang w:val="en-US"/>
              </w:rPr>
            </w:pPr>
            <w:r w:rsidRPr="006B796E">
              <w:rPr>
                <w:sz w:val="24"/>
                <w:szCs w:val="24"/>
              </w:rPr>
              <w:t>Politika un likumdošanas ieteikumi, lai efektīvi īstenotu nesodīšanas noteikumu attiecībā uz cilvēku tirdzniecības upuriem</w:t>
            </w:r>
            <w:r w:rsidRPr="000E2D02">
              <w:rPr>
                <w:b/>
                <w:bCs/>
                <w:noProof/>
                <w:sz w:val="24"/>
                <w:szCs w:val="24"/>
                <w:lang w:val="en-US"/>
              </w:rPr>
              <w:t xml:space="preserve"> </w:t>
            </w:r>
          </w:p>
        </w:tc>
        <w:tc>
          <w:tcPr>
            <w:tcW w:w="2271" w:type="dxa"/>
            <w:shd w:val="clear" w:color="auto" w:fill="auto"/>
          </w:tcPr>
          <w:p w:rsidR="00F253CE" w:rsidRPr="006B796E" w:rsidRDefault="00F253CE" w:rsidP="00F253CE">
            <w:pPr>
              <w:widowControl w:val="0"/>
              <w:spacing w:after="0" w:line="240" w:lineRule="auto"/>
              <w:jc w:val="both"/>
              <w:rPr>
                <w:rFonts w:ascii="Times New Roman" w:eastAsia="Times New Roman" w:hAnsi="Times New Roman" w:cs="Times New Roman"/>
                <w:b/>
                <w:bCs/>
                <w:sz w:val="24"/>
                <w:szCs w:val="24"/>
                <w:lang w:eastAsia="lv-LV"/>
              </w:rPr>
            </w:pPr>
            <w:r w:rsidRPr="006B796E">
              <w:rPr>
                <w:rFonts w:ascii="Times New Roman" w:eastAsia="Times New Roman" w:hAnsi="Times New Roman" w:cs="Times New Roman"/>
                <w:b/>
                <w:bCs/>
                <w:sz w:val="24"/>
                <w:szCs w:val="24"/>
                <w:lang w:eastAsia="lv-LV"/>
              </w:rPr>
              <w:t>2010</w:t>
            </w:r>
          </w:p>
          <w:p w:rsidR="00AA75EA" w:rsidRPr="000E2D02" w:rsidRDefault="00F253CE" w:rsidP="00F253CE">
            <w:pPr>
              <w:pStyle w:val="Pamatteksts"/>
              <w:widowControl/>
              <w:kinsoku w:val="0"/>
              <w:overflowPunct w:val="0"/>
              <w:ind w:left="0"/>
              <w:jc w:val="both"/>
              <w:rPr>
                <w:b/>
                <w:bCs/>
                <w:noProof/>
                <w:sz w:val="24"/>
                <w:szCs w:val="24"/>
                <w:lang w:val="en-US"/>
              </w:rPr>
            </w:pPr>
            <w:r w:rsidRPr="006B796E">
              <w:rPr>
                <w:sz w:val="24"/>
                <w:szCs w:val="24"/>
              </w:rPr>
              <w:t xml:space="preserve">Cilvēku tirdzniecības biznesa modeļa analīze, lai labāk novērstu noziegumu, </w:t>
            </w:r>
            <w:r w:rsidRPr="006B796E">
              <w:rPr>
                <w:i/>
                <w:iCs/>
                <w:sz w:val="24"/>
                <w:szCs w:val="24"/>
              </w:rPr>
              <w:t>OSR/UN.GIFT</w:t>
            </w:r>
            <w:r w:rsidRPr="006B796E">
              <w:rPr>
                <w:sz w:val="24"/>
                <w:szCs w:val="24"/>
              </w:rPr>
              <w:t xml:space="preserve"> (EN/RU)</w:t>
            </w:r>
          </w:p>
        </w:tc>
        <w:tc>
          <w:tcPr>
            <w:tcW w:w="2977" w:type="dxa"/>
            <w:shd w:val="clear" w:color="auto" w:fill="auto"/>
          </w:tcPr>
          <w:p w:rsidR="00AA75EA" w:rsidRPr="000E2D02" w:rsidRDefault="00AA75EA" w:rsidP="00757159">
            <w:pPr>
              <w:pStyle w:val="Pamatteksts"/>
              <w:widowControl/>
              <w:kinsoku w:val="0"/>
              <w:overflowPunct w:val="0"/>
              <w:ind w:left="0"/>
              <w:jc w:val="both"/>
              <w:rPr>
                <w:b/>
                <w:bCs/>
                <w:noProof/>
                <w:sz w:val="24"/>
                <w:szCs w:val="24"/>
                <w:lang w:val="en-US"/>
              </w:rPr>
            </w:pPr>
          </w:p>
        </w:tc>
        <w:tc>
          <w:tcPr>
            <w:tcW w:w="2271" w:type="dxa"/>
            <w:shd w:val="clear" w:color="auto" w:fill="auto"/>
          </w:tcPr>
          <w:p w:rsidR="00AA75EA" w:rsidRPr="000E2D02" w:rsidRDefault="00AA75EA" w:rsidP="00757159">
            <w:pPr>
              <w:pStyle w:val="Pamatteksts"/>
              <w:widowControl/>
              <w:kinsoku w:val="0"/>
              <w:overflowPunct w:val="0"/>
              <w:ind w:left="0"/>
              <w:jc w:val="both"/>
              <w:rPr>
                <w:b/>
                <w:bCs/>
                <w:noProof/>
                <w:sz w:val="24"/>
                <w:szCs w:val="24"/>
                <w:lang w:val="en-US"/>
              </w:rPr>
            </w:pPr>
          </w:p>
        </w:tc>
      </w:tr>
    </w:tbl>
    <w:p w:rsidR="00AA75EA" w:rsidRDefault="00AA75EA" w:rsidP="006B796E">
      <w:pPr>
        <w:widowControl w:val="0"/>
        <w:spacing w:after="0" w:line="240" w:lineRule="auto"/>
        <w:jc w:val="both"/>
        <w:rPr>
          <w:rFonts w:ascii="Times New Roman" w:eastAsia="Times New Roman" w:hAnsi="Times New Roman" w:cs="Times New Roman"/>
          <w:b/>
          <w:bCs/>
          <w:sz w:val="24"/>
          <w:szCs w:val="24"/>
          <w:lang w:eastAsia="lv-LV"/>
        </w:rPr>
      </w:pPr>
    </w:p>
    <w:p w:rsidR="00F253CE" w:rsidRDefault="00F253CE">
      <w:pP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br w:type="page"/>
      </w:r>
    </w:p>
    <w:p w:rsidR="00D6592D" w:rsidRPr="002F1BEE" w:rsidRDefault="00D6592D" w:rsidP="006B796E">
      <w:pPr>
        <w:widowControl w:val="0"/>
        <w:spacing w:after="0" w:line="240" w:lineRule="auto"/>
        <w:jc w:val="both"/>
        <w:rPr>
          <w:rFonts w:ascii="Times New Roman" w:eastAsia="Times New Roman" w:hAnsi="Times New Roman" w:cs="Times New Roman"/>
          <w:b/>
          <w:bCs/>
          <w:sz w:val="28"/>
          <w:szCs w:val="28"/>
          <w:lang w:eastAsia="lv-LV"/>
        </w:rPr>
      </w:pPr>
      <w:r w:rsidRPr="002F1BEE">
        <w:rPr>
          <w:rFonts w:ascii="Times New Roman" w:eastAsia="Times New Roman" w:hAnsi="Times New Roman" w:cs="Times New Roman"/>
          <w:b/>
          <w:bCs/>
          <w:sz w:val="28"/>
          <w:szCs w:val="28"/>
          <w:lang w:eastAsia="lv-LV"/>
        </w:rPr>
        <w:lastRenderedPageBreak/>
        <w:t>Piezīmes</w:t>
      </w:r>
    </w:p>
    <w:p w:rsidR="00F253CE" w:rsidRDefault="00F253CE">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Eiropas Drošības un sadarbības organizācija darbojas stabilitātes, labklājības un demokrātijas veicināšanai 57 valstīs, īstenojot politisko dialogu par kopīgajām vērtībām un īstenojot praktisku darbu, kas rada paliekošas izmaiņas.</w:t>
      </w: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Cilvēku tirdzniecības apkarošanas īpašā pārstāvja un koordinatora birojs</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i/>
          <w:iCs/>
          <w:sz w:val="24"/>
          <w:szCs w:val="24"/>
          <w:lang w:eastAsia="lv-LV"/>
        </w:rPr>
        <w:t>Wallnerstr.</w:t>
      </w:r>
      <w:r w:rsidRPr="006B796E">
        <w:rPr>
          <w:rFonts w:ascii="Times New Roman" w:eastAsia="Times New Roman" w:hAnsi="Times New Roman" w:cs="Times New Roman"/>
          <w:sz w:val="24"/>
          <w:szCs w:val="24"/>
          <w:lang w:eastAsia="lv-LV"/>
        </w:rPr>
        <w:t xml:space="preserve"> 6, 1010 </w:t>
      </w:r>
      <w:r w:rsidRPr="006B796E">
        <w:rPr>
          <w:rFonts w:ascii="Times New Roman" w:eastAsia="Times New Roman" w:hAnsi="Times New Roman" w:cs="Times New Roman"/>
          <w:i/>
          <w:iCs/>
          <w:sz w:val="24"/>
          <w:szCs w:val="24"/>
          <w:lang w:eastAsia="lv-LV"/>
        </w:rPr>
        <w:t>Vienna, Austria</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Tālr.: + 43 1 51436 6664</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Fakss: + 43 1 51436 6299</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e-pasts: info-cthb@osce.org</w:t>
      </w: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www.osce.org/cthb</w:t>
      </w: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2F1BEE" w:rsidRDefault="002F1BE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r w:rsidRPr="000E2D02">
        <w:rPr>
          <w:noProof/>
          <w:sz w:val="24"/>
          <w:szCs w:val="24"/>
          <w:lang w:eastAsia="lv-LV"/>
        </w:rPr>
        <w:drawing>
          <wp:inline distT="0" distB="0" distL="0" distR="0">
            <wp:extent cx="2993390" cy="440055"/>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3390" cy="440055"/>
                    </a:xfrm>
                    <a:prstGeom prst="rect">
                      <a:avLst/>
                    </a:prstGeom>
                    <a:noFill/>
                    <a:ln>
                      <a:noFill/>
                    </a:ln>
                  </pic:spPr>
                </pic:pic>
              </a:graphicData>
            </a:graphic>
          </wp:inline>
        </w:drawing>
      </w:r>
    </w:p>
    <w:p w:rsidR="00F253CE" w:rsidRDefault="00F253CE" w:rsidP="006B796E">
      <w:pPr>
        <w:widowControl w:val="0"/>
        <w:spacing w:after="0" w:line="240" w:lineRule="auto"/>
        <w:jc w:val="both"/>
        <w:rPr>
          <w:rFonts w:ascii="Times New Roman" w:eastAsia="Times New Roman" w:hAnsi="Times New Roman" w:cs="Times New Roman"/>
          <w:sz w:val="24"/>
          <w:szCs w:val="24"/>
          <w:lang w:eastAsia="lv-LV"/>
        </w:rPr>
      </w:pPr>
    </w:p>
    <w:p w:rsidR="00D6592D" w:rsidRPr="006B796E" w:rsidRDefault="00D6592D" w:rsidP="006B796E">
      <w:pPr>
        <w:widowControl w:val="0"/>
        <w:spacing w:after="0" w:line="240" w:lineRule="auto"/>
        <w:jc w:val="both"/>
        <w:rPr>
          <w:rFonts w:ascii="Times New Roman" w:eastAsia="Times New Roman" w:hAnsi="Times New Roman" w:cs="Times New Roman"/>
          <w:sz w:val="24"/>
          <w:szCs w:val="24"/>
          <w:lang w:eastAsia="lv-LV"/>
        </w:rPr>
      </w:pPr>
      <w:r w:rsidRPr="006B796E">
        <w:rPr>
          <w:rFonts w:ascii="Times New Roman" w:eastAsia="Times New Roman" w:hAnsi="Times New Roman" w:cs="Times New Roman"/>
          <w:sz w:val="24"/>
          <w:szCs w:val="24"/>
          <w:lang w:eastAsia="lv-LV"/>
        </w:rPr>
        <w:t>Eiropas Drošības un sadarbības organizācija</w:t>
      </w:r>
    </w:p>
    <w:p w:rsidR="00C663F0" w:rsidRPr="006B796E" w:rsidRDefault="00C663F0" w:rsidP="006B796E">
      <w:pPr>
        <w:widowControl w:val="0"/>
        <w:spacing w:after="0" w:line="240" w:lineRule="auto"/>
        <w:jc w:val="both"/>
        <w:rPr>
          <w:rFonts w:ascii="Times New Roman" w:hAnsi="Times New Roman"/>
          <w:sz w:val="24"/>
        </w:rPr>
      </w:pPr>
    </w:p>
    <w:sectPr w:rsidR="00C663F0" w:rsidRPr="006B796E" w:rsidSect="006B796E">
      <w:headerReference w:type="default" r:id="rId97"/>
      <w:footerReference w:type="default" r:id="rId98"/>
      <w:headerReference w:type="first" r:id="rId99"/>
      <w:footerReference w:type="first" r:id="rId100"/>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759" w:rsidRDefault="00281759" w:rsidP="00173D80">
      <w:pPr>
        <w:spacing w:after="0" w:line="240" w:lineRule="auto"/>
      </w:pPr>
      <w:r>
        <w:separator/>
      </w:r>
    </w:p>
  </w:endnote>
  <w:endnote w:type="continuationSeparator" w:id="0">
    <w:p w:rsidR="00281759" w:rsidRDefault="00281759" w:rsidP="00173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3CE" w:rsidRPr="00F253CE" w:rsidRDefault="00F253CE" w:rsidP="00F253CE">
    <w:pPr>
      <w:pStyle w:val="Galvene"/>
      <w:widowControl w:val="0"/>
      <w:tabs>
        <w:tab w:val="clear" w:pos="4153"/>
        <w:tab w:val="clear" w:pos="8306"/>
        <w:tab w:val="left" w:pos="9072"/>
      </w:tabs>
      <w:rPr>
        <w:rStyle w:val="Lappusesnumurs"/>
        <w:rFonts w:ascii="Times New Roman" w:hAnsi="Times New Roman" w:cs="Times New Roman"/>
        <w:sz w:val="20"/>
        <w:szCs w:val="18"/>
      </w:rPr>
    </w:pPr>
  </w:p>
  <w:p w:rsidR="00F253CE" w:rsidRPr="00F253CE" w:rsidRDefault="00F253CE" w:rsidP="00F253CE">
    <w:pPr>
      <w:pStyle w:val="Galvene"/>
      <w:widowControl w:val="0"/>
      <w:tabs>
        <w:tab w:val="clear" w:pos="4153"/>
        <w:tab w:val="clear" w:pos="8306"/>
        <w:tab w:val="right" w:leader="underscore" w:pos="9072"/>
      </w:tabs>
      <w:rPr>
        <w:rStyle w:val="Lappusesnumurs"/>
        <w:rFonts w:ascii="Times New Roman" w:hAnsi="Times New Roman" w:cs="Times New Roman"/>
        <w:sz w:val="20"/>
        <w:szCs w:val="18"/>
      </w:rPr>
    </w:pPr>
    <w:r w:rsidRPr="00F253CE">
      <w:rPr>
        <w:rStyle w:val="Lappusesnumurs"/>
        <w:rFonts w:ascii="Times New Roman" w:hAnsi="Times New Roman" w:cs="Times New Roman"/>
        <w:sz w:val="20"/>
        <w:szCs w:val="18"/>
      </w:rPr>
      <w:tab/>
    </w:r>
  </w:p>
  <w:p w:rsidR="00F253CE" w:rsidRPr="00F253CE" w:rsidRDefault="00F253CE" w:rsidP="00F253CE">
    <w:pPr>
      <w:pStyle w:val="Galvene"/>
      <w:widowControl w:val="0"/>
      <w:tabs>
        <w:tab w:val="clear" w:pos="4153"/>
        <w:tab w:val="clear" w:pos="8306"/>
        <w:tab w:val="right" w:pos="9072"/>
      </w:tabs>
      <w:rPr>
        <w:rStyle w:val="Lappusesnumurs"/>
        <w:rFonts w:ascii="Times New Roman" w:hAnsi="Times New Roman" w:cs="Times New Roman"/>
        <w:sz w:val="20"/>
        <w:szCs w:val="18"/>
      </w:rPr>
    </w:pPr>
  </w:p>
  <w:p w:rsidR="00F253CE" w:rsidRPr="00F253CE" w:rsidRDefault="00F253CE" w:rsidP="00F253CE">
    <w:pPr>
      <w:pStyle w:val="Kjene"/>
      <w:widowControl w:val="0"/>
      <w:tabs>
        <w:tab w:val="clear" w:pos="4153"/>
        <w:tab w:val="clear" w:pos="8306"/>
        <w:tab w:val="right" w:pos="9072"/>
      </w:tabs>
      <w:rPr>
        <w:rFonts w:ascii="Times New Roman" w:hAnsi="Times New Roman" w:cs="Times New Roman"/>
        <w:sz w:val="20"/>
        <w:szCs w:val="18"/>
      </w:rPr>
    </w:pPr>
    <w:r w:rsidRPr="00F253CE">
      <w:rPr>
        <w:rFonts w:ascii="Times New Roman" w:hAnsi="Times New Roman" w:cs="Times New Roman"/>
        <w:noProof/>
        <w:sz w:val="20"/>
        <w:szCs w:val="18"/>
      </w:rPr>
      <w:t xml:space="preserve">Tulkojums </w:t>
    </w:r>
    <w:r w:rsidRPr="00F253CE">
      <w:rPr>
        <w:rFonts w:ascii="Times New Roman" w:hAnsi="Times New Roman" w:cs="Times New Roman"/>
        <w:noProof/>
        <w:sz w:val="20"/>
        <w:szCs w:val="18"/>
      </w:rPr>
      <w:fldChar w:fldCharType="begin"/>
    </w:r>
    <w:r w:rsidRPr="00F253CE">
      <w:rPr>
        <w:rFonts w:ascii="Times New Roman" w:hAnsi="Times New Roman" w:cs="Times New Roman"/>
        <w:noProof/>
        <w:sz w:val="20"/>
        <w:szCs w:val="18"/>
      </w:rPr>
      <w:instrText>symbol 211 \f "Symbol" \s 9</w:instrText>
    </w:r>
    <w:r w:rsidRPr="00F253CE">
      <w:rPr>
        <w:rFonts w:ascii="Times New Roman" w:hAnsi="Times New Roman" w:cs="Times New Roman"/>
        <w:noProof/>
        <w:sz w:val="20"/>
        <w:szCs w:val="18"/>
      </w:rPr>
      <w:fldChar w:fldCharType="separate"/>
    </w:r>
    <w:r w:rsidRPr="00F253CE">
      <w:rPr>
        <w:rFonts w:ascii="Times New Roman" w:hAnsi="Times New Roman" w:cs="Times New Roman"/>
        <w:noProof/>
        <w:sz w:val="20"/>
        <w:szCs w:val="18"/>
      </w:rPr>
      <w:t>Ó</w:t>
    </w:r>
    <w:r w:rsidRPr="00F253CE">
      <w:rPr>
        <w:rFonts w:ascii="Times New Roman" w:hAnsi="Times New Roman" w:cs="Times New Roman"/>
        <w:noProof/>
        <w:sz w:val="20"/>
        <w:szCs w:val="18"/>
      </w:rPr>
      <w:fldChar w:fldCharType="end"/>
    </w:r>
    <w:r w:rsidRPr="00F253CE">
      <w:rPr>
        <w:rFonts w:ascii="Times New Roman" w:hAnsi="Times New Roman" w:cs="Times New Roman"/>
        <w:noProof/>
        <w:sz w:val="20"/>
        <w:szCs w:val="18"/>
      </w:rPr>
      <w:t xml:space="preserve"> Valsts valodas centrs, 2019</w:t>
    </w:r>
    <w:r w:rsidRPr="00F253CE">
      <w:rPr>
        <w:rFonts w:ascii="Times New Roman" w:hAnsi="Times New Roman" w:cs="Times New Roman"/>
        <w:sz w:val="20"/>
        <w:szCs w:val="18"/>
      </w:rPr>
      <w:tab/>
    </w:r>
    <w:r w:rsidRPr="00F253CE">
      <w:rPr>
        <w:rStyle w:val="Lappusesnumurs"/>
        <w:rFonts w:ascii="Times New Roman" w:hAnsi="Times New Roman" w:cs="Times New Roman"/>
        <w:sz w:val="20"/>
        <w:szCs w:val="18"/>
      </w:rPr>
      <w:fldChar w:fldCharType="begin"/>
    </w:r>
    <w:r w:rsidRPr="00F253CE">
      <w:rPr>
        <w:rStyle w:val="Lappusesnumurs"/>
        <w:rFonts w:ascii="Times New Roman" w:hAnsi="Times New Roman" w:cs="Times New Roman"/>
        <w:sz w:val="20"/>
        <w:szCs w:val="18"/>
      </w:rPr>
      <w:instrText xml:space="preserve">page </w:instrText>
    </w:r>
    <w:r w:rsidRPr="00F253CE">
      <w:rPr>
        <w:rStyle w:val="Lappusesnumurs"/>
        <w:rFonts w:ascii="Times New Roman" w:hAnsi="Times New Roman" w:cs="Times New Roman"/>
        <w:sz w:val="20"/>
        <w:szCs w:val="18"/>
      </w:rPr>
      <w:fldChar w:fldCharType="separate"/>
    </w:r>
    <w:r w:rsidR="00644116">
      <w:rPr>
        <w:rStyle w:val="Lappusesnumurs"/>
        <w:rFonts w:ascii="Times New Roman" w:hAnsi="Times New Roman" w:cs="Times New Roman"/>
        <w:noProof/>
        <w:sz w:val="20"/>
        <w:szCs w:val="18"/>
      </w:rPr>
      <w:t>21</w:t>
    </w:r>
    <w:r w:rsidRPr="00F253CE">
      <w:rPr>
        <w:rStyle w:val="Lappusesnumurs"/>
        <w:rFonts w:ascii="Times New Roman" w:hAnsi="Times New Roman" w:cs="Times New Roman"/>
        <w:sz w:val="20"/>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3CE" w:rsidRPr="00F253CE" w:rsidRDefault="00F253CE" w:rsidP="00F253CE">
    <w:pPr>
      <w:pStyle w:val="Galvene"/>
      <w:tabs>
        <w:tab w:val="clear" w:pos="4153"/>
        <w:tab w:val="clear" w:pos="8306"/>
        <w:tab w:val="left" w:pos="9072"/>
      </w:tabs>
      <w:rPr>
        <w:rStyle w:val="Lappusesnumurs"/>
        <w:rFonts w:ascii="Times New Roman" w:hAnsi="Times New Roman" w:cs="Times New Roman"/>
        <w:sz w:val="20"/>
        <w:szCs w:val="18"/>
      </w:rPr>
    </w:pPr>
    <w:bookmarkStart w:id="11" w:name="_Hlk496261764"/>
    <w:bookmarkStart w:id="12" w:name="_Hlk496261765"/>
    <w:bookmarkStart w:id="13" w:name="_Hlk496261766"/>
  </w:p>
  <w:p w:rsidR="00F253CE" w:rsidRPr="00F253CE" w:rsidRDefault="00F253CE" w:rsidP="00F253CE">
    <w:pPr>
      <w:pStyle w:val="Galvene"/>
      <w:tabs>
        <w:tab w:val="clear" w:pos="4153"/>
        <w:tab w:val="clear" w:pos="8306"/>
        <w:tab w:val="left" w:leader="underscore" w:pos="9072"/>
      </w:tabs>
      <w:rPr>
        <w:rStyle w:val="Lappusesnumurs"/>
        <w:rFonts w:ascii="Times New Roman" w:hAnsi="Times New Roman" w:cs="Times New Roman"/>
        <w:sz w:val="20"/>
        <w:szCs w:val="18"/>
      </w:rPr>
    </w:pPr>
    <w:r w:rsidRPr="00F253CE">
      <w:rPr>
        <w:rStyle w:val="Lappusesnumurs"/>
        <w:rFonts w:ascii="Times New Roman" w:hAnsi="Times New Roman" w:cs="Times New Roman"/>
        <w:sz w:val="20"/>
        <w:szCs w:val="18"/>
      </w:rPr>
      <w:tab/>
    </w:r>
  </w:p>
  <w:p w:rsidR="00F253CE" w:rsidRPr="00F253CE" w:rsidRDefault="00F253CE" w:rsidP="00F253CE">
    <w:pPr>
      <w:pStyle w:val="Galvene"/>
      <w:tabs>
        <w:tab w:val="clear" w:pos="4153"/>
        <w:tab w:val="clear" w:pos="8306"/>
        <w:tab w:val="left" w:pos="9072"/>
      </w:tabs>
      <w:rPr>
        <w:rStyle w:val="Lappusesnumurs"/>
        <w:rFonts w:ascii="Times New Roman" w:hAnsi="Times New Roman" w:cs="Times New Roman"/>
        <w:sz w:val="20"/>
        <w:szCs w:val="18"/>
      </w:rPr>
    </w:pPr>
  </w:p>
  <w:p w:rsidR="00F253CE" w:rsidRPr="00F253CE" w:rsidRDefault="00F253CE" w:rsidP="00F253CE">
    <w:pPr>
      <w:pStyle w:val="Kjene"/>
      <w:rPr>
        <w:rFonts w:ascii="Times New Roman" w:hAnsi="Times New Roman" w:cs="Times New Roman"/>
        <w:sz w:val="20"/>
        <w:szCs w:val="18"/>
      </w:rPr>
    </w:pPr>
    <w:r w:rsidRPr="00F253CE">
      <w:rPr>
        <w:rFonts w:ascii="Times New Roman" w:hAnsi="Times New Roman" w:cs="Times New Roman"/>
        <w:noProof/>
        <w:sz w:val="20"/>
        <w:szCs w:val="18"/>
      </w:rPr>
      <w:t xml:space="preserve">Tulkojums </w:t>
    </w:r>
    <w:r w:rsidRPr="00F253CE">
      <w:rPr>
        <w:rFonts w:ascii="Times New Roman" w:hAnsi="Times New Roman" w:cs="Times New Roman"/>
        <w:noProof/>
        <w:sz w:val="20"/>
        <w:szCs w:val="18"/>
      </w:rPr>
      <w:fldChar w:fldCharType="begin"/>
    </w:r>
    <w:r w:rsidRPr="00F253CE">
      <w:rPr>
        <w:rFonts w:ascii="Times New Roman" w:hAnsi="Times New Roman" w:cs="Times New Roman"/>
        <w:noProof/>
        <w:sz w:val="20"/>
        <w:szCs w:val="18"/>
      </w:rPr>
      <w:instrText>symbol 211 \f "Symbol" \s 9</w:instrText>
    </w:r>
    <w:r w:rsidRPr="00F253CE">
      <w:rPr>
        <w:rFonts w:ascii="Times New Roman" w:hAnsi="Times New Roman" w:cs="Times New Roman"/>
        <w:noProof/>
        <w:sz w:val="20"/>
        <w:szCs w:val="18"/>
      </w:rPr>
      <w:fldChar w:fldCharType="separate"/>
    </w:r>
    <w:r w:rsidRPr="00F253CE">
      <w:rPr>
        <w:rFonts w:ascii="Times New Roman" w:hAnsi="Times New Roman" w:cs="Times New Roman"/>
        <w:noProof/>
        <w:sz w:val="20"/>
        <w:szCs w:val="18"/>
      </w:rPr>
      <w:t>Ó</w:t>
    </w:r>
    <w:r w:rsidRPr="00F253CE">
      <w:rPr>
        <w:rFonts w:ascii="Times New Roman" w:hAnsi="Times New Roman" w:cs="Times New Roman"/>
        <w:noProof/>
        <w:sz w:val="20"/>
        <w:szCs w:val="18"/>
      </w:rPr>
      <w:fldChar w:fldCharType="end"/>
    </w:r>
    <w:r w:rsidRPr="00F253CE">
      <w:rPr>
        <w:rFonts w:ascii="Times New Roman" w:hAnsi="Times New Roman" w:cs="Times New Roman"/>
        <w:noProof/>
        <w:sz w:val="20"/>
        <w:szCs w:val="18"/>
      </w:rPr>
      <w:t xml:space="preserve"> Valsts valodas centrs, 201</w:t>
    </w:r>
    <w:bookmarkEnd w:id="11"/>
    <w:bookmarkEnd w:id="12"/>
    <w:bookmarkEnd w:id="13"/>
    <w:r w:rsidRPr="00F253CE">
      <w:rPr>
        <w:rFonts w:ascii="Times New Roman" w:hAnsi="Times New Roman" w:cs="Times New Roman"/>
        <w:noProof/>
        <w:sz w:val="20"/>
        <w:szCs w:val="18"/>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759" w:rsidRDefault="00281759" w:rsidP="00173D80">
      <w:pPr>
        <w:spacing w:after="0" w:line="240" w:lineRule="auto"/>
      </w:pPr>
      <w:r>
        <w:separator/>
      </w:r>
    </w:p>
  </w:footnote>
  <w:footnote w:type="continuationSeparator" w:id="0">
    <w:p w:rsidR="00281759" w:rsidRDefault="00281759" w:rsidP="00173D80">
      <w:pPr>
        <w:spacing w:after="0" w:line="240" w:lineRule="auto"/>
      </w:pPr>
      <w:r>
        <w:continuationSeparator/>
      </w:r>
    </w:p>
  </w:footnote>
  <w:footnote w:id="1">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footnoteRef/>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Kā noteikts ANO Bērnu tiesību konvencijā (1989), jēdziens “bērns” attiecas uz ikvienu, kas ir jaunāks par 18 gadiem (tas ir, arī uz pusaudžiem līdz 18 gadu vecumam), nevis juridiskais termins “nepilngadīgais”, kas parasti tika izmantots pirms Konvencijas pieņemšanas un ko joprojām izmanto dažos reģionos kā atsauci uz visiem bērniem vai uz bērniem līdz noteiktam vecumam.</w:t>
      </w:r>
    </w:p>
  </w:footnote>
  <w:footnote w:id="2">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footnoteRef/>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 xml:space="preserve">Bērniem, kas ir cilvēku tirdzniecības upuri, individuāli izstrādātos risinājumus EDSO, </w:t>
      </w:r>
      <w:r w:rsidRPr="00F253CE">
        <w:rPr>
          <w:rFonts w:ascii="Times New Roman" w:eastAsia="Times New Roman" w:hAnsi="Times New Roman" w:cs="Times New Roman"/>
          <w:i/>
          <w:iCs/>
          <w:sz w:val="20"/>
          <w:szCs w:val="20"/>
          <w:lang w:eastAsia="lv-LV"/>
        </w:rPr>
        <w:t>UNICEF</w:t>
      </w:r>
      <w:r w:rsidRPr="00F253CE">
        <w:rPr>
          <w:rFonts w:ascii="Times New Roman" w:eastAsia="Times New Roman" w:hAnsi="Times New Roman" w:cs="Times New Roman"/>
          <w:sz w:val="20"/>
          <w:szCs w:val="20"/>
          <w:lang w:eastAsia="lv-LV"/>
        </w:rPr>
        <w:t xml:space="preserve"> un citi agrāk parasti dēvēja par “pastāvīgiem risinājumiem”. Jaunajā vispārējā komentārā, kas tika pieņemts 2017. gada novembrī, Bērnu tiesību komiteja kopā ar otru līguma izpildes uzraudzības ANO struktūru izvēlējās šos risinājumus dēvēt par “visaptverošiem, drošiem un ilgtspējīgiem risinājumiem” nepavadītiem bērniem un bērniem ar ģimenēm. Sk. Kopīgo vispārējo komentāru Nr. 3 (2017), ko sniegusi Visu migrējošo darba ņēmēju un viņu ģimenes locekļu tiesību aizsardzības komiteja, un Nr. 22 (2017), ko sniegusi Bērnu tiesību komiteja par vispārējiem principiem saistībā ar bērnu cilvēktiesībām starptautiskās migrācijas kontekstā (ANO dok. CMW/C/GC/3-CRC/C/GC/22 (2017. gada 16. novembris), 32.j punkts, pilnībā citēts 1. pielikumā.</w:t>
      </w:r>
    </w:p>
  </w:footnote>
  <w:footnote w:id="3">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footnoteRef/>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Cilvēku tirdzniecības apkarošanas īpašā pārstāvja un koordinatora birojs, 2016. gada apsekošanas ziņojums par centieniem īstenot EDSO saistības un ieteiktos pasākumus cīņai pret cilvēku tirdzniecību [</w:t>
      </w:r>
      <w:r w:rsidRPr="00F253CE">
        <w:rPr>
          <w:rFonts w:ascii="Times New Roman" w:eastAsia="Times New Roman" w:hAnsi="Times New Roman" w:cs="Times New Roman"/>
          <w:i/>
          <w:iCs/>
          <w:sz w:val="20"/>
          <w:szCs w:val="20"/>
          <w:lang w:eastAsia="lv-LV"/>
        </w:rPr>
        <w:t>Survey Report 2016 of Efforts to Implement OSCE Commitments and Recommended Actions to Combat Trafficking in Human Beings</w:t>
      </w:r>
      <w:r w:rsidRPr="00F253CE">
        <w:rPr>
          <w:rFonts w:ascii="Times New Roman" w:eastAsia="Times New Roman" w:hAnsi="Times New Roman" w:cs="Times New Roman"/>
          <w:sz w:val="20"/>
          <w:szCs w:val="20"/>
          <w:lang w:eastAsia="lv-LV"/>
        </w:rPr>
        <w:t>], EDSO, 2016, 21. lpp. (Ieteikumi, kā reaģēt uz bērnu tirdzniecību).</w:t>
      </w:r>
    </w:p>
  </w:footnote>
  <w:footnote w:id="4">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footnoteRef/>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Jo īpaši turpmāk minētie posmi saistībā ar bērna aizsardzību, kurš, domājams, kļuvis par cilvēku tirdzniecības upuri:</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a) identificēšana (tostarp pasākumi, lai novērstu to, ka bērns, kas ir cilvēku tirdzniecības upuris, tiek nepareizi identificēts vai netiek identificēts par cilvēku tirdzniecībā cietušo);</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b) atbrīvošana no cilvēku tirgotāju vai ekspluatētāju kontroles;</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c) sākotnējā (“ārkārtas”) aizsardzība un palīdzība;</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d) vecuma novērtēšana;</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e) aizbildņa iecelšana nepavadītiem vai nošķirtiem bērniem;</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f) tiesībaizsardzības izmeklēšanas procedūras – iztaujāšana un liecības, ko cietušais bērns sniedzis policijai, prokuroram vai tiesai, un aizsardzība visā jebkāda tiesas procesa gaitā.</w:t>
      </w:r>
    </w:p>
  </w:footnote>
  <w:footnote w:id="5">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footnoteRef/>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 xml:space="preserve">Laikā, kad tika publicēta </w:t>
      </w:r>
      <w:r w:rsidRPr="00F253CE">
        <w:rPr>
          <w:rFonts w:ascii="Times New Roman" w:eastAsia="Times New Roman" w:hAnsi="Times New Roman" w:cs="Times New Roman"/>
          <w:i/>
          <w:iCs/>
          <w:sz w:val="20"/>
          <w:szCs w:val="20"/>
          <w:lang w:eastAsia="lv-LV"/>
        </w:rPr>
        <w:t>ODIHR</w:t>
      </w:r>
      <w:r w:rsidRPr="00F253CE">
        <w:rPr>
          <w:rFonts w:ascii="Times New Roman" w:eastAsia="Times New Roman" w:hAnsi="Times New Roman" w:cs="Times New Roman"/>
          <w:sz w:val="20"/>
          <w:szCs w:val="20"/>
          <w:lang w:eastAsia="lv-LV"/>
        </w:rPr>
        <w:t xml:space="preserve"> Rokasgrāmata par mehānismu cietušo nosūtīšanai uz atbalsta dienestiem, tajā nebija “pievērsta īpaša uzmanība bērnu, kas ir cilvēku tirdzniecības upuri, situācijai, lai arī šī grupa bieži vien ir svarīga mērķauditorija, uz kuru vērsts šāda mehānisma darbs.”</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xml:space="preserve">Sk. </w:t>
      </w:r>
      <w:r w:rsidRPr="00F253CE">
        <w:rPr>
          <w:rFonts w:ascii="Times New Roman" w:eastAsia="Times New Roman" w:hAnsi="Times New Roman" w:cs="Times New Roman"/>
          <w:i/>
          <w:iCs/>
          <w:sz w:val="20"/>
          <w:szCs w:val="20"/>
          <w:lang w:eastAsia="lv-LV"/>
        </w:rPr>
        <w:t>ODIHR</w:t>
      </w:r>
      <w:r w:rsidRPr="00F253CE">
        <w:rPr>
          <w:rFonts w:ascii="Times New Roman" w:eastAsia="Times New Roman" w:hAnsi="Times New Roman" w:cs="Times New Roman"/>
          <w:sz w:val="20"/>
          <w:szCs w:val="20"/>
          <w:lang w:eastAsia="lv-LV"/>
        </w:rPr>
        <w:t>, Praktiska rokasgrāmata. Nacionālais mehānisms cietušo nosūtīšanai – kopēji centieni aizsargāt cilvēku tirdzniecībā cietušu personu tiesības [</w:t>
      </w:r>
      <w:r w:rsidRPr="00F253CE">
        <w:rPr>
          <w:rFonts w:ascii="Times New Roman" w:eastAsia="Times New Roman" w:hAnsi="Times New Roman" w:cs="Times New Roman"/>
          <w:i/>
          <w:iCs/>
          <w:sz w:val="20"/>
          <w:szCs w:val="20"/>
          <w:lang w:eastAsia="lv-LV"/>
        </w:rPr>
        <w:t>ODIHR, National Referral Mechanisms – Joining Efforts to Protect the Rights of Trafficked Persons:</w:t>
      </w:r>
      <w:r w:rsidRPr="00F253CE">
        <w:rPr>
          <w:rFonts w:ascii="Times New Roman" w:eastAsia="Times New Roman" w:hAnsi="Times New Roman" w:cs="Times New Roman"/>
          <w:sz w:val="20"/>
          <w:szCs w:val="20"/>
          <w:lang w:eastAsia="lv-LV"/>
        </w:rPr>
        <w:t> </w:t>
      </w:r>
      <w:r w:rsidRPr="00F253CE">
        <w:rPr>
          <w:rFonts w:ascii="Times New Roman" w:eastAsia="Times New Roman" w:hAnsi="Times New Roman" w:cs="Times New Roman"/>
          <w:i/>
          <w:iCs/>
          <w:sz w:val="20"/>
          <w:szCs w:val="20"/>
          <w:lang w:eastAsia="lv-LV"/>
        </w:rPr>
        <w:t>A Practical Handbook</w:t>
      </w:r>
      <w:r w:rsidRPr="00F253CE">
        <w:rPr>
          <w:rFonts w:ascii="Times New Roman" w:eastAsia="Times New Roman" w:hAnsi="Times New Roman" w:cs="Times New Roman"/>
          <w:sz w:val="20"/>
          <w:szCs w:val="20"/>
          <w:lang w:eastAsia="lv-LV"/>
        </w:rPr>
        <w:t>] (2004).</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Pieejams: https://www.osce.org/odihr/13967 (piekļūts 2018. gada 17. jūlijā).</w:t>
      </w:r>
    </w:p>
  </w:footnote>
  <w:footnote w:id="6">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footnoteRef/>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UNICEF, What is Child Protection?</w:t>
      </w:r>
      <w:r w:rsidRPr="00F253CE">
        <w:rPr>
          <w:rFonts w:ascii="Times New Roman" w:eastAsia="Times New Roman" w:hAnsi="Times New Roman" w:cs="Times New Roman"/>
          <w:sz w:val="20"/>
          <w:szCs w:val="20"/>
          <w:lang w:eastAsia="lv-LV"/>
        </w:rPr>
        <w:t> Informatīvā lapa par bērnu aizsardzību (2006).</w:t>
      </w:r>
    </w:p>
    <w:p w:rsidR="00281759" w:rsidRPr="00F253CE" w:rsidRDefault="00281759" w:rsidP="00F253CE">
      <w:pPr>
        <w:pStyle w:val="Vresteksts"/>
        <w:jc w:val="both"/>
        <w:rPr>
          <w:rFonts w:ascii="Times New Roman" w:hAnsi="Times New Roman" w:cs="Times New Roman"/>
        </w:rPr>
      </w:pPr>
      <w:r w:rsidRPr="00F253CE">
        <w:rPr>
          <w:rFonts w:ascii="Times New Roman" w:eastAsia="Times New Roman" w:hAnsi="Times New Roman" w:cs="Times New Roman"/>
          <w:lang w:eastAsia="lv-LV"/>
        </w:rPr>
        <w:t>https://www.unicef.org/protection/files/What_is_Child_Protection.pdf.</w:t>
      </w:r>
    </w:p>
  </w:footnote>
  <w:footnote w:id="7">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footnoteRef/>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UNICEF</w:t>
      </w:r>
      <w:r w:rsidRPr="00F253CE">
        <w:rPr>
          <w:rFonts w:ascii="Times New Roman" w:eastAsia="Times New Roman" w:hAnsi="Times New Roman" w:cs="Times New Roman"/>
          <w:sz w:val="20"/>
          <w:szCs w:val="20"/>
          <w:lang w:eastAsia="lv-LV"/>
        </w:rPr>
        <w:t>, “</w:t>
      </w:r>
      <w:r w:rsidRPr="00F253CE">
        <w:rPr>
          <w:rFonts w:ascii="Times New Roman" w:eastAsia="Times New Roman" w:hAnsi="Times New Roman" w:cs="Times New Roman"/>
          <w:i/>
          <w:iCs/>
          <w:sz w:val="20"/>
          <w:szCs w:val="20"/>
          <w:lang w:eastAsia="lv-LV"/>
        </w:rPr>
        <w:t>UNICEF’s approach to child protection</w:t>
      </w:r>
      <w:r w:rsidRPr="00F253CE">
        <w:rPr>
          <w:rFonts w:ascii="Times New Roman" w:eastAsia="Times New Roman" w:hAnsi="Times New Roman" w:cs="Times New Roman"/>
          <w:sz w:val="20"/>
          <w:szCs w:val="20"/>
          <w:lang w:eastAsia="lv-LV"/>
        </w:rPr>
        <w:t>”. </w:t>
      </w:r>
      <w:r w:rsidRPr="00F253CE">
        <w:rPr>
          <w:rFonts w:ascii="Times New Roman" w:eastAsia="Times New Roman" w:hAnsi="Times New Roman" w:cs="Times New Roman"/>
          <w:i/>
          <w:iCs/>
          <w:sz w:val="20"/>
          <w:szCs w:val="20"/>
          <w:lang w:eastAsia="lv-LV"/>
        </w:rPr>
        <w:t>Child protection from violence, exploitation and abuse.</w:t>
      </w:r>
      <w:r w:rsidRPr="00F253CE">
        <w:rPr>
          <w:rFonts w:ascii="Times New Roman" w:eastAsia="Times New Roman" w:hAnsi="Times New Roman" w:cs="Times New Roman"/>
          <w:sz w:val="20"/>
          <w:szCs w:val="20"/>
          <w:lang w:eastAsia="lv-LV"/>
        </w:rPr>
        <w:t> Atjaunināts 2017. gada 28. novembrī.</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https://www.unicef.org/protection/57929_57990.html. </w:t>
      </w:r>
      <w:r w:rsidRPr="00F253CE">
        <w:rPr>
          <w:rFonts w:ascii="Times New Roman" w:eastAsia="Times New Roman" w:hAnsi="Times New Roman" w:cs="Times New Roman"/>
          <w:i/>
          <w:iCs/>
          <w:sz w:val="20"/>
          <w:szCs w:val="20"/>
          <w:lang w:eastAsia="lv-LV"/>
        </w:rPr>
        <w:t>UNICEF</w:t>
      </w:r>
      <w:r w:rsidRPr="00F253CE">
        <w:rPr>
          <w:rFonts w:ascii="Times New Roman" w:eastAsia="Times New Roman" w:hAnsi="Times New Roman" w:cs="Times New Roman"/>
          <w:sz w:val="20"/>
          <w:szCs w:val="20"/>
          <w:lang w:eastAsia="lv-LV"/>
        </w:rPr>
        <w:t xml:space="preserve"> veicina visu bērnu aizsardzības sistēmas komponentu – cilvēkresursu, finanšu, likumu, standartu, pārvaldības, monitoringa un dienestu – stiprināšanu. Atkarībā no valsts konteksta bērnu aizsardzības sistēmas var ietvert sociālās labklājības, izglītības, veselības un drošības nozaru jomas.</w:t>
      </w:r>
    </w:p>
  </w:footnote>
  <w:footnote w:id="8">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footnoteRef/>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EDSO Demokrātisko institūciju un cilvēktiesību birojs (</w:t>
      </w:r>
      <w:r w:rsidRPr="00F253CE">
        <w:rPr>
          <w:rFonts w:ascii="Times New Roman" w:eastAsia="Times New Roman" w:hAnsi="Times New Roman" w:cs="Times New Roman"/>
          <w:i/>
          <w:iCs/>
          <w:sz w:val="20"/>
          <w:szCs w:val="20"/>
          <w:lang w:eastAsia="lv-LV"/>
        </w:rPr>
        <w:t>ODIHR</w:t>
      </w:r>
      <w:r w:rsidRPr="00F253CE">
        <w:rPr>
          <w:rFonts w:ascii="Times New Roman" w:eastAsia="Times New Roman" w:hAnsi="Times New Roman" w:cs="Times New Roman"/>
          <w:sz w:val="20"/>
          <w:szCs w:val="20"/>
          <w:lang w:eastAsia="lv-LV"/>
        </w:rPr>
        <w:t>), Praktiska rokasgrāmata. Nacionālais mehānisms cietušo nosūtīšanai – kopēji centieni aizsargāt cilvēku tirdzniecībā cietušu personu tiesības [</w:t>
      </w:r>
      <w:r w:rsidRPr="00F253CE">
        <w:rPr>
          <w:rFonts w:ascii="Times New Roman" w:eastAsia="Times New Roman" w:hAnsi="Times New Roman" w:cs="Times New Roman"/>
          <w:i/>
          <w:iCs/>
          <w:sz w:val="20"/>
          <w:szCs w:val="20"/>
          <w:lang w:eastAsia="lv-LV"/>
        </w:rPr>
        <w:t>National Referral Mechanisms – Joining Efforts to Protect the Rights of Trafficked Persons</w:t>
      </w:r>
      <w:r w:rsidRPr="00F253CE">
        <w:rPr>
          <w:rFonts w:ascii="Times New Roman" w:eastAsia="Times New Roman" w:hAnsi="Times New Roman" w:cs="Times New Roman"/>
          <w:sz w:val="20"/>
          <w:szCs w:val="20"/>
          <w:lang w:eastAsia="lv-LV"/>
        </w:rPr>
        <w:t>: </w:t>
      </w:r>
      <w:r w:rsidRPr="00F253CE">
        <w:rPr>
          <w:rFonts w:ascii="Times New Roman" w:eastAsia="Times New Roman" w:hAnsi="Times New Roman" w:cs="Times New Roman"/>
          <w:i/>
          <w:iCs/>
          <w:sz w:val="20"/>
          <w:szCs w:val="20"/>
          <w:lang w:eastAsia="lv-LV"/>
        </w:rPr>
        <w:t>A Practical Handbook</w:t>
      </w:r>
      <w:r w:rsidRPr="00F253CE">
        <w:rPr>
          <w:rFonts w:ascii="Times New Roman" w:eastAsia="Times New Roman" w:hAnsi="Times New Roman" w:cs="Times New Roman"/>
          <w:sz w:val="20"/>
          <w:szCs w:val="20"/>
          <w:lang w:eastAsia="lv-LV"/>
        </w:rPr>
        <w:t xml:space="preserve">], EDSO </w:t>
      </w:r>
      <w:r w:rsidRPr="00F253CE">
        <w:rPr>
          <w:rFonts w:ascii="Times New Roman" w:eastAsia="Times New Roman" w:hAnsi="Times New Roman" w:cs="Times New Roman"/>
          <w:i/>
          <w:iCs/>
          <w:sz w:val="20"/>
          <w:szCs w:val="20"/>
          <w:lang w:eastAsia="lv-LV"/>
        </w:rPr>
        <w:t>ODIHR</w:t>
      </w:r>
      <w:r w:rsidRPr="00F253CE">
        <w:rPr>
          <w:rFonts w:ascii="Times New Roman" w:eastAsia="Times New Roman" w:hAnsi="Times New Roman" w:cs="Times New Roman"/>
          <w:sz w:val="20"/>
          <w:szCs w:val="20"/>
          <w:lang w:eastAsia="lv-LV"/>
        </w:rPr>
        <w:t xml:space="preserve"> (Varšava, 2004), 17. lpp.</w:t>
      </w:r>
    </w:p>
  </w:footnote>
  <w:footnote w:id="9">
    <w:p w:rsidR="00281759" w:rsidRPr="00F253CE" w:rsidRDefault="00281759" w:rsidP="00F253CE">
      <w:pPr>
        <w:pStyle w:val="Vresteksts"/>
        <w:jc w:val="both"/>
        <w:rPr>
          <w:rFonts w:ascii="Times New Roman" w:hAnsi="Times New Roman" w:cs="Times New Roman"/>
        </w:rPr>
      </w:pPr>
      <w:r w:rsidRPr="00F253CE">
        <w:rPr>
          <w:rStyle w:val="Vresatsauce"/>
          <w:rFonts w:ascii="Times New Roman" w:hAnsi="Times New Roman" w:cs="Times New Roman"/>
        </w:rPr>
        <w:footnoteRef/>
      </w:r>
      <w:r w:rsidRPr="00F253CE">
        <w:rPr>
          <w:rFonts w:ascii="Times New Roman" w:hAnsi="Times New Roman" w:cs="Times New Roman"/>
        </w:rPr>
        <w:t xml:space="preserve"> </w:t>
      </w:r>
      <w:r w:rsidRPr="00F253CE">
        <w:rPr>
          <w:rFonts w:ascii="Times New Roman" w:eastAsia="Times New Roman" w:hAnsi="Times New Roman" w:cs="Times New Roman"/>
          <w:lang w:eastAsia="lv-LV"/>
        </w:rPr>
        <w:t>Sk. terminu lietojumu ANO Protokola par cilvēku tirdzniecību 3. pantā.</w:t>
      </w:r>
    </w:p>
  </w:footnote>
  <w:footnote w:id="10">
    <w:p w:rsidR="00281759" w:rsidRPr="00F253CE" w:rsidRDefault="00281759" w:rsidP="00F253CE">
      <w:pPr>
        <w:pStyle w:val="Vresteksts"/>
        <w:jc w:val="both"/>
        <w:rPr>
          <w:rFonts w:ascii="Times New Roman" w:hAnsi="Times New Roman" w:cs="Times New Roman"/>
        </w:rPr>
      </w:pPr>
      <w:r w:rsidRPr="00F253CE">
        <w:rPr>
          <w:rStyle w:val="Vresatsauce"/>
          <w:rFonts w:ascii="Times New Roman" w:hAnsi="Times New Roman" w:cs="Times New Roman"/>
        </w:rPr>
        <w:footnoteRef/>
      </w:r>
      <w:r w:rsidRPr="00F253CE">
        <w:rPr>
          <w:rFonts w:ascii="Times New Roman" w:hAnsi="Times New Roman" w:cs="Times New Roman"/>
        </w:rPr>
        <w:t xml:space="preserve"> </w:t>
      </w:r>
      <w:r w:rsidRPr="00F253CE">
        <w:rPr>
          <w:rFonts w:ascii="Times New Roman" w:eastAsia="Times New Roman" w:hAnsi="Times New Roman" w:cs="Times New Roman"/>
          <w:lang w:eastAsia="lv-LV"/>
        </w:rPr>
        <w:t>Citu personu prostitūcija bija iepriekšējās 1949. gada ANO konvencijas priekšmets. Piespiedu darbs ir divu Starptautiskās Darba organizācijas (SDO) konvenciju priekšmets. Verdzība vai verdzībai līdzīgas darbības ir divu ANO konvenciju priekšmets. Orgānu izņemšana komerciāliem mērķiem ir Pasaules Veselības asamblejas (PVO) piezīmes priekšmets.</w:t>
      </w:r>
    </w:p>
  </w:footnote>
  <w:footnote w:id="11">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footnoteRef/>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UNICEF</w:t>
      </w:r>
      <w:r w:rsidRPr="00F253CE">
        <w:rPr>
          <w:rFonts w:ascii="Times New Roman" w:eastAsia="Times New Roman" w:hAnsi="Times New Roman" w:cs="Times New Roman"/>
          <w:sz w:val="20"/>
          <w:szCs w:val="20"/>
          <w:lang w:eastAsia="lv-LV"/>
        </w:rPr>
        <w:t xml:space="preserve"> Rokasgrāmata par bērnu – cilvēku tirdzniecības upuru – tiesību aizsardzību Eiropā [</w:t>
      </w:r>
      <w:r w:rsidRPr="00F253CE">
        <w:rPr>
          <w:rFonts w:ascii="Times New Roman" w:eastAsia="Times New Roman" w:hAnsi="Times New Roman" w:cs="Times New Roman"/>
          <w:i/>
          <w:iCs/>
          <w:sz w:val="20"/>
          <w:szCs w:val="20"/>
          <w:lang w:eastAsia="lv-LV"/>
        </w:rPr>
        <w:t>UNICEF, Reference Guide on Protecting the Rights of Child Victims of Trafficking in Europe</w:t>
      </w:r>
      <w:r w:rsidRPr="00F253CE">
        <w:rPr>
          <w:rFonts w:ascii="Times New Roman" w:eastAsia="Times New Roman" w:hAnsi="Times New Roman" w:cs="Times New Roman"/>
          <w:sz w:val="20"/>
          <w:szCs w:val="20"/>
          <w:lang w:eastAsia="lv-LV"/>
        </w:rPr>
        <w:t xml:space="preserve">] (Ženēva, </w:t>
      </w:r>
      <w:r w:rsidRPr="00F253CE">
        <w:rPr>
          <w:rFonts w:ascii="Times New Roman" w:eastAsia="Times New Roman" w:hAnsi="Times New Roman" w:cs="Times New Roman"/>
          <w:i/>
          <w:iCs/>
          <w:sz w:val="20"/>
          <w:szCs w:val="20"/>
          <w:lang w:eastAsia="lv-LV"/>
        </w:rPr>
        <w:t>UNICEF CEE/CIS</w:t>
      </w:r>
      <w:r w:rsidRPr="00F253CE">
        <w:rPr>
          <w:rFonts w:ascii="Times New Roman" w:eastAsia="Times New Roman" w:hAnsi="Times New Roman" w:cs="Times New Roman"/>
          <w:sz w:val="20"/>
          <w:szCs w:val="20"/>
          <w:lang w:eastAsia="lv-LV"/>
        </w:rPr>
        <w:t xml:space="preserve"> birojs, 2006), 14. lpp., http://www.unicef.org/ceecis/protection_4440.html.</w:t>
      </w:r>
    </w:p>
  </w:footnote>
  <w:footnote w:id="12">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footnoteRef/>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Bērnu tiesību komitejas Vispārējais komentārs Nr. 6 (2005) “Rīcība attiecībā uz nepavadītiem un nošķirtiem bērniem ārpus viņu izcelsmes valsts”, ANO dok. CRC/GC/2005/6 (2005. gada 1. septembris).</w:t>
      </w:r>
    </w:p>
  </w:footnote>
  <w:footnote w:id="13">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footnoteRef/>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Kopīgais vispārējais komentārs Nr. 3 (2017), ko sniegusi Visu migrējošo darba ņēmēju un viņu ģimenes locekļu tiesību aizsardzības komiteja, un Nr. 22 (2017), ko sniegusi Bērnu tiesību komiteja par vispārējiem principiem saistībā ar bērnu cilvēktiesībām starptautiskās migrācijas kontekstā, ANO dok. CMW/C/GC/3-CRC/C/GC/22 (2017. gada 16. novembris),</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kā arī abu šo komiteju Kopīgais vispārējais komentārs Nr. 4 (2017), ko sniegusi Visu migrējošo darba ņēmēju un viņu ģimenes locekļu tiesību aizsardzības komiteja, un Nr. 23 (2017), ko sniegusi Bērnu tiesību komiteja par valsts pienākumiem attiecībā uz bērnu cilvēktiesībām saistībā ar starptautisko migrāciju izcelsmes, tranzīta, galamērķa un atpakaļnosūtīšanas valstīs, ANO dok. CMW/C/GC/4-CRC/C/GC/23 (2017. gada 16. novembris).</w:t>
      </w:r>
    </w:p>
  </w:footnote>
  <w:footnote w:id="14">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footnoteRef/>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Bērnu tiesību komitejas Vispārējais komentārs Nr. 14 (2013) par bērnu tiesībām uz to, lai primārais apsvērums būtu viņu intereses (3. panta 1. punkts), ANO dok. CRC/C/GC14 (2013. gada 29. maijs).</w:t>
      </w:r>
    </w:p>
  </w:footnote>
  <w:footnote w:id="15">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footnoteRef/>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Bērnu tiesību komitejas Vispārējais komentārs Nr. 12 (2009) “Bērna tiesības tikt uzklausītam”, ANO dok. CRC/C/GC/12 (2009. gada 1. jūlijs).</w:t>
      </w:r>
    </w:p>
  </w:footnote>
  <w:footnote w:id="16">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footnoteRef/>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Visu migrējošo darba ņēmēju un viņu ģimenes locekļu tiesību aizsardzības komiteja un Bērnu tiesību komiteja (2017), Kopīgais vispārējais komentārs Nr. 4 (2017), ko sniegusi Visu migrējošo darba ņēmēju un viņu ģimenes locekļu tiesību aizsardzības komiteja, un Nr. 23 (2017), ko sniegusi Bērnu tiesību komiteja par valsts pienākumiem attiecībā uz bērnu cilvēktiesībām saistībā ar starptautisko migrāciju izcelsmes, tranzīta, galamērķa un atpakaļnosūtīšanas valstīs, 43. punkts, ANO dok. CMW/C/GC/4-CRC/C/GC/23 (2017. gada 16. novembris). Kopīgā vispārējā komentāra šajā pašā punktā ir uzsvērts, ka tad, “ja ir pieejami dažādi migrācijas statusi, jāpiešķir tāds statuss, kas sniedz lielāko aizsardzību (t. i., patvērums vai pastāvīga uzturēšanās humānu apsvērumu dēļ), un šāda statusa piešķiršana jānosaka katrā atsevišķā gadījumā saskaņā ar bērna interesēm”, un ir jānodrošina, ka “pastāvīgas uzturēšanās statusa piešķiršana vai palīdzība bērniem migrantiem, kas ir pārdošanas, cilvēku tirdzniecības vai citu seksuālās ekspluatācijas veidu upuri, nedrīkst būt atkarīga no kriminālprocesa ierosināšanas vai šo bērnu sadarbības ar tiesībaizsardzības iestādēm”.</w:t>
      </w:r>
    </w:p>
  </w:footnote>
  <w:footnote w:id="17">
    <w:p w:rsidR="00281759" w:rsidRPr="00F253CE" w:rsidRDefault="00281759" w:rsidP="00F253CE">
      <w:pPr>
        <w:pStyle w:val="Vresteksts"/>
        <w:jc w:val="both"/>
        <w:rPr>
          <w:rFonts w:ascii="Times New Roman" w:hAnsi="Times New Roman" w:cs="Times New Roman"/>
        </w:rPr>
      </w:pPr>
      <w:r w:rsidRPr="00F253CE">
        <w:rPr>
          <w:rStyle w:val="Vresatsauce"/>
          <w:rFonts w:ascii="Times New Roman" w:hAnsi="Times New Roman" w:cs="Times New Roman"/>
        </w:rPr>
        <w:footnoteRef/>
      </w:r>
      <w:r w:rsidRPr="00F253CE">
        <w:rPr>
          <w:rFonts w:ascii="Times New Roman" w:hAnsi="Times New Roman" w:cs="Times New Roman"/>
        </w:rPr>
        <w:t xml:space="preserve"> </w:t>
      </w:r>
      <w:r w:rsidRPr="00F253CE">
        <w:rPr>
          <w:rFonts w:ascii="Times New Roman" w:eastAsia="Times New Roman" w:hAnsi="Times New Roman" w:cs="Times New Roman"/>
          <w:lang w:eastAsia="lv-LV"/>
        </w:rPr>
        <w:t>Turpat, 44. punkts.</w:t>
      </w:r>
    </w:p>
  </w:footnote>
  <w:footnote w:id="18">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footnoteRef/>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Tie ir šādi (apgrieztā hronoloģiskā secībā):</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1. Ministru padomes Lēmums Nr. 6/17 “Cilvēku tirdzniecības novēršanas centienu stiprināšana” (Vīne, 2017);</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2. Ministru padomes Lēmums Nr. 7/17 “Visu veidu bērnu tirdzniecības, tostarp seksuālas ekspluatācijas, kā arī citu veidu bērnu seksuālas ekspluatācijas apkarošanas centienu stiprināšana” (Vīne, 2017);</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3. Briseles deklarācija “Rezolūcija par bērnu tirdzniecības un ekspluatācijas pornogrāfijā apkarošanu” (2006);</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4. Ministru padomes Lēmums Nr. 15/06 par bērnu seksuālas ekspluatācijas apkarošanu (Brisele, 2006);</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5. Ministru padomes Lēmums Nr. 13/04 “Bērnu, kas ir cilvēku tirdzniecības upuri, īpašās vajadzības būt pasargātiem un saņemt palīdzību” (Sofija, 2004);</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6. Roterdamas deklarācija “Rezolūcija par bērnu tirdzniecības un ekspluatācijas apkarošanu” (2003);</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7. Berlīnes deklarācija “Rezolūcija par cilvēku tirdzniecības, jo īpaši sieviešu un bērnu tirdzniecības, apkarošanu” (2002);</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8. EDSO Parlamentārā asambleja, Sanktpēterburgas deklarācija “Rezolūcija par sieviešu un bērnu tirdzniecību” (1999).</w:t>
      </w:r>
    </w:p>
  </w:footnote>
  <w:footnote w:id="19">
    <w:p w:rsidR="00281759" w:rsidRPr="00F253CE" w:rsidRDefault="00281759" w:rsidP="00F253CE">
      <w:pPr>
        <w:pStyle w:val="Vresteksts"/>
        <w:jc w:val="both"/>
        <w:rPr>
          <w:rFonts w:ascii="Times New Roman" w:hAnsi="Times New Roman" w:cs="Times New Roman"/>
        </w:rPr>
      </w:pPr>
      <w:r w:rsidRPr="00F253CE">
        <w:rPr>
          <w:rStyle w:val="Vresatsauce"/>
          <w:rFonts w:ascii="Times New Roman" w:hAnsi="Times New Roman" w:cs="Times New Roman"/>
        </w:rPr>
        <w:footnoteRef/>
      </w:r>
      <w:r w:rsidRPr="00F253CE">
        <w:rPr>
          <w:rFonts w:ascii="Times New Roman" w:hAnsi="Times New Roman" w:cs="Times New Roman"/>
        </w:rPr>
        <w:t xml:space="preserve"> </w:t>
      </w:r>
      <w:r w:rsidRPr="00F253CE">
        <w:rPr>
          <w:rFonts w:ascii="Times New Roman" w:eastAsia="Times New Roman" w:hAnsi="Times New Roman" w:cs="Times New Roman"/>
          <w:lang w:eastAsia="lv-LV"/>
        </w:rPr>
        <w:t>EDSO Lēmums Nr. 685, Papildinājums EDSO Rīcības plānam cilvēku tirdzniecības apkarošanai – Risinot bērnu, kas ir cilvēku tirdzniecības upuri, īpašās vajadzības būt pasargātiem un saņemt palīdzību (Pastāvīgās padomes Lēmums Nr. 685, 2005. gada 7. jūlijs).</w:t>
      </w:r>
    </w:p>
  </w:footnote>
  <w:footnote w:id="20">
    <w:p w:rsidR="00281759" w:rsidRPr="00F253CE" w:rsidRDefault="00281759" w:rsidP="00F253CE">
      <w:pPr>
        <w:pStyle w:val="Vresteksts"/>
        <w:jc w:val="both"/>
        <w:rPr>
          <w:rFonts w:ascii="Times New Roman" w:hAnsi="Times New Roman" w:cs="Times New Roman"/>
        </w:rPr>
      </w:pPr>
      <w:r w:rsidRPr="00F253CE">
        <w:rPr>
          <w:rStyle w:val="Vresatsauce"/>
          <w:rFonts w:ascii="Times New Roman" w:hAnsi="Times New Roman" w:cs="Times New Roman"/>
        </w:rPr>
        <w:sym w:font="Symbol" w:char="F02A"/>
      </w:r>
      <w:r w:rsidRPr="00F253CE">
        <w:rPr>
          <w:rFonts w:ascii="Times New Roman" w:hAnsi="Times New Roman" w:cs="Times New Roman"/>
        </w:rPr>
        <w:t xml:space="preserve"> Angļu valodas oriģinālā numerācija atšķiras.</w:t>
      </w:r>
    </w:p>
  </w:footnote>
  <w:footnote w:id="21">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20</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Dienvidaustrumeiropas Stabilitātes pakts, Darba grupa cilvēku tirdzniecības novēršanai. Paziņojums par saistībām attiecībā uz cietušo/liecinieku aizsardzību un bērnu tirdzniecību [</w:t>
      </w:r>
      <w:r w:rsidRPr="00F253CE">
        <w:rPr>
          <w:rFonts w:ascii="Times New Roman" w:eastAsia="Times New Roman" w:hAnsi="Times New Roman" w:cs="Times New Roman"/>
          <w:i/>
          <w:iCs/>
          <w:sz w:val="20"/>
          <w:szCs w:val="20"/>
          <w:lang w:eastAsia="lv-LV"/>
        </w:rPr>
        <w:t>Statement on Commitments on Victim/Witness Protection and Trafficking in Children</w:t>
      </w:r>
      <w:r w:rsidRPr="00F253CE">
        <w:rPr>
          <w:rFonts w:ascii="Times New Roman" w:eastAsia="Times New Roman" w:hAnsi="Times New Roman" w:cs="Times New Roman"/>
          <w:sz w:val="20"/>
          <w:szCs w:val="20"/>
          <w:lang w:eastAsia="lv-LV"/>
        </w:rPr>
        <w:t>]. Sofija, 2003. gada 10. decembris. Pieejams: http://www.legislationline.org/documents/id/4237.</w:t>
      </w:r>
    </w:p>
  </w:footnote>
  <w:footnote w:id="22">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21</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UNICEF</w:t>
      </w:r>
      <w:r w:rsidRPr="00F253CE">
        <w:rPr>
          <w:rFonts w:ascii="Times New Roman" w:eastAsia="Times New Roman" w:hAnsi="Times New Roman" w:cs="Times New Roman"/>
          <w:sz w:val="20"/>
          <w:szCs w:val="20"/>
          <w:lang w:eastAsia="lv-LV"/>
        </w:rPr>
        <w:t xml:space="preserve">. Vadlīnijas par bērnu, kas ir cilvēku tirdzniecības upuri, aizsardzību. </w:t>
      </w:r>
      <w:r w:rsidRPr="00F253CE">
        <w:rPr>
          <w:rFonts w:ascii="Times New Roman" w:eastAsia="Times New Roman" w:hAnsi="Times New Roman" w:cs="Times New Roman"/>
          <w:i/>
          <w:iCs/>
          <w:sz w:val="20"/>
          <w:szCs w:val="20"/>
          <w:lang w:eastAsia="lv-LV"/>
        </w:rPr>
        <w:t>UNICEF</w:t>
      </w:r>
      <w:r w:rsidRPr="00F253CE">
        <w:rPr>
          <w:rFonts w:ascii="Times New Roman" w:eastAsia="Times New Roman" w:hAnsi="Times New Roman" w:cs="Times New Roman"/>
          <w:sz w:val="20"/>
          <w:szCs w:val="20"/>
          <w:lang w:eastAsia="lv-LV"/>
        </w:rPr>
        <w:t xml:space="preserve"> Tehniskās piezīmes [</w:t>
      </w:r>
      <w:r w:rsidRPr="00F253CE">
        <w:rPr>
          <w:rFonts w:ascii="Times New Roman" w:eastAsia="Times New Roman" w:hAnsi="Times New Roman" w:cs="Times New Roman"/>
          <w:i/>
          <w:iCs/>
          <w:sz w:val="20"/>
          <w:szCs w:val="20"/>
          <w:lang w:eastAsia="lv-LV"/>
        </w:rPr>
        <w:t>Guidelines on the Protection of Child Victims of Trafficking. UNICEF Technical Notes</w:t>
      </w:r>
      <w:r w:rsidRPr="00F253CE">
        <w:rPr>
          <w:rFonts w:ascii="Times New Roman" w:eastAsia="Times New Roman" w:hAnsi="Times New Roman" w:cs="Times New Roman"/>
          <w:sz w:val="20"/>
          <w:szCs w:val="20"/>
          <w:lang w:eastAsia="lv-LV"/>
        </w:rPr>
        <w:t>] (Ņujorka, 2006).</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https://www.unicef.org/protection/Unicef_Victims_Guidelines_en.pdf.</w:t>
      </w:r>
    </w:p>
  </w:footnote>
  <w:footnote w:id="23">
    <w:p w:rsidR="00281759" w:rsidRPr="00F253CE" w:rsidRDefault="00281759" w:rsidP="00F253CE">
      <w:pPr>
        <w:pStyle w:val="Vresteksts"/>
        <w:jc w:val="both"/>
        <w:rPr>
          <w:rFonts w:ascii="Times New Roman" w:hAnsi="Times New Roman" w:cs="Times New Roman"/>
        </w:rPr>
      </w:pPr>
      <w:r w:rsidRPr="00F253CE">
        <w:rPr>
          <w:rStyle w:val="Vresatsauce"/>
          <w:rFonts w:ascii="Times New Roman" w:hAnsi="Times New Roman" w:cs="Times New Roman"/>
        </w:rPr>
        <w:t>22</w:t>
      </w:r>
      <w:r w:rsidRPr="00F253CE">
        <w:rPr>
          <w:rFonts w:ascii="Times New Roman" w:hAnsi="Times New Roman" w:cs="Times New Roman"/>
        </w:rPr>
        <w:t xml:space="preserve"> </w:t>
      </w:r>
      <w:r w:rsidRPr="00F253CE">
        <w:rPr>
          <w:rFonts w:ascii="Times New Roman" w:eastAsia="Times New Roman" w:hAnsi="Times New Roman" w:cs="Times New Roman"/>
          <w:lang w:eastAsia="lv-LV"/>
        </w:rPr>
        <w:t>T. i., visaptverošs, drošs un ilgtspējīgs risinājums bērna interesēs.</w:t>
      </w:r>
    </w:p>
  </w:footnote>
  <w:footnote w:id="24">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23</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ANO Vispārējais rīcības plāns cilvēku tirdzniecības apkarošanai, 37. pants.</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ANO Ģenerālās asamblejas rezolūcija 64/293, ANO dok. A/RES/64/293 (2010. gada 12. augusts).</w:t>
      </w:r>
    </w:p>
  </w:footnote>
  <w:footnote w:id="25">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24</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ANO Pamatnostādnes par bērnu alternatīvo aprūpi. Atzinīgi novērtētas ar Ģenerālās asamblejas Rezolūciju 64/142. ANO dok. A/RES/64/142 (2010. gada 24. februāris). Ģenerālās asamblejas rezolūcijā rosināts “valstis ņemt vērā šīs pamatnostādnes un pievērst tām attiecīgo valsts izpildvaras, likumdevēju un tiesu varas iestāžu, cilvēktiesību aizstāvju un juristu, plašsaziņas līdzekļu un sabiedrības uzmanību”.</w:t>
      </w:r>
    </w:p>
  </w:footnote>
  <w:footnote w:id="26">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25</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GRETA</w:t>
      </w:r>
      <w:r w:rsidRPr="00F253CE">
        <w:rPr>
          <w:rFonts w:ascii="Times New Roman" w:eastAsia="Times New Roman" w:hAnsi="Times New Roman" w:cs="Times New Roman"/>
          <w:sz w:val="20"/>
          <w:szCs w:val="20"/>
          <w:lang w:eastAsia="lv-LV"/>
        </w:rPr>
        <w:t xml:space="preserve">, 4. Vispārējais ziņojums par </w:t>
      </w:r>
      <w:r w:rsidRPr="00F253CE">
        <w:rPr>
          <w:rFonts w:ascii="Times New Roman" w:eastAsia="Times New Roman" w:hAnsi="Times New Roman" w:cs="Times New Roman"/>
          <w:i/>
          <w:iCs/>
          <w:sz w:val="20"/>
          <w:szCs w:val="20"/>
          <w:lang w:eastAsia="lv-LV"/>
        </w:rPr>
        <w:t>GRETA</w:t>
      </w:r>
      <w:r w:rsidRPr="00F253CE">
        <w:rPr>
          <w:rFonts w:ascii="Times New Roman" w:eastAsia="Times New Roman" w:hAnsi="Times New Roman" w:cs="Times New Roman"/>
          <w:sz w:val="20"/>
          <w:szCs w:val="20"/>
          <w:lang w:eastAsia="lv-LV"/>
        </w:rPr>
        <w:t xml:space="preserve"> darbībām laikposmā no 2013. gada 1. augusta līdz 2014. gada 30. septembrim (Eiropas Padome, Strasbūra, 2015), 54. punkts.</w:t>
      </w:r>
    </w:p>
  </w:footnote>
  <w:footnote w:id="27">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26</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GRETA</w:t>
      </w:r>
      <w:r w:rsidRPr="00F253CE">
        <w:rPr>
          <w:rFonts w:ascii="Times New Roman" w:eastAsia="Times New Roman" w:hAnsi="Times New Roman" w:cs="Times New Roman"/>
          <w:sz w:val="20"/>
          <w:szCs w:val="20"/>
          <w:lang w:eastAsia="lv-LV"/>
        </w:rPr>
        <w:t xml:space="preserve">, 5. Vispārējais ziņojums par </w:t>
      </w:r>
      <w:r w:rsidRPr="00F253CE">
        <w:rPr>
          <w:rFonts w:ascii="Times New Roman" w:eastAsia="Times New Roman" w:hAnsi="Times New Roman" w:cs="Times New Roman"/>
          <w:i/>
          <w:iCs/>
          <w:sz w:val="20"/>
          <w:szCs w:val="20"/>
          <w:lang w:eastAsia="lv-LV"/>
        </w:rPr>
        <w:t>GRETA</w:t>
      </w:r>
      <w:r w:rsidRPr="00F253CE">
        <w:rPr>
          <w:rFonts w:ascii="Times New Roman" w:eastAsia="Times New Roman" w:hAnsi="Times New Roman" w:cs="Times New Roman"/>
          <w:sz w:val="20"/>
          <w:szCs w:val="20"/>
          <w:lang w:eastAsia="lv-LV"/>
        </w:rPr>
        <w:t xml:space="preserve"> darbībām (laikposmā no 2014. gada 1. oktobra līdz 2015. gada 31. decembrim) (Eiropas Padome, Strasbūra, 2016). Tajā tika vērsta uzmanība uz Eiropas Padomes Konvencijas 10. panta 4. punktu, kurā noteikts, ka “tiklīdz bez pavadības atstātais bērns ir identificēts kā upuris, ikviena Puse: a) nodrošina bērna pārstāvībai likumīgo aizbildni, organizāciju vai iestādi, kas rīkojas šī bērna vislabākajās interesēs; b) veic nepieciešamos pasākumus, lai noskaidrotu bērna identitāti un valstisko piederību; c) dara visu, lai atrastu viņa/viņas ģimeni, ja tas ir bērna labākajās interesēs”.</w:t>
      </w:r>
    </w:p>
  </w:footnote>
  <w:footnote w:id="28">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27</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Termins “pavešana netiklībā” šajā kontekstā attiecas uz darbību vai sekām, kad personas morālas uzvedības standarti tiek mainīti uz amorālas uzvedības standartiem (piemēram, mazs bērns tiek pakļauts pornogrāfijai). Sk. Starpiestāžu darba grupa bērnu seksuālas izmantošanas jautājumos, Terminoloģijas vadlīnijas bērnu aizsardzībai no seksuālas izmantošanas un seksuālas vardarbības, 2016.</w:t>
      </w:r>
    </w:p>
  </w:footnote>
  <w:footnote w:id="29">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28</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Lansarotes konvencijas 5. pantā “Ar bērniem strādājošu personu pieņemšana darbā, mācības un informētība” noteikts, ka “ikviena Puse veic nepieciešamos normatīvos vai citus pasākumus, lai veicinātu to, ka par bērnu aizsardzību un tiesībām ir informētas personas, kurām ir regulāra saskare ar bērniem izglītības, veselības, sociālās aizsardzības, tiesību un tiesību aizsardzības nozarēs un jomās, kas attiecas uz sportu, kultūru un brīvā laika aktivitātēm.”</w:t>
      </w:r>
    </w:p>
  </w:footnote>
  <w:footnote w:id="30">
    <w:p w:rsidR="00281759" w:rsidRPr="00F253CE" w:rsidRDefault="00281759" w:rsidP="00F253CE">
      <w:pPr>
        <w:pStyle w:val="Vresteksts"/>
        <w:jc w:val="both"/>
        <w:rPr>
          <w:rFonts w:ascii="Times New Roman" w:hAnsi="Times New Roman" w:cs="Times New Roman"/>
        </w:rPr>
      </w:pPr>
      <w:r w:rsidRPr="00F253CE">
        <w:rPr>
          <w:rStyle w:val="Vresatsauce"/>
          <w:rFonts w:ascii="Times New Roman" w:hAnsi="Times New Roman" w:cs="Times New Roman"/>
        </w:rPr>
        <w:t>29</w:t>
      </w:r>
      <w:r w:rsidRPr="00F253CE">
        <w:rPr>
          <w:rFonts w:ascii="Times New Roman" w:hAnsi="Times New Roman" w:cs="Times New Roman"/>
        </w:rPr>
        <w:t xml:space="preserve"> </w:t>
      </w:r>
      <w:r w:rsidRPr="00F253CE">
        <w:rPr>
          <w:rFonts w:ascii="Times New Roman" w:eastAsia="Times New Roman" w:hAnsi="Times New Roman" w:cs="Times New Roman"/>
          <w:i/>
          <w:iCs/>
          <w:lang w:eastAsia="lv-LV"/>
        </w:rPr>
        <w:t>Программа сотрудничества государств – участников Содружества Независимых Государств в борьбе с торговлей людьми на 2014–2018 годы.</w:t>
      </w:r>
      <w:r w:rsidRPr="00F253CE">
        <w:rPr>
          <w:rFonts w:ascii="Times New Roman" w:eastAsia="Times New Roman" w:hAnsi="Times New Roman" w:cs="Times New Roman"/>
          <w:lang w:eastAsia="lv-LV"/>
        </w:rPr>
        <w:t xml:space="preserve"> http://www.e-cis.info/page.php?id=23806.</w:t>
      </w:r>
    </w:p>
  </w:footnote>
  <w:footnote w:id="31">
    <w:p w:rsidR="00281759" w:rsidRPr="00F253CE" w:rsidRDefault="00281759" w:rsidP="00F253CE">
      <w:pPr>
        <w:pStyle w:val="Vresteksts"/>
        <w:jc w:val="both"/>
        <w:rPr>
          <w:rFonts w:ascii="Times New Roman" w:hAnsi="Times New Roman" w:cs="Times New Roman"/>
        </w:rPr>
      </w:pPr>
      <w:r w:rsidRPr="00F253CE">
        <w:rPr>
          <w:rStyle w:val="Vresatsauce"/>
          <w:rFonts w:ascii="Times New Roman" w:hAnsi="Times New Roman" w:cs="Times New Roman"/>
        </w:rPr>
        <w:t>30</w:t>
      </w:r>
      <w:r w:rsidRPr="00F253CE">
        <w:rPr>
          <w:rFonts w:ascii="Times New Roman" w:hAnsi="Times New Roman" w:cs="Times New Roman"/>
        </w:rPr>
        <w:t xml:space="preserve"> </w:t>
      </w:r>
      <w:r w:rsidRPr="00F253CE">
        <w:rPr>
          <w:rFonts w:ascii="Times New Roman" w:eastAsia="Times New Roman" w:hAnsi="Times New Roman" w:cs="Times New Roman"/>
          <w:lang w:eastAsia="lv-LV"/>
        </w:rPr>
        <w:t>Iespējamās struktūras, kuras piedalīsies pārskatīšanā, ir NVS Iekšlietu ministru padome (</w:t>
      </w:r>
      <w:r w:rsidRPr="00F253CE">
        <w:rPr>
          <w:rFonts w:ascii="Times New Roman" w:eastAsia="Times New Roman" w:hAnsi="Times New Roman" w:cs="Times New Roman"/>
          <w:i/>
          <w:iCs/>
          <w:lang w:eastAsia="lv-LV"/>
        </w:rPr>
        <w:t>СМВД</w:t>
      </w:r>
      <w:r w:rsidRPr="00F253CE">
        <w:rPr>
          <w:rFonts w:ascii="Times New Roman" w:eastAsia="Times New Roman" w:hAnsi="Times New Roman" w:cs="Times New Roman"/>
          <w:lang w:eastAsia="lv-LV"/>
        </w:rPr>
        <w:t>), NVS dalībvalstu Migrācijas struktūru vadītāju padome (</w:t>
      </w:r>
      <w:r w:rsidRPr="00F253CE">
        <w:rPr>
          <w:rFonts w:ascii="Times New Roman" w:eastAsia="Times New Roman" w:hAnsi="Times New Roman" w:cs="Times New Roman"/>
          <w:i/>
          <w:iCs/>
          <w:lang w:eastAsia="lv-LV"/>
        </w:rPr>
        <w:t>СРМО</w:t>
      </w:r>
      <w:r w:rsidRPr="00F253CE">
        <w:rPr>
          <w:rFonts w:ascii="Times New Roman" w:eastAsia="Times New Roman" w:hAnsi="Times New Roman" w:cs="Times New Roman"/>
          <w:lang w:eastAsia="lv-LV"/>
        </w:rPr>
        <w:t>), Pierobežas karaspēka vienību komandieru padome (</w:t>
      </w:r>
      <w:r w:rsidRPr="00F253CE">
        <w:rPr>
          <w:rFonts w:ascii="Times New Roman" w:eastAsia="Times New Roman" w:hAnsi="Times New Roman" w:cs="Times New Roman"/>
          <w:i/>
          <w:iCs/>
          <w:lang w:eastAsia="lv-LV"/>
        </w:rPr>
        <w:t>СКПВ</w:t>
      </w:r>
      <w:r w:rsidRPr="00F253CE">
        <w:rPr>
          <w:rFonts w:ascii="Times New Roman" w:eastAsia="Times New Roman" w:hAnsi="Times New Roman" w:cs="Times New Roman"/>
          <w:lang w:eastAsia="lv-LV"/>
        </w:rPr>
        <w:t>) un NVS dalībvalstu Koordinējošā ģenerālprokuroru padome (</w:t>
      </w:r>
      <w:r w:rsidRPr="00F253CE">
        <w:rPr>
          <w:rFonts w:ascii="Times New Roman" w:eastAsia="Times New Roman" w:hAnsi="Times New Roman" w:cs="Times New Roman"/>
          <w:i/>
          <w:iCs/>
          <w:lang w:eastAsia="lv-LV"/>
        </w:rPr>
        <w:t>КСГП</w:t>
      </w:r>
      <w:r w:rsidRPr="00F253CE">
        <w:rPr>
          <w:rFonts w:ascii="Times New Roman" w:eastAsia="Times New Roman" w:hAnsi="Times New Roman" w:cs="Times New Roman"/>
          <w:lang w:eastAsia="lv-LV"/>
        </w:rPr>
        <w:t>).</w:t>
      </w:r>
    </w:p>
  </w:footnote>
  <w:footnote w:id="32">
    <w:p w:rsidR="00281759" w:rsidRPr="00F253CE" w:rsidRDefault="00281759" w:rsidP="00F253CE">
      <w:pPr>
        <w:pStyle w:val="Vresteksts"/>
        <w:jc w:val="both"/>
        <w:rPr>
          <w:rFonts w:ascii="Times New Roman" w:hAnsi="Times New Roman" w:cs="Times New Roman"/>
        </w:rPr>
      </w:pPr>
      <w:r w:rsidRPr="00F253CE">
        <w:rPr>
          <w:rStyle w:val="Vresatsauce"/>
          <w:rFonts w:ascii="Times New Roman" w:hAnsi="Times New Roman" w:cs="Times New Roman"/>
        </w:rPr>
        <w:t>31</w:t>
      </w:r>
      <w:r w:rsidRPr="00F253CE">
        <w:rPr>
          <w:rFonts w:ascii="Times New Roman" w:hAnsi="Times New Roman" w:cs="Times New Roman"/>
        </w:rPr>
        <w:t xml:space="preserve"> </w:t>
      </w:r>
      <w:r w:rsidRPr="00F253CE">
        <w:rPr>
          <w:rFonts w:ascii="Times New Roman" w:eastAsia="Times New Roman" w:hAnsi="Times New Roman" w:cs="Times New Roman"/>
          <w:lang w:eastAsia="lv-LV"/>
        </w:rPr>
        <w:t>Paziņojums, ko sniedzis Sergejs Ļebeģevs, Izpildkomitejas priekšsēdētājs un Neatkarīgo Valstu Sadraudzības izpildsekretārs, Alianses pret cilvēku tirdzniecību konferences “Apdraudētie cilvēki. Cīņa pret cilvēku tirdzniecību uz migrācijas ceļiem” atklāšanā. EDSO Dok. PC.DEL/960/15 (2015. gada 6. jūlijs).</w:t>
      </w:r>
    </w:p>
  </w:footnote>
  <w:footnote w:id="33">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32</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Eiropas Parlamenta un Padomes Direktīva 2011/36/ES (2011. gada 5. aprīlis) par cilvēku tirdzniecības novēršanu un apkarošanu un cietušo aizsardzību, un ar kuru aizstāj Padomes Pamatlēmumu 2002/629/TI.</w:t>
      </w:r>
    </w:p>
  </w:footnote>
  <w:footnote w:id="34">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33</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T. i., šī pati prasība ir kopēta Eiropas Padomes Varšavas konvencijā. ES direktīvas 14. panta 2. punktā noteikts, ka “no brīža, kad iestādes identificējušas bērnu, kas ir cilvēku tirdzniecības upuris, dalībvalstis viņam ieceļ aizbildni vai pārstāvi, ja saskaņā ar attiecīgās valsts tiesību aktiem personām, kam ir vecāku atbildība, interešu konflikts starp tām un bērnu, kas ir cilvēku tirdzniecības upuris, liedz nodrošināt bērna intereses un/vai pārstāvēt bērnu”.</w:t>
      </w:r>
    </w:p>
  </w:footnote>
  <w:footnote w:id="35">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34</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Eiropas Komisija, Komisijas ziņojums Eiropas Parlamentam un Padomei – Izvērtējums, cik lielā mērā dalībvalstis ir veikušas pasākumus, kas vajadzīgi, lai izpildītu Direktīvu 2011/36/ES par cilvēku tirdzniecības novēršanu un apkarošanu un cietušo aizsardzību, ziņojums sniegts saskaņā ar minētās direktīvas 23. panta 1. punktu,</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xml:space="preserve">ES dok. COM(2016) 722 </w:t>
      </w:r>
      <w:r w:rsidRPr="00F253CE">
        <w:rPr>
          <w:rFonts w:ascii="Times New Roman" w:eastAsia="Times New Roman" w:hAnsi="Times New Roman" w:cs="Times New Roman"/>
          <w:i/>
          <w:iCs/>
          <w:sz w:val="20"/>
          <w:szCs w:val="20"/>
          <w:lang w:eastAsia="lv-LV"/>
        </w:rPr>
        <w:t>final</w:t>
      </w:r>
      <w:r w:rsidRPr="00F253CE">
        <w:rPr>
          <w:rFonts w:ascii="Times New Roman" w:eastAsia="Times New Roman" w:hAnsi="Times New Roman" w:cs="Times New Roman"/>
          <w:sz w:val="20"/>
          <w:szCs w:val="20"/>
          <w:lang w:eastAsia="lv-LV"/>
        </w:rPr>
        <w:t xml:space="preserve"> (2016. gada 2. decembris).</w:t>
      </w:r>
    </w:p>
  </w:footnote>
  <w:footnote w:id="36">
    <w:p w:rsidR="00281759" w:rsidRPr="00F253CE" w:rsidRDefault="00281759" w:rsidP="00F253CE">
      <w:pPr>
        <w:pStyle w:val="Vresteksts"/>
        <w:jc w:val="both"/>
        <w:rPr>
          <w:rFonts w:ascii="Times New Roman" w:hAnsi="Times New Roman" w:cs="Times New Roman"/>
        </w:rPr>
      </w:pPr>
      <w:r w:rsidRPr="00F253CE">
        <w:rPr>
          <w:rStyle w:val="Vresatsauce"/>
          <w:rFonts w:ascii="Times New Roman" w:hAnsi="Times New Roman" w:cs="Times New Roman"/>
        </w:rPr>
        <w:t>35</w:t>
      </w:r>
      <w:r w:rsidRPr="00F253CE">
        <w:rPr>
          <w:rFonts w:ascii="Times New Roman" w:hAnsi="Times New Roman" w:cs="Times New Roman"/>
        </w:rPr>
        <w:t xml:space="preserve"> </w:t>
      </w:r>
      <w:r w:rsidRPr="00F253CE">
        <w:rPr>
          <w:rFonts w:ascii="Times New Roman" w:eastAsia="Times New Roman" w:hAnsi="Times New Roman" w:cs="Times New Roman"/>
          <w:lang w:eastAsia="lv-LV"/>
        </w:rPr>
        <w:t xml:space="preserve">ES dok. COM(2012) 286 </w:t>
      </w:r>
      <w:r w:rsidRPr="00F253CE">
        <w:rPr>
          <w:rFonts w:ascii="Times New Roman" w:eastAsia="Times New Roman" w:hAnsi="Times New Roman" w:cs="Times New Roman"/>
          <w:i/>
          <w:iCs/>
          <w:lang w:eastAsia="lv-LV"/>
        </w:rPr>
        <w:t>final</w:t>
      </w:r>
      <w:r w:rsidRPr="00F253CE">
        <w:rPr>
          <w:rFonts w:ascii="Times New Roman" w:eastAsia="Times New Roman" w:hAnsi="Times New Roman" w:cs="Times New Roman"/>
          <w:lang w:eastAsia="lv-LV"/>
        </w:rPr>
        <w:t xml:space="preserve"> (2012. gada 19. jūnijs).</w:t>
      </w:r>
    </w:p>
  </w:footnote>
  <w:footnote w:id="37">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36</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 xml:space="preserve">Komisijas paziņojums Eiropas Parlamentam un Padomei, Ziņojums par papildu pasākumiem saistībā ar ES Stratēģiju cilvēku tirdzniecības izskaušanai un turpmāku konkrētu darbību noteikšanu, ES dok. COM(2017) 728 </w:t>
      </w:r>
      <w:r w:rsidRPr="00F253CE">
        <w:rPr>
          <w:rFonts w:ascii="Times New Roman" w:eastAsia="Times New Roman" w:hAnsi="Times New Roman" w:cs="Times New Roman"/>
          <w:i/>
          <w:iCs/>
          <w:sz w:val="20"/>
          <w:szCs w:val="20"/>
          <w:lang w:eastAsia="lv-LV"/>
        </w:rPr>
        <w:t>final</w:t>
      </w:r>
      <w:r w:rsidRPr="00F253CE">
        <w:rPr>
          <w:rFonts w:ascii="Times New Roman" w:eastAsia="Times New Roman" w:hAnsi="Times New Roman" w:cs="Times New Roman"/>
          <w:sz w:val="20"/>
          <w:szCs w:val="20"/>
          <w:lang w:eastAsia="lv-LV"/>
        </w:rPr>
        <w:t xml:space="preserve"> (2017. gada 4. decembris).</w:t>
      </w:r>
    </w:p>
  </w:footnote>
  <w:footnote w:id="38">
    <w:p w:rsidR="00281759" w:rsidRPr="00F253CE" w:rsidRDefault="00281759" w:rsidP="00F253CE">
      <w:pPr>
        <w:pStyle w:val="Vresteksts"/>
        <w:jc w:val="both"/>
        <w:rPr>
          <w:rFonts w:ascii="Times New Roman" w:hAnsi="Times New Roman" w:cs="Times New Roman"/>
        </w:rPr>
      </w:pPr>
      <w:r w:rsidRPr="00F253CE">
        <w:rPr>
          <w:rStyle w:val="Vresatsauce"/>
          <w:rFonts w:ascii="Times New Roman" w:hAnsi="Times New Roman" w:cs="Times New Roman"/>
        </w:rPr>
        <w:t>37</w:t>
      </w:r>
      <w:r w:rsidRPr="00F253CE">
        <w:rPr>
          <w:rFonts w:ascii="Times New Roman" w:hAnsi="Times New Roman" w:cs="Times New Roman"/>
        </w:rPr>
        <w:t xml:space="preserve"> </w:t>
      </w:r>
      <w:r w:rsidRPr="00F253CE">
        <w:rPr>
          <w:rFonts w:ascii="Times New Roman" w:eastAsia="Times New Roman" w:hAnsi="Times New Roman" w:cs="Times New Roman"/>
          <w:lang w:eastAsia="lv-LV"/>
        </w:rPr>
        <w:t>Piekļūts http://www.childrenatrisk.eu/blog/hearing-the-childs-story-regional-expert-consultation-to-take-place-in-may-in-oslo-norway/.</w:t>
      </w:r>
    </w:p>
  </w:footnote>
  <w:footnote w:id="39">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38</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Visu migrējošo darba ņēmēju un viņu ģimenes locekļu tiesību aizsardzības komiteja, kas izveidota saskaņā ar Starptautisko konvenciju par visu migrējošu darba ņēmēju un viņu ģimenes locekļu tiesību aizsardzību (1990).</w:t>
      </w:r>
    </w:p>
  </w:footnote>
  <w:footnote w:id="40">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39</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Visu migrējošo darba ņēmēju un viņu ģimenes locekļu tiesību aizsardzības komiteja un Bērnu tiesību komiteja (2017), Kopīgais vispārējais komentārs Nr. 3 (2017), ko sniegusi Visu migrējošo darba ņēmēju un viņu ģimenes locekļu tiesību aizsardzības komiteja, un Nr. 22 (2017), ko sniegusi Bērnu tiesību komiteja, par vispārējiem bērnu tiesību principiem saistībā ar starptautisko migrāciju, ANO dok. CMW/C/GC/3-CRC/C/GC/22 (2017. gada 16. novembris), 14. punkts</w:t>
      </w:r>
    </w:p>
  </w:footnote>
  <w:footnote w:id="41">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40</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Turpat, 32. punkta c) apakšpunkts.</w:t>
      </w:r>
    </w:p>
  </w:footnote>
  <w:footnote w:id="42">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41</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County Administrative Board of Stockholm, National Referral Mechanism - Protecting and supporting victims of Trafficking in Human Beings in Sweden</w:t>
      </w:r>
      <w:r w:rsidRPr="00F253CE">
        <w:rPr>
          <w:rFonts w:ascii="Times New Roman" w:eastAsia="Times New Roman" w:hAnsi="Times New Roman" w:cs="Times New Roman"/>
          <w:sz w:val="20"/>
          <w:szCs w:val="20"/>
          <w:lang w:eastAsia="lv-LV"/>
        </w:rPr>
        <w:t xml:space="preserve"> (Stokholma, 2016), https://rm.coe.int/168070acc0.</w:t>
      </w:r>
    </w:p>
  </w:footnote>
  <w:footnote w:id="43">
    <w:p w:rsidR="00281759" w:rsidRPr="00F253CE" w:rsidRDefault="00281759" w:rsidP="00F253CE">
      <w:pPr>
        <w:pStyle w:val="Vresteksts"/>
        <w:jc w:val="both"/>
        <w:rPr>
          <w:rFonts w:ascii="Times New Roman" w:hAnsi="Times New Roman" w:cs="Times New Roman"/>
        </w:rPr>
      </w:pPr>
      <w:r w:rsidRPr="00F253CE">
        <w:rPr>
          <w:rStyle w:val="Vresatsauce"/>
          <w:rFonts w:ascii="Times New Roman" w:hAnsi="Times New Roman" w:cs="Times New Roman"/>
        </w:rPr>
        <w:t>42</w:t>
      </w:r>
      <w:r w:rsidRPr="00F253CE">
        <w:rPr>
          <w:rFonts w:ascii="Times New Roman" w:hAnsi="Times New Roman" w:cs="Times New Roman"/>
        </w:rPr>
        <w:t xml:space="preserve"> </w:t>
      </w:r>
      <w:r w:rsidRPr="00F253CE">
        <w:rPr>
          <w:rFonts w:ascii="Times New Roman" w:eastAsia="Times New Roman" w:hAnsi="Times New Roman" w:cs="Times New Roman"/>
          <w:lang w:eastAsia="lv-LV"/>
        </w:rPr>
        <w:t>Turpat, 17.–18. lpp.</w:t>
      </w:r>
    </w:p>
  </w:footnote>
  <w:footnote w:id="44">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43</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Turpat, 31. lpp.</w:t>
      </w:r>
    </w:p>
  </w:footnote>
  <w:footnote w:id="45">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44</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Olivia Lind Haldorsson</w:t>
      </w:r>
      <w:r w:rsidRPr="00F253CE">
        <w:rPr>
          <w:rFonts w:ascii="Times New Roman" w:eastAsia="Times New Roman" w:hAnsi="Times New Roman" w:cs="Times New Roman"/>
          <w:sz w:val="20"/>
          <w:szCs w:val="20"/>
          <w:lang w:eastAsia="lv-LV"/>
        </w:rPr>
        <w:t xml:space="preserve">, </w:t>
      </w:r>
      <w:r w:rsidRPr="00F253CE">
        <w:rPr>
          <w:rFonts w:ascii="Times New Roman" w:eastAsia="Times New Roman" w:hAnsi="Times New Roman" w:cs="Times New Roman"/>
          <w:i/>
          <w:iCs/>
          <w:sz w:val="20"/>
          <w:szCs w:val="20"/>
          <w:lang w:eastAsia="lv-LV"/>
        </w:rPr>
        <w:t>Barnahus Quality Standards</w:t>
      </w:r>
      <w:r w:rsidRPr="00F253CE">
        <w:rPr>
          <w:rFonts w:ascii="Times New Roman" w:eastAsia="Times New Roman" w:hAnsi="Times New Roman" w:cs="Times New Roman"/>
          <w:sz w:val="20"/>
          <w:szCs w:val="20"/>
          <w:lang w:eastAsia="lv-LV"/>
        </w:rPr>
        <w:t>. </w:t>
      </w:r>
      <w:r w:rsidRPr="00F253CE">
        <w:rPr>
          <w:rFonts w:ascii="Times New Roman" w:eastAsia="Times New Roman" w:hAnsi="Times New Roman" w:cs="Times New Roman"/>
          <w:i/>
          <w:iCs/>
          <w:sz w:val="20"/>
          <w:szCs w:val="20"/>
          <w:lang w:eastAsia="lv-LV"/>
        </w:rPr>
        <w:t>Guidance for Multidisciplinary and Interagency Response To Child Victims and Witnesses of Violence</w:t>
      </w:r>
      <w:r w:rsidRPr="00F253CE">
        <w:rPr>
          <w:rFonts w:ascii="Times New Roman" w:eastAsia="Times New Roman" w:hAnsi="Times New Roman" w:cs="Times New Roman"/>
          <w:sz w:val="20"/>
          <w:szCs w:val="20"/>
          <w:lang w:eastAsia="lv-LV"/>
        </w:rPr>
        <w:t xml:space="preserve">, Baltijas jūras valstu padomes sekretariāts un </w:t>
      </w:r>
      <w:r w:rsidRPr="00F253CE">
        <w:rPr>
          <w:rFonts w:ascii="Times New Roman" w:eastAsia="Times New Roman" w:hAnsi="Times New Roman" w:cs="Times New Roman"/>
          <w:i/>
          <w:iCs/>
          <w:sz w:val="20"/>
          <w:szCs w:val="20"/>
          <w:lang w:eastAsia="lv-LV"/>
        </w:rPr>
        <w:t>Child Circle</w:t>
      </w:r>
      <w:r w:rsidRPr="00F253CE">
        <w:rPr>
          <w:rFonts w:ascii="Times New Roman" w:eastAsia="Times New Roman" w:hAnsi="Times New Roman" w:cs="Times New Roman"/>
          <w:sz w:val="20"/>
          <w:szCs w:val="20"/>
          <w:lang w:eastAsia="lv-LV"/>
        </w:rPr>
        <w:t xml:space="preserve">, </w:t>
      </w:r>
      <w:r w:rsidRPr="00F253CE">
        <w:rPr>
          <w:rFonts w:ascii="Times New Roman" w:eastAsia="Times New Roman" w:hAnsi="Times New Roman" w:cs="Times New Roman"/>
          <w:i/>
          <w:iCs/>
          <w:sz w:val="20"/>
          <w:szCs w:val="20"/>
          <w:lang w:eastAsia="lv-LV"/>
        </w:rPr>
        <w:t>Promise Project Series</w:t>
      </w:r>
      <w:r w:rsidRPr="00F253CE">
        <w:rPr>
          <w:rFonts w:ascii="Times New Roman" w:eastAsia="Times New Roman" w:hAnsi="Times New Roman" w:cs="Times New Roman"/>
          <w:sz w:val="20"/>
          <w:szCs w:val="20"/>
          <w:lang w:eastAsia="lv-LV"/>
        </w:rPr>
        <w:t>, 2017.</w:t>
      </w:r>
    </w:p>
  </w:footnote>
  <w:footnote w:id="46">
    <w:p w:rsidR="00281759" w:rsidRPr="00F253CE" w:rsidRDefault="00281759" w:rsidP="00F253CE">
      <w:pPr>
        <w:pStyle w:val="Vresteksts"/>
        <w:jc w:val="both"/>
        <w:rPr>
          <w:rFonts w:ascii="Times New Roman" w:hAnsi="Times New Roman" w:cs="Times New Roman"/>
        </w:rPr>
      </w:pPr>
      <w:r w:rsidRPr="00F253CE">
        <w:rPr>
          <w:rStyle w:val="Vresatsauce"/>
          <w:rFonts w:ascii="Times New Roman" w:hAnsi="Times New Roman" w:cs="Times New Roman"/>
        </w:rPr>
        <w:t>45</w:t>
      </w:r>
      <w:r w:rsidRPr="00F253CE">
        <w:rPr>
          <w:rFonts w:ascii="Times New Roman" w:hAnsi="Times New Roman" w:cs="Times New Roman"/>
        </w:rPr>
        <w:t xml:space="preserve"> </w:t>
      </w:r>
      <w:r w:rsidRPr="00F253CE">
        <w:rPr>
          <w:rFonts w:ascii="Times New Roman" w:eastAsia="Times New Roman" w:hAnsi="Times New Roman" w:cs="Times New Roman"/>
          <w:lang w:eastAsia="lv-LV"/>
        </w:rPr>
        <w:t>Turpat.</w:t>
      </w:r>
    </w:p>
  </w:footnote>
  <w:footnote w:id="47">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46</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Turpat.</w:t>
      </w:r>
    </w:p>
  </w:footnote>
  <w:footnote w:id="48">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47</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Turpat.</w:t>
      </w:r>
    </w:p>
  </w:footnote>
  <w:footnote w:id="49">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48</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Rädda Barnen</w:t>
      </w:r>
      <w:r w:rsidRPr="00F253CE">
        <w:rPr>
          <w:rFonts w:ascii="Times New Roman" w:eastAsia="Times New Roman" w:hAnsi="Times New Roman" w:cs="Times New Roman"/>
          <w:sz w:val="20"/>
          <w:szCs w:val="20"/>
          <w:lang w:eastAsia="lv-LV"/>
        </w:rPr>
        <w:t xml:space="preserve"> (“Glābiet bērnus”, Zviedrija), </w:t>
      </w:r>
      <w:r w:rsidRPr="00F253CE">
        <w:rPr>
          <w:rFonts w:ascii="Times New Roman" w:eastAsia="Times New Roman" w:hAnsi="Times New Roman" w:cs="Times New Roman"/>
          <w:i/>
          <w:iCs/>
          <w:sz w:val="20"/>
          <w:szCs w:val="20"/>
          <w:lang w:eastAsia="lv-LV"/>
        </w:rPr>
        <w:t>Inuti ett barnahus – en kvalitetsgranskning av 23 svenska verksamheter</w:t>
      </w:r>
      <w:r w:rsidRPr="00F253CE">
        <w:rPr>
          <w:rFonts w:ascii="Times New Roman" w:eastAsia="Times New Roman" w:hAnsi="Times New Roman" w:cs="Times New Roman"/>
          <w:sz w:val="20"/>
          <w:szCs w:val="20"/>
          <w:lang w:eastAsia="lv-LV"/>
        </w:rPr>
        <w:t xml:space="preserve"> (Bērnu pajumte no iekšienes – 23 Zviedrijas iestāžu kvalitātes pārbaude) (Stokholma, 2013), 21–22. lpp. https://www.raddabarnen.se/Documents/vad-vi-gor/sverige/vald-och-overgrepp/Inuti%20ett%20barnahus%202013.pdf.</w:t>
      </w:r>
    </w:p>
  </w:footnote>
  <w:footnote w:id="50">
    <w:p w:rsidR="00281759" w:rsidRPr="00F253CE" w:rsidRDefault="00281759" w:rsidP="00F253CE">
      <w:pPr>
        <w:pStyle w:val="Vresteksts"/>
        <w:jc w:val="both"/>
        <w:rPr>
          <w:rFonts w:ascii="Times New Roman" w:hAnsi="Times New Roman" w:cs="Times New Roman"/>
        </w:rPr>
      </w:pPr>
      <w:r w:rsidRPr="00F253CE">
        <w:rPr>
          <w:rStyle w:val="Vresatsauce"/>
          <w:rFonts w:ascii="Times New Roman" w:hAnsi="Times New Roman" w:cs="Times New Roman"/>
        </w:rPr>
        <w:t>49</w:t>
      </w:r>
      <w:r w:rsidRPr="00F253CE">
        <w:rPr>
          <w:rFonts w:ascii="Times New Roman" w:hAnsi="Times New Roman" w:cs="Times New Roman"/>
        </w:rPr>
        <w:t xml:space="preserve"> </w:t>
      </w:r>
      <w:r w:rsidRPr="00F253CE">
        <w:rPr>
          <w:rFonts w:ascii="Times New Roman" w:eastAsia="Times New Roman" w:hAnsi="Times New Roman" w:cs="Times New Roman"/>
          <w:lang w:eastAsia="lv-LV"/>
        </w:rPr>
        <w:t>Viņš nosauca šādas sešas iestādes – policija, prokuratūra, galvaspilsētas Reikjavikas Policijas departaments, Reikjavikas Universitātes slimnīca (Pediatrijas nodaļa un Bērnu psihiatrijas nodaļa), Vietējo sociālo dienestu direktoru asociācija un bērnu aizsardzības dienesti Reikjavikā.</w:t>
      </w:r>
    </w:p>
  </w:footnote>
  <w:footnote w:id="51">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50</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EDSO Rīcības plānā (2003) dalībvalstis tika mudinātas apsvērt iespēju ieviest nogaidīšanas periodu, lai dotu cilvēku tirdzniecības upurim laiku izlemt, liecināt vai neliecināt kriminālprocesā (V.8. daļa). Saskaņā ar Eiropas Padomes Varšavas konvenciju dalībvalstis “paredz vismaz 30 dienu ilgu atkopšanās un nogaidīšanas periodu” (13. pants).</w:t>
      </w:r>
    </w:p>
  </w:footnote>
  <w:footnote w:id="52">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51</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Vienkāršākais piemērs, kas raksturo šīs bažas, ir bērns, kas šķietami ir kopā ar saviem vecākiem vai radiniekiem, bet faktiski atrodas cilvēku tirgotāja kontrolē. Tāpēc ir vitāli svarīgi noteikt, vai pieaugušais, kas pavada bērnu, ir viņa īstais radinieks vai tas melo, uzdodoties par vienu no vecākiem vai radinieku. Tas tādā pašā mērā attiecas uz bērnu, kurš redzams pilsētā ubagojam kopā ar sievieti, kas varētu būt un varētu arī nebūt viņa māte, kā arī uz pusaudzi meiteni automašīnā, kura apturēta pie robežšķērsošanas vietas vai policijas kontroles punktā un kuras vadītājs, kas ir jauns vīrietis, apgalvo, ka ir viņas draugs vai brālis.</w:t>
      </w:r>
    </w:p>
  </w:footnote>
  <w:footnote w:id="53">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52</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Los Angeles County, Law Enforcement First Responder Protocol for Commercially Sexually Exploited Children</w:t>
      </w:r>
      <w:r w:rsidRPr="00F253CE">
        <w:rPr>
          <w:rFonts w:ascii="Times New Roman" w:eastAsia="Times New Roman" w:hAnsi="Times New Roman" w:cs="Times New Roman"/>
          <w:sz w:val="20"/>
          <w:szCs w:val="20"/>
          <w:lang w:eastAsia="lv-LV"/>
        </w:rPr>
        <w:t xml:space="preserve"> (Kalifornija, 2015), sadaļa </w:t>
      </w:r>
      <w:r w:rsidRPr="00F253CE">
        <w:rPr>
          <w:rFonts w:ascii="Times New Roman" w:eastAsia="Times New Roman" w:hAnsi="Times New Roman" w:cs="Times New Roman"/>
          <w:i/>
          <w:iCs/>
          <w:sz w:val="20"/>
          <w:szCs w:val="20"/>
          <w:lang w:eastAsia="lv-LV"/>
        </w:rPr>
        <w:t>F. Emergency Housing/Shelter Beds</w:t>
      </w:r>
      <w:r w:rsidRPr="00F253CE">
        <w:rPr>
          <w:rFonts w:ascii="Times New Roman" w:eastAsia="Times New Roman" w:hAnsi="Times New Roman" w:cs="Times New Roman"/>
          <w:sz w:val="20"/>
          <w:szCs w:val="20"/>
          <w:lang w:eastAsia="lv-LV"/>
        </w:rPr>
        <w:t>, 24. lpp.</w:t>
      </w:r>
    </w:p>
  </w:footnote>
  <w:footnote w:id="54">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53</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EDSO Cilvēku tirdzniecības apkarošanas īpašā pārstāvja un koordinatora birojs (apspriežoties ar Alianses pret cilvēku tirdzniecību ekspertu koordinācijas grupu), Politika un likumdošanas ieteikumi, lai efektīvi īstenotu nesodīšanas noteikumu attiecībā uz cilvēku tirdzniecības upuriem [</w:t>
      </w:r>
      <w:r w:rsidRPr="00F253CE">
        <w:rPr>
          <w:rFonts w:ascii="Times New Roman" w:eastAsia="Times New Roman" w:hAnsi="Times New Roman" w:cs="Times New Roman"/>
          <w:i/>
          <w:iCs/>
          <w:sz w:val="20"/>
          <w:szCs w:val="20"/>
          <w:lang w:eastAsia="lv-LV"/>
        </w:rPr>
        <w:t>Policy and legislative recommendations towards the effective implementation of the non-punishment provision with regard to victims of trafficking</w:t>
      </w:r>
      <w:r w:rsidRPr="00F253CE">
        <w:rPr>
          <w:rFonts w:ascii="Times New Roman" w:eastAsia="Times New Roman" w:hAnsi="Times New Roman" w:cs="Times New Roman"/>
          <w:sz w:val="20"/>
          <w:szCs w:val="20"/>
          <w:lang w:eastAsia="lv-LV"/>
        </w:rPr>
        <w:t xml:space="preserve">] (Vīne, 2013), atsaucoties uz </w:t>
      </w:r>
      <w:r w:rsidRPr="00F253CE">
        <w:rPr>
          <w:rFonts w:ascii="Times New Roman" w:eastAsia="Times New Roman" w:hAnsi="Times New Roman" w:cs="Times New Roman"/>
          <w:i/>
          <w:iCs/>
          <w:sz w:val="20"/>
          <w:szCs w:val="20"/>
          <w:lang w:eastAsia="lv-LV"/>
        </w:rPr>
        <w:t>UNICEF</w:t>
      </w:r>
      <w:r w:rsidRPr="00F253CE">
        <w:rPr>
          <w:rFonts w:ascii="Times New Roman" w:eastAsia="Times New Roman" w:hAnsi="Times New Roman" w:cs="Times New Roman"/>
          <w:sz w:val="20"/>
          <w:szCs w:val="20"/>
          <w:lang w:eastAsia="lv-LV"/>
        </w:rPr>
        <w:t xml:space="preserve"> Rokasgrāmatu par bērnu – cilvēku tirdzniecības upuru – tiesību aizsardzību Eiropā [</w:t>
      </w:r>
      <w:r w:rsidRPr="00F253CE">
        <w:rPr>
          <w:rFonts w:ascii="Times New Roman" w:eastAsia="Times New Roman" w:hAnsi="Times New Roman" w:cs="Times New Roman"/>
          <w:i/>
          <w:iCs/>
          <w:sz w:val="20"/>
          <w:szCs w:val="20"/>
          <w:lang w:eastAsia="lv-LV"/>
        </w:rPr>
        <w:t>UNICEF Reference Guide on Protecting the Rights of Child Victims of Trafficking in Europe</w:t>
      </w:r>
      <w:r w:rsidRPr="00F253CE">
        <w:rPr>
          <w:rFonts w:ascii="Times New Roman" w:eastAsia="Times New Roman" w:hAnsi="Times New Roman" w:cs="Times New Roman"/>
          <w:sz w:val="20"/>
          <w:szCs w:val="20"/>
          <w:lang w:eastAsia="lv-LV"/>
        </w:rPr>
        <w:t>] (Ženēva, 2006), 65. lpp.</w:t>
      </w:r>
    </w:p>
  </w:footnote>
  <w:footnote w:id="55">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54</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County Administrative Board of Stockholm, National Referral Mechanism – Protecting and supporting victims of Trafficking in Human Beings in Sweden</w:t>
      </w:r>
      <w:r w:rsidRPr="00F253CE">
        <w:rPr>
          <w:rFonts w:ascii="Times New Roman" w:eastAsia="Times New Roman" w:hAnsi="Times New Roman" w:cs="Times New Roman"/>
          <w:sz w:val="20"/>
          <w:szCs w:val="20"/>
          <w:lang w:eastAsia="lv-LV"/>
        </w:rPr>
        <w:t xml:space="preserve"> (Stokholma, 2016), 29. lpp.</w:t>
      </w:r>
    </w:p>
  </w:footnote>
  <w:footnote w:id="56">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55</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Bērnu aizsardzības standarti “Keeping Children Safe” [</w:t>
      </w:r>
      <w:r w:rsidRPr="00F253CE">
        <w:rPr>
          <w:rFonts w:ascii="Times New Roman" w:eastAsia="Times New Roman" w:hAnsi="Times New Roman" w:cs="Times New Roman"/>
          <w:i/>
          <w:iCs/>
          <w:sz w:val="20"/>
          <w:szCs w:val="20"/>
          <w:lang w:eastAsia="lv-LV"/>
        </w:rPr>
        <w:t>Keeping Children Safe, Standards for Child Protection</w:t>
      </w:r>
      <w:r w:rsidRPr="00F253CE">
        <w:rPr>
          <w:rFonts w:ascii="Times New Roman" w:eastAsia="Times New Roman" w:hAnsi="Times New Roman" w:cs="Times New Roman"/>
          <w:sz w:val="20"/>
          <w:szCs w:val="20"/>
          <w:lang w:eastAsia="lv-LV"/>
        </w:rPr>
        <w:t xml:space="preserve">], </w:t>
      </w:r>
      <w:r w:rsidRPr="00F253CE">
        <w:rPr>
          <w:rFonts w:ascii="Times New Roman" w:eastAsia="Times New Roman" w:hAnsi="Times New Roman" w:cs="Times New Roman"/>
          <w:i/>
          <w:iCs/>
          <w:sz w:val="20"/>
          <w:szCs w:val="20"/>
          <w:lang w:eastAsia="lv-LV"/>
        </w:rPr>
        <w:t>Keeping Children Safe Coalition</w:t>
      </w:r>
      <w:r w:rsidRPr="00F253CE">
        <w:rPr>
          <w:rFonts w:ascii="Times New Roman" w:eastAsia="Times New Roman" w:hAnsi="Times New Roman" w:cs="Times New Roman"/>
          <w:sz w:val="20"/>
          <w:szCs w:val="20"/>
          <w:lang w:eastAsia="lv-LV"/>
        </w:rPr>
        <w:t xml:space="preserve"> (2006), pieejams: https://www.keepingchildrensafe.org.uk. Standartu 1. rīks apraksta, kas iestādēm ir jādara, lai bērni būtu drošībā. Standartu 2. rīks (Standartu ieviešanas vadlīnijas) apraksta, kā iestādes var rīkoties, lai ieviestu šos bērnu aizsardzības mehānismus.</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Attiecīgi 3., 4. un 5. rīks ir apmācības pakete, DVD un CD-ROM, kur ir uzdevumi un ieteiktie darbsemināri, lai palīdzētu iestādēm uzlabot sava personāla un citu pārstāvju informētības līmeni, prasmes un zināšanas, lai viņi varētu labāk pildīt savus aizsardzības pienākumus.</w:t>
      </w:r>
    </w:p>
  </w:footnote>
  <w:footnote w:id="57">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56</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C. Cody, What do we know about... safe accommodation and alternative care for children affected by sexual exploitation and related trafficking?</w:t>
      </w:r>
      <w:r w:rsidRPr="00F253CE">
        <w:rPr>
          <w:rFonts w:ascii="Times New Roman" w:eastAsia="Times New Roman" w:hAnsi="Times New Roman" w:cs="Times New Roman"/>
          <w:sz w:val="20"/>
          <w:szCs w:val="20"/>
          <w:lang w:eastAsia="lv-LV"/>
        </w:rPr>
        <w:t> (Bērnu atlabšanas un reintegrācijas tīkls, 2013), pieejams: https://riselearningnetwork.org/wp-content/uploads/2016/11/What-do-we-know-about...safe-accommodation-and-alternative-care-for-children-affected-by- sexual-exploitation-and-related-trafficking-.pdf.</w:t>
      </w:r>
    </w:p>
  </w:footnote>
  <w:footnote w:id="58">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57</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 xml:space="preserve">Citējot </w:t>
      </w:r>
      <w:r w:rsidRPr="00F253CE">
        <w:rPr>
          <w:rFonts w:ascii="Times New Roman" w:eastAsia="Times New Roman" w:hAnsi="Times New Roman" w:cs="Times New Roman"/>
          <w:i/>
          <w:iCs/>
          <w:sz w:val="20"/>
          <w:szCs w:val="20"/>
          <w:lang w:eastAsia="lv-LV"/>
        </w:rPr>
        <w:t>H. Beckett, “Not a world away” – The sexual exploitation of children and young people in Northern Ireland, Barnardo’s</w:t>
      </w:r>
      <w:r w:rsidRPr="00F253CE">
        <w:rPr>
          <w:rFonts w:ascii="Times New Roman" w:eastAsia="Times New Roman" w:hAnsi="Times New Roman" w:cs="Times New Roman"/>
          <w:sz w:val="20"/>
          <w:szCs w:val="20"/>
          <w:lang w:eastAsia="lv-LV"/>
        </w:rPr>
        <w:t xml:space="preserve"> (Belfāsta, 2011).</w:t>
      </w:r>
    </w:p>
  </w:footnote>
  <w:footnote w:id="59">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58</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 xml:space="preserve">Citējot </w:t>
      </w:r>
      <w:r w:rsidRPr="00F253CE">
        <w:rPr>
          <w:rFonts w:ascii="Times New Roman" w:eastAsia="Times New Roman" w:hAnsi="Times New Roman" w:cs="Times New Roman"/>
          <w:i/>
          <w:iCs/>
          <w:sz w:val="20"/>
          <w:szCs w:val="20"/>
          <w:lang w:eastAsia="lv-LV"/>
        </w:rPr>
        <w:t>P. Skidmore, What works in child sexual exploitation: sharing and learning, Barnardo’s</w:t>
      </w:r>
      <w:r w:rsidRPr="00F253CE">
        <w:rPr>
          <w:rFonts w:ascii="Times New Roman" w:eastAsia="Times New Roman" w:hAnsi="Times New Roman" w:cs="Times New Roman"/>
          <w:sz w:val="20"/>
          <w:szCs w:val="20"/>
          <w:lang w:eastAsia="lv-LV"/>
        </w:rPr>
        <w:t xml:space="preserve"> (</w:t>
      </w:r>
      <w:r w:rsidRPr="00F253CE">
        <w:rPr>
          <w:rFonts w:ascii="Times New Roman" w:eastAsia="Times New Roman" w:hAnsi="Times New Roman" w:cs="Times New Roman"/>
          <w:i/>
          <w:iCs/>
          <w:sz w:val="20"/>
          <w:szCs w:val="20"/>
          <w:lang w:eastAsia="lv-LV"/>
        </w:rPr>
        <w:t>Barkingside</w:t>
      </w:r>
      <w:r w:rsidRPr="00F253CE">
        <w:rPr>
          <w:rFonts w:ascii="Times New Roman" w:eastAsia="Times New Roman" w:hAnsi="Times New Roman" w:cs="Times New Roman"/>
          <w:sz w:val="20"/>
          <w:szCs w:val="20"/>
          <w:lang w:eastAsia="lv-LV"/>
        </w:rPr>
        <w:t>, 2004).</w:t>
      </w:r>
    </w:p>
  </w:footnote>
  <w:footnote w:id="60">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59</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 xml:space="preserve">Psihomotorikas terapija, saukta arī par </w:t>
      </w:r>
      <w:r w:rsidRPr="00F253CE">
        <w:rPr>
          <w:rFonts w:ascii="Times New Roman" w:eastAsia="Times New Roman" w:hAnsi="Times New Roman" w:cs="Times New Roman"/>
          <w:i/>
          <w:iCs/>
          <w:sz w:val="20"/>
          <w:szCs w:val="20"/>
          <w:lang w:eastAsia="lv-LV"/>
        </w:rPr>
        <w:t>Pesso Boyden System Psychomotor</w:t>
      </w:r>
      <w:r w:rsidRPr="00F253CE">
        <w:rPr>
          <w:rFonts w:ascii="Times New Roman" w:eastAsia="Times New Roman" w:hAnsi="Times New Roman" w:cs="Times New Roman"/>
          <w:sz w:val="20"/>
          <w:szCs w:val="20"/>
          <w:lang w:eastAsia="lv-LV"/>
        </w:rPr>
        <w:t xml:space="preserve"> (</w:t>
      </w:r>
      <w:r w:rsidRPr="00F253CE">
        <w:rPr>
          <w:rFonts w:ascii="Times New Roman" w:eastAsia="Times New Roman" w:hAnsi="Times New Roman" w:cs="Times New Roman"/>
          <w:i/>
          <w:iCs/>
          <w:sz w:val="20"/>
          <w:szCs w:val="20"/>
          <w:lang w:eastAsia="lv-LV"/>
        </w:rPr>
        <w:t>PBSP</w:t>
      </w:r>
      <w:r w:rsidRPr="00F253CE">
        <w:rPr>
          <w:rFonts w:ascii="Times New Roman" w:eastAsia="Times New Roman" w:hAnsi="Times New Roman" w:cs="Times New Roman"/>
          <w:sz w:val="20"/>
          <w:szCs w:val="20"/>
          <w:lang w:eastAsia="lv-LV"/>
        </w:rPr>
        <w:t>), “ir ķermeņa un prāta mijiedarbības modelis, kas analizē, kā traumatiskas atmiņas ietekmē šodienu, un palīdz cilvēkiem izstrādāt jaunas atmiņas, lai kompensētu pagātnē piedzīvoto emociju trūkumu.” Sk.: https://www.goodtherapy.org/learn-about-therapy/types/pesso-boyden-system-psychomotor.</w:t>
      </w:r>
    </w:p>
  </w:footnote>
  <w:footnote w:id="61">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60</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GRETA</w:t>
      </w:r>
      <w:r w:rsidRPr="00F253CE">
        <w:rPr>
          <w:rFonts w:ascii="Times New Roman" w:eastAsia="Times New Roman" w:hAnsi="Times New Roman" w:cs="Times New Roman"/>
          <w:sz w:val="20"/>
          <w:szCs w:val="20"/>
          <w:lang w:eastAsia="lv-LV"/>
        </w:rPr>
        <w:t>, Ziņojums par Eiropas Padomes Konvencijas par cīņu pret cilvēku tirdzniecību īstenošanu Beļģijā. Otrā novērtēšanas kārta, 2017. Eiropas Padomes dok. GRETA(2017)26, 125. punkts.</w:t>
      </w:r>
    </w:p>
  </w:footnote>
  <w:footnote w:id="62">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61</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EDSO Rīcības plāns cilvēku tirdzniecības apkarošanai (Pastāvīgās padomes Lēmums Nr. 557/Rev.1, 2003. gada 24. jūlijs), V.5.1. sadaļa.</w:t>
      </w:r>
    </w:p>
  </w:footnote>
  <w:footnote w:id="63">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62</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Cilvēktiesību pamatprincipi, kas jāievēro, atpakaļnosūtot cilvēku tirdzniecības upurus [</w:t>
      </w:r>
      <w:r w:rsidRPr="00F253CE">
        <w:rPr>
          <w:rFonts w:ascii="Times New Roman" w:eastAsia="Times New Roman" w:hAnsi="Times New Roman" w:cs="Times New Roman"/>
          <w:i/>
          <w:iCs/>
          <w:sz w:val="20"/>
          <w:szCs w:val="20"/>
          <w:lang w:eastAsia="lv-LV"/>
        </w:rPr>
        <w:t>ODIHR, Guiding Principles on Human Rights in the Return of Trafficked Persons</w:t>
      </w:r>
      <w:r w:rsidRPr="00F253CE">
        <w:rPr>
          <w:rFonts w:ascii="Times New Roman" w:eastAsia="Times New Roman" w:hAnsi="Times New Roman" w:cs="Times New Roman"/>
          <w:sz w:val="20"/>
          <w:szCs w:val="20"/>
          <w:lang w:eastAsia="lv-LV"/>
        </w:rPr>
        <w:t>] (2014), 4. princips (Īpaši aizsardzības pasākumi, nosūtot atpakaļ cietušos bērnus).</w:t>
      </w:r>
    </w:p>
  </w:footnote>
  <w:footnote w:id="64">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63</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Zviedrija, Ārvalstnieku likums, [2005:716], https://www.government.se/contentas sets/784b3d7be3a54a0185f284bbb2683055/aliens-act-2005_716.pdf, 5. nodaļas 15. pants.</w:t>
      </w:r>
    </w:p>
  </w:footnote>
  <w:footnote w:id="65">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64</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Zviedrijas Migrācijas aģentūra, Iespējamo cilvēku tirdzniecības gadījumu skaita pieaugums, 2017. gada 12. septembris, https://www.migrationsverket.se/English/ About-the-Migration-Agency/News-archive/News-archive-2017/2017-09-12-Increasing-number-of-suspected-human-trafficking-cases.html.</w:t>
      </w:r>
    </w:p>
  </w:footnote>
  <w:footnote w:id="66">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65</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Zviedrijas atbilde uz aptauju, kas izstrādāta, lai novērtētu, kā dalībvalstis īsteno Eiropas Padomes Konvenciju par cīņu pret cilvēku tirdzniecību [</w:t>
      </w:r>
      <w:r w:rsidRPr="00F253CE">
        <w:rPr>
          <w:rFonts w:ascii="Times New Roman" w:eastAsia="Times New Roman" w:hAnsi="Times New Roman" w:cs="Times New Roman"/>
          <w:i/>
          <w:iCs/>
          <w:sz w:val="20"/>
          <w:szCs w:val="20"/>
          <w:lang w:eastAsia="lv-LV"/>
        </w:rPr>
        <w:t>Reply from Sweden to the Questionnaire for the evaluation of the implementation of the Council of Europe Convention on Action against Trafficking in Human Beings by the Parties</w:t>
      </w:r>
      <w:r w:rsidRPr="00F253CE">
        <w:rPr>
          <w:rFonts w:ascii="Times New Roman" w:eastAsia="Times New Roman" w:hAnsi="Times New Roman" w:cs="Times New Roman"/>
          <w:sz w:val="20"/>
          <w:szCs w:val="20"/>
          <w:lang w:eastAsia="lv-LV"/>
        </w:rPr>
        <w:t>], Eiropas Padomes dok. GRETA(2017)19 (2017. gada 19. aprīlis), 21. lpp., https://rm.coe.int/168070acc5.</w:t>
      </w:r>
    </w:p>
  </w:footnote>
  <w:footnote w:id="67">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66</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Eiropas Padomes Konvencijas par cīņu pret cilvēku tirdzniecību 10. pants ir vērsts uz “upuru identifikāciju”. Tas attiecas uz procedūrām, kas nepieciešamas, lai nodrošinātu, ka “upuri tiek savlaicīgi identificēti, ņemot vērā upuru – sieviešu un bērnu īpašo stāvokli, un lai attiecīgos gadījumos izsniegtu uzturēšanās atļaujas (..)”. Konkrēti atsaucoties uz jauniešiem, kuru vecums ir neskaidrs, tajā noteikts, ka, “ja upura vecums ir neskaidrs un ir iemesls uzskatīt, ka upuris ir bērns, viņu uzskata par bērnu un viņam vai viņai nodrošina īpašus aizsardzības pasākumus, līdz tiek pārbaudīts viņa/viņas vecums” (10. panta 3. punkts). Tajā ir arī noteikti minimālie pasākumi, kas dalībvalstīm jāveic, ja bez pavadības atstātais bērns ir identificēts kā upuris (10. panta 4. punkts):</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“a) nodrošina bērna pārstāvībai likumīgo aizbildni, organizāciju vai iestādi, kas rīkojas šī bērna vislabākajās interesēs;</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b) veic nepieciešamos pasākumus, lai noskaidrotu bērna identitāti un valstisko piederību;</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c) dara visu, lai atrastu viņa/viņas ģimeni, ja tas ir bērna labākajās interesēs.” Paskaidrojumā, kas pievienots Konvencijai, attiecībā uz 10. panta 4. punkta c) apakšpunktu ir norādīts, ka “bērna ģimene jāsameklē tikai tad, ja tas ir bērna interesēs, ņemot vērā, ka dažkārt viņa ģimene ir tā, kas ir bērna tirdzniecības avots”.</w:t>
      </w:r>
    </w:p>
  </w:footnote>
  <w:footnote w:id="68">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67</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UNICEF</w:t>
      </w:r>
      <w:r w:rsidRPr="00F253CE">
        <w:rPr>
          <w:rFonts w:ascii="Times New Roman" w:eastAsia="Times New Roman" w:hAnsi="Times New Roman" w:cs="Times New Roman"/>
          <w:sz w:val="20"/>
          <w:szCs w:val="20"/>
          <w:lang w:eastAsia="lv-LV"/>
        </w:rPr>
        <w:t xml:space="preserve"> Rokasgrāmata par bērnu – cilvēku tirdzniecības upuru – tiesību aizsardzību Eiropā [</w:t>
      </w:r>
      <w:r w:rsidRPr="00F253CE">
        <w:rPr>
          <w:rFonts w:ascii="Times New Roman" w:eastAsia="Times New Roman" w:hAnsi="Times New Roman" w:cs="Times New Roman"/>
          <w:i/>
          <w:iCs/>
          <w:sz w:val="20"/>
          <w:szCs w:val="20"/>
          <w:lang w:eastAsia="lv-LV"/>
        </w:rPr>
        <w:t>UNICEF, Reference Guide on Protecting the Rights of Child Victims of Trafficking in Europe</w:t>
      </w:r>
      <w:r w:rsidRPr="00F253CE">
        <w:rPr>
          <w:rFonts w:ascii="Times New Roman" w:eastAsia="Times New Roman" w:hAnsi="Times New Roman" w:cs="Times New Roman"/>
          <w:sz w:val="20"/>
          <w:szCs w:val="20"/>
          <w:lang w:eastAsia="lv-LV"/>
        </w:rPr>
        <w:t xml:space="preserve">], </w:t>
      </w:r>
      <w:r w:rsidRPr="00F253CE">
        <w:rPr>
          <w:rFonts w:ascii="Times New Roman" w:eastAsia="Times New Roman" w:hAnsi="Times New Roman" w:cs="Times New Roman"/>
          <w:i/>
          <w:iCs/>
          <w:sz w:val="20"/>
          <w:szCs w:val="20"/>
          <w:lang w:eastAsia="lv-LV"/>
        </w:rPr>
        <w:t>UNICEF CEE/CIS</w:t>
      </w:r>
      <w:r w:rsidRPr="00F253CE">
        <w:rPr>
          <w:rFonts w:ascii="Times New Roman" w:eastAsia="Times New Roman" w:hAnsi="Times New Roman" w:cs="Times New Roman"/>
          <w:sz w:val="20"/>
          <w:szCs w:val="20"/>
          <w:lang w:eastAsia="lv-LV"/>
        </w:rPr>
        <w:t xml:space="preserve"> birojs (Ženēva, 2006).</w:t>
      </w:r>
    </w:p>
  </w:footnote>
  <w:footnote w:id="69">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68</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Eiropas Savienības Pamattiesību aģentūra, Aizbildniecība bērniem, kuriem liegta vecāku gādība. Rokasgrāmata aizbildniecības sistēmas stiprināšanai, lai rūpētos par to bērnu īpašajām vajadzībām, kas ir cilvēku tirdzniecības upuri [</w:t>
      </w:r>
      <w:r w:rsidRPr="00F253CE">
        <w:rPr>
          <w:rFonts w:ascii="Times New Roman" w:eastAsia="Times New Roman" w:hAnsi="Times New Roman" w:cs="Times New Roman"/>
          <w:i/>
          <w:iCs/>
          <w:sz w:val="20"/>
          <w:szCs w:val="20"/>
          <w:lang w:eastAsia="lv-LV"/>
        </w:rPr>
        <w:t>Guardianship for children deprived of parental care. A handbook to reinforce guardianship systems to cater for the specific needs of child victims of trafficking</w:t>
      </w:r>
      <w:r w:rsidRPr="00F253CE">
        <w:rPr>
          <w:rFonts w:ascii="Times New Roman" w:eastAsia="Times New Roman" w:hAnsi="Times New Roman" w:cs="Times New Roman"/>
          <w:sz w:val="20"/>
          <w:szCs w:val="20"/>
          <w:lang w:eastAsia="lv-LV"/>
        </w:rPr>
        <w:t>] (Vīne, 2014).</w:t>
      </w:r>
    </w:p>
  </w:footnote>
  <w:footnote w:id="70">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69</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GRETA</w:t>
      </w:r>
      <w:r w:rsidRPr="00F253CE">
        <w:rPr>
          <w:rFonts w:ascii="Times New Roman" w:eastAsia="Times New Roman" w:hAnsi="Times New Roman" w:cs="Times New Roman"/>
          <w:sz w:val="20"/>
          <w:szCs w:val="20"/>
          <w:lang w:eastAsia="lv-LV"/>
        </w:rPr>
        <w:t xml:space="preserve"> Ziņojums par Itāliju saskaņā ar 7. punktu Darbības noteikumos, kas izstrādāti, lai novērtētu Eiropas Padomes Konvencijas par cīņu pret cilvēku tirdzniecību īstenošanu, Eiropas Padomes dok. GRETA(2016)29</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(2017. gada 30. janvāris).</w:t>
      </w:r>
    </w:p>
  </w:footnote>
  <w:footnote w:id="71">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70</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AccoglieRete</w:t>
      </w:r>
      <w:r w:rsidRPr="00F253CE">
        <w:rPr>
          <w:rFonts w:ascii="Times New Roman" w:eastAsia="Times New Roman" w:hAnsi="Times New Roman" w:cs="Times New Roman"/>
          <w:sz w:val="20"/>
          <w:szCs w:val="20"/>
          <w:lang w:eastAsia="lv-LV"/>
        </w:rPr>
        <w:t xml:space="preserve"> tīmekļa vietne: http://www.accoglierete.org/it/. Oriģinālteksts itāļu valodā ir šāds: “</w:t>
      </w:r>
      <w:r w:rsidRPr="00F253CE">
        <w:rPr>
          <w:rFonts w:ascii="Times New Roman" w:eastAsia="Times New Roman" w:hAnsi="Times New Roman" w:cs="Times New Roman"/>
          <w:i/>
          <w:iCs/>
          <w:sz w:val="20"/>
          <w:szCs w:val="20"/>
          <w:lang w:eastAsia="lv-LV"/>
        </w:rPr>
        <w:t>Il tutore è prima di tutto un volontario che dichiara la propria disponibilità nel diventare il rappresentante legale di un minore, portavoce necessario davanti alle istituzioni per curare gli interessi del ragazzo arrivato senza genitori, orfano o vittima della sospensione della patria potestà nei propri confronti.</w:t>
      </w:r>
      <w:r w:rsidRPr="00F253CE">
        <w:rPr>
          <w:rFonts w:ascii="Times New Roman" w:eastAsia="Times New Roman" w:hAnsi="Times New Roman" w:cs="Times New Roman"/>
          <w:sz w:val="20"/>
          <w:szCs w:val="20"/>
          <w:lang w:eastAsia="lv-LV"/>
        </w:rPr>
        <w:t>”</w:t>
      </w:r>
    </w:p>
  </w:footnote>
  <w:footnote w:id="72">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71</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 xml:space="preserve">2017. gada 7. aprīļa Likuma Nr. 47 </w:t>
      </w:r>
      <w:r w:rsidRPr="00F253CE">
        <w:rPr>
          <w:rFonts w:ascii="Times New Roman" w:eastAsia="Times New Roman" w:hAnsi="Times New Roman" w:cs="Times New Roman"/>
          <w:i/>
          <w:iCs/>
          <w:sz w:val="20"/>
          <w:szCs w:val="20"/>
          <w:lang w:eastAsia="lv-LV"/>
        </w:rPr>
        <w:t>Disposizioni in materia di misure di protezione dei minori stranieri non accompagnati</w:t>
      </w:r>
      <w:r w:rsidRPr="00F253CE">
        <w:rPr>
          <w:rFonts w:ascii="Times New Roman" w:eastAsia="Times New Roman" w:hAnsi="Times New Roman" w:cs="Times New Roman"/>
          <w:sz w:val="20"/>
          <w:szCs w:val="20"/>
          <w:lang w:eastAsia="lv-LV"/>
        </w:rPr>
        <w:t xml:space="preserve"> 11. pants.</w:t>
      </w:r>
    </w:p>
  </w:footnote>
  <w:footnote w:id="73">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72</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Bērnu tiesību komitejas Vispārējais komentārs Nr. 12 (2009) “Bērna tiesības tikt uzklausītam”, ANO dok. CRC/C/GC/12 (2009. gada 1. jūlijs).</w:t>
      </w:r>
    </w:p>
  </w:footnote>
  <w:footnote w:id="74">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73</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P. Cazenave, Protecting Migrant Children in a Freedom of Movement Area</w:t>
      </w:r>
      <w:r w:rsidRPr="00F253CE">
        <w:rPr>
          <w:rFonts w:ascii="Times New Roman" w:eastAsia="Times New Roman" w:hAnsi="Times New Roman" w:cs="Times New Roman"/>
          <w:sz w:val="20"/>
          <w:szCs w:val="20"/>
          <w:lang w:eastAsia="lv-LV"/>
        </w:rPr>
        <w:t>. </w:t>
      </w:r>
      <w:r w:rsidRPr="00F253CE">
        <w:rPr>
          <w:rFonts w:ascii="Times New Roman" w:eastAsia="Times New Roman" w:hAnsi="Times New Roman" w:cs="Times New Roman"/>
          <w:i/>
          <w:iCs/>
          <w:sz w:val="20"/>
          <w:szCs w:val="20"/>
          <w:lang w:eastAsia="lv-LV"/>
        </w:rPr>
        <w:t>Transnational monitoring of return procedures involving Romanian and Bulgarian migrant children in Greece and France, Terre des hommes</w:t>
      </w:r>
      <w:r w:rsidRPr="00F253CE">
        <w:rPr>
          <w:rFonts w:ascii="Times New Roman" w:eastAsia="Times New Roman" w:hAnsi="Times New Roman" w:cs="Times New Roman"/>
          <w:sz w:val="20"/>
          <w:szCs w:val="20"/>
          <w:lang w:eastAsia="lv-LV"/>
        </w:rPr>
        <w:t xml:space="preserve"> (Budapešta, 2012), 40. lpp.</w:t>
      </w:r>
    </w:p>
  </w:footnote>
  <w:footnote w:id="75">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74</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 xml:space="preserve">Sk. Bērnu tiesību komitejas Vispārējo komentāru Nr. 6 par attieksmi pret nepavadītiem un nošķirtiem bērniem ārpus viņu izcelsmes valsts, </w:t>
      </w:r>
      <w:r w:rsidRPr="00F253CE">
        <w:rPr>
          <w:rFonts w:ascii="Times New Roman" w:eastAsia="Times New Roman" w:hAnsi="Times New Roman" w:cs="Times New Roman"/>
          <w:i/>
          <w:iCs/>
          <w:sz w:val="20"/>
          <w:szCs w:val="20"/>
          <w:lang w:eastAsia="lv-LV"/>
        </w:rPr>
        <w:t>op. cit.</w:t>
      </w:r>
      <w:r w:rsidRPr="00F253CE">
        <w:rPr>
          <w:rFonts w:ascii="Times New Roman" w:eastAsia="Times New Roman" w:hAnsi="Times New Roman" w:cs="Times New Roman"/>
          <w:sz w:val="20"/>
          <w:szCs w:val="20"/>
          <w:lang w:eastAsia="lv-LV"/>
        </w:rPr>
        <w:t>, 84. punkts</w:t>
      </w:r>
    </w:p>
  </w:footnote>
  <w:footnote w:id="76">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75</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P. Cazenave, Protecting Migrant Children in a Freedom of Movement Area</w:t>
      </w:r>
      <w:r w:rsidRPr="00F253CE">
        <w:rPr>
          <w:rFonts w:ascii="Times New Roman" w:eastAsia="Times New Roman" w:hAnsi="Times New Roman" w:cs="Times New Roman"/>
          <w:sz w:val="20"/>
          <w:szCs w:val="20"/>
          <w:lang w:eastAsia="lv-LV"/>
        </w:rPr>
        <w:t>. </w:t>
      </w:r>
      <w:r w:rsidRPr="00F253CE">
        <w:rPr>
          <w:rFonts w:ascii="Times New Roman" w:eastAsia="Times New Roman" w:hAnsi="Times New Roman" w:cs="Times New Roman"/>
          <w:i/>
          <w:iCs/>
          <w:sz w:val="20"/>
          <w:szCs w:val="20"/>
          <w:lang w:eastAsia="lv-LV"/>
        </w:rPr>
        <w:t>Transnational monitoring of return procedures involving Romanian and Bulgarian migrant children in Greece and France, Terre des hommes</w:t>
      </w:r>
      <w:r w:rsidRPr="00F253CE">
        <w:rPr>
          <w:rFonts w:ascii="Times New Roman" w:eastAsia="Times New Roman" w:hAnsi="Times New Roman" w:cs="Times New Roman"/>
          <w:sz w:val="20"/>
          <w:szCs w:val="20"/>
          <w:lang w:eastAsia="lv-LV"/>
        </w:rPr>
        <w:t xml:space="preserve"> (Budapešta, 2012), 35. lpp.</w:t>
      </w:r>
    </w:p>
  </w:footnote>
  <w:footnote w:id="77">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76</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 xml:space="preserve">Eiropas Padomes Konvencija par cīņu pret cilvēku tirdzniecību. Paskaidrojums. Eiropas Padomes dok. CM(2005)32 Papildinājums Nr. 2 </w:t>
      </w:r>
      <w:r w:rsidRPr="00F253CE">
        <w:rPr>
          <w:rFonts w:ascii="Times New Roman" w:eastAsia="Times New Roman" w:hAnsi="Times New Roman" w:cs="Times New Roman"/>
          <w:i/>
          <w:iCs/>
          <w:sz w:val="20"/>
          <w:szCs w:val="20"/>
          <w:lang w:eastAsia="lv-LV"/>
        </w:rPr>
        <w:t>final</w:t>
      </w:r>
      <w:r w:rsidRPr="00F253CE">
        <w:rPr>
          <w:rFonts w:ascii="Times New Roman" w:eastAsia="Times New Roman" w:hAnsi="Times New Roman" w:cs="Times New Roman"/>
          <w:sz w:val="20"/>
          <w:szCs w:val="20"/>
          <w:lang w:eastAsia="lv-LV"/>
        </w:rPr>
        <w:t xml:space="preserve"> (2005. gada 3. maijs), 207. punkts.</w:t>
      </w:r>
    </w:p>
  </w:footnote>
  <w:footnote w:id="78">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77</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RCM</w:t>
      </w:r>
      <w:r w:rsidRPr="00F253CE">
        <w:rPr>
          <w:rFonts w:ascii="Times New Roman" w:eastAsia="Times New Roman" w:hAnsi="Times New Roman" w:cs="Times New Roman"/>
          <w:sz w:val="20"/>
          <w:szCs w:val="20"/>
          <w:lang w:eastAsia="lv-LV"/>
        </w:rPr>
        <w:t xml:space="preserve"> jeb “Pueblas procesa” valstis ir Amerikas Savienotās Valstis, Beliza, Dominikānas Republika, Hondurasa, Kanāda, Kostarika, Meksika, Nikaragva, Panama un Salvadora.</w:t>
      </w:r>
    </w:p>
  </w:footnote>
  <w:footnote w:id="79">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78</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 xml:space="preserve">14. pants </w:t>
      </w:r>
      <w:r w:rsidRPr="00F253CE">
        <w:rPr>
          <w:rFonts w:ascii="Times New Roman" w:eastAsia="Times New Roman" w:hAnsi="Times New Roman" w:cs="Times New Roman"/>
          <w:i/>
          <w:iCs/>
          <w:sz w:val="20"/>
          <w:szCs w:val="20"/>
          <w:lang w:eastAsia="lv-LV"/>
        </w:rPr>
        <w:t>RCM</w:t>
      </w:r>
      <w:r w:rsidRPr="00F253CE">
        <w:rPr>
          <w:rFonts w:ascii="Times New Roman" w:eastAsia="Times New Roman" w:hAnsi="Times New Roman" w:cs="Times New Roman"/>
          <w:sz w:val="20"/>
          <w:szCs w:val="20"/>
          <w:lang w:eastAsia="lv-LV"/>
        </w:rPr>
        <w:t xml:space="preserve"> Reģionālajās pamatnostādnēs par īpašu aizsardzību to bērnu repatriācijas gadījumos, kas ir cilvēku tirdzniecības upuri, 2007. gada aprīlis (dokuments apstiprināts Ņuorleānā, ASV, 12. </w:t>
      </w:r>
      <w:r w:rsidRPr="00F253CE">
        <w:rPr>
          <w:rFonts w:ascii="Times New Roman" w:eastAsia="Times New Roman" w:hAnsi="Times New Roman" w:cs="Times New Roman"/>
          <w:i/>
          <w:iCs/>
          <w:sz w:val="20"/>
          <w:szCs w:val="20"/>
          <w:lang w:eastAsia="lv-LV"/>
        </w:rPr>
        <w:t>RCM</w:t>
      </w:r>
      <w:r w:rsidRPr="00F253CE">
        <w:rPr>
          <w:rFonts w:ascii="Times New Roman" w:eastAsia="Times New Roman" w:hAnsi="Times New Roman" w:cs="Times New Roman"/>
          <w:sz w:val="20"/>
          <w:szCs w:val="20"/>
          <w:lang w:eastAsia="lv-LV"/>
        </w:rPr>
        <w:t>), pieejams http://www.ilo.org/ipec/Informationresources/WCMS_IPEC_PUB_11457/lang--en/index.htm.</w:t>
      </w:r>
    </w:p>
  </w:footnote>
  <w:footnote w:id="80">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79</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ICMPD</w:t>
      </w:r>
      <w:r w:rsidRPr="00F253CE">
        <w:rPr>
          <w:rFonts w:ascii="Times New Roman" w:eastAsia="Times New Roman" w:hAnsi="Times New Roman" w:cs="Times New Roman"/>
          <w:sz w:val="20"/>
          <w:szCs w:val="20"/>
          <w:lang w:eastAsia="lv-LV"/>
        </w:rPr>
        <w:t xml:space="preserve"> ir ieteicis, ka “struktūrām, kas atbild par </w:t>
      </w:r>
      <w:r w:rsidRPr="00F253CE">
        <w:rPr>
          <w:rFonts w:ascii="Times New Roman" w:eastAsia="Times New Roman" w:hAnsi="Times New Roman" w:cs="Times New Roman"/>
          <w:i/>
          <w:iCs/>
          <w:sz w:val="20"/>
          <w:szCs w:val="20"/>
          <w:lang w:eastAsia="lv-LV"/>
        </w:rPr>
        <w:t>NRM</w:t>
      </w:r>
      <w:r w:rsidRPr="00F253CE">
        <w:rPr>
          <w:rFonts w:ascii="Times New Roman" w:eastAsia="Times New Roman" w:hAnsi="Times New Roman" w:cs="Times New Roman"/>
          <w:sz w:val="20"/>
          <w:szCs w:val="20"/>
          <w:lang w:eastAsia="lv-LV"/>
        </w:rPr>
        <w:t xml:space="preserve"> un </w:t>
      </w:r>
      <w:r w:rsidRPr="00F253CE">
        <w:rPr>
          <w:rFonts w:ascii="Times New Roman" w:eastAsia="Times New Roman" w:hAnsi="Times New Roman" w:cs="Times New Roman"/>
          <w:i/>
          <w:iCs/>
          <w:sz w:val="20"/>
          <w:szCs w:val="20"/>
          <w:lang w:eastAsia="lv-LV"/>
        </w:rPr>
        <w:t>TRM</w:t>
      </w:r>
      <w:r w:rsidRPr="00F253CE">
        <w:rPr>
          <w:rFonts w:ascii="Times New Roman" w:eastAsia="Times New Roman" w:hAnsi="Times New Roman" w:cs="Times New Roman"/>
          <w:sz w:val="20"/>
          <w:szCs w:val="20"/>
          <w:lang w:eastAsia="lv-LV"/>
        </w:rPr>
        <w:t>, jānodrošina, ka starptautiskās sadarbības pieprasījumus attiecībā uz bērniem, kas ir cilvēku tirdzniecības upuri, pārvalda viena valsts iestāde”. Sk., </w:t>
      </w:r>
      <w:r w:rsidRPr="00F253CE">
        <w:rPr>
          <w:rFonts w:ascii="Times New Roman" w:eastAsia="Times New Roman" w:hAnsi="Times New Roman" w:cs="Times New Roman"/>
          <w:i/>
          <w:iCs/>
          <w:sz w:val="20"/>
          <w:szCs w:val="20"/>
          <w:lang w:eastAsia="lv-LV"/>
        </w:rPr>
        <w:t>ICMPD, The Way Forward in Establishing Effective Transnational Referral Mechanisms, A Report based on Experiences in Cases of Human Trafficking in South-Eastern Europe</w:t>
      </w:r>
      <w:r w:rsidRPr="00F253CE">
        <w:rPr>
          <w:rFonts w:ascii="Times New Roman" w:eastAsia="Times New Roman" w:hAnsi="Times New Roman" w:cs="Times New Roman"/>
          <w:sz w:val="20"/>
          <w:szCs w:val="20"/>
          <w:lang w:eastAsia="lv-LV"/>
        </w:rPr>
        <w:t xml:space="preserve"> (</w:t>
      </w:r>
      <w:r w:rsidRPr="00F253CE">
        <w:rPr>
          <w:rFonts w:ascii="Times New Roman" w:eastAsia="Times New Roman" w:hAnsi="Times New Roman" w:cs="Times New Roman"/>
          <w:i/>
          <w:iCs/>
          <w:sz w:val="20"/>
          <w:szCs w:val="20"/>
          <w:lang w:eastAsia="lv-LV"/>
        </w:rPr>
        <w:t>ICMPD</w:t>
      </w:r>
      <w:r w:rsidRPr="00F253CE">
        <w:rPr>
          <w:rFonts w:ascii="Times New Roman" w:eastAsia="Times New Roman" w:hAnsi="Times New Roman" w:cs="Times New Roman"/>
          <w:sz w:val="20"/>
          <w:szCs w:val="20"/>
          <w:lang w:eastAsia="lv-LV"/>
        </w:rPr>
        <w:t>, 2012) 111. lpp.</w:t>
      </w:r>
    </w:p>
  </w:footnote>
  <w:footnote w:id="81">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80</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 xml:space="preserve">10. un 11. pants </w:t>
      </w:r>
      <w:r w:rsidRPr="00F253CE">
        <w:rPr>
          <w:rFonts w:ascii="Times New Roman" w:eastAsia="Times New Roman" w:hAnsi="Times New Roman" w:cs="Times New Roman"/>
          <w:i/>
          <w:iCs/>
          <w:sz w:val="20"/>
          <w:szCs w:val="20"/>
          <w:lang w:eastAsia="lv-LV"/>
        </w:rPr>
        <w:t>RCM</w:t>
      </w:r>
      <w:r w:rsidRPr="00F253CE">
        <w:rPr>
          <w:rFonts w:ascii="Times New Roman" w:eastAsia="Times New Roman" w:hAnsi="Times New Roman" w:cs="Times New Roman"/>
          <w:sz w:val="20"/>
          <w:szCs w:val="20"/>
          <w:lang w:eastAsia="lv-LV"/>
        </w:rPr>
        <w:t xml:space="preserve"> Reģionālajās pamatnostādnēs par īpašu aizsardzību to bērnu repatriācijas gadījumos, kas ir cilvēku tirdzniecības upuri, 2007. gada aprīlis (dokuments apstiprināts Ņuorleānā, ASV, 12. </w:t>
      </w:r>
      <w:r w:rsidRPr="00F253CE">
        <w:rPr>
          <w:rFonts w:ascii="Times New Roman" w:eastAsia="Times New Roman" w:hAnsi="Times New Roman" w:cs="Times New Roman"/>
          <w:i/>
          <w:iCs/>
          <w:sz w:val="20"/>
          <w:szCs w:val="20"/>
          <w:lang w:eastAsia="lv-LV"/>
        </w:rPr>
        <w:t>RCM</w:t>
      </w:r>
      <w:r w:rsidRPr="00F253CE">
        <w:rPr>
          <w:rFonts w:ascii="Times New Roman" w:eastAsia="Times New Roman" w:hAnsi="Times New Roman" w:cs="Times New Roman"/>
          <w:sz w:val="20"/>
          <w:szCs w:val="20"/>
          <w:lang w:eastAsia="lv-LV"/>
        </w:rPr>
        <w:t>), pieejams http://www.ilo.org/ipec/Informationresources/WCMS_IPEC_PUB_11457/lang--en/index.htm.</w:t>
      </w:r>
    </w:p>
  </w:footnote>
  <w:footnote w:id="82">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81</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P. Cazenave, Protecting Migrant Children in a Freedom of Movement Area</w:t>
      </w:r>
      <w:r w:rsidRPr="00F253CE">
        <w:rPr>
          <w:rFonts w:ascii="Times New Roman" w:eastAsia="Times New Roman" w:hAnsi="Times New Roman" w:cs="Times New Roman"/>
          <w:sz w:val="20"/>
          <w:szCs w:val="20"/>
          <w:lang w:eastAsia="lv-LV"/>
        </w:rPr>
        <w:t>. </w:t>
      </w:r>
      <w:r w:rsidRPr="00F253CE">
        <w:rPr>
          <w:rFonts w:ascii="Times New Roman" w:eastAsia="Times New Roman" w:hAnsi="Times New Roman" w:cs="Times New Roman"/>
          <w:i/>
          <w:iCs/>
          <w:sz w:val="20"/>
          <w:szCs w:val="20"/>
          <w:lang w:eastAsia="lv-LV"/>
        </w:rPr>
        <w:t>Transnational monitoring of return procedures involving Romanian and Bulgarian migrant children in Greece and France, Terre des hommes</w:t>
      </w:r>
      <w:r w:rsidRPr="00F253CE">
        <w:rPr>
          <w:rFonts w:ascii="Times New Roman" w:eastAsia="Times New Roman" w:hAnsi="Times New Roman" w:cs="Times New Roman"/>
          <w:sz w:val="20"/>
          <w:szCs w:val="20"/>
          <w:lang w:eastAsia="lv-LV"/>
        </w:rPr>
        <w:t xml:space="preserve"> (Budapešta, 2012), 7. lpp.</w:t>
      </w:r>
    </w:p>
  </w:footnote>
  <w:footnote w:id="83">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82</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Abas valstis 2002. gadā noslēdza sākotnējo vienošanos par bērnu repatriāciju. Francijas Parlamentārajā ziņojumā 2010. gadā bija skaidrots, ka “1990. gadu beigās Parīzē darbojās rumāņu jaunieši, kas aplaupīja stāvlaika skaitītājus, un tas bija piesaistījis plašsaziņas līdzekļu un valsts institūciju uzmanību par viņu stāvokli (..). Saskaņā ar 2001. gadā veiktajām aplēsēm Francijas teritorijā bija vismaz 500 Rumānijas nepilngadīgo bez pavadības” (oriģinālteksta neoficiāls tulkojums): </w:t>
      </w:r>
      <w:r w:rsidRPr="00F253CE">
        <w:rPr>
          <w:rFonts w:ascii="Times New Roman" w:eastAsia="Times New Roman" w:hAnsi="Times New Roman" w:cs="Times New Roman"/>
          <w:i/>
          <w:iCs/>
          <w:sz w:val="20"/>
          <w:szCs w:val="20"/>
          <w:lang w:eastAsia="lv-LV"/>
        </w:rPr>
        <w:t>C. Bourragué, Rapport fait au nom de la Commission des affaires étrangères sur le projet de loi, adopté par le Sénat, autorisant l’approbation de l’accord entre le Gouvernement de la République française et le Gouvernement de la Roumanie relatif à une coopération en vue de la protection des mineurs roumains isolés sur le territoire de la République française et à leur retour dans leur pays d’origine ainsi qu’à la lutte contre les réseaux d’exploitation concernant les mineurs.</w:t>
      </w:r>
      <w:r w:rsidRPr="00F253CE">
        <w:rPr>
          <w:rFonts w:ascii="Times New Roman" w:eastAsia="Times New Roman" w:hAnsi="Times New Roman" w:cs="Times New Roman"/>
          <w:sz w:val="20"/>
          <w:szCs w:val="20"/>
          <w:lang w:eastAsia="lv-LV"/>
        </w:rPr>
        <w:t> (</w:t>
      </w:r>
      <w:r w:rsidRPr="00F253CE">
        <w:rPr>
          <w:rFonts w:ascii="Times New Roman" w:eastAsia="Times New Roman" w:hAnsi="Times New Roman" w:cs="Times New Roman"/>
          <w:i/>
          <w:iCs/>
          <w:sz w:val="20"/>
          <w:szCs w:val="20"/>
          <w:lang w:eastAsia="lv-LV"/>
        </w:rPr>
        <w:t>Enregistré à la Présidence de l’Assemblée nationale le 5 octobre 2010</w:t>
      </w:r>
      <w:r w:rsidRPr="00F253CE">
        <w:rPr>
          <w:rFonts w:ascii="Times New Roman" w:eastAsia="Times New Roman" w:hAnsi="Times New Roman" w:cs="Times New Roman"/>
          <w:sz w:val="20"/>
          <w:szCs w:val="20"/>
          <w:lang w:eastAsia="lv-LV"/>
        </w:rPr>
        <w:t>).</w:t>
      </w:r>
    </w:p>
  </w:footnote>
  <w:footnote w:id="84">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83</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 xml:space="preserve">Sk., piemēram, </w:t>
      </w:r>
      <w:r w:rsidRPr="00F253CE">
        <w:rPr>
          <w:rFonts w:ascii="Times New Roman" w:eastAsia="Times New Roman" w:hAnsi="Times New Roman" w:cs="Times New Roman"/>
          <w:i/>
          <w:iCs/>
          <w:sz w:val="20"/>
          <w:szCs w:val="20"/>
          <w:lang w:eastAsia="lv-LV"/>
        </w:rPr>
        <w:t>O. Peyroux un R. Icleanu, Research – Romania</w:t>
      </w:r>
      <w:r w:rsidRPr="00F253CE">
        <w:rPr>
          <w:rFonts w:ascii="Times New Roman" w:eastAsia="Times New Roman" w:hAnsi="Times New Roman" w:cs="Times New Roman"/>
          <w:sz w:val="20"/>
          <w:szCs w:val="20"/>
          <w:lang w:eastAsia="lv-LV"/>
        </w:rPr>
        <w:t>. </w:t>
      </w:r>
      <w:r w:rsidRPr="00F253CE">
        <w:rPr>
          <w:rFonts w:ascii="Times New Roman" w:eastAsia="Times New Roman" w:hAnsi="Times New Roman" w:cs="Times New Roman"/>
          <w:i/>
          <w:iCs/>
          <w:sz w:val="20"/>
          <w:szCs w:val="20"/>
          <w:lang w:eastAsia="lv-LV"/>
        </w:rPr>
        <w:t>Diagnosis of the minors originating in Braila and Constanta who are victims of human trafficking</w:t>
      </w:r>
      <w:r w:rsidRPr="00F253CE">
        <w:rPr>
          <w:rFonts w:ascii="Times New Roman" w:eastAsia="Times New Roman" w:hAnsi="Times New Roman" w:cs="Times New Roman"/>
          <w:sz w:val="20"/>
          <w:szCs w:val="20"/>
          <w:lang w:eastAsia="lv-LV"/>
        </w:rPr>
        <w:t xml:space="preserve">, Ārlietu un starptautiskā attīstības ministrija (Francija) un </w:t>
      </w:r>
      <w:r w:rsidRPr="00F253CE">
        <w:rPr>
          <w:rFonts w:ascii="Times New Roman" w:eastAsia="Times New Roman" w:hAnsi="Times New Roman" w:cs="Times New Roman"/>
          <w:i/>
          <w:iCs/>
          <w:sz w:val="20"/>
          <w:szCs w:val="20"/>
          <w:lang w:eastAsia="lv-LV"/>
        </w:rPr>
        <w:t>Terre des Hommes</w:t>
      </w:r>
      <w:r w:rsidRPr="00F253CE">
        <w:rPr>
          <w:rFonts w:ascii="Times New Roman" w:eastAsia="Times New Roman" w:hAnsi="Times New Roman" w:cs="Times New Roman"/>
          <w:sz w:val="20"/>
          <w:szCs w:val="20"/>
          <w:lang w:eastAsia="lv-LV"/>
        </w:rPr>
        <w:t xml:space="preserve"> (2015).</w:t>
      </w:r>
    </w:p>
  </w:footnote>
  <w:footnote w:id="85">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84</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 xml:space="preserve">Sk. </w:t>
      </w:r>
      <w:r w:rsidRPr="00F253CE">
        <w:rPr>
          <w:rFonts w:ascii="Times New Roman" w:eastAsia="Times New Roman" w:hAnsi="Times New Roman" w:cs="Times New Roman"/>
          <w:i/>
          <w:iCs/>
          <w:sz w:val="20"/>
          <w:szCs w:val="20"/>
          <w:lang w:eastAsia="lv-LV"/>
        </w:rPr>
        <w:t>C. Charpentier, Coopération en Europe du sud-est contre la traite des êtres humains et la criminalité connexe</w:t>
      </w:r>
      <w:r w:rsidRPr="00F253CE">
        <w:rPr>
          <w:rFonts w:ascii="Times New Roman" w:eastAsia="Times New Roman" w:hAnsi="Times New Roman" w:cs="Times New Roman"/>
          <w:sz w:val="20"/>
          <w:szCs w:val="20"/>
          <w:lang w:eastAsia="lv-LV"/>
        </w:rPr>
        <w:t>. 2018. gada programma, kas papildināta ar personīgu saziņu ar autoru (2018. gada 20. jūnijs).</w:t>
      </w:r>
    </w:p>
  </w:footnote>
  <w:footnote w:id="86">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85</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P. Cazenave, Protecting Migrant Children in a Freedom of Movement Area</w:t>
      </w:r>
      <w:r w:rsidRPr="00F253CE">
        <w:rPr>
          <w:rFonts w:ascii="Times New Roman" w:eastAsia="Times New Roman" w:hAnsi="Times New Roman" w:cs="Times New Roman"/>
          <w:sz w:val="20"/>
          <w:szCs w:val="20"/>
          <w:lang w:eastAsia="lv-LV"/>
        </w:rPr>
        <w:t>. </w:t>
      </w:r>
      <w:r w:rsidRPr="00F253CE">
        <w:rPr>
          <w:rFonts w:ascii="Times New Roman" w:eastAsia="Times New Roman" w:hAnsi="Times New Roman" w:cs="Times New Roman"/>
          <w:i/>
          <w:iCs/>
          <w:sz w:val="20"/>
          <w:szCs w:val="20"/>
          <w:lang w:eastAsia="lv-LV"/>
        </w:rPr>
        <w:t>Transnational monitoring of return procedures involving Romanian and Bulgarian migrant children in Greece and France, Terre des hommes</w:t>
      </w:r>
      <w:r w:rsidRPr="00F253CE">
        <w:rPr>
          <w:rFonts w:ascii="Times New Roman" w:eastAsia="Times New Roman" w:hAnsi="Times New Roman" w:cs="Times New Roman"/>
          <w:sz w:val="20"/>
          <w:szCs w:val="20"/>
          <w:lang w:eastAsia="lv-LV"/>
        </w:rPr>
        <w:t xml:space="preserve"> (Budapešta, 2012), 36. lpp.</w:t>
      </w:r>
    </w:p>
  </w:footnote>
  <w:footnote w:id="87">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86</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County Administrative Board of Stockholm, National Referral Mechanism – Protecting and supporting victims of Trafficking in Human Beings in Sweden</w:t>
      </w:r>
      <w:r w:rsidRPr="00F253CE">
        <w:rPr>
          <w:rFonts w:ascii="Times New Roman" w:eastAsia="Times New Roman" w:hAnsi="Times New Roman" w:cs="Times New Roman"/>
          <w:sz w:val="20"/>
          <w:szCs w:val="20"/>
          <w:lang w:eastAsia="lv-LV"/>
        </w:rPr>
        <w:t xml:space="preserve"> (Stokholma, 2016), 20. lpp.</w:t>
      </w:r>
    </w:p>
  </w:footnote>
  <w:footnote w:id="88">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87</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 xml:space="preserve">Sk. </w:t>
      </w:r>
      <w:r w:rsidRPr="00F253CE">
        <w:rPr>
          <w:rFonts w:ascii="Times New Roman" w:eastAsia="Times New Roman" w:hAnsi="Times New Roman" w:cs="Times New Roman"/>
          <w:i/>
          <w:iCs/>
          <w:sz w:val="20"/>
          <w:szCs w:val="20"/>
          <w:lang w:eastAsia="lv-LV"/>
        </w:rPr>
        <w:t>Kristina Voko and Izela Tahsini, Children on the Move in Albania</w:t>
      </w:r>
      <w:r w:rsidRPr="00F253CE">
        <w:rPr>
          <w:rFonts w:ascii="Times New Roman" w:eastAsia="Times New Roman" w:hAnsi="Times New Roman" w:cs="Times New Roman"/>
          <w:sz w:val="20"/>
          <w:szCs w:val="20"/>
          <w:lang w:eastAsia="lv-LV"/>
        </w:rPr>
        <w:t>. </w:t>
      </w:r>
      <w:r w:rsidRPr="00F253CE">
        <w:rPr>
          <w:rFonts w:ascii="Times New Roman" w:eastAsia="Times New Roman" w:hAnsi="Times New Roman" w:cs="Times New Roman"/>
          <w:i/>
          <w:iCs/>
          <w:sz w:val="20"/>
          <w:szCs w:val="20"/>
          <w:lang w:eastAsia="lv-LV"/>
        </w:rPr>
        <w:t>Response of Child Protection System to Their Needs.</w:t>
      </w:r>
      <w:r w:rsidRPr="00F253CE">
        <w:rPr>
          <w:rFonts w:ascii="Times New Roman" w:eastAsia="Times New Roman" w:hAnsi="Times New Roman" w:cs="Times New Roman"/>
          <w:sz w:val="20"/>
          <w:szCs w:val="20"/>
          <w:lang w:eastAsia="lv-LV"/>
        </w:rPr>
        <w:t> </w:t>
      </w:r>
      <w:r w:rsidRPr="00F253CE">
        <w:rPr>
          <w:rFonts w:ascii="Times New Roman" w:eastAsia="Times New Roman" w:hAnsi="Times New Roman" w:cs="Times New Roman"/>
          <w:i/>
          <w:iCs/>
          <w:sz w:val="20"/>
          <w:szCs w:val="20"/>
          <w:lang w:eastAsia="lv-LV"/>
        </w:rPr>
        <w:t>Situational Analysis, Save the Children</w:t>
      </w:r>
      <w:r w:rsidRPr="00F253CE">
        <w:rPr>
          <w:rFonts w:ascii="Times New Roman" w:eastAsia="Times New Roman" w:hAnsi="Times New Roman" w:cs="Times New Roman"/>
          <w:sz w:val="20"/>
          <w:szCs w:val="20"/>
          <w:lang w:eastAsia="lv-LV"/>
        </w:rPr>
        <w:t xml:space="preserve"> (Tirāna, 2014). (https://albania.savethechildren.net/sites/albania.savethechildren.net/files/library/MARIO%20SITAN%20REPORT%20%28eng%29_1.pdf)</w:t>
      </w:r>
    </w:p>
  </w:footnote>
  <w:footnote w:id="89">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88</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Šeit ietilpst trīs bērnu grupas – bērni, kas dzīvo uz ielas, bērni, kas strādā uz ielas, un bērni no ģimenēm, kas dzīvo uz ielas.</w:t>
      </w:r>
    </w:p>
  </w:footnote>
  <w:footnote w:id="90">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89</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Voko/Tahsini, Children on the Move in Albania</w:t>
      </w:r>
      <w:r w:rsidRPr="00F253CE">
        <w:rPr>
          <w:rFonts w:ascii="Times New Roman" w:eastAsia="Times New Roman" w:hAnsi="Times New Roman" w:cs="Times New Roman"/>
          <w:sz w:val="20"/>
          <w:szCs w:val="20"/>
          <w:lang w:eastAsia="lv-LV"/>
        </w:rPr>
        <w:t>, op. cit.</w:t>
      </w:r>
    </w:p>
  </w:footnote>
  <w:footnote w:id="91">
    <w:p w:rsidR="00281759" w:rsidRPr="00F253CE" w:rsidRDefault="00281759" w:rsidP="00F253CE">
      <w:pPr>
        <w:pStyle w:val="Vresteksts"/>
        <w:jc w:val="both"/>
        <w:rPr>
          <w:rFonts w:ascii="Times New Roman" w:hAnsi="Times New Roman" w:cs="Times New Roman"/>
        </w:rPr>
      </w:pPr>
      <w:r w:rsidRPr="00F253CE">
        <w:rPr>
          <w:rStyle w:val="Vresatsauce"/>
          <w:rFonts w:ascii="Times New Roman" w:hAnsi="Times New Roman" w:cs="Times New Roman"/>
        </w:rPr>
        <w:t>90</w:t>
      </w:r>
      <w:r w:rsidRPr="00F253CE">
        <w:rPr>
          <w:rFonts w:ascii="Times New Roman" w:hAnsi="Times New Roman" w:cs="Times New Roman"/>
        </w:rPr>
        <w:t xml:space="preserve"> </w:t>
      </w:r>
      <w:r w:rsidRPr="00F253CE">
        <w:rPr>
          <w:rFonts w:ascii="Times New Roman" w:eastAsia="Times New Roman" w:hAnsi="Times New Roman" w:cs="Times New Roman"/>
          <w:lang w:eastAsia="lv-LV"/>
        </w:rPr>
        <w:t>Iekšlietu ministrija un Nacionālais Cilvēku tirdzniecības novēršanas koordinatora birojs, Standartizētas operatīvās procedūras iespējamo cilvēku tirdzniecības upuru identifikācijai un nosūtīšanai (Tirāna, 2011).</w:t>
      </w:r>
    </w:p>
  </w:footnote>
  <w:footnote w:id="92">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91</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Ekspertu darbības grupa pret cilvēku tirdzniecību (</w:t>
      </w:r>
      <w:r w:rsidRPr="00F253CE">
        <w:rPr>
          <w:rFonts w:ascii="Times New Roman" w:eastAsia="Times New Roman" w:hAnsi="Times New Roman" w:cs="Times New Roman"/>
          <w:i/>
          <w:iCs/>
          <w:sz w:val="20"/>
          <w:szCs w:val="20"/>
          <w:lang w:eastAsia="lv-LV"/>
        </w:rPr>
        <w:t>GRETA</w:t>
      </w:r>
      <w:r w:rsidRPr="00F253CE">
        <w:rPr>
          <w:rFonts w:ascii="Times New Roman" w:eastAsia="Times New Roman" w:hAnsi="Times New Roman" w:cs="Times New Roman"/>
          <w:sz w:val="20"/>
          <w:szCs w:val="20"/>
          <w:lang w:eastAsia="lv-LV"/>
        </w:rPr>
        <w:t>), Ziņojums par Eiropas Padomes Konvencijas par cīņu pret cilvēku tirdzniecību īstenošanu Albānijā. Otrā novērtēšanas kārta. </w:t>
      </w:r>
      <w:r w:rsidRPr="00F253CE">
        <w:rPr>
          <w:rFonts w:ascii="Times New Roman" w:eastAsia="Times New Roman" w:hAnsi="Times New Roman" w:cs="Times New Roman"/>
          <w:i/>
          <w:iCs/>
          <w:sz w:val="20"/>
          <w:szCs w:val="20"/>
          <w:lang w:eastAsia="lv-LV"/>
        </w:rPr>
        <w:t>GRETA</w:t>
      </w:r>
      <w:r w:rsidRPr="00F253CE">
        <w:rPr>
          <w:rFonts w:ascii="Times New Roman" w:eastAsia="Times New Roman" w:hAnsi="Times New Roman" w:cs="Times New Roman"/>
          <w:sz w:val="20"/>
          <w:szCs w:val="20"/>
          <w:lang w:eastAsia="lv-LV"/>
        </w:rPr>
        <w:t xml:space="preserve"> dok. GRETA(2016)6 (Strasbūra, 2016. gada jūnijs).</w:t>
      </w:r>
    </w:p>
  </w:footnote>
  <w:footnote w:id="93">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92</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 xml:space="preserve">Sociālo lietu un vienlīdzīgu iespēju nodrošināšanas ministrija (Albānija), </w:t>
      </w:r>
      <w:r w:rsidRPr="00F253CE">
        <w:rPr>
          <w:rFonts w:ascii="Times New Roman" w:eastAsia="Times New Roman" w:hAnsi="Times New Roman" w:cs="Times New Roman"/>
          <w:i/>
          <w:iCs/>
          <w:sz w:val="20"/>
          <w:szCs w:val="20"/>
          <w:lang w:eastAsia="lv-LV"/>
        </w:rPr>
        <w:t>UNICEF</w:t>
      </w:r>
      <w:r w:rsidRPr="00F253CE">
        <w:rPr>
          <w:rFonts w:ascii="Times New Roman" w:eastAsia="Times New Roman" w:hAnsi="Times New Roman" w:cs="Times New Roman"/>
          <w:sz w:val="20"/>
          <w:szCs w:val="20"/>
          <w:lang w:eastAsia="lv-LV"/>
        </w:rPr>
        <w:t xml:space="preserve"> un </w:t>
      </w:r>
      <w:r w:rsidRPr="00F253CE">
        <w:rPr>
          <w:rFonts w:ascii="Times New Roman" w:eastAsia="Times New Roman" w:hAnsi="Times New Roman" w:cs="Times New Roman"/>
          <w:i/>
          <w:iCs/>
          <w:sz w:val="20"/>
          <w:szCs w:val="20"/>
          <w:lang w:eastAsia="lv-LV"/>
        </w:rPr>
        <w:t>Terre des hommes</w:t>
      </w:r>
      <w:r w:rsidRPr="00F253CE">
        <w:rPr>
          <w:rFonts w:ascii="Times New Roman" w:eastAsia="Times New Roman" w:hAnsi="Times New Roman" w:cs="Times New Roman"/>
          <w:sz w:val="20"/>
          <w:szCs w:val="20"/>
          <w:lang w:eastAsia="lv-LV"/>
        </w:rPr>
        <w:t>, Darba protokols strādājošo bērnu aizsardzībai (Tirāna, 2010) http://lastradainternational.org/lsidocs/1047_CPW_Protocol_ENG_original.pdf. Protokols tika izstrādāts ar mērķi palīdzēt Bērnu aizsardzības vienības personālam:</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saprast, kas ir bērnu aizsardzība;</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sniegt norādes par bērnu aizsardzības darbinieku darbu un mudināt viņus izmantot standartizētas pieejas;</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ieviest bērna interešu principu;</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izveidot daudznozaru darba praksi, lai aizsargātu bērnus;</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īstenot lietu pārvaldību kā līdzekli, lai identificētu, izstrādātu un pārskatītu aizsardzības pasākumus, kas veikti attiecībā uz atsevišķiem bērniem;</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nodrošināt uzticamu datu vākšanas sistēmu.</w:t>
      </w:r>
    </w:p>
  </w:footnote>
  <w:footnote w:id="94">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93</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Vadlīnijas un apmācība bija paredzēta šādām struktūrām:</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pašvaldības vienību darbiniekiem, kas strādā bērnu aizsardzības jomā;</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policijai;</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sociālo dienestu darbiniekiem, kas strādā pašvaldību grupās un dienas aprūpes centros;</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valsts sociālo dienestu darbiniekiem;</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sociālajiem darbiniekiem, kas strādā nevalstiskajā sektorā (NVO);</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psihologiem un sociālajiem darbiniekiem skolās un pedagogiem izglītības iestādēs;</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veselības aprūpes darbiniekiem;</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darba inspektoriem un</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citiem bērnu aizsardzības speciālistiem, ņemot vērā konkrētās vajadzības lietās, kurās iesaistīti ielu bērni.</w:t>
      </w:r>
    </w:p>
  </w:footnote>
  <w:footnote w:id="95">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94</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Ekspertu darbības grupa pret cilvēku tirdzniecību (</w:t>
      </w:r>
      <w:r w:rsidRPr="00F253CE">
        <w:rPr>
          <w:rFonts w:ascii="Times New Roman" w:eastAsia="Times New Roman" w:hAnsi="Times New Roman" w:cs="Times New Roman"/>
          <w:i/>
          <w:iCs/>
          <w:sz w:val="20"/>
          <w:szCs w:val="20"/>
          <w:lang w:eastAsia="lv-LV"/>
        </w:rPr>
        <w:t>GRETA</w:t>
      </w:r>
      <w:r w:rsidRPr="00F253CE">
        <w:rPr>
          <w:rFonts w:ascii="Times New Roman" w:eastAsia="Times New Roman" w:hAnsi="Times New Roman" w:cs="Times New Roman"/>
          <w:sz w:val="20"/>
          <w:szCs w:val="20"/>
          <w:lang w:eastAsia="lv-LV"/>
        </w:rPr>
        <w:t>), Ziņojums par Eiropas Padomes Konvencijas par cīņu pret cilvēku tirdzniecību īstenošanu Albānijā. Otrā novērtēšanas kārta. Eiropas Padomes dok. GRETA(2016)6, (Strasbūra, 2016. gada jūnijs).</w:t>
      </w:r>
    </w:p>
  </w:footnote>
  <w:footnote w:id="96">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95</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2017. gadā Albānijā tika pieņemts arī jauns bērnu aizsardzības likums (Likums Nr. 18/2017 par bērnu tiesībām un aizsardzību; sk. turpmāk 5.1. sadaļu), kurā noteikts, kā jārīkojas iestādēm, kad ir pamats aizdomām par ielu bērna ekspluatāciju (64. pants). Tajā noteikts, ka darbiniekiem, kas strādā bērnu aizsardzības jomā, ir jāveic sākotnējais novērtējums un, ja nepieciešams, jāstrādā kopā ar citiem darbiniekiem starpnozaru tehniskajā grupā (t. i., daudznozaru grupā), lai izstrādātu bērna individuālo aizsardzības plānu. Ir paredzētas vairākas iespējas, tostarp nodrošina, ka bērns tiek reģistrēts skolā un/vai bērns regulāri apmeklē skolu; sniedz atbalstu mācībās, izmantojot īpašus skolotājus vai klases; aizliedz bērnam uzturēties konkrētās vietās; sniedz psiholoģiskās konsultācijas un nodrošina ārstēšanu, ja tas ir nepieciešams.</w:t>
      </w:r>
    </w:p>
  </w:footnote>
  <w:footnote w:id="97">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96</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Centrs “Pagriežams galds” ārvalstu nepilngadīgiem bērniem bez pavadības [</w:t>
      </w:r>
      <w:r w:rsidRPr="00F253CE">
        <w:rPr>
          <w:rFonts w:ascii="Times New Roman" w:eastAsia="Times New Roman" w:hAnsi="Times New Roman" w:cs="Times New Roman"/>
          <w:i/>
          <w:iCs/>
          <w:sz w:val="20"/>
          <w:szCs w:val="20"/>
          <w:lang w:eastAsia="lv-LV"/>
        </w:rPr>
        <w:t>Drehscheibe für unbegleitete minderjährige Fremde</w:t>
      </w:r>
      <w:r w:rsidRPr="00F253CE">
        <w:rPr>
          <w:rFonts w:ascii="Times New Roman" w:eastAsia="Times New Roman" w:hAnsi="Times New Roman" w:cs="Times New Roman"/>
          <w:sz w:val="20"/>
          <w:szCs w:val="20"/>
          <w:lang w:eastAsia="lv-LV"/>
        </w:rPr>
        <w:t>]. Tas tiek klasificēts kā Vīnes Jauniešu un ģimenes biroja sociāli pedagoģiskā iestāde.</w:t>
      </w:r>
    </w:p>
  </w:footnote>
  <w:footnote w:id="98">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97</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Ziņas par bērniem, kas nosūtīti uz centru “</w:t>
      </w:r>
      <w:r w:rsidRPr="00F253CE">
        <w:rPr>
          <w:rFonts w:ascii="Times New Roman" w:eastAsia="Times New Roman" w:hAnsi="Times New Roman" w:cs="Times New Roman"/>
          <w:i/>
          <w:iCs/>
          <w:sz w:val="20"/>
          <w:szCs w:val="20"/>
          <w:lang w:eastAsia="lv-LV"/>
        </w:rPr>
        <w:t>Drehscheibe</w:t>
      </w:r>
      <w:r w:rsidRPr="00F253CE">
        <w:rPr>
          <w:rFonts w:ascii="Times New Roman" w:eastAsia="Times New Roman" w:hAnsi="Times New Roman" w:cs="Times New Roman"/>
          <w:sz w:val="20"/>
          <w:szCs w:val="20"/>
          <w:lang w:eastAsia="lv-LV"/>
        </w:rPr>
        <w:t>”, tika sniegtas Vīnes Bērnu, kas ir cilvēku tirdzniecības upuri, centrā [</w:t>
      </w:r>
      <w:r w:rsidRPr="00F253CE">
        <w:rPr>
          <w:rFonts w:ascii="Times New Roman" w:eastAsia="Times New Roman" w:hAnsi="Times New Roman" w:cs="Times New Roman"/>
          <w:i/>
          <w:iCs/>
          <w:sz w:val="20"/>
          <w:szCs w:val="20"/>
          <w:lang w:eastAsia="lv-LV"/>
        </w:rPr>
        <w:t>Zentrum für unbegleitete minderjährige Opfer von Kinderhandel “Drehscheibe”</w:t>
      </w:r>
      <w:r w:rsidRPr="00F253CE">
        <w:rPr>
          <w:rFonts w:ascii="Times New Roman" w:eastAsia="Times New Roman" w:hAnsi="Times New Roman" w:cs="Times New Roman"/>
          <w:sz w:val="20"/>
          <w:szCs w:val="20"/>
          <w:lang w:eastAsia="lv-LV"/>
        </w:rPr>
        <w:t>] (Vīne, 2009):http://cor.europa.eu/en/archived/documents/2fe0f4f1-7dd3-4089-931f-1c0b33eb60b0.pdf.</w:t>
      </w:r>
    </w:p>
  </w:footnote>
  <w:footnote w:id="99">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98</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A. Nonchev and M. Mancheva, Assisting and Reintegrating Child Victims of Trafficking – Improving Policy and Practice in the EU Member States, Center for the Study of Democracy</w:t>
      </w:r>
      <w:r w:rsidRPr="00F253CE">
        <w:rPr>
          <w:rFonts w:ascii="Times New Roman" w:eastAsia="Times New Roman" w:hAnsi="Times New Roman" w:cs="Times New Roman"/>
          <w:sz w:val="20"/>
          <w:szCs w:val="20"/>
          <w:lang w:eastAsia="lv-LV"/>
        </w:rPr>
        <w:t xml:space="preserve"> (Sofija, 2013). www.csd.bg/fileSrc.php?id=21295</w:t>
      </w:r>
    </w:p>
  </w:footnote>
  <w:footnote w:id="100">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99</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S. Koppenberg, Unbegleitete Minderjährige in Österreich.</w:t>
      </w:r>
      <w:r w:rsidRPr="00F253CE">
        <w:rPr>
          <w:rFonts w:ascii="Times New Roman" w:eastAsia="Times New Roman" w:hAnsi="Times New Roman" w:cs="Times New Roman"/>
          <w:sz w:val="20"/>
          <w:szCs w:val="20"/>
          <w:lang w:eastAsia="lv-LV"/>
        </w:rPr>
        <w:t> </w:t>
      </w:r>
      <w:r w:rsidRPr="00F253CE">
        <w:rPr>
          <w:rFonts w:ascii="Times New Roman" w:eastAsia="Times New Roman" w:hAnsi="Times New Roman" w:cs="Times New Roman"/>
          <w:i/>
          <w:iCs/>
          <w:sz w:val="20"/>
          <w:szCs w:val="20"/>
          <w:lang w:eastAsia="lv-LV"/>
        </w:rPr>
        <w:t>Rechtsrahmen, Praxis und Statistiken, IOM</w:t>
      </w:r>
      <w:r w:rsidRPr="00F253CE">
        <w:rPr>
          <w:rFonts w:ascii="Times New Roman" w:eastAsia="Times New Roman" w:hAnsi="Times New Roman" w:cs="Times New Roman"/>
          <w:sz w:val="20"/>
          <w:szCs w:val="20"/>
          <w:lang w:eastAsia="lv-LV"/>
        </w:rPr>
        <w:t xml:space="preserve"> (Vīne, 2014), 64. lpp.: http://www.emn.at/wp-content/uploads/2017/01/EMN_UAM-Study2104_AT_EMN_NCP_de.pdf.</w:t>
      </w:r>
    </w:p>
  </w:footnote>
  <w:footnote w:id="101">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100</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6. pants (Bērna interešu piemērošana), Likums Nr. 18/2017 par bērna tiesībām un aizsardzību (Tirāna, 2017. gada maijs).</w:t>
      </w:r>
    </w:p>
  </w:footnote>
  <w:footnote w:id="102">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101</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Sk. http://www.consultant.ru/document/cons_doc_LAW_19558.</w:t>
      </w:r>
    </w:p>
  </w:footnote>
  <w:footnote w:id="103">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102</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Ar 2001. un 2004. gada grozījumiem; sk. https://www.lawmix.ru/mskzk/13639.</w:t>
      </w:r>
    </w:p>
  </w:footnote>
  <w:footnote w:id="104">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103</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Bērnu tiesību komitejas Vispārējais komentārs Nr. 14 (2013) par bērnu tiesībām uz to, lai primārais apsvērums būtu viņu intereses (3. panta 1. punkts), ANO dok. CRC/C/GC14 (2013. gada 29. Maijs).</w:t>
      </w:r>
    </w:p>
  </w:footnote>
  <w:footnote w:id="105">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104</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Bērnu tiesību komitejas Vispārējais komentārs Nr. 6 (2005) “Rīcība attiecībā uz nepavadītiem un nošķirtiem bērniem ārpus viņu izcelsmes valsts” (2005) ANO dok. CRC/GC/2005/6 (2005. gada 1. septembris), 19. punkts. Sk. arī Bērnu tiesību komitejas Vispārējais komentārs Nr. 14 (2013) par bērnu tiesībām uz to, lai primārais apsvērums būtu viņu intereses (3. panta 1. punkts), ANO dok. CRC/C/GC14 (2013. gada 29. maijs).</w:t>
      </w:r>
    </w:p>
  </w:footnote>
  <w:footnote w:id="106">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105</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UNHCR</w:t>
      </w:r>
      <w:r w:rsidRPr="00F253CE">
        <w:rPr>
          <w:rFonts w:ascii="Times New Roman" w:eastAsia="Times New Roman" w:hAnsi="Times New Roman" w:cs="Times New Roman"/>
          <w:sz w:val="20"/>
          <w:szCs w:val="20"/>
          <w:lang w:eastAsia="lv-LV"/>
        </w:rPr>
        <w:t xml:space="preserve"> un Starptautiskā glābšanas komiteja, Nozares rokasgrāmata </w:t>
      </w:r>
      <w:r w:rsidRPr="00F253CE">
        <w:rPr>
          <w:rFonts w:ascii="Times New Roman" w:eastAsia="Times New Roman" w:hAnsi="Times New Roman" w:cs="Times New Roman"/>
          <w:i/>
          <w:iCs/>
          <w:sz w:val="20"/>
          <w:szCs w:val="20"/>
          <w:lang w:eastAsia="lv-LV"/>
        </w:rPr>
        <w:t>UNHCR BID</w:t>
      </w:r>
      <w:r w:rsidRPr="00F253CE">
        <w:rPr>
          <w:rFonts w:ascii="Times New Roman" w:eastAsia="Times New Roman" w:hAnsi="Times New Roman" w:cs="Times New Roman"/>
          <w:sz w:val="20"/>
          <w:szCs w:val="20"/>
          <w:lang w:eastAsia="lv-LV"/>
        </w:rPr>
        <w:t xml:space="preserve"> vadlīniju īstenošanai [</w:t>
      </w:r>
      <w:r w:rsidRPr="00F253CE">
        <w:rPr>
          <w:rFonts w:ascii="Times New Roman" w:eastAsia="Times New Roman" w:hAnsi="Times New Roman" w:cs="Times New Roman"/>
          <w:i/>
          <w:iCs/>
          <w:sz w:val="20"/>
          <w:szCs w:val="20"/>
          <w:lang w:eastAsia="lv-LV"/>
        </w:rPr>
        <w:t>Field Handbook for the Implementation of UNHCR BID Guidelines</w:t>
      </w:r>
      <w:r w:rsidRPr="00F253CE">
        <w:rPr>
          <w:rFonts w:ascii="Times New Roman" w:eastAsia="Times New Roman" w:hAnsi="Times New Roman" w:cs="Times New Roman"/>
          <w:sz w:val="20"/>
          <w:szCs w:val="20"/>
          <w:lang w:eastAsia="lv-LV"/>
        </w:rPr>
        <w:t>] (Ženēva, 2011), 112. lpp.</w:t>
      </w:r>
    </w:p>
  </w:footnote>
  <w:footnote w:id="107">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106</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Turpat.</w:t>
      </w:r>
    </w:p>
  </w:footnote>
  <w:footnote w:id="108">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107</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Kopīgais vispārējais komentārs Nr. 3 (2017), ko sniegusi Visu migrējošo darba ņēmēju un viņu ģimenes locekļu tiesību aizsardzības komiteja, un Nr. 22 (2017), ko sniegusi Bērnu tiesību komiteja par vispārējiem principiem saistībā ar bērnu cilvēktiesībām starptautiskās migrācijas kontekstā (ANO dok. CMW/C/GC/3-CRC/C/GC/22 (2017. gada 16. novembris).</w:t>
      </w:r>
    </w:p>
  </w:footnote>
  <w:footnote w:id="109">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108</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UNHCR</w:t>
      </w:r>
      <w:r w:rsidRPr="00F253CE">
        <w:rPr>
          <w:rFonts w:ascii="Times New Roman" w:eastAsia="Times New Roman" w:hAnsi="Times New Roman" w:cs="Times New Roman"/>
          <w:sz w:val="20"/>
          <w:szCs w:val="20"/>
          <w:lang w:eastAsia="lv-LV"/>
        </w:rPr>
        <w:t xml:space="preserve"> un </w:t>
      </w:r>
      <w:r w:rsidRPr="00F253CE">
        <w:rPr>
          <w:rFonts w:ascii="Times New Roman" w:eastAsia="Times New Roman" w:hAnsi="Times New Roman" w:cs="Times New Roman"/>
          <w:i/>
          <w:iCs/>
          <w:sz w:val="20"/>
          <w:szCs w:val="20"/>
          <w:lang w:eastAsia="lv-LV"/>
        </w:rPr>
        <w:t>UNICEF</w:t>
      </w:r>
      <w:r w:rsidRPr="00F253CE">
        <w:rPr>
          <w:rFonts w:ascii="Times New Roman" w:eastAsia="Times New Roman" w:hAnsi="Times New Roman" w:cs="Times New Roman"/>
          <w:sz w:val="20"/>
          <w:szCs w:val="20"/>
          <w:lang w:eastAsia="lv-LV"/>
        </w:rPr>
        <w:t>, Droši un veseli. Ko valstis var darīt, lai nodrošinātu, ka Eiropā tiek ievērotas bez pavadības nepilngadīgo un no vecākiem nošķirtu bērnu labākās intereses (2014).</w:t>
      </w:r>
    </w:p>
  </w:footnote>
  <w:footnote w:id="110">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109</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N. Finch, Better support, better protection:</w:t>
      </w:r>
      <w:r w:rsidRPr="00F253CE">
        <w:rPr>
          <w:rFonts w:ascii="Times New Roman" w:eastAsia="Times New Roman" w:hAnsi="Times New Roman" w:cs="Times New Roman"/>
          <w:sz w:val="20"/>
          <w:szCs w:val="20"/>
          <w:lang w:eastAsia="lv-LV"/>
        </w:rPr>
        <w:t> </w:t>
      </w:r>
      <w:r w:rsidRPr="00F253CE">
        <w:rPr>
          <w:rFonts w:ascii="Times New Roman" w:eastAsia="Times New Roman" w:hAnsi="Times New Roman" w:cs="Times New Roman"/>
          <w:i/>
          <w:iCs/>
          <w:sz w:val="20"/>
          <w:szCs w:val="20"/>
          <w:lang w:eastAsia="lv-LV"/>
        </w:rPr>
        <w:t>Steps lawyers and guardians can take to better identify and protect trafficked children, ECPAT UK</w:t>
      </w:r>
      <w:r w:rsidRPr="00F253CE">
        <w:rPr>
          <w:rFonts w:ascii="Times New Roman" w:eastAsia="Times New Roman" w:hAnsi="Times New Roman" w:cs="Times New Roman"/>
          <w:sz w:val="20"/>
          <w:szCs w:val="20"/>
          <w:lang w:eastAsia="lv-LV"/>
        </w:rPr>
        <w:t xml:space="preserve"> (Londona, 2016).</w:t>
      </w:r>
    </w:p>
  </w:footnote>
  <w:footnote w:id="111">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110</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 xml:space="preserve">Šķiet, ir maz pieejamu jaunāko datu. 2010. gada ziņojumā ir norādīts, ka tikai 12 no 27 ES dalībvalstīm bija izstrādātas standartizētas procedūras par ārvalstu bērnu (tostarp bērnu, kas ir cilvēku tirdzniecības upuri) interešu noteikšanu un ka tikai 9 dalībvalstīs 2008.–2009. gadā šī procedūra bija praksē novērota. Sk. E-piezīmes, Ziņojums par cilvēku tirdzniecības novēršanas politikas un intervences pasākumu īstenošanu 27 ES dalībvalstīs no cilvēktiesību skatupunkta (2008 un 2009), </w:t>
      </w:r>
      <w:r w:rsidRPr="00F253CE">
        <w:rPr>
          <w:rFonts w:ascii="Times New Roman" w:eastAsia="Times New Roman" w:hAnsi="Times New Roman" w:cs="Times New Roman"/>
          <w:i/>
          <w:iCs/>
          <w:sz w:val="20"/>
          <w:szCs w:val="20"/>
          <w:lang w:eastAsia="lv-LV"/>
        </w:rPr>
        <w:t>Associazione On the Road (Martinsicuro</w:t>
      </w:r>
      <w:r w:rsidRPr="00F253CE">
        <w:rPr>
          <w:rFonts w:ascii="Times New Roman" w:eastAsia="Times New Roman" w:hAnsi="Times New Roman" w:cs="Times New Roman"/>
          <w:sz w:val="20"/>
          <w:szCs w:val="20"/>
          <w:lang w:eastAsia="lv-LV"/>
        </w:rPr>
        <w:t xml:space="preserve"> [Itālija], 2010), 90. lpp.</w:t>
      </w:r>
    </w:p>
  </w:footnote>
  <w:footnote w:id="112">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111</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Los Angeles County, Law Enforcement First Responder Protocol for Commercially Sexually Exploited Children</w:t>
      </w:r>
      <w:r w:rsidRPr="00F253CE">
        <w:rPr>
          <w:rFonts w:ascii="Times New Roman" w:eastAsia="Times New Roman" w:hAnsi="Times New Roman" w:cs="Times New Roman"/>
          <w:sz w:val="20"/>
          <w:szCs w:val="20"/>
          <w:lang w:eastAsia="lv-LV"/>
        </w:rPr>
        <w:t xml:space="preserve"> (Kalifornija, 2015), F sadaļa. </w:t>
      </w:r>
      <w:r w:rsidRPr="00F253CE">
        <w:rPr>
          <w:rFonts w:ascii="Times New Roman" w:eastAsia="Times New Roman" w:hAnsi="Times New Roman" w:cs="Times New Roman"/>
          <w:i/>
          <w:iCs/>
          <w:sz w:val="20"/>
          <w:szCs w:val="20"/>
          <w:lang w:eastAsia="lv-LV"/>
        </w:rPr>
        <w:t>Emergency Housing/Shelter Beds</w:t>
      </w:r>
      <w:r w:rsidRPr="00F253CE">
        <w:rPr>
          <w:rFonts w:ascii="Times New Roman" w:eastAsia="Times New Roman" w:hAnsi="Times New Roman" w:cs="Times New Roman"/>
          <w:sz w:val="20"/>
          <w:szCs w:val="20"/>
          <w:lang w:eastAsia="lv-LV"/>
        </w:rPr>
        <w:t>, 19. lpp.</w:t>
      </w:r>
    </w:p>
  </w:footnote>
  <w:footnote w:id="113">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112</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Proti, Rumānijas mehānisms cietušo nosūtīšanani, valdības Lēmums Nr. 1443/2004 par nepavadītu bērnu un/vai bērnu, kas ir cilvēku tirdzniecības upuri, repatriāciju, valdības Lēmums Nr. 49/2011, ar kuru apstiprina pamata metodiku attiecībā uz vardarb</w:t>
      </w:r>
      <w:bookmarkStart w:id="0" w:name="_GoBack"/>
      <w:bookmarkEnd w:id="0"/>
      <w:r w:rsidRPr="00F253CE">
        <w:rPr>
          <w:rFonts w:ascii="Times New Roman" w:eastAsia="Times New Roman" w:hAnsi="Times New Roman" w:cs="Times New Roman"/>
          <w:sz w:val="20"/>
          <w:szCs w:val="20"/>
          <w:lang w:eastAsia="lv-LV"/>
        </w:rPr>
        <w:t xml:space="preserve">ības pret bērniem un vardarbības ģimenē novēršanu un daudznozaru grupas iejaukšanos šādā gadījumā, kā arī daudznozaru un starpinstitucionālās iejaukšanās metodika gadījumiem, kas saistīti ar bērnu darba ekspluatāciju vai šādas ekspluatācijas risku, bērniem, kas ir cilvēku tirdzniecības upuri, un Rumānijas bērniem migrantiem, kas ir citu veidu vardarbības upuri citās valstīs (citēts </w:t>
      </w:r>
      <w:r w:rsidRPr="00F253CE">
        <w:rPr>
          <w:rFonts w:ascii="Times New Roman" w:eastAsia="Times New Roman" w:hAnsi="Times New Roman" w:cs="Times New Roman"/>
          <w:i/>
          <w:iCs/>
          <w:sz w:val="20"/>
          <w:szCs w:val="20"/>
          <w:lang w:eastAsia="lv-LV"/>
        </w:rPr>
        <w:t>GRETA</w:t>
      </w:r>
      <w:r w:rsidRPr="00F253CE">
        <w:rPr>
          <w:rFonts w:ascii="Times New Roman" w:eastAsia="Times New Roman" w:hAnsi="Times New Roman" w:cs="Times New Roman"/>
          <w:sz w:val="20"/>
          <w:szCs w:val="20"/>
          <w:lang w:eastAsia="lv-LV"/>
        </w:rPr>
        <w:t>, 6. ikgadējais ziņojums (Strasbūra, 2017), 123. punkts).</w:t>
      </w:r>
    </w:p>
  </w:footnote>
  <w:footnote w:id="114">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113</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EDSO Cilvēku tirdzniecības apkarošanas īpašā pārstāvja un koordinatora birojs, 2016. gada apsekošanas ziņojums par centieniem īstenot EDSO saistības un ieteiktos pasākumus cīņai pret cilvēku tirdzniecību [</w:t>
      </w:r>
      <w:r w:rsidRPr="00F253CE">
        <w:rPr>
          <w:rFonts w:ascii="Times New Roman" w:eastAsia="Times New Roman" w:hAnsi="Times New Roman" w:cs="Times New Roman"/>
          <w:i/>
          <w:iCs/>
          <w:sz w:val="20"/>
          <w:szCs w:val="20"/>
          <w:lang w:eastAsia="lv-LV"/>
        </w:rPr>
        <w:t>Survey Report 2016 of Efforts to Implement OSCE Commitments and Recommended Actions to Combat Trafficking in Human Beings</w:t>
      </w:r>
      <w:r w:rsidRPr="00F253CE">
        <w:rPr>
          <w:rFonts w:ascii="Times New Roman" w:eastAsia="Times New Roman" w:hAnsi="Times New Roman" w:cs="Times New Roman"/>
          <w:sz w:val="20"/>
          <w:szCs w:val="20"/>
          <w:lang w:eastAsia="lv-LV"/>
        </w:rPr>
        <w:t>], EDSO (Vīne, 2016).</w:t>
      </w:r>
    </w:p>
  </w:footnote>
  <w:footnote w:id="115">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114</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Starptautiskās Migrācijas organizācijas (</w:t>
      </w:r>
      <w:r w:rsidRPr="00F253CE">
        <w:rPr>
          <w:rFonts w:ascii="Times New Roman" w:eastAsia="Times New Roman" w:hAnsi="Times New Roman" w:cs="Times New Roman"/>
          <w:i/>
          <w:iCs/>
          <w:sz w:val="20"/>
          <w:szCs w:val="20"/>
          <w:lang w:eastAsia="lv-LV"/>
        </w:rPr>
        <w:t>IOM</w:t>
      </w:r>
      <w:r w:rsidRPr="00F253CE">
        <w:rPr>
          <w:rFonts w:ascii="Times New Roman" w:eastAsia="Times New Roman" w:hAnsi="Times New Roman" w:cs="Times New Roman"/>
          <w:sz w:val="20"/>
          <w:szCs w:val="20"/>
          <w:lang w:eastAsia="lv-LV"/>
        </w:rPr>
        <w:t xml:space="preserve">) sniegtie dati par 2005. gadu attiecībā uz 100 bērniem, kuri, domājams, tika nelikumīgi izvesti uz ārvalstīm laikposmā no 2001. gada sākuma līdz 2005. gada septembrim un kuri bija saņēmuši aprūpi </w:t>
      </w:r>
      <w:r w:rsidRPr="00F253CE">
        <w:rPr>
          <w:rFonts w:ascii="Times New Roman" w:eastAsia="Times New Roman" w:hAnsi="Times New Roman" w:cs="Times New Roman"/>
          <w:i/>
          <w:iCs/>
          <w:sz w:val="20"/>
          <w:szCs w:val="20"/>
          <w:lang w:eastAsia="lv-LV"/>
        </w:rPr>
        <w:t>IOM</w:t>
      </w:r>
      <w:r w:rsidRPr="00F253CE">
        <w:rPr>
          <w:rFonts w:ascii="Times New Roman" w:eastAsia="Times New Roman" w:hAnsi="Times New Roman" w:cs="Times New Roman"/>
          <w:sz w:val="20"/>
          <w:szCs w:val="20"/>
          <w:lang w:eastAsia="lv-LV"/>
        </w:rPr>
        <w:t xml:space="preserve"> un</w:t>
      </w:r>
      <w:r w:rsidRPr="00F253CE">
        <w:rPr>
          <w:rFonts w:ascii="Times New Roman" w:eastAsia="Times New Roman" w:hAnsi="Times New Roman" w:cs="Times New Roman"/>
          <w:i/>
          <w:iCs/>
          <w:sz w:val="20"/>
          <w:szCs w:val="20"/>
          <w:lang w:eastAsia="lv-LV"/>
        </w:rPr>
        <w:t xml:space="preserve"> UNICEF</w:t>
      </w:r>
      <w:r w:rsidRPr="00F253CE">
        <w:rPr>
          <w:rFonts w:ascii="Times New Roman" w:eastAsia="Times New Roman" w:hAnsi="Times New Roman" w:cs="Times New Roman"/>
          <w:sz w:val="20"/>
          <w:szCs w:val="20"/>
          <w:lang w:eastAsia="lv-LV"/>
        </w:rPr>
        <w:t xml:space="preserve"> vadītajā izmitināšanas centrā Moldovā, liecina, ka 30 bērni bijuši Krievijā, 20 bērni bijuši cilvēku tirdzniecības upuri pašā Moldovā, 10 bijuši Bosnijā un Hercegovinā un 9 bijuši Polijā. Nākamais lielākais bērnu skaits bija tādās valstīs kā Serbija, Melnkalne un Turcija (katrā valstī 5).</w:t>
      </w:r>
    </w:p>
  </w:footnote>
  <w:footnote w:id="116">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115</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Oriģinālteksts moldāvu valodā: </w:t>
      </w:r>
      <w:r w:rsidRPr="00F253CE">
        <w:rPr>
          <w:rFonts w:ascii="Times New Roman" w:eastAsia="Times New Roman" w:hAnsi="Times New Roman" w:cs="Times New Roman"/>
          <w:i/>
          <w:iCs/>
          <w:sz w:val="20"/>
          <w:szCs w:val="20"/>
          <w:lang w:eastAsia="lv-LV"/>
        </w:rPr>
        <w:t>Hotarîre Nr.948 din07.08.2008 pentru aprobarea Regulamentului privind procedura de repatriere a copiilor si adultilor – victime ale traficului de fiinte umane, traficului ilegal de migranti, precum si a copiilor neînsotiti</w:t>
      </w:r>
      <w:r w:rsidRPr="00F253CE">
        <w:rPr>
          <w:rFonts w:ascii="Times New Roman" w:eastAsia="Times New Roman" w:hAnsi="Times New Roman" w:cs="Times New Roman"/>
          <w:sz w:val="20"/>
          <w:szCs w:val="20"/>
          <w:lang w:eastAsia="lv-LV"/>
        </w:rPr>
        <w:t>; piekļūts: http://lex.justice.md/index.php?action=view&amp;view=doc&amp;lang=1&amp;id=328840.</w:t>
      </w:r>
    </w:p>
  </w:footnote>
  <w:footnote w:id="117">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116</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Ekspertu darbības grupa pret cilvēku tirdzniecību (</w:t>
      </w:r>
      <w:r w:rsidRPr="00F253CE">
        <w:rPr>
          <w:rFonts w:ascii="Times New Roman" w:eastAsia="Times New Roman" w:hAnsi="Times New Roman" w:cs="Times New Roman"/>
          <w:i/>
          <w:iCs/>
          <w:sz w:val="20"/>
          <w:szCs w:val="20"/>
          <w:lang w:eastAsia="lv-LV"/>
        </w:rPr>
        <w:t>GRETA</w:t>
      </w:r>
      <w:r w:rsidRPr="00F253CE">
        <w:rPr>
          <w:rFonts w:ascii="Times New Roman" w:eastAsia="Times New Roman" w:hAnsi="Times New Roman" w:cs="Times New Roman"/>
          <w:sz w:val="20"/>
          <w:szCs w:val="20"/>
          <w:lang w:eastAsia="lv-LV"/>
        </w:rPr>
        <w:t>), Ziņojums par Eiropas Padomes Konvencijas par cīņu pret cilvēku tirdzniecību īstenošanu Moldāvijas Republikā, Eiropas Padomes dok. GRETA(2011)25</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(2012. gada 22. februāris), 136. punkts.</w:t>
      </w:r>
    </w:p>
  </w:footnote>
  <w:footnote w:id="118">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117</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Lege Nr. 140 din 14.06.2013 privind protectia speciala a copiilor aflati în situatie de risc si a copiilor separati de parinti</w:t>
      </w:r>
      <w:r w:rsidRPr="00F253CE">
        <w:rPr>
          <w:rFonts w:ascii="Times New Roman" w:eastAsia="Times New Roman" w:hAnsi="Times New Roman" w:cs="Times New Roman"/>
          <w:sz w:val="20"/>
          <w:szCs w:val="20"/>
          <w:lang w:eastAsia="lv-LV"/>
        </w:rPr>
        <w:t>, piekļūts http://lex.justice.md/md/348972.</w:t>
      </w:r>
    </w:p>
  </w:footnote>
  <w:footnote w:id="119">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118</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 xml:space="preserve">DSAĢM un </w:t>
      </w:r>
      <w:r w:rsidRPr="00F253CE">
        <w:rPr>
          <w:rFonts w:ascii="Times New Roman" w:eastAsia="Times New Roman" w:hAnsi="Times New Roman" w:cs="Times New Roman"/>
          <w:i/>
          <w:iCs/>
          <w:sz w:val="20"/>
          <w:szCs w:val="20"/>
          <w:lang w:eastAsia="lv-LV"/>
        </w:rPr>
        <w:t>Terre des Hommes</w:t>
      </w:r>
      <w:r w:rsidRPr="00F253CE">
        <w:rPr>
          <w:rFonts w:ascii="Times New Roman" w:eastAsia="Times New Roman" w:hAnsi="Times New Roman" w:cs="Times New Roman"/>
          <w:sz w:val="20"/>
          <w:szCs w:val="20"/>
          <w:lang w:eastAsia="lv-LV"/>
        </w:rPr>
        <w:t xml:space="preserve"> (Kišiņeva, 2014). Publicēta arī moldāvu valodā (</w:t>
      </w:r>
      <w:r w:rsidRPr="00F253CE">
        <w:rPr>
          <w:rFonts w:ascii="Times New Roman" w:eastAsia="Times New Roman" w:hAnsi="Times New Roman" w:cs="Times New Roman"/>
          <w:i/>
          <w:iCs/>
          <w:sz w:val="20"/>
          <w:szCs w:val="20"/>
          <w:lang w:eastAsia="lv-LV"/>
        </w:rPr>
        <w:t>Ghidul pentru profesionisti.</w:t>
      </w:r>
      <w:r w:rsidRPr="00F253CE">
        <w:rPr>
          <w:rFonts w:ascii="Times New Roman" w:eastAsia="Times New Roman" w:hAnsi="Times New Roman" w:cs="Times New Roman"/>
          <w:sz w:val="20"/>
          <w:szCs w:val="20"/>
          <w:lang w:eastAsia="lv-LV"/>
        </w:rPr>
        <w:t> </w:t>
      </w:r>
      <w:r w:rsidRPr="00F253CE">
        <w:rPr>
          <w:rFonts w:ascii="Times New Roman" w:eastAsia="Times New Roman" w:hAnsi="Times New Roman" w:cs="Times New Roman"/>
          <w:i/>
          <w:iCs/>
          <w:sz w:val="20"/>
          <w:szCs w:val="20"/>
          <w:lang w:eastAsia="lv-LV"/>
        </w:rPr>
        <w:t>Managementul Cazului pentru copii identificati fara însotitori legali pe teritoriile altor state</w:t>
      </w:r>
      <w:r w:rsidRPr="00F253CE">
        <w:rPr>
          <w:rFonts w:ascii="Times New Roman" w:eastAsia="Times New Roman" w:hAnsi="Times New Roman" w:cs="Times New Roman"/>
          <w:sz w:val="20"/>
          <w:szCs w:val="20"/>
          <w:lang w:eastAsia="lv-LV"/>
        </w:rPr>
        <w:t>: http://tdh-moldova.md/media/files/files/ghid_profesionishti_ro_8146391.pdf) un krievu valodā (</w:t>
      </w:r>
      <w:r w:rsidRPr="00F253CE">
        <w:rPr>
          <w:rFonts w:ascii="Times New Roman" w:eastAsia="Times New Roman" w:hAnsi="Times New Roman" w:cs="Times New Roman"/>
          <w:i/>
          <w:iCs/>
          <w:sz w:val="20"/>
          <w:szCs w:val="20"/>
          <w:lang w:eastAsia="lv-LV"/>
        </w:rPr>
        <w:t>Профессиональное Руководство:</w:t>
      </w:r>
      <w:r w:rsidRPr="00F253CE">
        <w:rPr>
          <w:rFonts w:ascii="Times New Roman" w:eastAsia="Times New Roman" w:hAnsi="Times New Roman" w:cs="Times New Roman"/>
          <w:sz w:val="20"/>
          <w:szCs w:val="20"/>
          <w:lang w:eastAsia="lv-LV"/>
        </w:rPr>
        <w:t xml:space="preserve"> http://childhub.org/sites/default/files/library/attachments/ghid_profesionishti_ru.pdf).</w:t>
      </w:r>
    </w:p>
  </w:footnote>
  <w:footnote w:id="120">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119</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I.A. Aļeksejeva un I.G. Novoseļskis, “Kā uzklausīt bērnu” [</w:t>
      </w:r>
      <w:r w:rsidRPr="00F253CE">
        <w:rPr>
          <w:rFonts w:ascii="Times New Roman" w:eastAsia="Times New Roman" w:hAnsi="Times New Roman" w:cs="Times New Roman"/>
          <w:i/>
          <w:iCs/>
          <w:sz w:val="20"/>
          <w:szCs w:val="20"/>
          <w:lang w:eastAsia="lv-LV"/>
        </w:rPr>
        <w:t>И.А. Алексеева &amp; И.Г. Новосельский, Как Усльішать Ребенка</w:t>
      </w:r>
      <w:r w:rsidRPr="00F253CE">
        <w:rPr>
          <w:rFonts w:ascii="Times New Roman" w:eastAsia="Times New Roman" w:hAnsi="Times New Roman" w:cs="Times New Roman"/>
          <w:sz w:val="20"/>
          <w:szCs w:val="20"/>
          <w:lang w:eastAsia="lv-LV"/>
        </w:rPr>
        <w:t xml:space="preserve">], (1. sējums speciālistiem un 2. sējums “Ilustrēti norādījumi” (bērniem)), Krievijas Nacionālais cietsirdīgas attieksmes pret bērniem novēršanas fonds, </w:t>
      </w:r>
      <w:r w:rsidRPr="00F253CE">
        <w:rPr>
          <w:rFonts w:ascii="Times New Roman" w:eastAsia="Times New Roman" w:hAnsi="Times New Roman" w:cs="Times New Roman"/>
          <w:i/>
          <w:iCs/>
          <w:sz w:val="20"/>
          <w:szCs w:val="20"/>
          <w:lang w:eastAsia="lv-LV"/>
        </w:rPr>
        <w:t>Terre des Hommes</w:t>
      </w:r>
      <w:r w:rsidRPr="00F253CE">
        <w:rPr>
          <w:rFonts w:ascii="Times New Roman" w:eastAsia="Times New Roman" w:hAnsi="Times New Roman" w:cs="Times New Roman"/>
          <w:sz w:val="20"/>
          <w:szCs w:val="20"/>
          <w:lang w:eastAsia="lv-LV"/>
        </w:rPr>
        <w:t xml:space="preserve"> un </w:t>
      </w:r>
      <w:r w:rsidRPr="00F253CE">
        <w:rPr>
          <w:rFonts w:ascii="Times New Roman" w:eastAsia="Times New Roman" w:hAnsi="Times New Roman" w:cs="Times New Roman"/>
          <w:i/>
          <w:iCs/>
          <w:sz w:val="20"/>
          <w:szCs w:val="20"/>
          <w:lang w:eastAsia="lv-LV"/>
        </w:rPr>
        <w:t>SDC</w:t>
      </w:r>
      <w:r w:rsidRPr="00F253CE">
        <w:rPr>
          <w:rFonts w:ascii="Times New Roman" w:eastAsia="Times New Roman" w:hAnsi="Times New Roman" w:cs="Times New Roman"/>
          <w:sz w:val="20"/>
          <w:szCs w:val="20"/>
          <w:lang w:eastAsia="lv-LV"/>
        </w:rPr>
        <w:t xml:space="preserve"> (Maskava, 2012). http://docplayer. ru/46931124-I-a-alekseeva-i-g-novoselskiy-kak-uslyshat-rebenka.html.</w:t>
      </w:r>
    </w:p>
  </w:footnote>
  <w:footnote w:id="121">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120</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E. Delap and J. Wedge, Reintegration Guidelines, Inter-agency group on children’s reintegration</w:t>
      </w:r>
      <w:r w:rsidRPr="00F253CE">
        <w:rPr>
          <w:rFonts w:ascii="Times New Roman" w:eastAsia="Times New Roman" w:hAnsi="Times New Roman" w:cs="Times New Roman"/>
          <w:sz w:val="20"/>
          <w:szCs w:val="20"/>
          <w:lang w:eastAsia="lv-LV"/>
        </w:rPr>
        <w:t xml:space="preserve"> (Londona, 2016).</w:t>
      </w:r>
    </w:p>
  </w:footnote>
  <w:footnote w:id="122">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121</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R. Surtees, Ethical principles in the re/integration of trafficked persons</w:t>
      </w:r>
      <w:r w:rsidRPr="00F253CE">
        <w:rPr>
          <w:rFonts w:ascii="Times New Roman" w:eastAsia="Times New Roman" w:hAnsi="Times New Roman" w:cs="Times New Roman"/>
          <w:sz w:val="20"/>
          <w:szCs w:val="20"/>
          <w:lang w:eastAsia="lv-LV"/>
        </w:rPr>
        <w:t xml:space="preserve">. </w:t>
      </w:r>
      <w:r w:rsidRPr="00F253CE">
        <w:rPr>
          <w:rFonts w:ascii="Times New Roman" w:eastAsia="Times New Roman" w:hAnsi="Times New Roman" w:cs="Times New Roman"/>
          <w:i/>
          <w:iCs/>
          <w:sz w:val="20"/>
          <w:szCs w:val="20"/>
          <w:lang w:eastAsia="lv-LV"/>
        </w:rPr>
        <w:t>Experiences from the Balkans, Nexus Institute and the King Baudouin Foundation</w:t>
      </w:r>
      <w:r w:rsidRPr="00F253CE">
        <w:rPr>
          <w:rFonts w:ascii="Times New Roman" w:eastAsia="Times New Roman" w:hAnsi="Times New Roman" w:cs="Times New Roman"/>
          <w:sz w:val="20"/>
          <w:szCs w:val="20"/>
          <w:lang w:eastAsia="lv-LV"/>
        </w:rPr>
        <w:t xml:space="preserve"> (Vašingtona un Brisele, 2013).</w:t>
      </w:r>
    </w:p>
  </w:footnote>
  <w:footnote w:id="123">
    <w:p w:rsidR="00281759" w:rsidRPr="00F253CE" w:rsidRDefault="00281759" w:rsidP="00F253CE">
      <w:pPr>
        <w:pStyle w:val="Vresteksts"/>
        <w:jc w:val="both"/>
        <w:rPr>
          <w:rFonts w:ascii="Times New Roman" w:hAnsi="Times New Roman" w:cs="Times New Roman"/>
        </w:rPr>
      </w:pPr>
      <w:r w:rsidRPr="00F253CE">
        <w:rPr>
          <w:rStyle w:val="Vresatsauce"/>
          <w:rFonts w:ascii="Times New Roman" w:hAnsi="Times New Roman" w:cs="Times New Roman"/>
        </w:rPr>
        <w:t>122</w:t>
      </w:r>
      <w:r w:rsidRPr="00F253CE">
        <w:rPr>
          <w:rFonts w:ascii="Times New Roman" w:hAnsi="Times New Roman" w:cs="Times New Roman"/>
        </w:rPr>
        <w:t xml:space="preserve"> </w:t>
      </w:r>
      <w:r w:rsidRPr="00F253CE">
        <w:rPr>
          <w:rFonts w:ascii="Times New Roman" w:eastAsia="Times New Roman" w:hAnsi="Times New Roman" w:cs="Times New Roman"/>
          <w:lang w:eastAsia="lv-LV"/>
        </w:rPr>
        <w:t>Tas ir, bērnam tiek lūgts izteikt viedokli, un tas tiek ņemts vērā.</w:t>
      </w:r>
    </w:p>
  </w:footnote>
  <w:footnote w:id="124">
    <w:p w:rsidR="00281759" w:rsidRPr="00F253CE" w:rsidRDefault="00281759" w:rsidP="00F253CE">
      <w:pPr>
        <w:pStyle w:val="Vresteksts"/>
        <w:jc w:val="both"/>
        <w:rPr>
          <w:rFonts w:ascii="Times New Roman" w:hAnsi="Times New Roman" w:cs="Times New Roman"/>
        </w:rPr>
      </w:pPr>
      <w:r w:rsidRPr="00F253CE">
        <w:rPr>
          <w:rStyle w:val="Vresatsauce"/>
          <w:rFonts w:ascii="Times New Roman" w:hAnsi="Times New Roman" w:cs="Times New Roman"/>
        </w:rPr>
        <w:t>123</w:t>
      </w:r>
      <w:r w:rsidRPr="00F253CE">
        <w:rPr>
          <w:rFonts w:ascii="Times New Roman" w:hAnsi="Times New Roman" w:cs="Times New Roman"/>
        </w:rPr>
        <w:t xml:space="preserve"> </w:t>
      </w:r>
      <w:r w:rsidRPr="00F253CE">
        <w:rPr>
          <w:rFonts w:ascii="Times New Roman" w:eastAsia="Times New Roman" w:hAnsi="Times New Roman" w:cs="Times New Roman"/>
          <w:i/>
          <w:iCs/>
          <w:lang w:eastAsia="lv-LV"/>
        </w:rPr>
        <w:t>County Administrative Board of Stockholm, National Referral Mechanism – Protecting and supporting victims of Trafficking in Human Beings in Sweden</w:t>
      </w:r>
      <w:r w:rsidRPr="00F253CE">
        <w:rPr>
          <w:rFonts w:ascii="Times New Roman" w:eastAsia="Times New Roman" w:hAnsi="Times New Roman" w:cs="Times New Roman"/>
          <w:lang w:eastAsia="lv-LV"/>
        </w:rPr>
        <w:t xml:space="preserve"> (Stokholma, 2016), 32. lpp.</w:t>
      </w:r>
    </w:p>
  </w:footnote>
  <w:footnote w:id="125">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124</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 xml:space="preserve">Ziņojums, ko sagatavojis īpašais referents par bērnu tirdzniecību, bērnu prostitūciju un bērnu pornogrāfiju </w:t>
      </w:r>
      <w:r w:rsidRPr="00F253CE">
        <w:rPr>
          <w:rFonts w:ascii="Times New Roman" w:eastAsia="Times New Roman" w:hAnsi="Times New Roman" w:cs="Times New Roman"/>
          <w:i/>
          <w:iCs/>
          <w:sz w:val="20"/>
          <w:szCs w:val="20"/>
          <w:lang w:eastAsia="lv-LV"/>
        </w:rPr>
        <w:t>Najat Maalla M’jid</w:t>
      </w:r>
      <w:r w:rsidRPr="00F253CE">
        <w:rPr>
          <w:rFonts w:ascii="Times New Roman" w:eastAsia="Times New Roman" w:hAnsi="Times New Roman" w:cs="Times New Roman"/>
          <w:sz w:val="20"/>
          <w:szCs w:val="20"/>
          <w:lang w:eastAsia="lv-LV"/>
        </w:rPr>
        <w:t>. Papildinājums. Misija uz Kirgizstānu (2013. gada 15.–26. aprīlis), ANO dok. A/HRC/25/48/Add.1 (2013. gada 23. decembris), 78. punkts.</w:t>
      </w:r>
    </w:p>
  </w:footnote>
  <w:footnote w:id="126">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125</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Ministru komitejas Ieteikums CM/Rec(2007)9 dalībvalstīm par dzīves plāniem migranta statusā esošām nepavadītām nepilngadīgām personām (Ministru komiteja pieņēma 2007. gada 12. jūlijā) un tā pielikums.</w:t>
      </w:r>
    </w:p>
  </w:footnote>
  <w:footnote w:id="127">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126</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ANO Pamatnostādņu par bērnu alternatīvo aprūpi 29. pantā šie pieci aprūpes veidi ir sniegti sīkākā izklāstā.</w:t>
      </w:r>
    </w:p>
  </w:footnote>
  <w:footnote w:id="128">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127</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 xml:space="preserve">Sk. </w:t>
      </w:r>
      <w:r w:rsidRPr="00F253CE">
        <w:rPr>
          <w:rFonts w:ascii="Times New Roman" w:eastAsia="Times New Roman" w:hAnsi="Times New Roman" w:cs="Times New Roman"/>
          <w:i/>
          <w:iCs/>
          <w:sz w:val="20"/>
          <w:szCs w:val="20"/>
          <w:lang w:eastAsia="lv-LV"/>
        </w:rPr>
        <w:t>P. Cazenave,</w:t>
      </w:r>
      <w:r w:rsidRPr="00F253CE">
        <w:rPr>
          <w:rFonts w:ascii="Times New Roman" w:eastAsia="Times New Roman" w:hAnsi="Times New Roman" w:cs="Times New Roman"/>
          <w:sz w:val="20"/>
          <w:szCs w:val="20"/>
          <w:lang w:eastAsia="lv-LV"/>
        </w:rPr>
        <w:t xml:space="preserve"> “Reģionālais ziņojums par </w:t>
      </w:r>
      <w:r w:rsidRPr="00F253CE">
        <w:rPr>
          <w:rFonts w:ascii="Times New Roman" w:eastAsia="Times New Roman" w:hAnsi="Times New Roman" w:cs="Times New Roman"/>
          <w:i/>
          <w:iCs/>
          <w:sz w:val="20"/>
          <w:szCs w:val="20"/>
          <w:lang w:eastAsia="lv-LV"/>
        </w:rPr>
        <w:t>UNICEF</w:t>
      </w:r>
      <w:r w:rsidRPr="00F253CE">
        <w:rPr>
          <w:rFonts w:ascii="Times New Roman" w:eastAsia="Times New Roman" w:hAnsi="Times New Roman" w:cs="Times New Roman"/>
          <w:sz w:val="20"/>
          <w:szCs w:val="20"/>
          <w:lang w:eastAsia="lv-LV"/>
        </w:rPr>
        <w:t xml:space="preserve"> Vadlīniju īstenošanu bērnu, kas ir cilvēku tirdzniecības upuri, tiesību aizsardzībai Dienvidaustrumeiropā. Situācijas novērtējums Albānijā, Kosovā un Bijušajā Dienvidslāvijas Republikā” [</w:t>
      </w:r>
      <w:r w:rsidRPr="00F253CE">
        <w:rPr>
          <w:rFonts w:ascii="Times New Roman" w:eastAsia="Times New Roman" w:hAnsi="Times New Roman" w:cs="Times New Roman"/>
          <w:i/>
          <w:iCs/>
          <w:sz w:val="20"/>
          <w:szCs w:val="20"/>
          <w:lang w:eastAsia="lv-LV"/>
        </w:rPr>
        <w:t>“Regional report on the implementation of the UNICEF guidelines for the protection of the rights of child victims of trafficking in South Eastern Europe. Assessment of the situation in Albania, Kosovo and the Former Yugoslav Republic of Macedonia”</w:t>
      </w:r>
      <w:r w:rsidRPr="00F253CE">
        <w:rPr>
          <w:rFonts w:ascii="Times New Roman" w:eastAsia="Times New Roman" w:hAnsi="Times New Roman" w:cs="Times New Roman"/>
          <w:sz w:val="20"/>
          <w:szCs w:val="20"/>
          <w:lang w:eastAsia="lv-LV"/>
        </w:rPr>
        <w:t xml:space="preserve">], </w:t>
      </w:r>
      <w:r w:rsidRPr="00F253CE">
        <w:rPr>
          <w:rFonts w:ascii="Times New Roman" w:eastAsia="Times New Roman" w:hAnsi="Times New Roman" w:cs="Times New Roman"/>
          <w:i/>
          <w:iCs/>
          <w:sz w:val="20"/>
          <w:szCs w:val="20"/>
          <w:lang w:eastAsia="lv-LV"/>
        </w:rPr>
        <w:t>Terre des Hommes</w:t>
      </w:r>
      <w:r w:rsidRPr="00F253CE">
        <w:rPr>
          <w:rFonts w:ascii="Times New Roman" w:eastAsia="Times New Roman" w:hAnsi="Times New Roman" w:cs="Times New Roman"/>
          <w:sz w:val="20"/>
          <w:szCs w:val="20"/>
          <w:lang w:eastAsia="lv-LV"/>
        </w:rPr>
        <w:t xml:space="preserve"> (Losana, 2010).</w:t>
      </w:r>
    </w:p>
  </w:footnote>
  <w:footnote w:id="129">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128</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 xml:space="preserve">Sk., piemēram, </w:t>
      </w:r>
      <w:r w:rsidRPr="00F253CE">
        <w:rPr>
          <w:rFonts w:ascii="Times New Roman" w:eastAsia="Times New Roman" w:hAnsi="Times New Roman" w:cs="Times New Roman"/>
          <w:i/>
          <w:iCs/>
          <w:sz w:val="20"/>
          <w:szCs w:val="20"/>
          <w:lang w:eastAsia="lv-LV"/>
        </w:rPr>
        <w:t>Shuker, Evaluation of Barnardo’s Safe Accommodation Project for Sexually Exploited and Trafficked Young People</w:t>
      </w:r>
      <w:r w:rsidRPr="00F253CE">
        <w:rPr>
          <w:rFonts w:ascii="Times New Roman" w:eastAsia="Times New Roman" w:hAnsi="Times New Roman" w:cs="Times New Roman"/>
          <w:sz w:val="20"/>
          <w:szCs w:val="20"/>
          <w:lang w:eastAsia="lv-LV"/>
        </w:rPr>
        <w:t>, Bedforšīras Universitātes Lietišķo sociālo pētījumu institūts (Lutona, 2013). http://www.barnardos.org.uk/barnardo27s-sa-project-evaluation-full-report 3_.pdf.</w:t>
      </w:r>
    </w:p>
  </w:footnote>
  <w:footnote w:id="130">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129</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Missing Children in Europe, “Europol confirms the disappearance of 10,000 migrant children in Europe”</w:t>
      </w:r>
      <w:r w:rsidRPr="00F253CE">
        <w:rPr>
          <w:rFonts w:ascii="Times New Roman" w:eastAsia="Times New Roman" w:hAnsi="Times New Roman" w:cs="Times New Roman"/>
          <w:sz w:val="20"/>
          <w:szCs w:val="20"/>
          <w:lang w:eastAsia="lv-LV"/>
        </w:rPr>
        <w:t xml:space="preserve"> (2016. gada janvāris), http://missingchildreneurope.eu/news/Post/1023/Europol-confirms-the-disappearance-of-10-000-migrant-children-in-Europe. Turpmākajā konferences ziņojumā, ko sniegusi organizācija </w:t>
      </w:r>
      <w:r w:rsidRPr="00F253CE">
        <w:rPr>
          <w:rFonts w:ascii="Times New Roman" w:eastAsia="Times New Roman" w:hAnsi="Times New Roman" w:cs="Times New Roman"/>
          <w:i/>
          <w:iCs/>
          <w:sz w:val="20"/>
          <w:szCs w:val="20"/>
          <w:lang w:eastAsia="lv-LV"/>
        </w:rPr>
        <w:t>Missing Children in Europe</w:t>
      </w:r>
      <w:r w:rsidRPr="00F253CE">
        <w:rPr>
          <w:rFonts w:ascii="Times New Roman" w:eastAsia="Times New Roman" w:hAnsi="Times New Roman" w:cs="Times New Roman"/>
          <w:sz w:val="20"/>
          <w:szCs w:val="20"/>
          <w:lang w:eastAsia="lv-LV"/>
        </w:rPr>
        <w:t xml:space="preserve"> (Pazudis migrācijā – strādājot kopā, lai pasargātu bērnus no pazušanas. Konferences secinājumi. [</w:t>
      </w:r>
      <w:r w:rsidRPr="00F253CE">
        <w:rPr>
          <w:rFonts w:ascii="Times New Roman" w:eastAsia="Times New Roman" w:hAnsi="Times New Roman" w:cs="Times New Roman"/>
          <w:i/>
          <w:iCs/>
          <w:sz w:val="20"/>
          <w:szCs w:val="20"/>
          <w:lang w:eastAsia="lv-LV"/>
        </w:rPr>
        <w:t>Lost in Migration: working together in protecting children from disappearance. Conference conclusions.</w:t>
      </w:r>
      <w:r w:rsidRPr="00F253CE">
        <w:rPr>
          <w:rFonts w:ascii="Times New Roman" w:eastAsia="Times New Roman" w:hAnsi="Times New Roman" w:cs="Times New Roman"/>
          <w:sz w:val="20"/>
          <w:szCs w:val="20"/>
          <w:lang w:eastAsia="lv-LV"/>
        </w:rPr>
        <w:t>], 2017. gada janvāris), tika atzīmēts, ka “bērns migrants tiek uzskatīts par bezvēsts prombūtnē esošu, ja valsts iestādes viņu ir reģistrējušas un viņš ir pazudis no viņam sniegtā uzņemšanas/izmitināšanas centra. Bērni pazūd no šiem dienestiem dažādu iemeslu dēļ (tostarp neatbilstīgas un slikti pielāgotas uzņemšanas dēļ, neefektīvu procedūru dēļ, bailēs no deportācijas, vēloties apvienoties ar ģimeni vai draugiem citā valstī utt.).” Ziņojumā arī apgalvots, ka “aizvien lielāks skaits upuru (atkārtoti) kļūst par cilvēku tirdzniecības upuriem”.</w:t>
      </w:r>
    </w:p>
  </w:footnote>
  <w:footnote w:id="131">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130</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Bēgļu un migrantu krīze Eiropā – Reģionālais humānās situācijas atjauninātais ziņojums Nr. 24 [</w:t>
      </w:r>
      <w:r w:rsidRPr="00F253CE">
        <w:rPr>
          <w:rFonts w:ascii="Times New Roman" w:eastAsia="Times New Roman" w:hAnsi="Times New Roman" w:cs="Times New Roman"/>
          <w:i/>
          <w:iCs/>
          <w:sz w:val="20"/>
          <w:szCs w:val="20"/>
          <w:lang w:eastAsia="lv-LV"/>
        </w:rPr>
        <w:t>UNICEF Refugee and Migrant Crisis in Europe: Regional Humanitarian Situation Report Update 24</w:t>
      </w:r>
      <w:r w:rsidRPr="00F253CE">
        <w:rPr>
          <w:rFonts w:ascii="Times New Roman" w:eastAsia="Times New Roman" w:hAnsi="Times New Roman" w:cs="Times New Roman"/>
          <w:sz w:val="20"/>
          <w:szCs w:val="20"/>
          <w:lang w:eastAsia="lv-LV"/>
        </w:rPr>
        <w:t>], 2017. gada 18. jūlijs. https://reliefweb.int/report/greece/unicef-refugee-and-migrant-crisis-europe-regional-humanitarian-situation-report-24-18.</w:t>
      </w:r>
    </w:p>
  </w:footnote>
  <w:footnote w:id="132">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131</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GRETA</w:t>
      </w:r>
      <w:r w:rsidRPr="00F253CE">
        <w:rPr>
          <w:rFonts w:ascii="Times New Roman" w:eastAsia="Times New Roman" w:hAnsi="Times New Roman" w:cs="Times New Roman"/>
          <w:sz w:val="20"/>
          <w:szCs w:val="20"/>
          <w:lang w:eastAsia="lv-LV"/>
        </w:rPr>
        <w:t>, Ziņojums par Eiropas Padomes Konvencijas par cīņu pret cilvēku tirdzniecību īstenošanu Norvēģijā [</w:t>
      </w:r>
      <w:r w:rsidRPr="00F253CE">
        <w:rPr>
          <w:rFonts w:ascii="Times New Roman" w:eastAsia="Times New Roman" w:hAnsi="Times New Roman" w:cs="Times New Roman"/>
          <w:i/>
          <w:iCs/>
          <w:sz w:val="20"/>
          <w:szCs w:val="20"/>
          <w:lang w:eastAsia="lv-LV"/>
        </w:rPr>
        <w:t>Report concerning the implementation of the Council of Europe Convention on Action against Trafficking in Human Beings by Norway</w:t>
      </w:r>
      <w:r w:rsidRPr="00F253CE">
        <w:rPr>
          <w:rFonts w:ascii="Times New Roman" w:eastAsia="Times New Roman" w:hAnsi="Times New Roman" w:cs="Times New Roman"/>
          <w:sz w:val="20"/>
          <w:szCs w:val="20"/>
          <w:lang w:eastAsia="lv-LV"/>
        </w:rPr>
        <w:t>], Pirmā novērtēšanas kārta, Eiropas Padomes dok. GRETA(2013)5 (2013. gada 7. maijs), 178. punkts.</w:t>
      </w:r>
    </w:p>
  </w:footnote>
  <w:footnote w:id="133">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132</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GRETA</w:t>
      </w:r>
      <w:r w:rsidRPr="00F253CE">
        <w:rPr>
          <w:rFonts w:ascii="Times New Roman" w:eastAsia="Times New Roman" w:hAnsi="Times New Roman" w:cs="Times New Roman"/>
          <w:sz w:val="20"/>
          <w:szCs w:val="20"/>
          <w:lang w:eastAsia="lv-LV"/>
        </w:rPr>
        <w:t>, Ziņojums par Eiropas Padomes Konvencijas par cīņu pret cilvēku tirdzniecību īstenošanu Norvēģijā [</w:t>
      </w:r>
      <w:r w:rsidRPr="00F253CE">
        <w:rPr>
          <w:rFonts w:ascii="Times New Roman" w:eastAsia="Times New Roman" w:hAnsi="Times New Roman" w:cs="Times New Roman"/>
          <w:i/>
          <w:iCs/>
          <w:sz w:val="20"/>
          <w:szCs w:val="20"/>
          <w:lang w:eastAsia="lv-LV"/>
        </w:rPr>
        <w:t>Report concerning the implementation of the Council of Europe Convention on Action against Trafficking in Human Beings by Norway</w:t>
      </w:r>
      <w:r w:rsidRPr="00F253CE">
        <w:rPr>
          <w:rFonts w:ascii="Times New Roman" w:eastAsia="Times New Roman" w:hAnsi="Times New Roman" w:cs="Times New Roman"/>
          <w:sz w:val="20"/>
          <w:szCs w:val="20"/>
          <w:lang w:eastAsia="lv-LV"/>
        </w:rPr>
        <w:t>], Pirmā novērtēšanas kārta, Eiropas Padomes dok. GRETA(2013)5 (2013. gada 7. maijs), 178. punkts.</w:t>
      </w:r>
    </w:p>
  </w:footnote>
  <w:footnote w:id="134">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133</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Turpat, 117. punkts.</w:t>
      </w:r>
    </w:p>
  </w:footnote>
  <w:footnote w:id="135">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134</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Nepavadītu bērnu skaits, kas ir bezvēsts prombūtnē Apvienotajā Karalistē, nav zināms. Vairāki pētnieki ir sazinājušies ar vietējām iestādēm, lai mēģinātu provizoriski noteikt kopskaitu. Piemēram, 2016. gadā pētnieki nonāca pie atziņas, ka no 2253 nepavadītiem bērni, kas kā patvēruma meklētāji atradās vietējās aprūpes iestādēs Anglijā, bija pazuduši vismaz 71 zēns un 4 meitenes (</w:t>
      </w:r>
      <w:r w:rsidRPr="00F253CE">
        <w:rPr>
          <w:rFonts w:ascii="Times New Roman" w:eastAsia="Times New Roman" w:hAnsi="Times New Roman" w:cs="Times New Roman"/>
          <w:i/>
          <w:iCs/>
          <w:sz w:val="20"/>
          <w:szCs w:val="20"/>
          <w:lang w:eastAsia="lv-LV"/>
        </w:rPr>
        <w:t>R. Humphris and N. Sigona, Mapping unaccompanied asylum seeking children in Europe</w:t>
      </w:r>
      <w:r w:rsidRPr="00F253CE">
        <w:rPr>
          <w:rFonts w:ascii="Times New Roman" w:eastAsia="Times New Roman" w:hAnsi="Times New Roman" w:cs="Times New Roman"/>
          <w:sz w:val="20"/>
          <w:szCs w:val="20"/>
          <w:lang w:eastAsia="lv-LV"/>
        </w:rPr>
        <w:t>, 2016). Līdz 2017. gadam darba grupa no vienas NVO, kuras uzmanības centrā ir bērni, kas ir cilvēku tirdzniecības upuri, kopš savu pakalpojumu sākšanas 2007. gada septembrī bija ierosinājusi 1518 cilvēku tirdzniecībā cietušo bērnu lietas. No šiem 1518 bērniem pazuduši bija 74 bērni (</w:t>
      </w:r>
      <w:r w:rsidRPr="00F253CE">
        <w:rPr>
          <w:rFonts w:ascii="Times New Roman" w:eastAsia="Times New Roman" w:hAnsi="Times New Roman" w:cs="Times New Roman"/>
          <w:i/>
          <w:iCs/>
          <w:sz w:val="20"/>
          <w:szCs w:val="20"/>
          <w:lang w:eastAsia="lv-LV"/>
        </w:rPr>
        <w:t>N. Finch, Lighting The Way: Steps that lawyers, legal guardians and child trafficking advocates in the UK can take to better identify and protect children who may have been trafficked</w:t>
      </w:r>
      <w:r w:rsidRPr="00F253CE">
        <w:rPr>
          <w:rFonts w:ascii="Times New Roman" w:eastAsia="Times New Roman" w:hAnsi="Times New Roman" w:cs="Times New Roman"/>
          <w:sz w:val="20"/>
          <w:szCs w:val="20"/>
          <w:lang w:eastAsia="lv-LV"/>
        </w:rPr>
        <w:t xml:space="preserve"> [“Atvieglojot ceļu. Kādus pasākumus var veikt advokāti, likumīgie aizbildņi un bērna, kas ir cilvēku tirdzniecības upuris, aizstāvji AK, lai labāk identificētu un aizsargātu bērnus, kas, iespējams, ir cilvēku tirdzniecības upuri”], ECPAT-UK, (Londona, 2017)).</w:t>
      </w:r>
    </w:p>
  </w:footnote>
  <w:footnote w:id="136">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135</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Northemptonas policija (AK), “Policija lūdz palīdzību 13 Vjetnamas pusaudžu meklēšanā, kas ieradušies AK nelegāli”, 2017. gada 6. decembris. http://www.northants.police.uk/news/2017-12-06/appeal-public%E2%80%99s-help-locate-13-missing-teenagers.</w:t>
      </w:r>
    </w:p>
  </w:footnote>
  <w:footnote w:id="137">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136</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N. Finch, Lighting The Way: Steps that lawyers, legal guardians and child trafficking advocates in the UK can take to better identify and protect children who may have been trafficked</w:t>
      </w:r>
      <w:r w:rsidRPr="00F253CE">
        <w:rPr>
          <w:rFonts w:ascii="Times New Roman" w:eastAsia="Times New Roman" w:hAnsi="Times New Roman" w:cs="Times New Roman"/>
          <w:sz w:val="20"/>
          <w:szCs w:val="20"/>
          <w:lang w:eastAsia="lv-LV"/>
        </w:rPr>
        <w:t>, ECPAT-UK (Londona, 2017), 33. lpp. Nesen, 2018. gada jūnijā, Anglijas un Velsas Apelācijas tiesa izdeva spriedumu, kurā kritizēja to, ka Lielbritānijas iestādes nav nodrošinājušas vjetnamiešu zēnam pienācīgu aizsardzību, kas ir Eiropas Cilvēktiesību konvencijas 4. panta pārkāpums (</w:t>
      </w:r>
      <w:r w:rsidRPr="00F253CE">
        <w:rPr>
          <w:rFonts w:ascii="Times New Roman" w:eastAsia="Times New Roman" w:hAnsi="Times New Roman" w:cs="Times New Roman"/>
          <w:i/>
          <w:iCs/>
          <w:sz w:val="20"/>
          <w:szCs w:val="20"/>
          <w:lang w:eastAsia="lv-LV"/>
        </w:rPr>
        <w:t>R(TDT)</w:t>
      </w:r>
      <w:r w:rsidRPr="00F253CE">
        <w:rPr>
          <w:rFonts w:ascii="Times New Roman" w:eastAsia="Times New Roman" w:hAnsi="Times New Roman" w:cs="Times New Roman"/>
          <w:sz w:val="20"/>
          <w:szCs w:val="20"/>
          <w:lang w:eastAsia="lv-LV"/>
        </w:rPr>
        <w:t xml:space="preserve"> pret Iekšlietu ministrijas valsts sekretāru; [2018] </w:t>
      </w:r>
      <w:r w:rsidRPr="00F253CE">
        <w:rPr>
          <w:rFonts w:ascii="Times New Roman" w:eastAsia="Times New Roman" w:hAnsi="Times New Roman" w:cs="Times New Roman"/>
          <w:i/>
          <w:iCs/>
          <w:sz w:val="20"/>
          <w:szCs w:val="20"/>
          <w:lang w:eastAsia="lv-LV"/>
        </w:rPr>
        <w:t>EWCA Civ</w:t>
      </w:r>
      <w:r w:rsidRPr="00F253CE">
        <w:rPr>
          <w:rFonts w:ascii="Times New Roman" w:eastAsia="Times New Roman" w:hAnsi="Times New Roman" w:cs="Times New Roman"/>
          <w:sz w:val="20"/>
          <w:szCs w:val="20"/>
          <w:lang w:eastAsia="lv-LV"/>
        </w:rPr>
        <w:t xml:space="preserve"> 1395). Attiecīgais zēns ticis aizturēts, pamatojoties uz to, ka ir pieaugušais un ir nelegālais migrants, un pēc tam izlaists no ieslodzījuma, nenodrošinot pienācīgus pasākumus, lai nepieļautu, ka viņš tiek pakļauts darba ekspluatācijai, lai arī bija “ticamas aizdomas”, ka tas tā varētu notikt.</w:t>
      </w:r>
    </w:p>
  </w:footnote>
  <w:footnote w:id="138">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137</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Hilingdonas pašvaldības Bērnu aizsardzības padome, Kopīgais protokols. Bērni un jaunieši, kas aizbēg vai ir bezvēsts prombūtnē no aprūpes iestādes vai mājām [</w:t>
      </w:r>
      <w:r w:rsidRPr="00F253CE">
        <w:rPr>
          <w:rFonts w:ascii="Times New Roman" w:eastAsia="Times New Roman" w:hAnsi="Times New Roman" w:cs="Times New Roman"/>
          <w:i/>
          <w:iCs/>
          <w:sz w:val="20"/>
          <w:szCs w:val="20"/>
          <w:lang w:eastAsia="lv-LV"/>
        </w:rPr>
        <w:t>Hillingdon Local Safeguarding Children Board, Joint Protocol. Children and young people who run away or go missing from care or home</w:t>
      </w:r>
      <w:r w:rsidRPr="00F253CE">
        <w:rPr>
          <w:rFonts w:ascii="Times New Roman" w:eastAsia="Times New Roman" w:hAnsi="Times New Roman" w:cs="Times New Roman"/>
          <w:sz w:val="20"/>
          <w:szCs w:val="20"/>
          <w:lang w:eastAsia="lv-LV"/>
        </w:rPr>
        <w:t>] (Londona, 2014). http://hillingdonchildcare.proceduresonline.com/pdfs/child_yp_runaway.pdf</w:t>
      </w:r>
    </w:p>
  </w:footnote>
  <w:footnote w:id="139">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138</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Novērtējumā būtu jāietver šāda informācija (turpat):</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varbūtība, ka bērns dosies bezvēsts prombūtnē,</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bērna viedoklis;</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izvērtējums, kādi pasākumi būtu veicami, lai novērstu bērna došanos bezvēsts prombūtnē;</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kāda līmeņa uzraudzību/atbalstu aprūpes personāls piedāvā sniegt bērnam;</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vecāku/aprūpētāju viedoklis par to, kādas ir viņu bērna vajadzības un kādas darbības ir jāveic, ja bērns ir pazudis;</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ja bērns ir pazudis, kāds ir viņa apdraudējuma risks un neaizsargātība;</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izvērtējums, vai ir kādas ārējas ietekmes, kuru dēļ bērns būtu jāizņem bez piekrišanas;</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varbūtība, ka bērns tiek slēpts;</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piezīme par 14–16 gadus vecu jauniešu bezvēsts prombūtnes izplatību saskaņā ar kārtējiem statistikas datiem;</w:t>
      </w:r>
    </w:p>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 rīcības (darbības) plāns, kas piemērojams konkrētajam bērnam, jāformulē tā, lai tiktu ietverts bērna bezvēsts prombūtnes gadījums.</w:t>
      </w:r>
    </w:p>
  </w:footnote>
  <w:footnote w:id="140">
    <w:p w:rsidR="00281759" w:rsidRPr="00F253CE" w:rsidRDefault="00281759"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139</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N. Finch, Lighting The Way: Steps that lawyers, legal guardians and child trafficking advocates in the UK can take to better identify and protect children who may have been trafficked</w:t>
      </w:r>
      <w:r w:rsidRPr="00F253CE">
        <w:rPr>
          <w:rFonts w:ascii="Times New Roman" w:eastAsia="Times New Roman" w:hAnsi="Times New Roman" w:cs="Times New Roman"/>
          <w:sz w:val="20"/>
          <w:szCs w:val="20"/>
          <w:lang w:eastAsia="lv-LV"/>
        </w:rPr>
        <w:t xml:space="preserve"> ECPAT-UK (Londona, 2017), 36. lpp.</w:t>
      </w:r>
    </w:p>
  </w:footnote>
  <w:footnote w:id="141">
    <w:p w:rsidR="00114C5F" w:rsidRPr="00F253CE" w:rsidRDefault="00114C5F"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140</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Kopīgais vispārējais komentārs Nr. 3 (2017), ko sniegusi Visu migrējošo darba ņēmēju un viņu ģimenes locekļu tiesību aizsardzības komiteja, un Nr. 22 (2017), ko sniegusi Bērnu tiesību komiteja par vispārējiem principiem saistībā ar bērnu cilvēktiesībām starptautiskās migrācijas kontekstā, ANO dok. CMW/C/GC/3-CRC/C/GC/22</w:t>
      </w:r>
    </w:p>
    <w:p w:rsidR="00114C5F" w:rsidRPr="00F253CE" w:rsidRDefault="00114C5F" w:rsidP="00F253CE">
      <w:pPr>
        <w:widowControl w:val="0"/>
        <w:spacing w:after="0" w:line="240" w:lineRule="auto"/>
        <w:jc w:val="both"/>
        <w:rPr>
          <w:rFonts w:ascii="Times New Roman" w:eastAsia="Times New Roman" w:hAnsi="Times New Roman" w:cs="Times New Roman"/>
          <w:sz w:val="20"/>
          <w:szCs w:val="20"/>
          <w:lang w:eastAsia="lv-LV"/>
        </w:rPr>
      </w:pPr>
      <w:r w:rsidRPr="00F253CE">
        <w:rPr>
          <w:rFonts w:ascii="Times New Roman" w:eastAsia="Times New Roman" w:hAnsi="Times New Roman" w:cs="Times New Roman"/>
          <w:sz w:val="20"/>
          <w:szCs w:val="20"/>
          <w:lang w:eastAsia="lv-LV"/>
        </w:rPr>
        <w:t>(2017. gada 16. novembris), 32. punkta k</w:t>
      </w:r>
      <w:r w:rsidRPr="00F253CE">
        <w:rPr>
          <w:rFonts w:ascii="Times New Roman" w:eastAsia="Times New Roman" w:hAnsi="Times New Roman" w:cs="Times New Roman"/>
          <w:sz w:val="20"/>
          <w:szCs w:val="20"/>
          <w:lang w:eastAsia="lv-LV"/>
        </w:rPr>
        <w:t>) apakšpunkts.</w:t>
      </w:r>
    </w:p>
  </w:footnote>
  <w:footnote w:id="142">
    <w:p w:rsidR="00114C5F" w:rsidRPr="00F253CE" w:rsidRDefault="00114C5F"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141</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“Nogādāšana atpakaļ uz izcelsmes valsti nav apsverama, ja tas radītu “pamatotu risku”, ka pēc nogādāšanas atpakaļ tiktu pārkāptas bērna pamata cilvēktiesības, un jo īpaši tad, ja piemēro neizraidīšanas principu” (Bērnu tiesību komiteja, Vispārē</w:t>
      </w:r>
      <w:r w:rsidRPr="00F253CE">
        <w:rPr>
          <w:rFonts w:ascii="Times New Roman" w:eastAsia="Times New Roman" w:hAnsi="Times New Roman" w:cs="Times New Roman"/>
          <w:sz w:val="20"/>
          <w:szCs w:val="20"/>
          <w:lang w:eastAsia="lv-LV"/>
        </w:rPr>
        <w:t>jā komentāra Nr. 6 84. punkts).</w:t>
      </w:r>
    </w:p>
  </w:footnote>
  <w:footnote w:id="143">
    <w:p w:rsidR="00114C5F" w:rsidRPr="00F253CE" w:rsidRDefault="00114C5F"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142</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Sk. Bērnu tiesību komitejas Vispārējo komentāru Nr. 6 (2005) “Rīcība attiecībā uz nepavadītiem un nošķirtiem bērniem ārpus viņu izcels</w:t>
      </w:r>
      <w:r w:rsidRPr="00F253CE">
        <w:rPr>
          <w:rFonts w:ascii="Times New Roman" w:eastAsia="Times New Roman" w:hAnsi="Times New Roman" w:cs="Times New Roman"/>
          <w:sz w:val="20"/>
          <w:szCs w:val="20"/>
          <w:lang w:eastAsia="lv-LV"/>
        </w:rPr>
        <w:t>mes valsts” (2005), 84. punkts.</w:t>
      </w:r>
    </w:p>
  </w:footnote>
  <w:footnote w:id="144">
    <w:p w:rsidR="00114C5F" w:rsidRPr="00F253CE" w:rsidRDefault="00114C5F"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143</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Starpiestāžu darba grupa nepavadītu un nošķirtu bērnu jautājumos, Instrumentu kopums attiecībā uz nepavadītiem un nošķirtiem bērniem, Bērnu aizsardzības alianse humānās darbībās [</w:t>
      </w:r>
      <w:r w:rsidRPr="00F253CE">
        <w:rPr>
          <w:rFonts w:ascii="Times New Roman" w:eastAsia="Times New Roman" w:hAnsi="Times New Roman" w:cs="Times New Roman"/>
          <w:i/>
          <w:iCs/>
          <w:sz w:val="20"/>
          <w:szCs w:val="20"/>
          <w:lang w:eastAsia="lv-LV"/>
        </w:rPr>
        <w:t>Inter-agency Working Group on Unaccompanied and Separated Children, Toolkit on Unaccompanied and Separated Children, Alliance for Child Protection in Humanitarian Action</w:t>
      </w:r>
      <w:r w:rsidRPr="00F253CE">
        <w:rPr>
          <w:rFonts w:ascii="Times New Roman" w:eastAsia="Times New Roman" w:hAnsi="Times New Roman" w:cs="Times New Roman"/>
          <w:sz w:val="20"/>
          <w:szCs w:val="20"/>
          <w:lang w:eastAsia="lv-LV"/>
        </w:rPr>
        <w:t>], 2016.</w:t>
      </w:r>
    </w:p>
  </w:footnote>
  <w:footnote w:id="145">
    <w:p w:rsidR="00114C5F" w:rsidRPr="00F253CE" w:rsidRDefault="00114C5F"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144</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ODIHR</w:t>
      </w:r>
      <w:r w:rsidRPr="00F253CE">
        <w:rPr>
          <w:rFonts w:ascii="Times New Roman" w:eastAsia="Times New Roman" w:hAnsi="Times New Roman" w:cs="Times New Roman"/>
          <w:sz w:val="20"/>
          <w:szCs w:val="20"/>
          <w:lang w:eastAsia="lv-LV"/>
        </w:rPr>
        <w:t>, Cilvēktiesību pamatprincipi attiecībā uz cilvēku tirdzniecības upuru atpakaļnosūtīšanu [</w:t>
      </w:r>
      <w:r w:rsidRPr="00F253CE">
        <w:rPr>
          <w:rFonts w:ascii="Times New Roman" w:eastAsia="Times New Roman" w:hAnsi="Times New Roman" w:cs="Times New Roman"/>
          <w:i/>
          <w:iCs/>
          <w:sz w:val="20"/>
          <w:szCs w:val="20"/>
          <w:lang w:eastAsia="lv-LV"/>
        </w:rPr>
        <w:t>Guiding Principles on Human Rights in the Return of Trafficked Persons</w:t>
      </w:r>
      <w:r w:rsidRPr="00F253CE">
        <w:rPr>
          <w:rFonts w:ascii="Times New Roman" w:eastAsia="Times New Roman" w:hAnsi="Times New Roman" w:cs="Times New Roman"/>
          <w:sz w:val="20"/>
          <w:szCs w:val="20"/>
          <w:lang w:eastAsia="lv-LV"/>
        </w:rPr>
        <w:t>] (2014).</w:t>
      </w:r>
    </w:p>
  </w:footnote>
  <w:footnote w:id="146">
    <w:p w:rsidR="00114C5F" w:rsidRPr="00F253CE" w:rsidRDefault="00114C5F"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145</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ICMPD</w:t>
      </w:r>
      <w:r w:rsidRPr="00F253CE">
        <w:rPr>
          <w:rFonts w:ascii="Times New Roman" w:eastAsia="Times New Roman" w:hAnsi="Times New Roman" w:cs="Times New Roman"/>
          <w:sz w:val="20"/>
          <w:szCs w:val="20"/>
          <w:lang w:eastAsia="lv-LV"/>
        </w:rPr>
        <w:t>, Vadlīnijas par standartizētajām operatīvajām procedūrām, ar kurām īsteno cilvēku tirdzniecības upuru transnacionālo nosūtīšanas mehānismu [</w:t>
      </w:r>
      <w:r w:rsidRPr="00F253CE">
        <w:rPr>
          <w:rFonts w:ascii="Times New Roman" w:eastAsia="Times New Roman" w:hAnsi="Times New Roman" w:cs="Times New Roman"/>
          <w:i/>
          <w:iCs/>
          <w:sz w:val="20"/>
          <w:szCs w:val="20"/>
          <w:lang w:eastAsia="lv-LV"/>
        </w:rPr>
        <w:t>Guidelines on Standard Operating Procedures for Implementation of the Transnational Referral Mechanism for Victims of Trafficking</w:t>
      </w:r>
      <w:r w:rsidRPr="00F253CE">
        <w:rPr>
          <w:rFonts w:ascii="Times New Roman" w:eastAsia="Times New Roman" w:hAnsi="Times New Roman" w:cs="Times New Roman"/>
          <w:sz w:val="20"/>
          <w:szCs w:val="20"/>
          <w:lang w:eastAsia="lv-LV"/>
        </w:rPr>
        <w:t>] (Vīne, 2009).</w:t>
      </w:r>
    </w:p>
  </w:footnote>
  <w:footnote w:id="147">
    <w:p w:rsidR="00114C5F" w:rsidRPr="00F253CE" w:rsidRDefault="00114C5F" w:rsidP="00F253CE">
      <w:pPr>
        <w:pStyle w:val="Vresteksts"/>
        <w:jc w:val="both"/>
        <w:rPr>
          <w:rFonts w:ascii="Times New Roman" w:hAnsi="Times New Roman" w:cs="Times New Roman"/>
        </w:rPr>
      </w:pPr>
      <w:r w:rsidRPr="00F253CE">
        <w:rPr>
          <w:rStyle w:val="Vresatsauce"/>
          <w:rFonts w:ascii="Times New Roman" w:hAnsi="Times New Roman" w:cs="Times New Roman"/>
        </w:rPr>
        <w:t>146</w:t>
      </w:r>
      <w:r w:rsidRPr="00F253CE">
        <w:rPr>
          <w:rFonts w:ascii="Times New Roman" w:hAnsi="Times New Roman" w:cs="Times New Roman"/>
        </w:rPr>
        <w:t xml:space="preserve"> </w:t>
      </w:r>
      <w:r w:rsidRPr="00F253CE">
        <w:rPr>
          <w:rFonts w:ascii="Times New Roman" w:eastAsia="Times New Roman" w:hAnsi="Times New Roman" w:cs="Times New Roman"/>
          <w:lang w:eastAsia="lv-LV"/>
        </w:rPr>
        <w:t>Bulgārija, dalībvalstu trešais, ceturtais un piektais periodiskais ziņojums par 2013. gadu (Ziņojums Bērnu tiesību komitejai, saņemts 2014. gada aprīlī). Dalībvalstu ziņojumu izvērtējums saskaņā ar Konvencijas 44. pantu. ANO dok. CRC/C/BGR/3-5 (2015. gada 4. maijs), 335. punkts.</w:t>
      </w:r>
    </w:p>
  </w:footnote>
  <w:footnote w:id="148">
    <w:p w:rsidR="00114C5F" w:rsidRPr="00F253CE" w:rsidRDefault="00114C5F"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147</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Sākotnējais mehānisms tika pieņemts 2005. gada novembrī. Grozītā redakcija tika pieņemta 2010. gada decembrī. 2010. gada redakcijas teksts bulgāru valodā (</w:t>
      </w:r>
      <w:r w:rsidRPr="00F253CE">
        <w:rPr>
          <w:rFonts w:ascii="Times New Roman" w:eastAsia="Times New Roman" w:hAnsi="Times New Roman" w:cs="Times New Roman"/>
          <w:i/>
          <w:iCs/>
          <w:sz w:val="20"/>
          <w:szCs w:val="20"/>
          <w:lang w:eastAsia="lv-LV"/>
        </w:rPr>
        <w:t>Координационен механизъм за рефериране и обгрижване на случаи на непридружени деца и деца – жертва на трафик, завръщащи се от чужбина</w:t>
      </w:r>
      <w:r w:rsidRPr="00F253CE">
        <w:rPr>
          <w:rFonts w:ascii="Times New Roman" w:eastAsia="Times New Roman" w:hAnsi="Times New Roman" w:cs="Times New Roman"/>
          <w:sz w:val="20"/>
          <w:szCs w:val="20"/>
          <w:lang w:eastAsia="lv-LV"/>
        </w:rPr>
        <w:t xml:space="preserve">) ir pieejams https://www.veliko-tarnovo.bg/media/filer/2014/12/17/koordinacionen-mehanizam.pdf. Tulkojums angļu valodā (teksts bez datuma) – </w:t>
      </w:r>
      <w:r w:rsidRPr="00F253CE">
        <w:rPr>
          <w:rFonts w:ascii="Times New Roman" w:eastAsia="Times New Roman" w:hAnsi="Times New Roman" w:cs="Times New Roman"/>
          <w:i/>
          <w:iCs/>
          <w:sz w:val="20"/>
          <w:szCs w:val="20"/>
          <w:lang w:eastAsia="lv-LV"/>
        </w:rPr>
        <w:t>Co- ordination Mechanism for Referral and Care of Cases of Unaccompanied Children and Child Victims of Trafficking Returning from Abroad</w:t>
      </w:r>
      <w:r w:rsidRPr="00F253CE">
        <w:rPr>
          <w:rFonts w:ascii="Times New Roman" w:eastAsia="Times New Roman" w:hAnsi="Times New Roman" w:cs="Times New Roman"/>
          <w:sz w:val="20"/>
          <w:szCs w:val="20"/>
          <w:lang w:eastAsia="lv-LV"/>
        </w:rPr>
        <w:t xml:space="preserve"> – ir pieejams: http://www.osservatoriointerventitratta.it/files/normativa/Coordination_mechanism_for_referral_care_and_protection_of_repatriated_Bulgarian_UAM_2.pdf.</w:t>
      </w:r>
    </w:p>
  </w:footnote>
  <w:footnote w:id="149">
    <w:p w:rsidR="00114C5F" w:rsidRPr="00F253CE" w:rsidRDefault="00114C5F"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148</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Bulgārija, dalībvalstu trešais, ceturtais un piektais periodiskais ziņojums par 2013. gadu (Ziņojums Bērnu tiesību komitejai, saņemts 2014. gada aprīlī). Dalībvalstu ziņojumu izvērtējums saskaņā ar Konvencijas 44. pantu. ANO dok. CRC/C/BGR/3-5 (2015. gada 4. maijs), 344. punkts.</w:t>
      </w:r>
    </w:p>
  </w:footnote>
  <w:footnote w:id="150">
    <w:p w:rsidR="002430E3" w:rsidRPr="00F253CE" w:rsidRDefault="002430E3"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149</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Bulgārija, dalībvalstu trešais, ceturtais un piektais periodiskais ziņojums par 2013. gadu (Ziņojums Bērnu tiesību komitejai, saņemts 2014. gada aprīlī). Dalībvalstu ziņojumu izvērtējums saskaņā ar Konvencijas 44. pantu. ANO dok. CRC/C/BGR/3-5 (2015. gada 4. maijs), 341. punkts.</w:t>
      </w:r>
    </w:p>
  </w:footnote>
  <w:footnote w:id="151">
    <w:p w:rsidR="002430E3" w:rsidRPr="00F253CE" w:rsidRDefault="002430E3"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150</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Turpat.</w:t>
      </w:r>
    </w:p>
  </w:footnote>
  <w:footnote w:id="152">
    <w:p w:rsidR="002430E3" w:rsidRPr="00F253CE" w:rsidRDefault="002430E3"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151</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Saskaņā ar ziņojumu par Bērnu aizsardzības valsts aģentūras nacionālā plāna īstenošanu.</w:t>
      </w:r>
    </w:p>
  </w:footnote>
  <w:footnote w:id="153">
    <w:p w:rsidR="002430E3" w:rsidRPr="00F253CE" w:rsidRDefault="002430E3"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152</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 xml:space="preserve">Bērnu tiesību komiteja un </w:t>
      </w:r>
      <w:r w:rsidRPr="00F253CE">
        <w:rPr>
          <w:rFonts w:ascii="Times New Roman" w:eastAsia="Times New Roman" w:hAnsi="Times New Roman" w:cs="Times New Roman"/>
          <w:i/>
          <w:iCs/>
          <w:sz w:val="20"/>
          <w:szCs w:val="20"/>
          <w:lang w:eastAsia="lv-LV"/>
        </w:rPr>
        <w:t>GRETA</w:t>
      </w:r>
      <w:r w:rsidRPr="00F253CE">
        <w:rPr>
          <w:rFonts w:ascii="Times New Roman" w:eastAsia="Times New Roman" w:hAnsi="Times New Roman" w:cs="Times New Roman"/>
          <w:sz w:val="20"/>
          <w:szCs w:val="20"/>
          <w:lang w:eastAsia="lv-LV"/>
        </w:rPr>
        <w:t>.</w:t>
      </w:r>
    </w:p>
  </w:footnote>
  <w:footnote w:id="154">
    <w:p w:rsidR="002430E3" w:rsidRPr="00F253CE" w:rsidRDefault="002430E3"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153</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Bulgārija, dalībvalstu trešais, ceturtais un piektais periodiskais ziņojums par 2013. gadu (Ziņojums Bērnu tiesību komitejai, saņemts 2014. gada aprīlī). Dalībvalstu ziņojumu izvērtējums saskaņā ar Konvencijas 44. pantu. ANO dok. CRC/C/BGR/3-5 (2015. gada 4. maijs), 342. punkts.</w:t>
      </w:r>
    </w:p>
  </w:footnote>
  <w:footnote w:id="155">
    <w:p w:rsidR="002430E3" w:rsidRPr="00F253CE" w:rsidRDefault="002430E3"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154</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Nolīguma teksts angļu valodā ir pieejams: http://www.legislationline.org/documents/id/5856.</w:t>
      </w:r>
    </w:p>
  </w:footnote>
  <w:footnote w:id="156">
    <w:p w:rsidR="002430E3" w:rsidRPr="00F253CE" w:rsidRDefault="002430E3"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155</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ICMPD, The Way Forward in Establishing Effective Transnational Referral Mechanisms, A Report based on Experiences in Cases of Human Trafficking in South-Eastern Europe</w:t>
      </w:r>
      <w:r w:rsidRPr="00F253CE">
        <w:rPr>
          <w:rFonts w:ascii="Times New Roman" w:eastAsia="Times New Roman" w:hAnsi="Times New Roman" w:cs="Times New Roman"/>
          <w:sz w:val="20"/>
          <w:szCs w:val="20"/>
          <w:lang w:eastAsia="lv-LV"/>
        </w:rPr>
        <w:t xml:space="preserve"> (</w:t>
      </w:r>
      <w:r w:rsidRPr="00F253CE">
        <w:rPr>
          <w:rFonts w:ascii="Times New Roman" w:eastAsia="Times New Roman" w:hAnsi="Times New Roman" w:cs="Times New Roman"/>
          <w:i/>
          <w:iCs/>
          <w:sz w:val="20"/>
          <w:szCs w:val="20"/>
          <w:lang w:eastAsia="lv-LV"/>
        </w:rPr>
        <w:t>ICMPD</w:t>
      </w:r>
      <w:r w:rsidRPr="00F253CE">
        <w:rPr>
          <w:rFonts w:ascii="Times New Roman" w:eastAsia="Times New Roman" w:hAnsi="Times New Roman" w:cs="Times New Roman"/>
          <w:sz w:val="20"/>
          <w:szCs w:val="20"/>
          <w:lang w:eastAsia="lv-LV"/>
        </w:rPr>
        <w:t>, 2012) 111. lpp.</w:t>
      </w:r>
    </w:p>
  </w:footnote>
  <w:footnote w:id="157">
    <w:p w:rsidR="00010697" w:rsidRPr="00F253CE" w:rsidRDefault="00010697" w:rsidP="00F253CE">
      <w:pPr>
        <w:pStyle w:val="Vresteksts"/>
        <w:jc w:val="both"/>
        <w:rPr>
          <w:rFonts w:ascii="Times New Roman" w:hAnsi="Times New Roman" w:cs="Times New Roman"/>
        </w:rPr>
      </w:pPr>
      <w:r w:rsidRPr="00F253CE">
        <w:rPr>
          <w:rStyle w:val="Vresatsauce"/>
          <w:rFonts w:ascii="Times New Roman" w:hAnsi="Times New Roman" w:cs="Times New Roman"/>
        </w:rPr>
        <w:t>156</w:t>
      </w:r>
      <w:r w:rsidRPr="00F253CE">
        <w:rPr>
          <w:rFonts w:ascii="Times New Roman" w:hAnsi="Times New Roman" w:cs="Times New Roman"/>
        </w:rPr>
        <w:t xml:space="preserve"> </w:t>
      </w:r>
      <w:r w:rsidRPr="00F253CE">
        <w:rPr>
          <w:rFonts w:ascii="Times New Roman" w:eastAsia="Times New Roman" w:hAnsi="Times New Roman" w:cs="Times New Roman"/>
          <w:lang w:eastAsia="lv-LV"/>
        </w:rPr>
        <w:t>Volgogradas nolīgums, ko 1993. gada 24. septembrī ir parakstījušas visas NVS valstis, izņemot Turkmenistānu, par NVS dalībvalstu sadarbību jautājumos, kas saistīti ar nepilngadīgo atpakaļnosūtīšanu uz valstīm, kas ir viņu pastāvīgā dzīvesvieta.</w:t>
      </w:r>
    </w:p>
  </w:footnote>
  <w:footnote w:id="158">
    <w:p w:rsidR="00B60A1B" w:rsidRPr="00F253CE" w:rsidRDefault="00B60A1B"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157</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EDSO īpašais pārstāvis, Ziņojums par vizīti Krievijas Federācijā, EDSO dok. SEC.GAL/184/17 (Vīne, 2017).</w:t>
      </w:r>
    </w:p>
  </w:footnote>
  <w:footnote w:id="159">
    <w:p w:rsidR="00B60A1B" w:rsidRPr="00F253CE" w:rsidRDefault="00B60A1B"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158</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Sanktpēterburgas Sarkanā krusta Starptautiskās sadarbības centrs, Sadarbības pasākumu stiprināšana cilvēku tirdzniecības jomā Sanktpēterburgā un Ļeņingradas apgabalā [</w:t>
      </w:r>
      <w:r w:rsidRPr="00F253CE">
        <w:rPr>
          <w:rFonts w:ascii="Times New Roman" w:eastAsia="Times New Roman" w:hAnsi="Times New Roman" w:cs="Times New Roman"/>
          <w:i/>
          <w:iCs/>
          <w:sz w:val="20"/>
          <w:szCs w:val="20"/>
          <w:lang w:eastAsia="lv-LV"/>
        </w:rPr>
        <w:t>St. Petersburg Red Cross Centre for International Co-operation, Strengthening Measures on Co-operation Trafficking in Human Beings in the St. Petersburg and the Leningrad Region</w:t>
      </w:r>
      <w:r w:rsidRPr="00F253CE">
        <w:rPr>
          <w:rFonts w:ascii="Times New Roman" w:eastAsia="Times New Roman" w:hAnsi="Times New Roman" w:cs="Times New Roman"/>
          <w:sz w:val="20"/>
          <w:szCs w:val="20"/>
          <w:lang w:eastAsia="lv-LV"/>
        </w:rPr>
        <w:t>], 2. pielikums (Sanktpēterburga, 2017), http://www.spbredcross.org/images/recomendacii.pdf.</w:t>
      </w:r>
    </w:p>
  </w:footnote>
  <w:footnote w:id="160">
    <w:p w:rsidR="00B60A1B" w:rsidRPr="00F253CE" w:rsidRDefault="00B60A1B"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159</w:t>
      </w:r>
      <w:r w:rsidRPr="00F253CE">
        <w:rPr>
          <w:rFonts w:ascii="Times New Roman" w:hAnsi="Times New Roman" w:cs="Times New Roman"/>
          <w:sz w:val="20"/>
          <w:szCs w:val="20"/>
        </w:rPr>
        <w:t xml:space="preserve"> </w:t>
      </w:r>
      <w:r w:rsidRPr="00F253CE">
        <w:rPr>
          <w:rFonts w:ascii="Times New Roman" w:eastAsia="Times New Roman" w:hAnsi="Times New Roman" w:cs="Times New Roman"/>
          <w:i/>
          <w:iCs/>
          <w:sz w:val="20"/>
          <w:szCs w:val="20"/>
          <w:lang w:eastAsia="lv-LV"/>
        </w:rPr>
        <w:t>IOM</w:t>
      </w:r>
      <w:r w:rsidRPr="00F253CE">
        <w:rPr>
          <w:rFonts w:ascii="Times New Roman" w:eastAsia="Times New Roman" w:hAnsi="Times New Roman" w:cs="Times New Roman"/>
          <w:sz w:val="20"/>
          <w:szCs w:val="20"/>
          <w:lang w:eastAsia="lv-LV"/>
        </w:rPr>
        <w:t xml:space="preserve"> 2018. gada ziņojums par migrāciju pasaulē (Ženēva, 2018), 66. lpp, kurā citēts ANO Ekonomikas un sociālo lietu departamenta (</w:t>
      </w:r>
      <w:r w:rsidRPr="00F253CE">
        <w:rPr>
          <w:rFonts w:ascii="Times New Roman" w:eastAsia="Times New Roman" w:hAnsi="Times New Roman" w:cs="Times New Roman"/>
          <w:i/>
          <w:iCs/>
          <w:sz w:val="20"/>
          <w:szCs w:val="20"/>
          <w:lang w:eastAsia="lv-LV"/>
        </w:rPr>
        <w:t>DESA</w:t>
      </w:r>
      <w:r w:rsidRPr="00F253CE">
        <w:rPr>
          <w:rFonts w:ascii="Times New Roman" w:eastAsia="Times New Roman" w:hAnsi="Times New Roman" w:cs="Times New Roman"/>
          <w:sz w:val="20"/>
          <w:szCs w:val="20"/>
          <w:lang w:eastAsia="lv-LV"/>
        </w:rPr>
        <w:t>) 2015. gada ziņojums par starptautisko migrāciju.</w:t>
      </w:r>
    </w:p>
  </w:footnote>
  <w:footnote w:id="161">
    <w:p w:rsidR="00B60A1B" w:rsidRPr="00F253CE" w:rsidRDefault="00B60A1B" w:rsidP="00F253CE">
      <w:pPr>
        <w:pStyle w:val="Vresteksts"/>
        <w:jc w:val="both"/>
        <w:rPr>
          <w:rFonts w:ascii="Times New Roman" w:hAnsi="Times New Roman" w:cs="Times New Roman"/>
        </w:rPr>
      </w:pPr>
      <w:r w:rsidRPr="00F253CE">
        <w:rPr>
          <w:rStyle w:val="Vresatsauce"/>
          <w:rFonts w:ascii="Times New Roman" w:hAnsi="Times New Roman" w:cs="Times New Roman"/>
        </w:rPr>
        <w:t>160</w:t>
      </w:r>
      <w:r w:rsidRPr="00F253CE">
        <w:rPr>
          <w:rFonts w:ascii="Times New Roman" w:hAnsi="Times New Roman" w:cs="Times New Roman"/>
        </w:rPr>
        <w:t xml:space="preserve"> </w:t>
      </w:r>
      <w:r w:rsidRPr="00F253CE">
        <w:rPr>
          <w:rFonts w:ascii="Times New Roman" w:eastAsia="Times New Roman" w:hAnsi="Times New Roman" w:cs="Times New Roman"/>
          <w:i/>
          <w:iCs/>
          <w:lang w:eastAsia="lv-LV"/>
        </w:rPr>
        <w:t>A. Seifert</w:t>
      </w:r>
      <w:r w:rsidRPr="00F253CE">
        <w:rPr>
          <w:rFonts w:ascii="Times New Roman" w:eastAsia="Times New Roman" w:hAnsi="Times New Roman" w:cs="Times New Roman"/>
          <w:lang w:eastAsia="lv-LV"/>
        </w:rPr>
        <w:t>, “Problēmas saistībā ar migrāciju no Centrālāzijas uz Krieviju” [</w:t>
      </w:r>
      <w:r w:rsidRPr="00F253CE">
        <w:rPr>
          <w:rFonts w:ascii="Times New Roman" w:eastAsia="Times New Roman" w:hAnsi="Times New Roman" w:cs="Times New Roman"/>
          <w:i/>
          <w:iCs/>
          <w:lang w:eastAsia="lv-LV"/>
        </w:rPr>
        <w:t>The problems of Central Asian migration to Russia</w:t>
      </w:r>
      <w:r w:rsidRPr="00F253CE">
        <w:rPr>
          <w:rFonts w:ascii="Times New Roman" w:eastAsia="Times New Roman" w:hAnsi="Times New Roman" w:cs="Times New Roman"/>
          <w:lang w:eastAsia="lv-LV"/>
        </w:rPr>
        <w:t xml:space="preserve">], 2018. gada 12. janvāris (https://doc-research.org/the-problems-of-central-asian-migration-to-russia/), kurā kā avots ir minēts </w:t>
      </w:r>
      <w:r w:rsidRPr="00F253CE">
        <w:rPr>
          <w:rFonts w:ascii="Times New Roman" w:eastAsia="Times New Roman" w:hAnsi="Times New Roman" w:cs="Times New Roman"/>
          <w:i/>
          <w:iCs/>
          <w:lang w:eastAsia="lv-LV"/>
        </w:rPr>
        <w:t>IOM</w:t>
      </w:r>
      <w:r w:rsidRPr="00F253CE">
        <w:rPr>
          <w:rFonts w:ascii="Times New Roman" w:eastAsia="Times New Roman" w:hAnsi="Times New Roman" w:cs="Times New Roman"/>
          <w:lang w:eastAsia="lv-LV"/>
        </w:rPr>
        <w:t xml:space="preserve"> 2018. gada ziņojums par migrāciju pasaulē. Ziņots, ka lielākais skaits (616 000) esot no Kirgizstānas, kur vidējā mēnešalga esot 155 ASV dolāri.</w:t>
      </w:r>
    </w:p>
  </w:footnote>
  <w:footnote w:id="162">
    <w:p w:rsidR="00B60A1B" w:rsidRPr="00F253CE" w:rsidRDefault="00B60A1B"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161</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Neatkarīgo Valstu Sadraudzības dalībvalstu Nolīgums par sadarbību jautājumos, kas attiecas uz nepilngadīgo nosūtīšanu atpakaļ uz viņu pastāvīgās dzīvesvietas valsti (2002), saukts par “Kišiņevas nolīgumu”. Teksts pieejams: http://www</w:t>
      </w:r>
      <w:r w:rsidRPr="00F253CE">
        <w:rPr>
          <w:rFonts w:ascii="Times New Roman" w:eastAsia="Times New Roman" w:hAnsi="Times New Roman" w:cs="Times New Roman"/>
          <w:sz w:val="20"/>
          <w:szCs w:val="20"/>
          <w:lang w:eastAsia="lv-LV"/>
        </w:rPr>
        <w:t>.cis.minsk.by/page.php?id=1462.</w:t>
      </w:r>
    </w:p>
  </w:footnote>
  <w:footnote w:id="163">
    <w:p w:rsidR="00B60A1B" w:rsidRPr="00F253CE" w:rsidRDefault="00B60A1B"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162</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Bērnu tiesību informatīvais tīkls (</w:t>
      </w:r>
      <w:r w:rsidRPr="00F253CE">
        <w:rPr>
          <w:rFonts w:ascii="Times New Roman" w:eastAsia="Times New Roman" w:hAnsi="Times New Roman" w:cs="Times New Roman"/>
          <w:i/>
          <w:iCs/>
          <w:sz w:val="20"/>
          <w:szCs w:val="20"/>
          <w:lang w:eastAsia="lv-LV"/>
        </w:rPr>
        <w:t>CRIN</w:t>
      </w:r>
      <w:r w:rsidRPr="00F253CE">
        <w:rPr>
          <w:rFonts w:ascii="Times New Roman" w:eastAsia="Times New Roman" w:hAnsi="Times New Roman" w:cs="Times New Roman"/>
          <w:sz w:val="20"/>
          <w:szCs w:val="20"/>
          <w:lang w:eastAsia="lv-LV"/>
        </w:rPr>
        <w:t>), “Kā interesēs? Kāda ir likumā noteiktā rīcība attiecībā uz nepavadītiem bērniem?” [</w:t>
      </w:r>
      <w:r w:rsidRPr="00F253CE">
        <w:rPr>
          <w:rFonts w:ascii="Times New Roman" w:eastAsia="Times New Roman" w:hAnsi="Times New Roman" w:cs="Times New Roman"/>
          <w:i/>
          <w:iCs/>
          <w:sz w:val="20"/>
          <w:szCs w:val="20"/>
          <w:lang w:eastAsia="lv-LV"/>
        </w:rPr>
        <w:t>Child Rights Information Network (CRIN), In Whose Interests? How the Law Treats Unaccompanied Children in the Countries of the Commonwealth of Independent States</w:t>
      </w:r>
      <w:r w:rsidRPr="00F253CE">
        <w:rPr>
          <w:rFonts w:ascii="Times New Roman" w:eastAsia="Times New Roman" w:hAnsi="Times New Roman" w:cs="Times New Roman"/>
          <w:sz w:val="20"/>
          <w:szCs w:val="20"/>
          <w:lang w:eastAsia="lv-LV"/>
        </w:rPr>
        <w:t>] (Londona, 2014).</w:t>
      </w:r>
    </w:p>
  </w:footnote>
  <w:footnote w:id="164">
    <w:p w:rsidR="00B60A1B" w:rsidRPr="00F253CE" w:rsidRDefault="00B60A1B" w:rsidP="00F253CE">
      <w:pPr>
        <w:widowControl w:val="0"/>
        <w:spacing w:after="0" w:line="240" w:lineRule="auto"/>
        <w:jc w:val="both"/>
        <w:rPr>
          <w:rFonts w:ascii="Times New Roman" w:eastAsia="Times New Roman" w:hAnsi="Times New Roman" w:cs="Times New Roman"/>
          <w:sz w:val="20"/>
          <w:szCs w:val="20"/>
          <w:lang w:eastAsia="lv-LV"/>
        </w:rPr>
      </w:pPr>
      <w:r w:rsidRPr="00F253CE">
        <w:rPr>
          <w:rStyle w:val="Vresatsauce"/>
          <w:rFonts w:ascii="Times New Roman" w:hAnsi="Times New Roman" w:cs="Times New Roman"/>
          <w:sz w:val="20"/>
          <w:szCs w:val="20"/>
        </w:rPr>
        <w:t>163</w:t>
      </w:r>
      <w:r w:rsidRPr="00F253CE">
        <w:rPr>
          <w:rFonts w:ascii="Times New Roman" w:hAnsi="Times New Roman" w:cs="Times New Roman"/>
          <w:sz w:val="20"/>
          <w:szCs w:val="20"/>
        </w:rPr>
        <w:t xml:space="preserve"> </w:t>
      </w:r>
      <w:r w:rsidRPr="00F253CE">
        <w:rPr>
          <w:rFonts w:ascii="Times New Roman" w:eastAsia="Times New Roman" w:hAnsi="Times New Roman" w:cs="Times New Roman"/>
          <w:sz w:val="20"/>
          <w:szCs w:val="20"/>
          <w:lang w:eastAsia="lv-LV"/>
        </w:rPr>
        <w:t>Kopīgais vispārējais komentārs Nr. 3 (2017), ko sniegusi Visu migrējošo darba ņēmēju un viņu ģimenes locekļu tiesību aizsardzības komiteja, un Nr. 22 (2017), ko sniegusi Bērnu tiesību komiteja par vispārējiem principiem saistībā ar bērnu cilvēktiesībām starptautiskās migrācijas kontekstā, ANO dok. CMW/C/GC/3-CRC/C/GC/22 (2017. gada 16. novembris).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3CE" w:rsidRPr="00F253CE" w:rsidRDefault="00F253CE" w:rsidP="00F253CE">
    <w:pPr>
      <w:pStyle w:val="Galvene"/>
      <w:tabs>
        <w:tab w:val="clear" w:pos="4153"/>
        <w:tab w:val="clear" w:pos="8306"/>
      </w:tabs>
      <w:rPr>
        <w:rStyle w:val="Lappusesnumurs"/>
        <w:rFonts w:ascii="Times New Roman" w:hAnsi="Times New Roman" w:cs="Times New Roman"/>
        <w:sz w:val="20"/>
        <w:szCs w:val="20"/>
      </w:rPr>
    </w:pPr>
    <w:bookmarkStart w:id="1" w:name="_Hlk496261784"/>
    <w:bookmarkStart w:id="2" w:name="_Hlk496261785"/>
    <w:bookmarkStart w:id="3" w:name="_Hlk496261786"/>
    <w:bookmarkStart w:id="4" w:name="_Hlk502757728"/>
    <w:bookmarkStart w:id="5" w:name="_Hlk502757729"/>
    <w:bookmarkStart w:id="6" w:name="_Hlk502757738"/>
    <w:bookmarkStart w:id="7" w:name="_Hlk502757739"/>
  </w:p>
  <w:p w:rsidR="00F253CE" w:rsidRPr="00F253CE" w:rsidRDefault="00F253CE" w:rsidP="00F253CE">
    <w:pPr>
      <w:pStyle w:val="Galvene"/>
      <w:tabs>
        <w:tab w:val="clear" w:pos="4153"/>
        <w:tab w:val="clear" w:pos="8306"/>
        <w:tab w:val="right" w:leader="underscore" w:pos="9072"/>
      </w:tabs>
      <w:rPr>
        <w:rStyle w:val="Lappusesnumurs"/>
        <w:rFonts w:ascii="Times New Roman" w:hAnsi="Times New Roman" w:cs="Times New Roman"/>
        <w:sz w:val="20"/>
        <w:szCs w:val="20"/>
      </w:rPr>
    </w:pPr>
    <w:r w:rsidRPr="00F253CE">
      <w:rPr>
        <w:rStyle w:val="Lappusesnumurs"/>
        <w:rFonts w:ascii="Times New Roman" w:hAnsi="Times New Roman" w:cs="Times New Roman"/>
        <w:sz w:val="20"/>
        <w:szCs w:val="20"/>
      </w:rPr>
      <w:tab/>
    </w:r>
  </w:p>
  <w:bookmarkEnd w:id="1"/>
  <w:bookmarkEnd w:id="2"/>
  <w:bookmarkEnd w:id="3"/>
  <w:bookmarkEnd w:id="4"/>
  <w:bookmarkEnd w:id="5"/>
  <w:bookmarkEnd w:id="6"/>
  <w:bookmarkEnd w:id="7"/>
  <w:p w:rsidR="00F253CE" w:rsidRPr="00F253CE" w:rsidRDefault="00F253CE" w:rsidP="00F253CE">
    <w:pPr>
      <w:pStyle w:val="Galvene"/>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3CE" w:rsidRPr="00F253CE" w:rsidRDefault="00F253CE" w:rsidP="00F253CE">
    <w:pPr>
      <w:widowControl w:val="0"/>
      <w:pBdr>
        <w:bottom w:val="single" w:sz="12" w:space="5" w:color="auto"/>
      </w:pBdr>
      <w:spacing w:after="0" w:line="240" w:lineRule="auto"/>
      <w:rPr>
        <w:rFonts w:ascii="Times New Roman" w:hAnsi="Times New Roman" w:cs="Times New Roman"/>
        <w:spacing w:val="-2"/>
        <w:sz w:val="20"/>
        <w:szCs w:val="20"/>
      </w:rPr>
    </w:pPr>
    <w:bookmarkStart w:id="8" w:name="_Hlk496261745"/>
    <w:bookmarkStart w:id="9" w:name="_Hlk496261746"/>
    <w:bookmarkStart w:id="10" w:name="_Hlk496261747"/>
  </w:p>
  <w:bookmarkEnd w:id="8"/>
  <w:bookmarkEnd w:id="9"/>
  <w:bookmarkEnd w:id="10"/>
  <w:p w:rsidR="00F253CE" w:rsidRPr="00F253CE" w:rsidRDefault="00F253CE" w:rsidP="00F253CE">
    <w:pPr>
      <w:pStyle w:val="Galvene"/>
      <w:widowControl w:val="0"/>
      <w:rPr>
        <w:rFonts w:ascii="Times New Roman" w:hAnsi="Times New Roman" w:cs="Times New Roman"/>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0BA"/>
    <w:rsid w:val="00010697"/>
    <w:rsid w:val="000877F0"/>
    <w:rsid w:val="000C167A"/>
    <w:rsid w:val="000C6DBB"/>
    <w:rsid w:val="000E498E"/>
    <w:rsid w:val="00114C5F"/>
    <w:rsid w:val="00172885"/>
    <w:rsid w:val="00173D80"/>
    <w:rsid w:val="002430E3"/>
    <w:rsid w:val="002561F2"/>
    <w:rsid w:val="00281759"/>
    <w:rsid w:val="00283717"/>
    <w:rsid w:val="002A0D5B"/>
    <w:rsid w:val="002F1BEE"/>
    <w:rsid w:val="0034577A"/>
    <w:rsid w:val="00383BC5"/>
    <w:rsid w:val="003A543D"/>
    <w:rsid w:val="003C30BA"/>
    <w:rsid w:val="00455234"/>
    <w:rsid w:val="00471650"/>
    <w:rsid w:val="004B7F17"/>
    <w:rsid w:val="004D1DD4"/>
    <w:rsid w:val="00595B0B"/>
    <w:rsid w:val="00644116"/>
    <w:rsid w:val="006B796E"/>
    <w:rsid w:val="00760158"/>
    <w:rsid w:val="007A0EC8"/>
    <w:rsid w:val="0082247B"/>
    <w:rsid w:val="008B3789"/>
    <w:rsid w:val="00AA75EA"/>
    <w:rsid w:val="00B33014"/>
    <w:rsid w:val="00B57AFF"/>
    <w:rsid w:val="00B60A1B"/>
    <w:rsid w:val="00B7131B"/>
    <w:rsid w:val="00C663F0"/>
    <w:rsid w:val="00D6592D"/>
    <w:rsid w:val="00D74C59"/>
    <w:rsid w:val="00D923DD"/>
    <w:rsid w:val="00D94164"/>
    <w:rsid w:val="00DC7F10"/>
    <w:rsid w:val="00DD0CA3"/>
    <w:rsid w:val="00DD1B91"/>
    <w:rsid w:val="00F05F26"/>
    <w:rsid w:val="00F253CE"/>
    <w:rsid w:val="00FB3EA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2AF30F04-79BB-4CC3-84A7-71DF89BE2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paragraph" w:styleId="Virsraksts9">
    <w:name w:val="heading 9"/>
    <w:basedOn w:val="Parasts"/>
    <w:next w:val="Parasts"/>
    <w:link w:val="Virsraksts9Rakstz"/>
    <w:uiPriority w:val="1"/>
    <w:qFormat/>
    <w:rsid w:val="0034577A"/>
    <w:pPr>
      <w:widowControl w:val="0"/>
      <w:autoSpaceDE w:val="0"/>
      <w:autoSpaceDN w:val="0"/>
      <w:adjustRightInd w:val="0"/>
      <w:spacing w:after="0" w:line="240" w:lineRule="auto"/>
      <w:ind w:left="453"/>
      <w:outlineLvl w:val="8"/>
    </w:pPr>
    <w:rPr>
      <w:rFonts w:ascii="Arial" w:eastAsia="Times New Roman" w:hAnsi="Arial" w:cs="Arial"/>
      <w:b/>
      <w:bCs/>
      <w:sz w:val="19"/>
      <w:szCs w:val="19"/>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hidetransorigin">
    <w:name w:val="hidetransorigin"/>
    <w:basedOn w:val="Noklusjumarindkopasfonts"/>
    <w:rsid w:val="00D6592D"/>
  </w:style>
  <w:style w:type="character" w:customStyle="1" w:styleId="deleted">
    <w:name w:val="deleted"/>
    <w:basedOn w:val="Noklusjumarindkopasfonts"/>
    <w:rsid w:val="00D6592D"/>
  </w:style>
  <w:style w:type="character" w:customStyle="1" w:styleId="inserted">
    <w:name w:val="inserted"/>
    <w:basedOn w:val="Noklusjumarindkopasfonts"/>
    <w:rsid w:val="00D6592D"/>
  </w:style>
  <w:style w:type="character" w:customStyle="1" w:styleId="low">
    <w:name w:val="low"/>
    <w:basedOn w:val="Noklusjumarindkopasfonts"/>
    <w:rsid w:val="00D6592D"/>
  </w:style>
  <w:style w:type="character" w:customStyle="1" w:styleId="Virsraksts9Rakstz">
    <w:name w:val="Virsraksts 9 Rakstz."/>
    <w:basedOn w:val="Noklusjumarindkopasfonts"/>
    <w:link w:val="Virsraksts9"/>
    <w:uiPriority w:val="9"/>
    <w:rsid w:val="0034577A"/>
    <w:rPr>
      <w:rFonts w:ascii="Arial" w:eastAsia="Times New Roman" w:hAnsi="Arial" w:cs="Arial"/>
      <w:b/>
      <w:bCs/>
      <w:sz w:val="19"/>
      <w:szCs w:val="19"/>
      <w:lang w:eastAsia="lv-LV"/>
    </w:rPr>
  </w:style>
  <w:style w:type="paragraph" w:styleId="Pamatteksts">
    <w:name w:val="Body Text"/>
    <w:basedOn w:val="Parasts"/>
    <w:link w:val="PamattekstsRakstz"/>
    <w:uiPriority w:val="1"/>
    <w:qFormat/>
    <w:rsid w:val="0034577A"/>
    <w:pPr>
      <w:widowControl w:val="0"/>
      <w:autoSpaceDE w:val="0"/>
      <w:autoSpaceDN w:val="0"/>
      <w:adjustRightInd w:val="0"/>
      <w:spacing w:after="0" w:line="240" w:lineRule="auto"/>
      <w:ind w:left="110"/>
    </w:pPr>
    <w:rPr>
      <w:rFonts w:ascii="Times New Roman" w:eastAsia="Times New Roman" w:hAnsi="Times New Roman" w:cs="Times New Roman"/>
      <w:sz w:val="19"/>
      <w:szCs w:val="19"/>
      <w:lang w:eastAsia="lv-LV"/>
    </w:rPr>
  </w:style>
  <w:style w:type="character" w:customStyle="1" w:styleId="PamattekstsRakstz">
    <w:name w:val="Pamatteksts Rakstz."/>
    <w:basedOn w:val="Noklusjumarindkopasfonts"/>
    <w:link w:val="Pamatteksts"/>
    <w:uiPriority w:val="99"/>
    <w:rsid w:val="0034577A"/>
    <w:rPr>
      <w:rFonts w:ascii="Times New Roman" w:eastAsia="Times New Roman" w:hAnsi="Times New Roman" w:cs="Times New Roman"/>
      <w:sz w:val="19"/>
      <w:szCs w:val="19"/>
      <w:lang w:eastAsia="lv-LV"/>
    </w:rPr>
  </w:style>
  <w:style w:type="paragraph" w:styleId="Sarakstarindkopa">
    <w:name w:val="List Paragraph"/>
    <w:basedOn w:val="Parasts"/>
    <w:uiPriority w:val="34"/>
    <w:qFormat/>
    <w:rsid w:val="004B7F17"/>
    <w:pPr>
      <w:ind w:left="720"/>
      <w:contextualSpacing/>
    </w:pPr>
  </w:style>
  <w:style w:type="paragraph" w:styleId="Vresteksts">
    <w:name w:val="footnote text"/>
    <w:basedOn w:val="Parasts"/>
    <w:link w:val="VrestekstsRakstz"/>
    <w:uiPriority w:val="99"/>
    <w:semiHidden/>
    <w:unhideWhenUsed/>
    <w:rsid w:val="00173D80"/>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173D80"/>
    <w:rPr>
      <w:sz w:val="20"/>
      <w:szCs w:val="20"/>
    </w:rPr>
  </w:style>
  <w:style w:type="character" w:styleId="Vresatsauce">
    <w:name w:val="footnote reference"/>
    <w:basedOn w:val="Noklusjumarindkopasfonts"/>
    <w:uiPriority w:val="99"/>
    <w:semiHidden/>
    <w:unhideWhenUsed/>
    <w:rsid w:val="00173D80"/>
    <w:rPr>
      <w:vertAlign w:val="superscript"/>
    </w:rPr>
  </w:style>
  <w:style w:type="character" w:styleId="Hipersaite">
    <w:name w:val="Hyperlink"/>
    <w:basedOn w:val="Noklusjumarindkopasfonts"/>
    <w:uiPriority w:val="99"/>
    <w:unhideWhenUsed/>
    <w:rsid w:val="002561F2"/>
    <w:rPr>
      <w:color w:val="0563C1" w:themeColor="hyperlink"/>
      <w:u w:val="single"/>
    </w:rPr>
  </w:style>
  <w:style w:type="table" w:styleId="Reatabula">
    <w:name w:val="Table Grid"/>
    <w:basedOn w:val="Parastatabula"/>
    <w:uiPriority w:val="39"/>
    <w:rsid w:val="00283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Parasts"/>
    <w:uiPriority w:val="1"/>
    <w:qFormat/>
    <w:rsid w:val="00114C5F"/>
    <w:pPr>
      <w:widowControl w:val="0"/>
      <w:autoSpaceDE w:val="0"/>
      <w:autoSpaceDN w:val="0"/>
      <w:adjustRightInd w:val="0"/>
      <w:spacing w:after="0" w:line="240" w:lineRule="auto"/>
    </w:pPr>
    <w:rPr>
      <w:rFonts w:ascii="Times New Roman" w:eastAsia="Times New Roman" w:hAnsi="Times New Roman" w:cs="Times New Roman"/>
      <w:sz w:val="24"/>
      <w:szCs w:val="24"/>
      <w:lang w:eastAsia="lv-LV"/>
    </w:rPr>
  </w:style>
  <w:style w:type="paragraph" w:styleId="Galvene">
    <w:name w:val="header"/>
    <w:basedOn w:val="Parasts"/>
    <w:link w:val="GalveneRakstz"/>
    <w:unhideWhenUsed/>
    <w:rsid w:val="00F253CE"/>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F253CE"/>
  </w:style>
  <w:style w:type="paragraph" w:styleId="Kjene">
    <w:name w:val="footer"/>
    <w:basedOn w:val="Parasts"/>
    <w:link w:val="KjeneRakstz"/>
    <w:unhideWhenUsed/>
    <w:rsid w:val="00F253CE"/>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F253CE"/>
  </w:style>
  <w:style w:type="character" w:styleId="Lappusesnumurs">
    <w:name w:val="page number"/>
    <w:basedOn w:val="Noklusjumarindkopasfonts"/>
    <w:semiHidden/>
    <w:rsid w:val="00F253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1573771">
      <w:bodyDiv w:val="1"/>
      <w:marLeft w:val="0"/>
      <w:marRight w:val="0"/>
      <w:marTop w:val="0"/>
      <w:marBottom w:val="0"/>
      <w:divBdr>
        <w:top w:val="none" w:sz="0" w:space="0" w:color="auto"/>
        <w:left w:val="none" w:sz="0" w:space="0" w:color="auto"/>
        <w:bottom w:val="none" w:sz="0" w:space="0" w:color="auto"/>
        <w:right w:val="none" w:sz="0" w:space="0" w:color="auto"/>
      </w:divBdr>
      <w:divsChild>
        <w:div w:id="1899779002">
          <w:marLeft w:val="0"/>
          <w:marRight w:val="0"/>
          <w:marTop w:val="0"/>
          <w:marBottom w:val="0"/>
          <w:divBdr>
            <w:top w:val="none" w:sz="0" w:space="0" w:color="auto"/>
            <w:left w:val="none" w:sz="0" w:space="0" w:color="auto"/>
            <w:bottom w:val="none" w:sz="0" w:space="0" w:color="auto"/>
            <w:right w:val="none" w:sz="0" w:space="0" w:color="auto"/>
          </w:divBdr>
          <w:divsChild>
            <w:div w:id="30585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oleObject" Target="embeddings/oleObject11.bin"/><Relationship Id="rId47" Type="http://schemas.openxmlformats.org/officeDocument/2006/relationships/image" Target="media/image28.png"/><Relationship Id="rId50" Type="http://schemas.openxmlformats.org/officeDocument/2006/relationships/oleObject" Target="embeddings/oleObject15.bin"/><Relationship Id="rId55" Type="http://schemas.openxmlformats.org/officeDocument/2006/relationships/image" Target="media/image32.png"/><Relationship Id="rId63" Type="http://schemas.openxmlformats.org/officeDocument/2006/relationships/image" Target="media/image36.png"/><Relationship Id="rId68" Type="http://schemas.openxmlformats.org/officeDocument/2006/relationships/oleObject" Target="embeddings/oleObject24.bin"/><Relationship Id="rId76" Type="http://schemas.openxmlformats.org/officeDocument/2006/relationships/oleObject" Target="embeddings/oleObject28.bin"/><Relationship Id="rId84" Type="http://schemas.openxmlformats.org/officeDocument/2006/relationships/oleObject" Target="embeddings/oleObject32.bin"/><Relationship Id="rId89" Type="http://schemas.openxmlformats.org/officeDocument/2006/relationships/image" Target="media/image49.png"/><Relationship Id="rId97" Type="http://schemas.openxmlformats.org/officeDocument/2006/relationships/header" Target="header1.xml"/><Relationship Id="rId7" Type="http://schemas.openxmlformats.org/officeDocument/2006/relationships/image" Target="media/image1.emf"/><Relationship Id="rId71" Type="http://schemas.openxmlformats.org/officeDocument/2006/relationships/image" Target="media/image40.png"/><Relationship Id="rId92" Type="http://schemas.openxmlformats.org/officeDocument/2006/relationships/oleObject" Target="embeddings/oleObject36.bin"/><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4.png"/><Relationship Id="rId24" Type="http://schemas.openxmlformats.org/officeDocument/2006/relationships/oleObject" Target="embeddings/oleObject8.bin"/><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7.png"/><Relationship Id="rId53" Type="http://schemas.openxmlformats.org/officeDocument/2006/relationships/image" Target="media/image31.png"/><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44.png"/><Relationship Id="rId87" Type="http://schemas.openxmlformats.org/officeDocument/2006/relationships/image" Target="media/image48.png"/><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5.png"/><Relationship Id="rId82" Type="http://schemas.openxmlformats.org/officeDocument/2006/relationships/oleObject" Target="embeddings/oleObject31.bin"/><Relationship Id="rId90" Type="http://schemas.openxmlformats.org/officeDocument/2006/relationships/oleObject" Target="embeddings/oleObject35.bin"/><Relationship Id="rId95" Type="http://schemas.openxmlformats.org/officeDocument/2006/relationships/image" Target="media/image52.png"/><Relationship Id="rId19" Type="http://schemas.openxmlformats.org/officeDocument/2006/relationships/image" Target="media/image8.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image" Target="media/image26.png"/><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9.png"/><Relationship Id="rId77" Type="http://schemas.openxmlformats.org/officeDocument/2006/relationships/image" Target="media/image43.png"/><Relationship Id="rId100"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30.png"/><Relationship Id="rId72" Type="http://schemas.openxmlformats.org/officeDocument/2006/relationships/oleObject" Target="embeddings/oleObject26.bin"/><Relationship Id="rId80" Type="http://schemas.openxmlformats.org/officeDocument/2006/relationships/oleObject" Target="embeddings/oleObject30.bin"/><Relationship Id="rId85" Type="http://schemas.openxmlformats.org/officeDocument/2006/relationships/image" Target="media/image47.png"/><Relationship Id="rId93" Type="http://schemas.openxmlformats.org/officeDocument/2006/relationships/image" Target="media/image51.png"/><Relationship Id="rId9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oleObject" Target="embeddings/oleObject13.bin"/><Relationship Id="rId59" Type="http://schemas.openxmlformats.org/officeDocument/2006/relationships/image" Target="media/image34.png"/><Relationship Id="rId67" Type="http://schemas.openxmlformats.org/officeDocument/2006/relationships/image" Target="media/image38.png"/><Relationship Id="rId20" Type="http://schemas.openxmlformats.org/officeDocument/2006/relationships/oleObject" Target="embeddings/oleObject6.bin"/><Relationship Id="rId41" Type="http://schemas.openxmlformats.org/officeDocument/2006/relationships/image" Target="media/image25.png"/><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42.png"/><Relationship Id="rId83" Type="http://schemas.openxmlformats.org/officeDocument/2006/relationships/image" Target="media/image46.png"/><Relationship Id="rId88" Type="http://schemas.openxmlformats.org/officeDocument/2006/relationships/oleObject" Target="embeddings/oleObject34.bin"/><Relationship Id="rId91" Type="http://schemas.openxmlformats.org/officeDocument/2006/relationships/image" Target="media/image50.png"/><Relationship Id="rId96"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0.emf"/><Relationship Id="rId49" Type="http://schemas.openxmlformats.org/officeDocument/2006/relationships/image" Target="media/image29.png"/><Relationship Id="rId57" Type="http://schemas.openxmlformats.org/officeDocument/2006/relationships/image" Target="media/image33.png"/><Relationship Id="rId10" Type="http://schemas.openxmlformats.org/officeDocument/2006/relationships/oleObject" Target="embeddings/oleObject1.bin"/><Relationship Id="rId31" Type="http://schemas.openxmlformats.org/officeDocument/2006/relationships/image" Target="media/image15.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7.png"/><Relationship Id="rId73" Type="http://schemas.openxmlformats.org/officeDocument/2006/relationships/image" Target="media/image41.png"/><Relationship Id="rId78" Type="http://schemas.openxmlformats.org/officeDocument/2006/relationships/oleObject" Target="embeddings/oleObject29.bin"/><Relationship Id="rId81" Type="http://schemas.openxmlformats.org/officeDocument/2006/relationships/image" Target="media/image45.png"/><Relationship Id="rId86" Type="http://schemas.openxmlformats.org/officeDocument/2006/relationships/oleObject" Target="embeddings/oleObject33.bin"/><Relationship Id="rId94" Type="http://schemas.openxmlformats.org/officeDocument/2006/relationships/oleObject" Target="embeddings/oleObject37.bin"/><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oleObject" Target="embeddings/oleObject5.bin"/><Relationship Id="rId3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188E9-DC32-4FAD-80DB-61F685211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561</TotalTime>
  <Pages>109</Pages>
  <Words>145603</Words>
  <Characters>82995</Characters>
  <Application>Microsoft Office Word</Application>
  <DocSecurity>0</DocSecurity>
  <Lines>691</Lines>
  <Paragraphs>456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228142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Ernests Grietens</dc:creator>
  <cp:keywords/>
  <dc:description/>
  <cp:lastModifiedBy>Ernests Grietens</cp:lastModifiedBy>
  <cp:revision>5</cp:revision>
  <dcterms:created xsi:type="dcterms:W3CDTF">2019-07-11T13:20:00Z</dcterms:created>
  <dcterms:modified xsi:type="dcterms:W3CDTF">2019-07-12T18:17:00Z</dcterms:modified>
</cp:coreProperties>
</file>