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8B5F0" w14:textId="77777777" w:rsidR="008E3B77" w:rsidRPr="0087409D" w:rsidRDefault="008E3B77" w:rsidP="0087409D">
      <w:pPr>
        <w:jc w:val="both"/>
        <w:rPr>
          <w:rFonts w:ascii="Times New Roman" w:eastAsia="Times New Roman" w:hAnsi="Times New Roman" w:cs="Times New Roman"/>
          <w:noProof/>
          <w:sz w:val="24"/>
          <w:szCs w:val="7"/>
        </w:rPr>
      </w:pPr>
    </w:p>
    <w:p w14:paraId="18D87B1A" w14:textId="13ACE057" w:rsidR="008E3B77" w:rsidRDefault="006D29FD" w:rsidP="006D29FD">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254E8E6" wp14:editId="01985ED5">
            <wp:extent cx="2898475" cy="1141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841" cy="114305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407"/>
        <w:gridCol w:w="2724"/>
      </w:tblGrid>
      <w:tr w:rsidR="006D29FD" w14:paraId="57FEDB61" w14:textId="77777777" w:rsidTr="00310979">
        <w:tc>
          <w:tcPr>
            <w:tcW w:w="6407" w:type="dxa"/>
          </w:tcPr>
          <w:p w14:paraId="6669416A" w14:textId="51487A32" w:rsidR="006D29FD" w:rsidRDefault="006D29FD" w:rsidP="006D29FD">
            <w:pPr>
              <w:jc w:val="right"/>
              <w:rPr>
                <w:rFonts w:ascii="Times New Roman" w:eastAsia="Times New Roman" w:hAnsi="Times New Roman" w:cs="Times New Roman"/>
                <w:noProof/>
                <w:sz w:val="24"/>
                <w:szCs w:val="20"/>
              </w:rPr>
            </w:pPr>
            <w:r>
              <w:rPr>
                <w:rFonts w:ascii="Times New Roman" w:hAnsi="Times New Roman"/>
                <w:sz w:val="24"/>
                <w:szCs w:val="20"/>
              </w:rPr>
              <w:t>VENĒCIJAS KOMITEJA</w:t>
            </w:r>
          </w:p>
        </w:tc>
        <w:tc>
          <w:tcPr>
            <w:tcW w:w="2724" w:type="dxa"/>
          </w:tcPr>
          <w:p w14:paraId="6EFF6CD3" w14:textId="310847E1" w:rsidR="006D29FD" w:rsidRDefault="006D29FD" w:rsidP="006D29FD">
            <w:pPr>
              <w:jc w:val="right"/>
              <w:rPr>
                <w:rFonts w:ascii="Times New Roman" w:eastAsia="Times New Roman" w:hAnsi="Times New Roman" w:cs="Times New Roman"/>
                <w:noProof/>
                <w:sz w:val="24"/>
                <w:szCs w:val="20"/>
              </w:rPr>
            </w:pPr>
            <w:r>
              <w:rPr>
                <w:rFonts w:ascii="Times New Roman" w:hAnsi="Times New Roman"/>
                <w:sz w:val="24"/>
                <w:szCs w:val="20"/>
              </w:rPr>
              <w:t>EIROPAS PADOME</w:t>
            </w:r>
          </w:p>
        </w:tc>
      </w:tr>
    </w:tbl>
    <w:p w14:paraId="6A271E35" w14:textId="79BEB55C" w:rsidR="006D29FD" w:rsidRDefault="006D29FD" w:rsidP="006D29FD">
      <w:pPr>
        <w:jc w:val="right"/>
        <w:rPr>
          <w:rFonts w:ascii="Times New Roman" w:eastAsia="Times New Roman" w:hAnsi="Times New Roman" w:cs="Times New Roman"/>
          <w:noProof/>
          <w:sz w:val="24"/>
          <w:szCs w:val="20"/>
        </w:rPr>
      </w:pPr>
    </w:p>
    <w:p w14:paraId="24409005" w14:textId="77777777" w:rsidR="006D29FD" w:rsidRPr="0087409D" w:rsidRDefault="006D29FD" w:rsidP="006D29FD">
      <w:pPr>
        <w:jc w:val="right"/>
        <w:rPr>
          <w:rFonts w:ascii="Times New Roman" w:eastAsia="Times New Roman" w:hAnsi="Times New Roman" w:cs="Times New Roman"/>
          <w:noProof/>
          <w:sz w:val="24"/>
          <w:szCs w:val="20"/>
        </w:rPr>
      </w:pPr>
    </w:p>
    <w:p w14:paraId="43F74FCA" w14:textId="66305A4F" w:rsidR="008E3B77" w:rsidRDefault="008E3B77" w:rsidP="0087409D">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87409D" w14:paraId="7D12F212" w14:textId="77777777" w:rsidTr="00310979">
        <w:tc>
          <w:tcPr>
            <w:tcW w:w="4645" w:type="dxa"/>
          </w:tcPr>
          <w:p w14:paraId="2BF374D9" w14:textId="22DDCAE3" w:rsidR="0087409D" w:rsidRDefault="0087409D" w:rsidP="0087409D">
            <w:pPr>
              <w:jc w:val="both"/>
              <w:rPr>
                <w:rFonts w:ascii="Times New Roman" w:eastAsia="Times New Roman" w:hAnsi="Times New Roman" w:cs="Times New Roman"/>
                <w:noProof/>
                <w:sz w:val="24"/>
                <w:szCs w:val="20"/>
              </w:rPr>
            </w:pPr>
            <w:r>
              <w:rPr>
                <w:rFonts w:ascii="Times New Roman" w:hAnsi="Times New Roman"/>
                <w:sz w:val="24"/>
              </w:rPr>
              <w:t>Strasbūra, 2019. gada 14. oktobris</w:t>
            </w:r>
          </w:p>
        </w:tc>
        <w:tc>
          <w:tcPr>
            <w:tcW w:w="4646" w:type="dxa"/>
          </w:tcPr>
          <w:p w14:paraId="35D665FA" w14:textId="4C2B7819" w:rsidR="0087409D" w:rsidRPr="006D29FD" w:rsidRDefault="006D29FD" w:rsidP="006D29FD">
            <w:pPr>
              <w:jc w:val="right"/>
              <w:rPr>
                <w:rFonts w:ascii="Times New Roman" w:hAnsi="Times New Roman"/>
                <w:b/>
                <w:noProof/>
                <w:sz w:val="24"/>
              </w:rPr>
            </w:pPr>
            <w:r>
              <w:rPr>
                <w:rFonts w:ascii="Times New Roman" w:hAnsi="Times New Roman"/>
                <w:b/>
                <w:sz w:val="24"/>
              </w:rPr>
              <w:t>CDL-AD(2019)018</w:t>
            </w:r>
            <w:bookmarkStart w:id="0" w:name="_bookmark0"/>
            <w:bookmarkEnd w:id="0"/>
          </w:p>
        </w:tc>
      </w:tr>
      <w:tr w:rsidR="0087409D" w14:paraId="3D27E178" w14:textId="77777777" w:rsidTr="00310979">
        <w:tc>
          <w:tcPr>
            <w:tcW w:w="4645" w:type="dxa"/>
          </w:tcPr>
          <w:p w14:paraId="5ADD9CF7" w14:textId="1A285B3F" w:rsidR="0087409D" w:rsidRDefault="006D29FD" w:rsidP="0087409D">
            <w:pPr>
              <w:jc w:val="both"/>
              <w:rPr>
                <w:rFonts w:ascii="Times New Roman" w:eastAsia="Times New Roman" w:hAnsi="Times New Roman" w:cs="Times New Roman"/>
                <w:noProof/>
                <w:sz w:val="24"/>
                <w:szCs w:val="20"/>
              </w:rPr>
            </w:pPr>
            <w:r>
              <w:rPr>
                <w:rFonts w:ascii="Times New Roman" w:hAnsi="Times New Roman"/>
                <w:b/>
                <w:sz w:val="24"/>
              </w:rPr>
              <w:t>Atzinums Nr. 961/2019</w:t>
            </w:r>
          </w:p>
        </w:tc>
        <w:tc>
          <w:tcPr>
            <w:tcW w:w="4646" w:type="dxa"/>
          </w:tcPr>
          <w:p w14:paraId="02DB9676" w14:textId="74001CD0" w:rsidR="0087409D" w:rsidRPr="006D29FD" w:rsidRDefault="006D29FD" w:rsidP="006D29FD">
            <w:pPr>
              <w:pStyle w:val="BodyText"/>
              <w:ind w:left="0"/>
              <w:jc w:val="right"/>
              <w:rPr>
                <w:rFonts w:ascii="Times New Roman" w:hAnsi="Times New Roman"/>
                <w:noProof/>
                <w:sz w:val="24"/>
              </w:rPr>
            </w:pPr>
            <w:r>
              <w:rPr>
                <w:rFonts w:ascii="Times New Roman" w:hAnsi="Times New Roman"/>
                <w:sz w:val="24"/>
              </w:rPr>
              <w:t>Oriģ. angļu valodā</w:t>
            </w:r>
          </w:p>
        </w:tc>
      </w:tr>
    </w:tbl>
    <w:p w14:paraId="680576D7" w14:textId="77777777" w:rsidR="0087409D" w:rsidRDefault="0087409D" w:rsidP="0087409D">
      <w:pPr>
        <w:jc w:val="both"/>
        <w:rPr>
          <w:rFonts w:ascii="Times New Roman" w:eastAsia="Times New Roman" w:hAnsi="Times New Roman" w:cs="Times New Roman"/>
          <w:noProof/>
          <w:sz w:val="24"/>
          <w:szCs w:val="20"/>
        </w:rPr>
      </w:pPr>
    </w:p>
    <w:p w14:paraId="2F0B2593" w14:textId="77777777" w:rsidR="006D29FD" w:rsidRDefault="008E3B77" w:rsidP="006D29FD">
      <w:pPr>
        <w:jc w:val="center"/>
        <w:rPr>
          <w:rFonts w:ascii="Times New Roman" w:hAnsi="Times New Roman"/>
          <w:b/>
          <w:noProof/>
          <w:sz w:val="24"/>
          <w:u w:val="thick" w:color="000000"/>
        </w:rPr>
      </w:pPr>
      <w:r>
        <w:rPr>
          <w:rFonts w:ascii="Times New Roman" w:hAnsi="Times New Roman"/>
          <w:b/>
          <w:sz w:val="24"/>
          <w:u w:val="thick" w:color="000000"/>
        </w:rPr>
        <w:t>EIROPAS KOMISIJA DEMOKRĀTIJAS TIESISKAI NOSTIPRINĀŠANAI</w:t>
      </w:r>
    </w:p>
    <w:p w14:paraId="721F07AE" w14:textId="14F2509C" w:rsidR="008E3B77" w:rsidRPr="0087409D" w:rsidRDefault="008E3B77" w:rsidP="006D29FD">
      <w:pPr>
        <w:jc w:val="center"/>
        <w:rPr>
          <w:rFonts w:ascii="Times New Roman" w:eastAsia="Arial" w:hAnsi="Times New Roman" w:cs="Arial"/>
          <w:noProof/>
          <w:sz w:val="24"/>
        </w:rPr>
      </w:pPr>
      <w:r>
        <w:rPr>
          <w:rFonts w:ascii="Times New Roman" w:hAnsi="Times New Roman"/>
          <w:b/>
          <w:sz w:val="24"/>
        </w:rPr>
        <w:t>(VENĒCIJAS KOMISIJA)</w:t>
      </w:r>
    </w:p>
    <w:p w14:paraId="7CEDC530" w14:textId="77777777" w:rsidR="008E3B77" w:rsidRPr="0087409D" w:rsidRDefault="008E3B77" w:rsidP="0087409D">
      <w:pPr>
        <w:jc w:val="both"/>
        <w:rPr>
          <w:rFonts w:ascii="Times New Roman" w:eastAsia="Arial" w:hAnsi="Times New Roman" w:cs="Arial"/>
          <w:b/>
          <w:bCs/>
          <w:noProof/>
          <w:sz w:val="24"/>
        </w:rPr>
      </w:pPr>
    </w:p>
    <w:p w14:paraId="479E9432" w14:textId="77777777" w:rsidR="006D29FD" w:rsidRDefault="008E3B77" w:rsidP="006D29FD">
      <w:pPr>
        <w:jc w:val="center"/>
        <w:rPr>
          <w:rFonts w:ascii="Times New Roman" w:hAnsi="Times New Roman"/>
          <w:b/>
          <w:noProof/>
          <w:sz w:val="24"/>
        </w:rPr>
      </w:pPr>
      <w:r>
        <w:rPr>
          <w:rFonts w:ascii="Times New Roman" w:hAnsi="Times New Roman"/>
          <w:b/>
          <w:sz w:val="24"/>
        </w:rPr>
        <w:t>ARMĒNIJA</w:t>
      </w:r>
    </w:p>
    <w:p w14:paraId="30A34B68" w14:textId="77777777" w:rsidR="006D29FD" w:rsidRDefault="006D29FD" w:rsidP="006D29FD">
      <w:pPr>
        <w:jc w:val="center"/>
        <w:rPr>
          <w:rFonts w:ascii="Times New Roman" w:hAnsi="Times New Roman"/>
          <w:b/>
          <w:noProof/>
          <w:sz w:val="24"/>
        </w:rPr>
      </w:pPr>
    </w:p>
    <w:p w14:paraId="48B2BC45" w14:textId="29A817BC" w:rsidR="008E3B77" w:rsidRPr="0087409D" w:rsidRDefault="008E3B77" w:rsidP="006D29FD">
      <w:pPr>
        <w:jc w:val="center"/>
        <w:rPr>
          <w:rFonts w:ascii="Times New Roman" w:hAnsi="Times New Roman"/>
          <w:b/>
          <w:noProof/>
          <w:sz w:val="24"/>
        </w:rPr>
      </w:pPr>
      <w:r>
        <w:rPr>
          <w:rFonts w:ascii="Times New Roman" w:hAnsi="Times New Roman"/>
          <w:b/>
          <w:sz w:val="24"/>
        </w:rPr>
        <w:t>ATZINUMS</w:t>
      </w:r>
    </w:p>
    <w:p w14:paraId="612BB40F" w14:textId="77777777" w:rsidR="006D29FD" w:rsidRDefault="006D29FD" w:rsidP="006D29FD">
      <w:pPr>
        <w:jc w:val="center"/>
        <w:rPr>
          <w:rFonts w:ascii="Times New Roman" w:hAnsi="Times New Roman"/>
          <w:b/>
          <w:noProof/>
          <w:sz w:val="24"/>
        </w:rPr>
      </w:pPr>
    </w:p>
    <w:p w14:paraId="32E30AAD" w14:textId="0D77B844" w:rsidR="008E3B77" w:rsidRPr="0087409D" w:rsidRDefault="008E3B77" w:rsidP="006D29FD">
      <w:pPr>
        <w:jc w:val="center"/>
        <w:rPr>
          <w:rFonts w:ascii="Times New Roman" w:hAnsi="Times New Roman"/>
          <w:b/>
          <w:noProof/>
          <w:sz w:val="24"/>
        </w:rPr>
      </w:pPr>
      <w:r>
        <w:rPr>
          <w:rFonts w:ascii="Times New Roman" w:hAnsi="Times New Roman"/>
          <w:b/>
          <w:sz w:val="24"/>
        </w:rPr>
        <w:t>PAR KONSTITUCIONĀLAJĀM SEKĀM, KO RADĪS EIROPAS PADOMES KONVENCIJAS PAR VARDARBĪBAS PRET SIEVIETĒM UN VADARBĪBAS ĢIMENĒ NOVĒRŠANU UN APKAROŠANU (STAMBULAS KONVENCIJA) RATIFICĒŠANA,</w:t>
      </w:r>
    </w:p>
    <w:p w14:paraId="4B1D5B59" w14:textId="77777777" w:rsidR="008E3B77" w:rsidRPr="0087409D" w:rsidRDefault="008E3B77" w:rsidP="006D29FD">
      <w:pPr>
        <w:jc w:val="center"/>
        <w:rPr>
          <w:rFonts w:ascii="Times New Roman" w:eastAsia="Arial" w:hAnsi="Times New Roman" w:cs="Arial"/>
          <w:b/>
          <w:bCs/>
          <w:noProof/>
          <w:sz w:val="24"/>
          <w:szCs w:val="27"/>
        </w:rPr>
      </w:pPr>
    </w:p>
    <w:p w14:paraId="404650A1" w14:textId="77777777" w:rsidR="008E3B77" w:rsidRPr="0087409D" w:rsidRDefault="008E3B77" w:rsidP="006D29FD">
      <w:pPr>
        <w:jc w:val="center"/>
        <w:rPr>
          <w:rFonts w:ascii="Times New Roman" w:hAnsi="Times New Roman"/>
          <w:b/>
          <w:noProof/>
          <w:sz w:val="24"/>
        </w:rPr>
      </w:pPr>
      <w:r>
        <w:rPr>
          <w:rFonts w:ascii="Times New Roman" w:hAnsi="Times New Roman"/>
          <w:b/>
          <w:sz w:val="24"/>
        </w:rPr>
        <w:t>kuru Venēcijas komisija pieņēma savā 120. plenārsēdē (Venēcija, 2019. gada 11.–12. oktobris),</w:t>
      </w:r>
    </w:p>
    <w:p w14:paraId="64900E85" w14:textId="77777777" w:rsidR="008E3B77" w:rsidRPr="0087409D" w:rsidRDefault="008E3B77" w:rsidP="006D29FD">
      <w:pPr>
        <w:jc w:val="center"/>
        <w:rPr>
          <w:rFonts w:ascii="Times New Roman" w:eastAsia="Arial" w:hAnsi="Times New Roman" w:cs="Arial"/>
          <w:b/>
          <w:bCs/>
          <w:noProof/>
          <w:sz w:val="24"/>
          <w:szCs w:val="28"/>
        </w:rPr>
      </w:pPr>
    </w:p>
    <w:p w14:paraId="058A02F3" w14:textId="77777777" w:rsidR="008E3B77" w:rsidRPr="0087409D" w:rsidRDefault="008E3B77" w:rsidP="006D29FD">
      <w:pPr>
        <w:jc w:val="center"/>
        <w:rPr>
          <w:rFonts w:ascii="Times New Roman" w:hAnsi="Times New Roman"/>
          <w:b/>
          <w:noProof/>
          <w:sz w:val="24"/>
        </w:rPr>
      </w:pPr>
      <w:r>
        <w:rPr>
          <w:rFonts w:ascii="Times New Roman" w:hAnsi="Times New Roman"/>
          <w:b/>
          <w:sz w:val="24"/>
        </w:rPr>
        <w:t>pamatojoties uz piezīmēm, ko bija iesniegusi</w:t>
      </w:r>
    </w:p>
    <w:p w14:paraId="1A9FD6B5" w14:textId="77777777" w:rsidR="008E3B77" w:rsidRPr="0087409D" w:rsidRDefault="008E3B77" w:rsidP="006D29FD">
      <w:pPr>
        <w:jc w:val="center"/>
        <w:rPr>
          <w:rFonts w:ascii="Times New Roman" w:eastAsia="Arial" w:hAnsi="Times New Roman" w:cs="Arial"/>
          <w:b/>
          <w:bCs/>
          <w:noProof/>
          <w:sz w:val="24"/>
          <w:szCs w:val="27"/>
        </w:rPr>
      </w:pPr>
    </w:p>
    <w:p w14:paraId="00FC9A9A" w14:textId="77777777" w:rsidR="008E3B77" w:rsidRPr="0087409D" w:rsidRDefault="008E3B77" w:rsidP="006D29FD">
      <w:pPr>
        <w:jc w:val="center"/>
        <w:rPr>
          <w:rFonts w:ascii="Times New Roman" w:hAnsi="Times New Roman"/>
          <w:b/>
          <w:noProof/>
          <w:sz w:val="24"/>
        </w:rPr>
      </w:pPr>
      <w:r>
        <w:rPr>
          <w:rFonts w:ascii="Times New Roman" w:hAnsi="Times New Roman"/>
          <w:b/>
          <w:sz w:val="24"/>
        </w:rPr>
        <w:t>Aurela ANASTASA [</w:t>
      </w:r>
      <w:r>
        <w:rPr>
          <w:rFonts w:ascii="Times New Roman" w:hAnsi="Times New Roman"/>
          <w:b/>
          <w:i/>
          <w:sz w:val="24"/>
        </w:rPr>
        <w:t>Aurela ANASTAS</w:t>
      </w:r>
      <w:r>
        <w:rPr>
          <w:rFonts w:ascii="Times New Roman" w:hAnsi="Times New Roman"/>
          <w:b/>
          <w:sz w:val="24"/>
        </w:rPr>
        <w:t>] (biedre, Albānija),</w:t>
      </w:r>
    </w:p>
    <w:p w14:paraId="2746915D" w14:textId="77777777" w:rsidR="006D29FD" w:rsidRDefault="008E3B77" w:rsidP="006D29FD">
      <w:pPr>
        <w:jc w:val="center"/>
        <w:rPr>
          <w:rFonts w:ascii="Times New Roman" w:hAnsi="Times New Roman"/>
          <w:b/>
          <w:noProof/>
          <w:sz w:val="24"/>
        </w:rPr>
      </w:pPr>
      <w:r>
        <w:rPr>
          <w:rFonts w:ascii="Times New Roman" w:hAnsi="Times New Roman"/>
          <w:b/>
          <w:sz w:val="24"/>
        </w:rPr>
        <w:t>Veronika BILKOVA [</w:t>
      </w:r>
      <w:r>
        <w:rPr>
          <w:rFonts w:ascii="Times New Roman" w:hAnsi="Times New Roman"/>
          <w:b/>
          <w:i/>
          <w:sz w:val="24"/>
        </w:rPr>
        <w:t>Veronika BÍLKOVÁ</w:t>
      </w:r>
      <w:r>
        <w:rPr>
          <w:rFonts w:ascii="Times New Roman" w:hAnsi="Times New Roman"/>
          <w:b/>
          <w:sz w:val="24"/>
        </w:rPr>
        <w:t>] (biedre, Čehijas Republika),</w:t>
      </w:r>
    </w:p>
    <w:p w14:paraId="75C3A5F0" w14:textId="79E0270A" w:rsidR="008E3B77" w:rsidRPr="0087409D" w:rsidRDefault="008E3B77" w:rsidP="006D29FD">
      <w:pPr>
        <w:jc w:val="center"/>
        <w:rPr>
          <w:rFonts w:ascii="Times New Roman" w:hAnsi="Times New Roman"/>
          <w:b/>
          <w:noProof/>
          <w:sz w:val="24"/>
        </w:rPr>
      </w:pPr>
      <w:r>
        <w:rPr>
          <w:rFonts w:ascii="Times New Roman" w:hAnsi="Times New Roman"/>
          <w:b/>
          <w:sz w:val="24"/>
        </w:rPr>
        <w:t>Filips DIMITROVS [</w:t>
      </w:r>
      <w:r>
        <w:rPr>
          <w:rFonts w:ascii="Times New Roman" w:hAnsi="Times New Roman"/>
          <w:b/>
          <w:i/>
          <w:sz w:val="24"/>
        </w:rPr>
        <w:t>Philip DIMITROV</w:t>
      </w:r>
      <w:r>
        <w:rPr>
          <w:rFonts w:ascii="Times New Roman" w:hAnsi="Times New Roman"/>
          <w:b/>
          <w:sz w:val="24"/>
        </w:rPr>
        <w:t>] (biedrs, Bulgārija),</w:t>
      </w:r>
    </w:p>
    <w:p w14:paraId="6DC1D788" w14:textId="77777777" w:rsidR="008E3B77" w:rsidRPr="0087409D" w:rsidRDefault="008E3B77" w:rsidP="006D29FD">
      <w:pPr>
        <w:jc w:val="center"/>
        <w:rPr>
          <w:rFonts w:ascii="Times New Roman" w:hAnsi="Times New Roman"/>
          <w:b/>
          <w:noProof/>
          <w:sz w:val="24"/>
        </w:rPr>
      </w:pPr>
      <w:r>
        <w:rPr>
          <w:rFonts w:ascii="Times New Roman" w:hAnsi="Times New Roman"/>
          <w:b/>
          <w:sz w:val="24"/>
        </w:rPr>
        <w:t>Regīna KĪNERE [</w:t>
      </w:r>
      <w:r>
        <w:rPr>
          <w:rFonts w:ascii="Times New Roman" w:hAnsi="Times New Roman"/>
          <w:b/>
          <w:i/>
          <w:sz w:val="24"/>
        </w:rPr>
        <w:t>Regina KIENER</w:t>
      </w:r>
      <w:r>
        <w:rPr>
          <w:rFonts w:ascii="Times New Roman" w:hAnsi="Times New Roman"/>
          <w:b/>
          <w:sz w:val="24"/>
        </w:rPr>
        <w:t>] (biedre, Šveice),</w:t>
      </w:r>
    </w:p>
    <w:p w14:paraId="40765EA3" w14:textId="77777777" w:rsidR="008E3B77" w:rsidRPr="0087409D" w:rsidRDefault="008E3B77" w:rsidP="006D29FD">
      <w:pPr>
        <w:jc w:val="center"/>
        <w:rPr>
          <w:rFonts w:ascii="Times New Roman" w:hAnsi="Times New Roman"/>
          <w:b/>
          <w:noProof/>
          <w:sz w:val="24"/>
        </w:rPr>
      </w:pPr>
      <w:r>
        <w:rPr>
          <w:rFonts w:ascii="Times New Roman" w:hAnsi="Times New Roman"/>
          <w:b/>
          <w:sz w:val="24"/>
        </w:rPr>
        <w:t>Martins KUJERS [</w:t>
      </w:r>
      <w:r>
        <w:rPr>
          <w:rFonts w:ascii="Times New Roman" w:hAnsi="Times New Roman"/>
          <w:b/>
          <w:i/>
          <w:sz w:val="24"/>
        </w:rPr>
        <w:t>Martin KUIJER</w:t>
      </w:r>
      <w:r>
        <w:rPr>
          <w:rFonts w:ascii="Times New Roman" w:hAnsi="Times New Roman"/>
          <w:b/>
          <w:sz w:val="24"/>
        </w:rPr>
        <w:t>] (biedra aizvietotājs, Nīderlande)</w:t>
      </w:r>
    </w:p>
    <w:p w14:paraId="18197227" w14:textId="77777777" w:rsidR="008E3B77" w:rsidRPr="0087409D" w:rsidRDefault="008E3B77" w:rsidP="0087409D">
      <w:pPr>
        <w:jc w:val="both"/>
        <w:rPr>
          <w:rFonts w:ascii="Times New Roman" w:eastAsia="Arial" w:hAnsi="Times New Roman" w:cs="Arial"/>
          <w:b/>
          <w:bCs/>
          <w:noProof/>
          <w:sz w:val="24"/>
          <w:szCs w:val="20"/>
        </w:rPr>
      </w:pPr>
    </w:p>
    <w:p w14:paraId="233CFAF7" w14:textId="77777777" w:rsidR="008E3B77" w:rsidRPr="0087409D" w:rsidRDefault="008E3B77" w:rsidP="0087409D">
      <w:pPr>
        <w:jc w:val="both"/>
        <w:rPr>
          <w:rFonts w:ascii="Times New Roman" w:eastAsia="Arial" w:hAnsi="Times New Roman" w:cs="Arial"/>
          <w:b/>
          <w:bCs/>
          <w:noProof/>
          <w:sz w:val="24"/>
          <w:szCs w:val="20"/>
        </w:rPr>
      </w:pPr>
    </w:p>
    <w:p w14:paraId="7574A36E" w14:textId="00CBCB01" w:rsidR="008E3B77" w:rsidRPr="0087409D" w:rsidRDefault="006D29FD" w:rsidP="0087409D">
      <w:pPr>
        <w:jc w:val="both"/>
        <w:rPr>
          <w:rFonts w:ascii="Times New Roman" w:eastAsia="Arial" w:hAnsi="Times New Roman" w:cs="Arial"/>
          <w:b/>
          <w:bCs/>
          <w:noProof/>
          <w:sz w:val="24"/>
          <w:szCs w:val="20"/>
        </w:rPr>
      </w:pPr>
      <w:r>
        <w:rPr>
          <w:rFonts w:ascii="Times New Roman" w:hAnsi="Times New Roman"/>
          <w:b/>
          <w:bCs/>
          <w:noProof/>
          <w:sz w:val="24"/>
          <w:szCs w:val="20"/>
        </w:rPr>
        <w:drawing>
          <wp:inline distT="0" distB="0" distL="0" distR="0" wp14:anchorId="01A84B9E" wp14:editId="01B18E4D">
            <wp:extent cx="2346385" cy="8414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350" cy="844259"/>
                    </a:xfrm>
                    <a:prstGeom prst="rect">
                      <a:avLst/>
                    </a:prstGeom>
                    <a:noFill/>
                    <a:ln>
                      <a:noFill/>
                    </a:ln>
                  </pic:spPr>
                </pic:pic>
              </a:graphicData>
            </a:graphic>
          </wp:inline>
        </w:drawing>
      </w:r>
    </w:p>
    <w:p w14:paraId="43702E38" w14:textId="645A2393" w:rsidR="008E3B77" w:rsidRPr="006D29FD" w:rsidRDefault="006D29FD" w:rsidP="0087409D">
      <w:pPr>
        <w:jc w:val="both"/>
        <w:rPr>
          <w:rFonts w:ascii="Times New Roman" w:eastAsia="Arial" w:hAnsi="Times New Roman" w:cs="Arial"/>
          <w:noProof/>
          <w:sz w:val="24"/>
          <w:szCs w:val="20"/>
        </w:rPr>
      </w:pPr>
      <w:r>
        <w:rPr>
          <w:rFonts w:ascii="Times New Roman" w:hAnsi="Times New Roman"/>
          <w:sz w:val="24"/>
          <w:szCs w:val="20"/>
        </w:rPr>
        <w:t>Atzinuma sagatavošanu līdzfinansējusi Eiropas Savienība.</w:t>
      </w:r>
    </w:p>
    <w:p w14:paraId="41A9F89B" w14:textId="7113A02E" w:rsidR="008E3B77" w:rsidRDefault="008E3B77" w:rsidP="0087409D">
      <w:pPr>
        <w:jc w:val="both"/>
        <w:rPr>
          <w:rFonts w:ascii="Times New Roman" w:eastAsia="Arial" w:hAnsi="Times New Roman" w:cs="Arial"/>
          <w:b/>
          <w:bCs/>
          <w:noProof/>
          <w:sz w:val="24"/>
          <w:szCs w:val="21"/>
        </w:rPr>
      </w:pPr>
    </w:p>
    <w:p w14:paraId="1B32DA4F" w14:textId="77777777" w:rsidR="006D29FD" w:rsidRPr="0087409D" w:rsidRDefault="006D29FD" w:rsidP="0087409D">
      <w:pPr>
        <w:jc w:val="both"/>
        <w:rPr>
          <w:rFonts w:ascii="Times New Roman" w:eastAsia="Arial" w:hAnsi="Times New Roman" w:cs="Arial"/>
          <w:b/>
          <w:bCs/>
          <w:noProof/>
          <w:sz w:val="24"/>
          <w:szCs w:val="21"/>
        </w:rPr>
      </w:pPr>
    </w:p>
    <w:p w14:paraId="5A0559F2" w14:textId="3F52D7B9" w:rsidR="008E3B77" w:rsidRPr="0087409D" w:rsidRDefault="008E3B77" w:rsidP="006D29FD">
      <w:pPr>
        <w:jc w:val="center"/>
        <w:rPr>
          <w:rFonts w:ascii="Times New Roman" w:eastAsia="Arial" w:hAnsi="Times New Roman" w:cs="Arial"/>
          <w:noProof/>
          <w:sz w:val="24"/>
          <w:szCs w:val="16"/>
        </w:rPr>
      </w:pPr>
      <w:r>
        <w:rPr>
          <w:rFonts w:ascii="Times New Roman" w:hAnsi="Times New Roman"/>
          <w:i/>
          <w:sz w:val="24"/>
        </w:rPr>
        <w:t xml:space="preserve">Šis dokuments netiks izdalīts sanāksmē. Lūdzu, paņemiet līdzi savu eksemplāru. </w:t>
      </w:r>
      <w:r>
        <w:rPr>
          <w:rFonts w:ascii="Times New Roman" w:hAnsi="Times New Roman"/>
          <w:i/>
          <w:color w:val="0000FF"/>
          <w:sz w:val="24"/>
          <w:u w:val="single" w:color="0000FF"/>
        </w:rPr>
        <w:t>www.venice.coe.int</w:t>
      </w:r>
    </w:p>
    <w:p w14:paraId="65F827EF" w14:textId="682AA4E7" w:rsidR="006D29FD" w:rsidRDefault="006D29FD">
      <w:pPr>
        <w:rPr>
          <w:rFonts w:ascii="Times New Roman" w:eastAsia="Arial" w:hAnsi="Times New Roman" w:cs="Arial"/>
          <w:noProof/>
          <w:sz w:val="24"/>
          <w:szCs w:val="16"/>
        </w:rPr>
      </w:pPr>
      <w:r>
        <w:br w:type="page"/>
      </w:r>
    </w:p>
    <w:p w14:paraId="557A8F42" w14:textId="77777777" w:rsidR="008E3B77" w:rsidRPr="0087409D" w:rsidRDefault="008E3B77" w:rsidP="0087409D">
      <w:pPr>
        <w:jc w:val="both"/>
        <w:rPr>
          <w:rFonts w:ascii="Times New Roman" w:eastAsia="Arial" w:hAnsi="Times New Roman" w:cs="Arial"/>
          <w:i/>
          <w:noProof/>
          <w:sz w:val="24"/>
          <w:szCs w:val="20"/>
        </w:rPr>
      </w:pPr>
    </w:p>
    <w:p w14:paraId="59D6C32C" w14:textId="4DA7B0CA" w:rsidR="008E3B77" w:rsidRDefault="008E3B77" w:rsidP="0087409D">
      <w:pPr>
        <w:jc w:val="both"/>
        <w:rPr>
          <w:rFonts w:ascii="Times New Roman" w:hAnsi="Times New Roman"/>
          <w:b/>
          <w:sz w:val="24"/>
        </w:rPr>
      </w:pPr>
      <w:r>
        <w:rPr>
          <w:rFonts w:ascii="Times New Roman" w:hAnsi="Times New Roman"/>
          <w:b/>
          <w:sz w:val="24"/>
        </w:rPr>
        <w:t>Saturs</w:t>
      </w:r>
    </w:p>
    <w:sdt>
      <w:sdtPr>
        <w:rPr>
          <w:rFonts w:ascii="Times New Roman" w:eastAsiaTheme="minorHAnsi" w:hAnsi="Times New Roman" w:cs="Times New Roman"/>
          <w:color w:val="auto"/>
          <w:sz w:val="24"/>
          <w:szCs w:val="24"/>
          <w:lang w:val="lv-LV"/>
        </w:rPr>
        <w:id w:val="-1178730622"/>
        <w:docPartObj>
          <w:docPartGallery w:val="Table of Contents"/>
          <w:docPartUnique/>
        </w:docPartObj>
      </w:sdtPr>
      <w:sdtEndPr>
        <w:rPr>
          <w:b/>
          <w:bCs/>
          <w:noProof/>
        </w:rPr>
      </w:sdtEndPr>
      <w:sdtContent>
        <w:p w14:paraId="23AB22BF" w14:textId="0C0E0CD4" w:rsidR="00310979" w:rsidRPr="00310979" w:rsidRDefault="00310979" w:rsidP="00310979">
          <w:pPr>
            <w:pStyle w:val="TOCHeading"/>
            <w:keepNext w:val="0"/>
            <w:keepLines w:val="0"/>
            <w:widowControl w:val="0"/>
            <w:spacing w:before="0" w:line="240" w:lineRule="auto"/>
            <w:jc w:val="both"/>
            <w:rPr>
              <w:rFonts w:ascii="Times New Roman" w:hAnsi="Times New Roman" w:cs="Times New Roman"/>
              <w:color w:val="auto"/>
              <w:sz w:val="24"/>
              <w:szCs w:val="24"/>
            </w:rPr>
          </w:pPr>
        </w:p>
        <w:p w14:paraId="38105DC6" w14:textId="612552F9" w:rsidR="00310979" w:rsidRPr="00310979" w:rsidRDefault="00310979"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r w:rsidRPr="00310979">
            <w:rPr>
              <w:rFonts w:ascii="Times New Roman" w:hAnsi="Times New Roman" w:cs="Times New Roman"/>
              <w:sz w:val="24"/>
              <w:szCs w:val="24"/>
            </w:rPr>
            <w:fldChar w:fldCharType="begin"/>
          </w:r>
          <w:r w:rsidRPr="00310979">
            <w:rPr>
              <w:rFonts w:ascii="Times New Roman" w:hAnsi="Times New Roman" w:cs="Times New Roman"/>
              <w:sz w:val="24"/>
              <w:szCs w:val="24"/>
            </w:rPr>
            <w:instrText xml:space="preserve"> TOC \o "1-3" \h \z \u </w:instrText>
          </w:r>
          <w:r w:rsidRPr="00310979">
            <w:rPr>
              <w:rFonts w:ascii="Times New Roman" w:hAnsi="Times New Roman" w:cs="Times New Roman"/>
              <w:sz w:val="24"/>
              <w:szCs w:val="24"/>
            </w:rPr>
            <w:fldChar w:fldCharType="separate"/>
          </w:r>
          <w:hyperlink w:anchor="_Toc39749328" w:history="1">
            <w:r w:rsidRPr="00310979">
              <w:rPr>
                <w:rStyle w:val="Hyperlink"/>
                <w:rFonts w:ascii="Times New Roman" w:hAnsi="Times New Roman" w:cs="Times New Roman"/>
                <w:noProof/>
                <w:sz w:val="24"/>
                <w:szCs w:val="24"/>
              </w:rPr>
              <w:t>I. Ievads</w:t>
            </w:r>
            <w:r w:rsidRPr="00310979">
              <w:rPr>
                <w:rFonts w:ascii="Times New Roman" w:hAnsi="Times New Roman" w:cs="Times New Roman"/>
                <w:noProof/>
                <w:webHidden/>
                <w:sz w:val="24"/>
                <w:szCs w:val="24"/>
              </w:rPr>
              <w:tab/>
            </w:r>
            <w:r w:rsidRPr="00310979">
              <w:rPr>
                <w:rFonts w:ascii="Times New Roman" w:hAnsi="Times New Roman" w:cs="Times New Roman"/>
                <w:noProof/>
                <w:webHidden/>
                <w:sz w:val="24"/>
                <w:szCs w:val="24"/>
              </w:rPr>
              <w:fldChar w:fldCharType="begin"/>
            </w:r>
            <w:r w:rsidRPr="00310979">
              <w:rPr>
                <w:rFonts w:ascii="Times New Roman" w:hAnsi="Times New Roman" w:cs="Times New Roman"/>
                <w:noProof/>
                <w:webHidden/>
                <w:sz w:val="24"/>
                <w:szCs w:val="24"/>
              </w:rPr>
              <w:instrText xml:space="preserve"> PAGEREF _Toc39749328 \h </w:instrText>
            </w:r>
            <w:r w:rsidRPr="00310979">
              <w:rPr>
                <w:rFonts w:ascii="Times New Roman" w:hAnsi="Times New Roman" w:cs="Times New Roman"/>
                <w:noProof/>
                <w:webHidden/>
                <w:sz w:val="24"/>
                <w:szCs w:val="24"/>
              </w:rPr>
            </w:r>
            <w:r w:rsidRPr="0031097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310979">
              <w:rPr>
                <w:rFonts w:ascii="Times New Roman" w:hAnsi="Times New Roman" w:cs="Times New Roman"/>
                <w:noProof/>
                <w:webHidden/>
                <w:sz w:val="24"/>
                <w:szCs w:val="24"/>
              </w:rPr>
              <w:fldChar w:fldCharType="end"/>
            </w:r>
          </w:hyperlink>
        </w:p>
        <w:p w14:paraId="66EA4986" w14:textId="74642B3D" w:rsidR="00310979" w:rsidRPr="00310979" w:rsidRDefault="00BB548D"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hyperlink w:anchor="_Toc39749329" w:history="1">
            <w:r w:rsidR="00310979" w:rsidRPr="00310979">
              <w:rPr>
                <w:rStyle w:val="Hyperlink"/>
                <w:rFonts w:ascii="Times New Roman" w:hAnsi="Times New Roman" w:cs="Times New Roman"/>
                <w:noProof/>
                <w:sz w:val="24"/>
                <w:szCs w:val="24"/>
              </w:rPr>
              <w:t>II. Atzinuma piemērošanas joma</w:t>
            </w:r>
            <w:r w:rsidR="00310979" w:rsidRPr="00310979">
              <w:rPr>
                <w:rFonts w:ascii="Times New Roman" w:hAnsi="Times New Roman" w:cs="Times New Roman"/>
                <w:noProof/>
                <w:webHidden/>
                <w:sz w:val="24"/>
                <w:szCs w:val="24"/>
              </w:rPr>
              <w:tab/>
            </w:r>
            <w:r w:rsidR="00310979" w:rsidRPr="00310979">
              <w:rPr>
                <w:rFonts w:ascii="Times New Roman" w:hAnsi="Times New Roman" w:cs="Times New Roman"/>
                <w:noProof/>
                <w:webHidden/>
                <w:sz w:val="24"/>
                <w:szCs w:val="24"/>
              </w:rPr>
              <w:fldChar w:fldCharType="begin"/>
            </w:r>
            <w:r w:rsidR="00310979" w:rsidRPr="00310979">
              <w:rPr>
                <w:rFonts w:ascii="Times New Roman" w:hAnsi="Times New Roman" w:cs="Times New Roman"/>
                <w:noProof/>
                <w:webHidden/>
                <w:sz w:val="24"/>
                <w:szCs w:val="24"/>
              </w:rPr>
              <w:instrText xml:space="preserve"> PAGEREF _Toc39749329 \h </w:instrText>
            </w:r>
            <w:r w:rsidR="00310979" w:rsidRPr="00310979">
              <w:rPr>
                <w:rFonts w:ascii="Times New Roman" w:hAnsi="Times New Roman" w:cs="Times New Roman"/>
                <w:noProof/>
                <w:webHidden/>
                <w:sz w:val="24"/>
                <w:szCs w:val="24"/>
              </w:rPr>
            </w:r>
            <w:r w:rsidR="00310979" w:rsidRPr="00310979">
              <w:rPr>
                <w:rFonts w:ascii="Times New Roman" w:hAnsi="Times New Roman" w:cs="Times New Roman"/>
                <w:noProof/>
                <w:webHidden/>
                <w:sz w:val="24"/>
                <w:szCs w:val="24"/>
              </w:rPr>
              <w:fldChar w:fldCharType="separate"/>
            </w:r>
            <w:r w:rsidR="00310979">
              <w:rPr>
                <w:rFonts w:ascii="Times New Roman" w:hAnsi="Times New Roman" w:cs="Times New Roman"/>
                <w:noProof/>
                <w:webHidden/>
                <w:sz w:val="24"/>
                <w:szCs w:val="24"/>
              </w:rPr>
              <w:t>3</w:t>
            </w:r>
            <w:r w:rsidR="00310979" w:rsidRPr="00310979">
              <w:rPr>
                <w:rFonts w:ascii="Times New Roman" w:hAnsi="Times New Roman" w:cs="Times New Roman"/>
                <w:noProof/>
                <w:webHidden/>
                <w:sz w:val="24"/>
                <w:szCs w:val="24"/>
              </w:rPr>
              <w:fldChar w:fldCharType="end"/>
            </w:r>
          </w:hyperlink>
        </w:p>
        <w:p w14:paraId="4513764B" w14:textId="2572A916" w:rsidR="00310979" w:rsidRPr="00310979" w:rsidRDefault="00BB548D"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hyperlink w:anchor="_Toc39749330" w:history="1">
            <w:r w:rsidR="00310979" w:rsidRPr="00310979">
              <w:rPr>
                <w:rStyle w:val="Hyperlink"/>
                <w:rFonts w:ascii="Times New Roman" w:hAnsi="Times New Roman" w:cs="Times New Roman"/>
                <w:noProof/>
                <w:sz w:val="24"/>
                <w:szCs w:val="24"/>
              </w:rPr>
              <w:t>III. Stambulas konvencija</w:t>
            </w:r>
            <w:r w:rsidR="00310979" w:rsidRPr="00310979">
              <w:rPr>
                <w:rFonts w:ascii="Times New Roman" w:hAnsi="Times New Roman" w:cs="Times New Roman"/>
                <w:noProof/>
                <w:webHidden/>
                <w:sz w:val="24"/>
                <w:szCs w:val="24"/>
              </w:rPr>
              <w:tab/>
            </w:r>
            <w:r w:rsidR="00310979" w:rsidRPr="00310979">
              <w:rPr>
                <w:rFonts w:ascii="Times New Roman" w:hAnsi="Times New Roman" w:cs="Times New Roman"/>
                <w:noProof/>
                <w:webHidden/>
                <w:sz w:val="24"/>
                <w:szCs w:val="24"/>
              </w:rPr>
              <w:fldChar w:fldCharType="begin"/>
            </w:r>
            <w:r w:rsidR="00310979" w:rsidRPr="00310979">
              <w:rPr>
                <w:rFonts w:ascii="Times New Roman" w:hAnsi="Times New Roman" w:cs="Times New Roman"/>
                <w:noProof/>
                <w:webHidden/>
                <w:sz w:val="24"/>
                <w:szCs w:val="24"/>
              </w:rPr>
              <w:instrText xml:space="preserve"> PAGEREF _Toc39749330 \h </w:instrText>
            </w:r>
            <w:r w:rsidR="00310979" w:rsidRPr="00310979">
              <w:rPr>
                <w:rFonts w:ascii="Times New Roman" w:hAnsi="Times New Roman" w:cs="Times New Roman"/>
                <w:noProof/>
                <w:webHidden/>
                <w:sz w:val="24"/>
                <w:szCs w:val="24"/>
              </w:rPr>
            </w:r>
            <w:r w:rsidR="00310979" w:rsidRPr="00310979">
              <w:rPr>
                <w:rFonts w:ascii="Times New Roman" w:hAnsi="Times New Roman" w:cs="Times New Roman"/>
                <w:noProof/>
                <w:webHidden/>
                <w:sz w:val="24"/>
                <w:szCs w:val="24"/>
              </w:rPr>
              <w:fldChar w:fldCharType="separate"/>
            </w:r>
            <w:r w:rsidR="00310979">
              <w:rPr>
                <w:rFonts w:ascii="Times New Roman" w:hAnsi="Times New Roman" w:cs="Times New Roman"/>
                <w:noProof/>
                <w:webHidden/>
                <w:sz w:val="24"/>
                <w:szCs w:val="24"/>
              </w:rPr>
              <w:t>5</w:t>
            </w:r>
            <w:r w:rsidR="00310979" w:rsidRPr="00310979">
              <w:rPr>
                <w:rFonts w:ascii="Times New Roman" w:hAnsi="Times New Roman" w:cs="Times New Roman"/>
                <w:noProof/>
                <w:webHidden/>
                <w:sz w:val="24"/>
                <w:szCs w:val="24"/>
              </w:rPr>
              <w:fldChar w:fldCharType="end"/>
            </w:r>
          </w:hyperlink>
        </w:p>
        <w:p w14:paraId="16ADE235" w14:textId="79DE045A" w:rsidR="00310979" w:rsidRPr="00310979" w:rsidRDefault="00BB548D"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hyperlink w:anchor="_Toc39749331" w:history="1">
            <w:r w:rsidR="00310979" w:rsidRPr="00310979">
              <w:rPr>
                <w:rStyle w:val="Hyperlink"/>
                <w:rFonts w:ascii="Times New Roman" w:hAnsi="Times New Roman" w:cs="Times New Roman"/>
                <w:noProof/>
                <w:sz w:val="24"/>
                <w:szCs w:val="24"/>
              </w:rPr>
              <w:t>IV. Starptautiskās saistības</w:t>
            </w:r>
            <w:r w:rsidR="00310979" w:rsidRPr="00310979">
              <w:rPr>
                <w:rFonts w:ascii="Times New Roman" w:hAnsi="Times New Roman" w:cs="Times New Roman"/>
                <w:noProof/>
                <w:webHidden/>
                <w:sz w:val="24"/>
                <w:szCs w:val="24"/>
              </w:rPr>
              <w:tab/>
            </w:r>
            <w:r w:rsidR="00310979" w:rsidRPr="00310979">
              <w:rPr>
                <w:rFonts w:ascii="Times New Roman" w:hAnsi="Times New Roman" w:cs="Times New Roman"/>
                <w:noProof/>
                <w:webHidden/>
                <w:sz w:val="24"/>
                <w:szCs w:val="24"/>
              </w:rPr>
              <w:fldChar w:fldCharType="begin"/>
            </w:r>
            <w:r w:rsidR="00310979" w:rsidRPr="00310979">
              <w:rPr>
                <w:rFonts w:ascii="Times New Roman" w:hAnsi="Times New Roman" w:cs="Times New Roman"/>
                <w:noProof/>
                <w:webHidden/>
                <w:sz w:val="24"/>
                <w:szCs w:val="24"/>
              </w:rPr>
              <w:instrText xml:space="preserve"> PAGEREF _Toc39749331 \h </w:instrText>
            </w:r>
            <w:r w:rsidR="00310979" w:rsidRPr="00310979">
              <w:rPr>
                <w:rFonts w:ascii="Times New Roman" w:hAnsi="Times New Roman" w:cs="Times New Roman"/>
                <w:noProof/>
                <w:webHidden/>
                <w:sz w:val="24"/>
                <w:szCs w:val="24"/>
              </w:rPr>
            </w:r>
            <w:r w:rsidR="00310979" w:rsidRPr="00310979">
              <w:rPr>
                <w:rFonts w:ascii="Times New Roman" w:hAnsi="Times New Roman" w:cs="Times New Roman"/>
                <w:noProof/>
                <w:webHidden/>
                <w:sz w:val="24"/>
                <w:szCs w:val="24"/>
              </w:rPr>
              <w:fldChar w:fldCharType="separate"/>
            </w:r>
            <w:r w:rsidR="00310979">
              <w:rPr>
                <w:rFonts w:ascii="Times New Roman" w:hAnsi="Times New Roman" w:cs="Times New Roman"/>
                <w:noProof/>
                <w:webHidden/>
                <w:sz w:val="24"/>
                <w:szCs w:val="24"/>
              </w:rPr>
              <w:t>11</w:t>
            </w:r>
            <w:r w:rsidR="00310979" w:rsidRPr="00310979">
              <w:rPr>
                <w:rFonts w:ascii="Times New Roman" w:hAnsi="Times New Roman" w:cs="Times New Roman"/>
                <w:noProof/>
                <w:webHidden/>
                <w:sz w:val="24"/>
                <w:szCs w:val="24"/>
              </w:rPr>
              <w:fldChar w:fldCharType="end"/>
            </w:r>
          </w:hyperlink>
        </w:p>
        <w:p w14:paraId="27CBBF42" w14:textId="72FD8172" w:rsidR="00310979" w:rsidRPr="00310979" w:rsidRDefault="00BB548D"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hyperlink w:anchor="_Toc39749332" w:history="1">
            <w:r w:rsidR="00310979" w:rsidRPr="00310979">
              <w:rPr>
                <w:rStyle w:val="Hyperlink"/>
                <w:rFonts w:ascii="Times New Roman" w:hAnsi="Times New Roman" w:cs="Times New Roman"/>
                <w:noProof/>
                <w:sz w:val="24"/>
                <w:szCs w:val="24"/>
              </w:rPr>
              <w:t>V. Novērtējums</w:t>
            </w:r>
            <w:r w:rsidR="00310979" w:rsidRPr="00310979">
              <w:rPr>
                <w:rFonts w:ascii="Times New Roman" w:hAnsi="Times New Roman" w:cs="Times New Roman"/>
                <w:noProof/>
                <w:webHidden/>
                <w:sz w:val="24"/>
                <w:szCs w:val="24"/>
              </w:rPr>
              <w:tab/>
            </w:r>
            <w:r w:rsidR="00310979" w:rsidRPr="00310979">
              <w:rPr>
                <w:rFonts w:ascii="Times New Roman" w:hAnsi="Times New Roman" w:cs="Times New Roman"/>
                <w:noProof/>
                <w:webHidden/>
                <w:sz w:val="24"/>
                <w:szCs w:val="24"/>
              </w:rPr>
              <w:fldChar w:fldCharType="begin"/>
            </w:r>
            <w:r w:rsidR="00310979" w:rsidRPr="00310979">
              <w:rPr>
                <w:rFonts w:ascii="Times New Roman" w:hAnsi="Times New Roman" w:cs="Times New Roman"/>
                <w:noProof/>
                <w:webHidden/>
                <w:sz w:val="24"/>
                <w:szCs w:val="24"/>
              </w:rPr>
              <w:instrText xml:space="preserve"> PAGEREF _Toc39749332 \h </w:instrText>
            </w:r>
            <w:r w:rsidR="00310979" w:rsidRPr="00310979">
              <w:rPr>
                <w:rFonts w:ascii="Times New Roman" w:hAnsi="Times New Roman" w:cs="Times New Roman"/>
                <w:noProof/>
                <w:webHidden/>
                <w:sz w:val="24"/>
                <w:szCs w:val="24"/>
              </w:rPr>
            </w:r>
            <w:r w:rsidR="00310979" w:rsidRPr="00310979">
              <w:rPr>
                <w:rFonts w:ascii="Times New Roman" w:hAnsi="Times New Roman" w:cs="Times New Roman"/>
                <w:noProof/>
                <w:webHidden/>
                <w:sz w:val="24"/>
                <w:szCs w:val="24"/>
              </w:rPr>
              <w:fldChar w:fldCharType="separate"/>
            </w:r>
            <w:r w:rsidR="00310979">
              <w:rPr>
                <w:rFonts w:ascii="Times New Roman" w:hAnsi="Times New Roman" w:cs="Times New Roman"/>
                <w:noProof/>
                <w:webHidden/>
                <w:sz w:val="24"/>
                <w:szCs w:val="24"/>
              </w:rPr>
              <w:t>14</w:t>
            </w:r>
            <w:r w:rsidR="00310979" w:rsidRPr="00310979">
              <w:rPr>
                <w:rFonts w:ascii="Times New Roman" w:hAnsi="Times New Roman" w:cs="Times New Roman"/>
                <w:noProof/>
                <w:webHidden/>
                <w:sz w:val="24"/>
                <w:szCs w:val="24"/>
              </w:rPr>
              <w:fldChar w:fldCharType="end"/>
            </w:r>
          </w:hyperlink>
        </w:p>
        <w:p w14:paraId="4E74FCB3" w14:textId="18FF312F" w:rsidR="00310979" w:rsidRPr="00310979" w:rsidRDefault="00BB548D" w:rsidP="00310979">
          <w:pPr>
            <w:pStyle w:val="TOC1"/>
            <w:tabs>
              <w:tab w:val="right" w:leader="dot" w:pos="9065"/>
            </w:tabs>
            <w:ind w:left="0" w:firstLine="0"/>
            <w:jc w:val="both"/>
            <w:rPr>
              <w:rFonts w:ascii="Times New Roman" w:eastAsiaTheme="minorEastAsia" w:hAnsi="Times New Roman" w:cs="Times New Roman"/>
              <w:noProof/>
              <w:sz w:val="24"/>
              <w:szCs w:val="24"/>
              <w:lang w:eastAsia="lv-LV"/>
            </w:rPr>
          </w:pPr>
          <w:hyperlink w:anchor="_Toc39749333" w:history="1">
            <w:r w:rsidR="00310979" w:rsidRPr="00310979">
              <w:rPr>
                <w:rStyle w:val="Hyperlink"/>
                <w:rFonts w:ascii="Times New Roman" w:hAnsi="Times New Roman" w:cs="Times New Roman"/>
                <w:noProof/>
                <w:sz w:val="24"/>
                <w:szCs w:val="24"/>
              </w:rPr>
              <w:t>VI. Secinājumi</w:t>
            </w:r>
            <w:r w:rsidR="00310979" w:rsidRPr="00310979">
              <w:rPr>
                <w:rFonts w:ascii="Times New Roman" w:hAnsi="Times New Roman" w:cs="Times New Roman"/>
                <w:noProof/>
                <w:webHidden/>
                <w:sz w:val="24"/>
                <w:szCs w:val="24"/>
              </w:rPr>
              <w:tab/>
            </w:r>
            <w:r w:rsidR="00310979" w:rsidRPr="00310979">
              <w:rPr>
                <w:rFonts w:ascii="Times New Roman" w:hAnsi="Times New Roman" w:cs="Times New Roman"/>
                <w:noProof/>
                <w:webHidden/>
                <w:sz w:val="24"/>
                <w:szCs w:val="24"/>
              </w:rPr>
              <w:fldChar w:fldCharType="begin"/>
            </w:r>
            <w:r w:rsidR="00310979" w:rsidRPr="00310979">
              <w:rPr>
                <w:rFonts w:ascii="Times New Roman" w:hAnsi="Times New Roman" w:cs="Times New Roman"/>
                <w:noProof/>
                <w:webHidden/>
                <w:sz w:val="24"/>
                <w:szCs w:val="24"/>
              </w:rPr>
              <w:instrText xml:space="preserve"> PAGEREF _Toc39749333 \h </w:instrText>
            </w:r>
            <w:r w:rsidR="00310979" w:rsidRPr="00310979">
              <w:rPr>
                <w:rFonts w:ascii="Times New Roman" w:hAnsi="Times New Roman" w:cs="Times New Roman"/>
                <w:noProof/>
                <w:webHidden/>
                <w:sz w:val="24"/>
                <w:szCs w:val="24"/>
              </w:rPr>
            </w:r>
            <w:r w:rsidR="00310979" w:rsidRPr="00310979">
              <w:rPr>
                <w:rFonts w:ascii="Times New Roman" w:hAnsi="Times New Roman" w:cs="Times New Roman"/>
                <w:noProof/>
                <w:webHidden/>
                <w:sz w:val="24"/>
                <w:szCs w:val="24"/>
              </w:rPr>
              <w:fldChar w:fldCharType="separate"/>
            </w:r>
            <w:r w:rsidR="00310979">
              <w:rPr>
                <w:rFonts w:ascii="Times New Roman" w:hAnsi="Times New Roman" w:cs="Times New Roman"/>
                <w:noProof/>
                <w:webHidden/>
                <w:sz w:val="24"/>
                <w:szCs w:val="24"/>
              </w:rPr>
              <w:t>26</w:t>
            </w:r>
            <w:r w:rsidR="00310979" w:rsidRPr="00310979">
              <w:rPr>
                <w:rFonts w:ascii="Times New Roman" w:hAnsi="Times New Roman" w:cs="Times New Roman"/>
                <w:noProof/>
                <w:webHidden/>
                <w:sz w:val="24"/>
                <w:szCs w:val="24"/>
              </w:rPr>
              <w:fldChar w:fldCharType="end"/>
            </w:r>
          </w:hyperlink>
        </w:p>
        <w:p w14:paraId="7760BD6B" w14:textId="43E35C61" w:rsidR="00310979" w:rsidRPr="00310979" w:rsidRDefault="00310979" w:rsidP="00310979">
          <w:pPr>
            <w:jc w:val="both"/>
            <w:rPr>
              <w:rFonts w:ascii="Times New Roman" w:hAnsi="Times New Roman" w:cs="Times New Roman"/>
              <w:sz w:val="24"/>
              <w:szCs w:val="24"/>
            </w:rPr>
          </w:pPr>
          <w:r w:rsidRPr="00310979">
            <w:rPr>
              <w:rFonts w:ascii="Times New Roman" w:hAnsi="Times New Roman" w:cs="Times New Roman"/>
              <w:b/>
              <w:bCs/>
              <w:noProof/>
              <w:sz w:val="24"/>
              <w:szCs w:val="24"/>
            </w:rPr>
            <w:fldChar w:fldCharType="end"/>
          </w:r>
        </w:p>
      </w:sdtContent>
    </w:sdt>
    <w:p w14:paraId="1C2D841F" w14:textId="19326B50" w:rsidR="00310979" w:rsidRPr="00310979" w:rsidRDefault="00310979" w:rsidP="00310979">
      <w:pPr>
        <w:jc w:val="both"/>
        <w:rPr>
          <w:rFonts w:ascii="Times New Roman" w:hAnsi="Times New Roman" w:cs="Times New Roman"/>
          <w:bCs/>
          <w:sz w:val="24"/>
          <w:szCs w:val="24"/>
        </w:rPr>
      </w:pPr>
    </w:p>
    <w:p w14:paraId="2380CE6E" w14:textId="77777777" w:rsidR="00310979" w:rsidRPr="00310979" w:rsidRDefault="00310979" w:rsidP="0087409D">
      <w:pPr>
        <w:jc w:val="both"/>
        <w:rPr>
          <w:rFonts w:ascii="Times New Roman" w:hAnsi="Times New Roman"/>
          <w:bCs/>
          <w:noProof/>
          <w:sz w:val="24"/>
        </w:rPr>
      </w:pPr>
    </w:p>
    <w:p w14:paraId="14E51981" w14:textId="2B3B99A3" w:rsidR="006D29FD" w:rsidRDefault="006D29FD">
      <w:pPr>
        <w:rPr>
          <w:rFonts w:ascii="Times New Roman" w:eastAsia="Arial" w:hAnsi="Times New Roman"/>
          <w:noProof/>
          <w:sz w:val="24"/>
        </w:rPr>
      </w:pPr>
      <w:r>
        <w:br w:type="page"/>
      </w:r>
    </w:p>
    <w:p w14:paraId="7C20FA60" w14:textId="77777777" w:rsidR="0087409D" w:rsidRPr="0087409D" w:rsidRDefault="0087409D" w:rsidP="0087409D">
      <w:pPr>
        <w:jc w:val="both"/>
        <w:rPr>
          <w:rFonts w:ascii="Times New Roman" w:hAnsi="Times New Roman"/>
          <w:noProof/>
          <w:sz w:val="24"/>
        </w:rPr>
      </w:pPr>
    </w:p>
    <w:p w14:paraId="6A4238C4" w14:textId="59C03493" w:rsidR="008E3B77" w:rsidRPr="0087409D" w:rsidRDefault="006D29FD" w:rsidP="006D29FD">
      <w:pPr>
        <w:pStyle w:val="Heading1"/>
        <w:tabs>
          <w:tab w:val="left" w:pos="841"/>
        </w:tabs>
        <w:ind w:left="0" w:firstLine="0"/>
        <w:jc w:val="both"/>
        <w:rPr>
          <w:rFonts w:ascii="Times New Roman" w:hAnsi="Times New Roman"/>
          <w:noProof/>
          <w:sz w:val="24"/>
        </w:rPr>
      </w:pPr>
      <w:bookmarkStart w:id="1" w:name="_Toc39749328"/>
      <w:r>
        <w:rPr>
          <w:rFonts w:ascii="Times New Roman" w:hAnsi="Times New Roman"/>
          <w:sz w:val="24"/>
        </w:rPr>
        <w:t>I. Ievads</w:t>
      </w:r>
      <w:bookmarkStart w:id="2" w:name="_bookmark1"/>
      <w:bookmarkEnd w:id="2"/>
      <w:bookmarkEnd w:id="1"/>
    </w:p>
    <w:p w14:paraId="6C00310B" w14:textId="77777777" w:rsidR="006D29FD" w:rsidRDefault="006D29FD" w:rsidP="0087409D">
      <w:pPr>
        <w:jc w:val="both"/>
        <w:rPr>
          <w:rFonts w:ascii="Times New Roman" w:hAnsi="Times New Roman"/>
          <w:noProof/>
          <w:sz w:val="24"/>
        </w:rPr>
      </w:pPr>
    </w:p>
    <w:p w14:paraId="0988A175" w14:textId="3DCD529F" w:rsidR="008E3B77" w:rsidRPr="006D29FD" w:rsidRDefault="008E3B77" w:rsidP="0087409D">
      <w:pPr>
        <w:jc w:val="both"/>
        <w:rPr>
          <w:rFonts w:ascii="Times New Roman" w:hAnsi="Times New Roman"/>
          <w:noProof/>
          <w:sz w:val="24"/>
        </w:rPr>
      </w:pPr>
      <w:r>
        <w:rPr>
          <w:rFonts w:ascii="Times New Roman" w:hAnsi="Times New Roman"/>
          <w:sz w:val="24"/>
        </w:rPr>
        <w:t>1. 2019. gada 25. jūlijā Armēnijas tieslietu ministrs Rustams Badasjans [</w:t>
      </w:r>
      <w:r>
        <w:rPr>
          <w:rFonts w:ascii="Times New Roman" w:hAnsi="Times New Roman"/>
          <w:i/>
          <w:sz w:val="24"/>
        </w:rPr>
        <w:t>Rustam Badasyan</w:t>
      </w:r>
      <w:r>
        <w:rPr>
          <w:rFonts w:ascii="Times New Roman" w:hAnsi="Times New Roman"/>
          <w:sz w:val="24"/>
        </w:rPr>
        <w:t xml:space="preserve">] lūdza Venēcijas komisijas atzinumu par konstitucionālajām sekām, ko Armēnijai radīs </w:t>
      </w:r>
      <w:r>
        <w:rPr>
          <w:rFonts w:ascii="Times New Roman" w:hAnsi="Times New Roman"/>
          <w:i/>
          <w:color w:val="0000FF"/>
          <w:sz w:val="24"/>
          <w:u w:val="single" w:color="0000FF"/>
        </w:rPr>
        <w:t>Eiropas Padomes Konvencijas par vardarbības pret sievietēm un vardarbības ģimenē novēršanu un apkarošanu (Stambulas konvencija)</w:t>
      </w:r>
      <w:r>
        <w:rPr>
          <w:rFonts w:ascii="Times New Roman" w:hAnsi="Times New Roman"/>
          <w:sz w:val="24"/>
        </w:rPr>
        <w:t xml:space="preserve"> ratificēšana.</w:t>
      </w:r>
    </w:p>
    <w:p w14:paraId="59A6A858" w14:textId="77777777" w:rsidR="008E3B77" w:rsidRPr="0087409D" w:rsidRDefault="008E3B77" w:rsidP="0087409D">
      <w:pPr>
        <w:jc w:val="both"/>
        <w:rPr>
          <w:rFonts w:ascii="Times New Roman" w:eastAsia="Arial" w:hAnsi="Times New Roman" w:cs="Arial"/>
          <w:noProof/>
          <w:sz w:val="24"/>
        </w:rPr>
      </w:pPr>
    </w:p>
    <w:p w14:paraId="69952390" w14:textId="60D2600A" w:rsidR="008E3B77" w:rsidRPr="0087409D" w:rsidRDefault="006D29FD" w:rsidP="006D29FD">
      <w:pPr>
        <w:pStyle w:val="BodyText"/>
        <w:tabs>
          <w:tab w:val="left" w:pos="563"/>
        </w:tabs>
        <w:ind w:left="0"/>
        <w:jc w:val="both"/>
        <w:rPr>
          <w:rFonts w:ascii="Times New Roman" w:hAnsi="Times New Roman"/>
          <w:noProof/>
          <w:sz w:val="24"/>
        </w:rPr>
      </w:pPr>
      <w:r>
        <w:rPr>
          <w:rFonts w:ascii="Times New Roman" w:hAnsi="Times New Roman"/>
          <w:sz w:val="24"/>
        </w:rPr>
        <w:t>2. Armēnija Stambulas konvenciju parakstīja 2018. gada 18. janvārī, bet ratifikācijas process vēl nav pabeigts.</w:t>
      </w:r>
    </w:p>
    <w:p w14:paraId="19824539" w14:textId="77777777" w:rsidR="008E3B77" w:rsidRPr="0087409D" w:rsidRDefault="008E3B77" w:rsidP="0087409D">
      <w:pPr>
        <w:jc w:val="both"/>
        <w:rPr>
          <w:rFonts w:ascii="Times New Roman" w:eastAsia="Arial" w:hAnsi="Times New Roman" w:cs="Arial"/>
          <w:noProof/>
          <w:sz w:val="24"/>
        </w:rPr>
      </w:pPr>
    </w:p>
    <w:p w14:paraId="35A6637D" w14:textId="23A777E2" w:rsidR="008E3B77" w:rsidRPr="0087409D" w:rsidRDefault="006D29FD" w:rsidP="006D29FD">
      <w:pPr>
        <w:pStyle w:val="BodyText"/>
        <w:tabs>
          <w:tab w:val="left" w:pos="459"/>
        </w:tabs>
        <w:ind w:left="0"/>
        <w:jc w:val="both"/>
        <w:rPr>
          <w:rFonts w:ascii="Times New Roman" w:hAnsi="Times New Roman"/>
          <w:noProof/>
          <w:sz w:val="24"/>
        </w:rPr>
      </w:pPr>
      <w:r>
        <w:rPr>
          <w:rFonts w:ascii="Times New Roman" w:hAnsi="Times New Roman"/>
          <w:sz w:val="24"/>
        </w:rPr>
        <w:t>3. Attiecībā uz šo atzinumu par ziņotājiem iecēla Aurelu Anastasu, Veroniku Bilkovu, Filipu Dimitrovu, Reginu Kīneri un Martinu Kuijeru. Šis atzinums ir sagatavots, pamatojoties uz viņu darbu.</w:t>
      </w:r>
    </w:p>
    <w:p w14:paraId="4B438CB3" w14:textId="77777777" w:rsidR="008E3B77" w:rsidRPr="0087409D" w:rsidRDefault="008E3B77" w:rsidP="0087409D">
      <w:pPr>
        <w:jc w:val="both"/>
        <w:rPr>
          <w:rFonts w:ascii="Times New Roman" w:eastAsia="Arial" w:hAnsi="Times New Roman" w:cs="Arial"/>
          <w:noProof/>
          <w:sz w:val="24"/>
        </w:rPr>
      </w:pPr>
    </w:p>
    <w:p w14:paraId="79798425" w14:textId="1CCC4E09" w:rsidR="008E3B77" w:rsidRPr="0087409D" w:rsidRDefault="006D29FD" w:rsidP="006D29FD">
      <w:pPr>
        <w:pStyle w:val="BodyText"/>
        <w:tabs>
          <w:tab w:val="left" w:pos="457"/>
        </w:tabs>
        <w:ind w:left="0"/>
        <w:jc w:val="both"/>
        <w:rPr>
          <w:rFonts w:ascii="Times New Roman" w:hAnsi="Times New Roman"/>
          <w:noProof/>
          <w:sz w:val="24"/>
        </w:rPr>
      </w:pPr>
      <w:r>
        <w:rPr>
          <w:rFonts w:ascii="Times New Roman" w:hAnsi="Times New Roman"/>
          <w:sz w:val="24"/>
        </w:rPr>
        <w:t>4. Šo atzinumu izskatīja 2019. gada 10. oktobrī Pamattiesību apakškomisijas, Mazākumtautību apakškomisijas un Dzimumu līdztiesības apakškomisijas apvienotajā sanāksmē, un pēc tam to pieņēma Venēcijas komisija savā 120. plenārsēdē (Venēcija, 2019. gada 11.–12. oktobris).</w:t>
      </w:r>
    </w:p>
    <w:p w14:paraId="45CF6678" w14:textId="77777777" w:rsidR="008E3B77" w:rsidRPr="0087409D" w:rsidRDefault="008E3B77" w:rsidP="0087409D">
      <w:pPr>
        <w:jc w:val="both"/>
        <w:rPr>
          <w:rFonts w:ascii="Times New Roman" w:eastAsia="Arial" w:hAnsi="Times New Roman" w:cs="Arial"/>
          <w:noProof/>
          <w:sz w:val="24"/>
          <w:szCs w:val="21"/>
        </w:rPr>
      </w:pPr>
    </w:p>
    <w:p w14:paraId="409ADA24" w14:textId="7A45AA01" w:rsidR="008E3B77" w:rsidRPr="0087409D" w:rsidRDefault="006D29FD" w:rsidP="006D29FD">
      <w:pPr>
        <w:pStyle w:val="Heading1"/>
        <w:tabs>
          <w:tab w:val="left" w:pos="829"/>
        </w:tabs>
        <w:ind w:left="0" w:firstLine="0"/>
        <w:jc w:val="both"/>
        <w:rPr>
          <w:rFonts w:ascii="Times New Roman" w:hAnsi="Times New Roman"/>
          <w:noProof/>
          <w:sz w:val="24"/>
        </w:rPr>
      </w:pPr>
      <w:bookmarkStart w:id="3" w:name="_Toc39749329"/>
      <w:r>
        <w:rPr>
          <w:rFonts w:ascii="Times New Roman" w:hAnsi="Times New Roman"/>
          <w:sz w:val="24"/>
        </w:rPr>
        <w:t>II. Atzinuma piemērošanas joma</w:t>
      </w:r>
      <w:bookmarkStart w:id="4" w:name="_bookmark2"/>
      <w:bookmarkEnd w:id="4"/>
      <w:bookmarkEnd w:id="3"/>
    </w:p>
    <w:p w14:paraId="0FAF7B09" w14:textId="77777777" w:rsidR="008E3B77" w:rsidRPr="0087409D" w:rsidRDefault="008E3B77" w:rsidP="0087409D">
      <w:pPr>
        <w:jc w:val="both"/>
        <w:rPr>
          <w:rFonts w:ascii="Times New Roman" w:eastAsia="Arial" w:hAnsi="Times New Roman" w:cs="Arial"/>
          <w:b/>
          <w:bCs/>
          <w:noProof/>
          <w:sz w:val="24"/>
        </w:rPr>
      </w:pPr>
    </w:p>
    <w:p w14:paraId="5A0FC795" w14:textId="2FA8082C" w:rsidR="008E3B77" w:rsidRPr="0087409D" w:rsidRDefault="006D29FD" w:rsidP="006D29FD">
      <w:pPr>
        <w:pStyle w:val="BodyText"/>
        <w:tabs>
          <w:tab w:val="left" w:pos="483"/>
        </w:tabs>
        <w:ind w:left="0"/>
        <w:jc w:val="both"/>
        <w:rPr>
          <w:rFonts w:ascii="Times New Roman" w:hAnsi="Times New Roman"/>
          <w:noProof/>
          <w:sz w:val="24"/>
        </w:rPr>
      </w:pPr>
      <w:r>
        <w:rPr>
          <w:rFonts w:ascii="Times New Roman" w:hAnsi="Times New Roman"/>
          <w:sz w:val="24"/>
        </w:rPr>
        <w:t>5. Šā atzinuma sākumā Venēcijas komisija vēlas atkārtoti norādīt vairākus svarīgus jautājumus. Pirmkārt, izvēle ratificēt līgumu un uzņemties attiecīgās saistības</w:t>
      </w:r>
      <w:r w:rsidR="00803830">
        <w:rPr>
          <w:rStyle w:val="FootnoteReference"/>
          <w:rFonts w:ascii="Times New Roman" w:hAnsi="Times New Roman"/>
          <w:noProof/>
          <w:sz w:val="24"/>
        </w:rPr>
        <w:footnoteReference w:id="1"/>
      </w:r>
      <w:r>
        <w:rPr>
          <w:rFonts w:ascii="Times New Roman" w:hAnsi="Times New Roman"/>
          <w:sz w:val="24"/>
        </w:rPr>
        <w:t xml:space="preserve"> ir suverēna valsts rīcība. Valstīm nav pienākuma ratificēt līgumus, kas izriet no starptautiskajiem tiesību aktiem, tomēr valstīm, kuras ir parakstījušas kādu līgumu, ir pienākums </w:t>
      </w:r>
      <w:r>
        <w:rPr>
          <w:rFonts w:ascii="Times New Roman" w:hAnsi="Times New Roman"/>
          <w:i/>
          <w:sz w:val="24"/>
        </w:rPr>
        <w:t>“neveikt darbības, kas būtu pretrunā līguma mērķim un nolūkam”</w:t>
      </w:r>
      <w:r>
        <w:rPr>
          <w:rFonts w:ascii="Times New Roman" w:hAnsi="Times New Roman"/>
          <w:sz w:val="24"/>
        </w:rPr>
        <w:t>.</w:t>
      </w:r>
      <w:r w:rsidR="00803830">
        <w:rPr>
          <w:rStyle w:val="FootnoteReference"/>
          <w:rFonts w:ascii="Times New Roman" w:hAnsi="Times New Roman"/>
          <w:noProof/>
          <w:sz w:val="24"/>
        </w:rPr>
        <w:footnoteReference w:id="2"/>
      </w:r>
      <w:r>
        <w:rPr>
          <w:rFonts w:ascii="Times New Roman" w:hAnsi="Times New Roman"/>
          <w:sz w:val="24"/>
          <w:szCs w:val="14"/>
        </w:rPr>
        <w:t xml:space="preserve"> </w:t>
      </w:r>
      <w:r>
        <w:rPr>
          <w:rFonts w:ascii="Times New Roman" w:hAnsi="Times New Roman"/>
          <w:sz w:val="24"/>
        </w:rPr>
        <w:t>Lēmums ratificēt vai neratificēt līgumu atspoguļo gan instrumenta juridisko izvērtējumu, gan dažādas citas – politiskās, ideoloģiskās, ekonomiskās, sociālās, kultūras un citas – intereses.</w:t>
      </w:r>
    </w:p>
    <w:p w14:paraId="2A688BA0" w14:textId="77777777" w:rsidR="008E3B77" w:rsidRPr="0087409D" w:rsidRDefault="008E3B77" w:rsidP="0087409D">
      <w:pPr>
        <w:jc w:val="both"/>
        <w:rPr>
          <w:rFonts w:ascii="Times New Roman" w:eastAsia="Arial" w:hAnsi="Times New Roman" w:cs="Arial"/>
          <w:noProof/>
          <w:sz w:val="24"/>
          <w:szCs w:val="21"/>
        </w:rPr>
      </w:pPr>
    </w:p>
    <w:p w14:paraId="07C15391" w14:textId="1F258BF3" w:rsidR="008E3B77" w:rsidRPr="0087409D" w:rsidRDefault="006D29FD" w:rsidP="006D29FD">
      <w:pPr>
        <w:tabs>
          <w:tab w:val="left" w:pos="440"/>
        </w:tabs>
        <w:jc w:val="both"/>
        <w:rPr>
          <w:rFonts w:ascii="Times New Roman" w:eastAsia="Arial" w:hAnsi="Times New Roman" w:cs="Arial"/>
          <w:noProof/>
          <w:sz w:val="24"/>
        </w:rPr>
      </w:pPr>
      <w:r>
        <w:rPr>
          <w:rFonts w:ascii="Times New Roman" w:hAnsi="Times New Roman"/>
          <w:sz w:val="24"/>
        </w:rPr>
        <w:t xml:space="preserve">6. Otrkārt, valstu risinājumi attiecībā uz to, kāda veida attiecības pastāv starp starptautisko un valsts tiesību sistēmu, ir ļoti atšķirīgi. Venēcijas komisija šo jautājumu jau iepriekš ir sīki izpētījusi, jo īpaši savā </w:t>
      </w:r>
      <w:r>
        <w:rPr>
          <w:rFonts w:ascii="Times New Roman" w:hAnsi="Times New Roman"/>
          <w:i/>
          <w:sz w:val="24"/>
        </w:rPr>
        <w:t>Ziņojumā par cilvēktiesību līgumu īstenošanu</w:t>
      </w:r>
      <w:r w:rsidR="00803830">
        <w:rPr>
          <w:rStyle w:val="FootnoteReference"/>
          <w:rFonts w:ascii="Times New Roman" w:eastAsia="Arial" w:hAnsi="Times New Roman" w:cs="Arial"/>
          <w:i/>
          <w:noProof/>
          <w:sz w:val="24"/>
        </w:rPr>
        <w:footnoteReference w:id="3"/>
      </w:r>
      <w:r>
        <w:rPr>
          <w:rFonts w:ascii="Times New Roman" w:hAnsi="Times New Roman"/>
          <w:sz w:val="24"/>
          <w:szCs w:val="14"/>
        </w:rPr>
        <w:t xml:space="preserve"> </w:t>
      </w:r>
      <w:r>
        <w:rPr>
          <w:rFonts w:ascii="Times New Roman" w:hAnsi="Times New Roman"/>
          <w:sz w:val="24"/>
        </w:rPr>
        <w:t xml:space="preserve">un savā </w:t>
      </w:r>
      <w:r>
        <w:rPr>
          <w:rFonts w:ascii="Times New Roman" w:hAnsi="Times New Roman"/>
          <w:i/>
          <w:sz w:val="24"/>
        </w:rPr>
        <w:t>Pagaidu atzinumā par grozījumiem Federālajā konstitucionālajā likumā par Krievijas Federācijas Konstitucionālo tiesu</w:t>
      </w:r>
      <w:r w:rsidR="00803830">
        <w:rPr>
          <w:rStyle w:val="FootnoteReference"/>
          <w:rFonts w:ascii="Times New Roman" w:eastAsia="Arial" w:hAnsi="Times New Roman" w:cs="Arial"/>
          <w:i/>
          <w:noProof/>
          <w:sz w:val="24"/>
        </w:rPr>
        <w:footnoteReference w:id="4"/>
      </w:r>
      <w:r>
        <w:rPr>
          <w:rFonts w:ascii="Times New Roman" w:hAnsi="Times New Roman"/>
          <w:sz w:val="24"/>
        </w:rPr>
        <w:t>. Arī iepriekš minēto attiecību izvēle ir suverēna valsts rīcība.</w:t>
      </w:r>
      <w:r w:rsidR="00803830">
        <w:rPr>
          <w:rStyle w:val="FootnoteReference"/>
          <w:rFonts w:ascii="Times New Roman" w:eastAsia="Arial" w:hAnsi="Times New Roman" w:cs="Arial"/>
          <w:noProof/>
          <w:sz w:val="24"/>
        </w:rPr>
        <w:footnoteReference w:id="5"/>
      </w:r>
      <w:r>
        <w:rPr>
          <w:rFonts w:ascii="Times New Roman" w:hAnsi="Times New Roman"/>
          <w:sz w:val="24"/>
        </w:rPr>
        <w:t xml:space="preserve"> Visbeidzot, tiklīdz valstij ir kļuvis saistošs kāds starptautisko tiesību dokuments, tai saskaņā ar 26. pantu </w:t>
      </w:r>
      <w:r>
        <w:rPr>
          <w:rFonts w:ascii="Times New Roman" w:hAnsi="Times New Roman"/>
          <w:i/>
          <w:sz w:val="24"/>
        </w:rPr>
        <w:t>Vīnes konvencijā par starptautisko līgumu tiesībām</w:t>
      </w:r>
      <w:r>
        <w:rPr>
          <w:rFonts w:ascii="Times New Roman" w:hAnsi="Times New Roman"/>
          <w:sz w:val="24"/>
        </w:rPr>
        <w:t xml:space="preserve"> (</w:t>
      </w:r>
      <w:r>
        <w:rPr>
          <w:rFonts w:ascii="Times New Roman" w:hAnsi="Times New Roman"/>
          <w:i/>
          <w:sz w:val="24"/>
        </w:rPr>
        <w:t>Pacta sunt servanda</w:t>
      </w:r>
      <w:r>
        <w:rPr>
          <w:rFonts w:ascii="Times New Roman" w:hAnsi="Times New Roman"/>
          <w:sz w:val="24"/>
        </w:rPr>
        <w:t>) ir pienākums “</w:t>
      </w:r>
      <w:r>
        <w:rPr>
          <w:rFonts w:ascii="Times New Roman" w:hAnsi="Times New Roman"/>
          <w:i/>
          <w:sz w:val="24"/>
        </w:rPr>
        <w:t>labā ticībā</w:t>
      </w:r>
      <w:r>
        <w:rPr>
          <w:rFonts w:ascii="Times New Roman" w:hAnsi="Times New Roman"/>
          <w:sz w:val="24"/>
        </w:rPr>
        <w:t>” izpildīt/ievērot attiecīgā līguma saistības. Vīnes konvencijas 27. pantā (“</w:t>
      </w:r>
      <w:r>
        <w:rPr>
          <w:rFonts w:ascii="Times New Roman" w:hAnsi="Times New Roman"/>
          <w:i/>
          <w:sz w:val="24"/>
        </w:rPr>
        <w:t>Nacionālo tiesību normas un līguma ievērošana</w:t>
      </w:r>
      <w:r>
        <w:rPr>
          <w:rFonts w:ascii="Times New Roman" w:hAnsi="Times New Roman"/>
          <w:sz w:val="24"/>
        </w:rPr>
        <w:t xml:space="preserve">”) noteikts arī, ka </w:t>
      </w:r>
      <w:r>
        <w:rPr>
          <w:rFonts w:ascii="Times New Roman" w:hAnsi="Times New Roman"/>
          <w:i/>
          <w:sz w:val="24"/>
        </w:rPr>
        <w:t>“[dalībnieks] nevar atsaukties uz nacionālo tiesību normu prasībām, lai attaisnotu līguma neizpildi”</w:t>
      </w:r>
      <w:r>
        <w:rPr>
          <w:rFonts w:ascii="Times New Roman" w:hAnsi="Times New Roman"/>
          <w:sz w:val="24"/>
        </w:rPr>
        <w:t xml:space="preserve">. Tas </w:t>
      </w:r>
      <w:r>
        <w:rPr>
          <w:rFonts w:ascii="Times New Roman" w:hAnsi="Times New Roman"/>
          <w:sz w:val="24"/>
        </w:rPr>
        <w:lastRenderedPageBreak/>
        <w:t>nozīmē, ka pēc līguma ratifikācijas un stāšanās spēkā nekādi juridiski argumenti, kas pamatojas uz valsts tiesību aktiem, tostarp uz konstitucionālajiem tiesību aktiem, nevar attaisnot darbību vai bezdarbību, pārkāpjot starptautiskās tiesības.</w:t>
      </w:r>
      <w:r w:rsidR="00803830">
        <w:rPr>
          <w:rStyle w:val="FootnoteReference"/>
          <w:rFonts w:ascii="Times New Roman" w:eastAsia="Arial" w:hAnsi="Times New Roman" w:cs="Arial"/>
          <w:noProof/>
          <w:sz w:val="24"/>
        </w:rPr>
        <w:footnoteReference w:id="6"/>
      </w:r>
      <w:r>
        <w:rPr>
          <w:rFonts w:ascii="Times New Roman" w:hAnsi="Times New Roman"/>
          <w:sz w:val="24"/>
          <w:szCs w:val="14"/>
        </w:rPr>
        <w:t xml:space="preserve"> </w:t>
      </w:r>
      <w:r>
        <w:rPr>
          <w:rFonts w:ascii="Times New Roman" w:hAnsi="Times New Roman"/>
          <w:sz w:val="24"/>
        </w:rPr>
        <w:t>Starptautisko tiesību aktu ietekme uz valsts iekšējo tiesisko regulējumu ir būtiska starptautisko tiesību normu godprātīgas (</w:t>
      </w:r>
      <w:r>
        <w:rPr>
          <w:rFonts w:ascii="Times New Roman" w:hAnsi="Times New Roman"/>
          <w:i/>
          <w:sz w:val="24"/>
        </w:rPr>
        <w:t>bona fide</w:t>
      </w:r>
      <w:r>
        <w:rPr>
          <w:rFonts w:ascii="Times New Roman" w:hAnsi="Times New Roman"/>
          <w:sz w:val="24"/>
        </w:rPr>
        <w:t>) ievērošanas sastāvdaļa.</w:t>
      </w:r>
    </w:p>
    <w:p w14:paraId="1EAF9E5F" w14:textId="77777777" w:rsidR="008E3B77" w:rsidRPr="0087409D" w:rsidRDefault="008E3B77" w:rsidP="0087409D">
      <w:pPr>
        <w:jc w:val="both"/>
        <w:rPr>
          <w:rFonts w:ascii="Times New Roman" w:eastAsia="Arial" w:hAnsi="Times New Roman" w:cs="Arial"/>
          <w:noProof/>
          <w:sz w:val="24"/>
          <w:szCs w:val="18"/>
        </w:rPr>
      </w:pPr>
    </w:p>
    <w:p w14:paraId="51572952" w14:textId="74F45B98" w:rsidR="008E3B77" w:rsidRPr="0087409D" w:rsidRDefault="00803830" w:rsidP="00803830">
      <w:pPr>
        <w:tabs>
          <w:tab w:val="left" w:pos="495"/>
        </w:tabs>
        <w:jc w:val="both"/>
        <w:rPr>
          <w:rFonts w:ascii="Times New Roman" w:eastAsia="Arial" w:hAnsi="Times New Roman" w:cs="Arial"/>
          <w:noProof/>
          <w:sz w:val="24"/>
        </w:rPr>
      </w:pPr>
      <w:r>
        <w:rPr>
          <w:rFonts w:ascii="Times New Roman" w:hAnsi="Times New Roman"/>
          <w:sz w:val="24"/>
        </w:rPr>
        <w:t xml:space="preserve">7. Attiecībā uz starptautisku līgumu ratifikācijas procesu, kas noteikts valsts līmenī, Armēnijas Konstitūcija paredz, ka </w:t>
      </w:r>
      <w:r>
        <w:rPr>
          <w:rFonts w:ascii="Times New Roman" w:hAnsi="Times New Roman"/>
          <w:i/>
          <w:sz w:val="24"/>
        </w:rPr>
        <w:t>“starptautiskos līgumus, kas ir pretrunā Konstitūcijai, nevar ratificēt”</w:t>
      </w:r>
      <w:r>
        <w:rPr>
          <w:rFonts w:ascii="Times New Roman" w:hAnsi="Times New Roman"/>
          <w:sz w:val="24"/>
        </w:rPr>
        <w:t xml:space="preserve"> (116. panta 3. punkts). Saskaņā ar Konstitūcijas 168. panta 3. punktu Armēnijas Konstitucionālās tiesas kompetencē ietilpst </w:t>
      </w:r>
      <w:r>
        <w:rPr>
          <w:rFonts w:ascii="Times New Roman" w:hAnsi="Times New Roman"/>
          <w:i/>
          <w:sz w:val="24"/>
        </w:rPr>
        <w:t>“pirms starptautiska līguma ratifikācijas lemt par tajā ietverto saistību atbilstību Konstitūcijai”</w:t>
      </w:r>
      <w:r>
        <w:rPr>
          <w:rFonts w:ascii="Times New Roman" w:hAnsi="Times New Roman"/>
          <w:sz w:val="24"/>
        </w:rPr>
        <w:t>.</w:t>
      </w:r>
      <w:r>
        <w:rPr>
          <w:rFonts w:ascii="Times New Roman" w:hAnsi="Times New Roman"/>
          <w:i/>
          <w:sz w:val="24"/>
        </w:rPr>
        <w:t xml:space="preserve"> </w:t>
      </w:r>
      <w:r>
        <w:rPr>
          <w:rFonts w:ascii="Times New Roman" w:hAnsi="Times New Roman"/>
          <w:sz w:val="24"/>
        </w:rPr>
        <w:t>Saskaņā ar Armēnijas Konstitucionālās tiesas Konstitutīvā likuma 72. panta 1. punktu</w:t>
      </w:r>
      <w:r>
        <w:rPr>
          <w:rStyle w:val="FootnoteReference"/>
          <w:rFonts w:ascii="Times New Roman" w:eastAsia="Arial" w:hAnsi="Times New Roman" w:cs="Arial"/>
          <w:noProof/>
          <w:sz w:val="24"/>
        </w:rPr>
        <w:footnoteReference w:id="7"/>
      </w:r>
      <w:r>
        <w:rPr>
          <w:rFonts w:ascii="Times New Roman" w:hAnsi="Times New Roman"/>
          <w:sz w:val="24"/>
          <w:szCs w:val="14"/>
        </w:rPr>
        <w:t xml:space="preserve"> </w:t>
      </w:r>
      <w:r>
        <w:rPr>
          <w:rFonts w:ascii="Times New Roman" w:hAnsi="Times New Roman"/>
          <w:sz w:val="24"/>
        </w:rPr>
        <w:t>Armēnijas valdība lūdz Konstitucionālajai tiesai pārbaudīt ikviena starptautiska līguma atbilstību Konstitūcijai, pirms to ratificē Nacionālā asambleja.</w:t>
      </w:r>
    </w:p>
    <w:p w14:paraId="17D908C8" w14:textId="77777777" w:rsidR="008E3B77" w:rsidRPr="0087409D" w:rsidRDefault="008E3B77" w:rsidP="0087409D">
      <w:pPr>
        <w:jc w:val="both"/>
        <w:rPr>
          <w:rFonts w:ascii="Times New Roman" w:eastAsia="Arial" w:hAnsi="Times New Roman" w:cs="Arial"/>
          <w:noProof/>
          <w:sz w:val="24"/>
        </w:rPr>
      </w:pPr>
    </w:p>
    <w:p w14:paraId="7C3299E6" w14:textId="71110648" w:rsidR="008E3B77" w:rsidRPr="0087409D" w:rsidRDefault="00803830" w:rsidP="00803830">
      <w:pPr>
        <w:pStyle w:val="BodyText"/>
        <w:tabs>
          <w:tab w:val="left" w:pos="432"/>
        </w:tabs>
        <w:ind w:left="0"/>
        <w:jc w:val="both"/>
        <w:rPr>
          <w:rFonts w:ascii="Times New Roman" w:hAnsi="Times New Roman"/>
          <w:noProof/>
          <w:sz w:val="24"/>
        </w:rPr>
      </w:pPr>
      <w:r>
        <w:rPr>
          <w:rFonts w:ascii="Times New Roman" w:hAnsi="Times New Roman"/>
          <w:sz w:val="24"/>
        </w:rPr>
        <w:t>8. Tādēļ Armēnijas Konstitucionālā tiesa veic novērtējumu par līguma atbilstību Armēnijas Konstitūcijai. Šīs tiesas uzdevumu var atvieglot viedokļi, ko pauž starptautiskās ekspertu organizācijas, piemēram, Venēcijas komisija, kas veic attiecīgā starptautiskā līguma ārēju juridisko analīzi, bet Venēcijas komisija nevar galīgi novērtēt Konvencijas konstitucionālās sekas, ciktāl tā nav kompetenta autoritatīvi interpretēt Armēnijas Konstitūciju. Tomēr šie viedokļi veicina sabiedriskās diskusijas par līguma ratifikāciju.</w:t>
      </w:r>
    </w:p>
    <w:p w14:paraId="3C470411" w14:textId="77777777" w:rsidR="008E3B77" w:rsidRPr="0087409D" w:rsidRDefault="008E3B77" w:rsidP="0087409D">
      <w:pPr>
        <w:jc w:val="both"/>
        <w:rPr>
          <w:rFonts w:ascii="Times New Roman" w:eastAsia="Arial" w:hAnsi="Times New Roman" w:cs="Arial"/>
          <w:noProof/>
          <w:sz w:val="24"/>
          <w:szCs w:val="21"/>
        </w:rPr>
      </w:pPr>
    </w:p>
    <w:p w14:paraId="0B73CF3B" w14:textId="35BD120E" w:rsidR="008E3B77" w:rsidRPr="0087409D" w:rsidRDefault="00803830" w:rsidP="00803830">
      <w:pPr>
        <w:pStyle w:val="BodyText"/>
        <w:tabs>
          <w:tab w:val="left" w:pos="498"/>
        </w:tabs>
        <w:ind w:left="0"/>
        <w:jc w:val="both"/>
        <w:rPr>
          <w:rFonts w:ascii="Times New Roman" w:hAnsi="Times New Roman"/>
          <w:noProof/>
          <w:sz w:val="24"/>
        </w:rPr>
      </w:pPr>
      <w:r>
        <w:rPr>
          <w:rFonts w:ascii="Times New Roman" w:hAnsi="Times New Roman"/>
          <w:sz w:val="24"/>
        </w:rPr>
        <w:t>9. Armēnijas tieslietu ministrs šā atzinuma pieprasījumā ir lūdzis Venēcijas komisijai novērtēt Stambulas konvencijas ratifikācijas konstitucionālās sekas, bet nav konkrēti norādījis, kādām konstitucionālajām sekām viņš vēlas, lai Venēcijas komisija pievērš uzmanību. Venēcijas komisija jau agrāk ir novērtējusi atsevišķu līgumu ratifikācijas konstitucionālās sekas. Piemēram, 1998. gadā tā pieņēma atzinumu par konstitucionālajiem jautājumiem, kas bija saistīti ar Igaunijas pievienošanos Eiropas Savienībai.</w:t>
      </w:r>
      <w:r>
        <w:rPr>
          <w:rStyle w:val="FootnoteReference"/>
          <w:rFonts w:ascii="Times New Roman" w:hAnsi="Times New Roman"/>
          <w:noProof/>
          <w:sz w:val="24"/>
        </w:rPr>
        <w:footnoteReference w:id="8"/>
      </w:r>
      <w:r>
        <w:rPr>
          <w:rFonts w:ascii="Times New Roman" w:hAnsi="Times New Roman"/>
          <w:sz w:val="24"/>
          <w:szCs w:val="14"/>
        </w:rPr>
        <w:t xml:space="preserve"> </w:t>
      </w:r>
      <w:r>
        <w:rPr>
          <w:rFonts w:ascii="Times New Roman" w:hAnsi="Times New Roman"/>
          <w:sz w:val="24"/>
        </w:rPr>
        <w:t>2000. un 2008. gadā tā novērtēja konstitucionālos jautājumus, kas bija radušies, ratificējot Starptautiskās krimināltiesas Romas statūtus.</w:t>
      </w:r>
      <w:r>
        <w:rPr>
          <w:rStyle w:val="FootnoteReference"/>
          <w:rFonts w:ascii="Times New Roman" w:hAnsi="Times New Roman"/>
          <w:noProof/>
          <w:sz w:val="24"/>
        </w:rPr>
        <w:footnoteReference w:id="9"/>
      </w:r>
      <w:r>
        <w:rPr>
          <w:rFonts w:ascii="Times New Roman" w:hAnsi="Times New Roman"/>
          <w:sz w:val="24"/>
          <w:szCs w:val="14"/>
        </w:rPr>
        <w:t xml:space="preserve"> </w:t>
      </w:r>
      <w:r>
        <w:rPr>
          <w:rFonts w:ascii="Times New Roman" w:hAnsi="Times New Roman"/>
          <w:sz w:val="24"/>
        </w:rPr>
        <w:t>2001. gadā tā pēc Armēnijas lūguma izdeva atzinumu par Eiropas Cilvēktiesību konvencijas ratifikāciju.</w:t>
      </w:r>
      <w:r>
        <w:rPr>
          <w:rStyle w:val="FootnoteReference"/>
          <w:rFonts w:ascii="Times New Roman" w:hAnsi="Times New Roman"/>
          <w:noProof/>
          <w:sz w:val="24"/>
        </w:rPr>
        <w:footnoteReference w:id="10"/>
      </w:r>
      <w:r>
        <w:rPr>
          <w:rFonts w:ascii="Times New Roman" w:hAnsi="Times New Roman"/>
          <w:sz w:val="24"/>
          <w:szCs w:val="14"/>
        </w:rPr>
        <w:t xml:space="preserve"> </w:t>
      </w:r>
      <w:r>
        <w:rPr>
          <w:rFonts w:ascii="Times New Roman" w:hAnsi="Times New Roman"/>
          <w:sz w:val="24"/>
        </w:rPr>
        <w:t xml:space="preserve">Šajā pēdējā minētajā atzinumā ir ietverta vispārīga sadaļa par saikni starp Armēnijas Konstitūciju un starptautiskiem līgumiem. Lai arī tiesiskais regulējums ir daļēji mainīts atbilstoši 2005. un 2015. gadā izdarītajiem konstitucionālajiem grozījumiem, joprojām ir piemērojams galvenais princips, proti, ja tiek konstatētas pretrunas starp Konstitūciju un līgumu, </w:t>
      </w:r>
      <w:r>
        <w:rPr>
          <w:rFonts w:ascii="Times New Roman" w:hAnsi="Times New Roman"/>
          <w:i/>
          <w:sz w:val="24"/>
        </w:rPr>
        <w:t>“pirms attiecīgās ratifikācijas ir jāizdara grozījumi Konstitūcijā”</w:t>
      </w:r>
      <w:r>
        <w:rPr>
          <w:rFonts w:ascii="Times New Roman" w:hAnsi="Times New Roman"/>
          <w:sz w:val="24"/>
        </w:rPr>
        <w:t xml:space="preserve"> (3. punkts). Tas pats attiecas uz terminu </w:t>
      </w:r>
      <w:r>
        <w:rPr>
          <w:rFonts w:ascii="Times New Roman" w:hAnsi="Times New Roman"/>
          <w:i/>
          <w:sz w:val="24"/>
        </w:rPr>
        <w:t>“pretruna”</w:t>
      </w:r>
      <w:r>
        <w:rPr>
          <w:rFonts w:ascii="Times New Roman" w:hAnsi="Times New Roman"/>
          <w:sz w:val="24"/>
        </w:rPr>
        <w:t xml:space="preserve">, kas definēts kā </w:t>
      </w:r>
      <w:r>
        <w:rPr>
          <w:rFonts w:ascii="Times New Roman" w:hAnsi="Times New Roman"/>
          <w:i/>
          <w:sz w:val="24"/>
        </w:rPr>
        <w:t>“divu tiesību normu (..), t. i., Konstitūcijā un līgumā ietverto noteikumu, pilnīga nesavienojamība”</w:t>
      </w:r>
      <w:r>
        <w:rPr>
          <w:rFonts w:ascii="Times New Roman" w:hAnsi="Times New Roman"/>
          <w:sz w:val="24"/>
        </w:rPr>
        <w:t xml:space="preserve"> (4. punkts).</w:t>
      </w:r>
    </w:p>
    <w:p w14:paraId="74E1AFBF" w14:textId="77777777" w:rsidR="008E3B77" w:rsidRPr="0087409D" w:rsidRDefault="008E3B77" w:rsidP="0087409D">
      <w:pPr>
        <w:jc w:val="both"/>
        <w:rPr>
          <w:rFonts w:ascii="Times New Roman" w:eastAsia="Arial" w:hAnsi="Times New Roman" w:cs="Arial"/>
          <w:noProof/>
          <w:sz w:val="24"/>
        </w:rPr>
      </w:pPr>
    </w:p>
    <w:p w14:paraId="11201DC3" w14:textId="72E43DD8" w:rsidR="008E3B77" w:rsidRPr="0087409D" w:rsidRDefault="00803830" w:rsidP="00803830">
      <w:pPr>
        <w:pStyle w:val="BodyText"/>
        <w:tabs>
          <w:tab w:val="left" w:pos="553"/>
        </w:tabs>
        <w:ind w:left="0"/>
        <w:jc w:val="both"/>
        <w:rPr>
          <w:rFonts w:ascii="Times New Roman" w:hAnsi="Times New Roman"/>
          <w:noProof/>
          <w:sz w:val="24"/>
        </w:rPr>
      </w:pPr>
      <w:r>
        <w:rPr>
          <w:rFonts w:ascii="Times New Roman" w:hAnsi="Times New Roman"/>
          <w:sz w:val="24"/>
        </w:rPr>
        <w:t xml:space="preserve">10. Tāpēc Venēcijas komisija saskaņā ar savu iepriekšējo praksi šajā atzinumā izskatīs tos jautājumus, par kuriem ir diskutēts sabiedriskajā (juridiskajā) apspriešanā saistībā ar šīs </w:t>
      </w:r>
      <w:r>
        <w:rPr>
          <w:rFonts w:ascii="Times New Roman" w:hAnsi="Times New Roman"/>
          <w:sz w:val="24"/>
        </w:rPr>
        <w:lastRenderedPageBreak/>
        <w:t>Konvencijas ratifikāciju Armēnijā vai citur un par kuriem Venēcijas komisijai ir zināms. Turklāt, novērtējot iespējamās konstitucionālās sekas, kas var rasties, ja Armēnija ratificē Stambulas konvenciju, Venēcijas komisija izmantoja Stambulas konvencijas un Stambulas konvencijas skaidrojošā ziņojuma tekstu. Analīzē ir ņemts vērā tikai pašreizējais likuma statuss un nav izteikti nekādi pieņēmumi par Konvencijas iespējamo interpretāciju un piemērošanu nākotnē.</w:t>
      </w:r>
    </w:p>
    <w:p w14:paraId="1A33F92F" w14:textId="77777777" w:rsidR="008E3B77" w:rsidRPr="0087409D" w:rsidRDefault="008E3B77" w:rsidP="0087409D">
      <w:pPr>
        <w:jc w:val="both"/>
        <w:rPr>
          <w:rFonts w:ascii="Times New Roman" w:eastAsia="Arial" w:hAnsi="Times New Roman" w:cs="Arial"/>
          <w:noProof/>
          <w:sz w:val="24"/>
          <w:szCs w:val="21"/>
        </w:rPr>
      </w:pPr>
    </w:p>
    <w:p w14:paraId="56EB4814" w14:textId="2F7970E5" w:rsidR="008E3B77" w:rsidRPr="0087409D" w:rsidRDefault="00803830" w:rsidP="00803830">
      <w:pPr>
        <w:pStyle w:val="BodyText"/>
        <w:tabs>
          <w:tab w:val="left" w:pos="552"/>
        </w:tabs>
        <w:ind w:left="0"/>
        <w:jc w:val="both"/>
        <w:rPr>
          <w:rFonts w:ascii="Times New Roman" w:hAnsi="Times New Roman"/>
          <w:noProof/>
          <w:sz w:val="24"/>
        </w:rPr>
      </w:pPr>
      <w:r>
        <w:rPr>
          <w:rFonts w:ascii="Times New Roman" w:hAnsi="Times New Roman"/>
          <w:sz w:val="24"/>
        </w:rPr>
        <w:t>11. Šajā saistībā ir radušies šādi galvenie jautājumi: a) Stambulas konvencija nav vajadzīga; b) Stambulas konvencija satur noteiktus terminus un jēdzienus, kas ir pretrunā attiecīgās valsts konstitūcijā ietvertajiem terminiem un jēdzieniem; c) Stambulas konvencijas dēļ tiktu veiktas tādas izmaiņas tiesību aktos, kas būtu pretrunā ar attiecīgās valsts konstitūciju; d) ar Stambulas konvenciju tiek izveidota struktūra, kurai ir pārmērīgas pilnvaras, un visbeidzot e) ar Stambulas konvenciju tiek ieviestas jaunas saistības patvēruma tiesību jomā.</w:t>
      </w:r>
    </w:p>
    <w:p w14:paraId="1B391676" w14:textId="77777777" w:rsidR="008E3B77" w:rsidRPr="0087409D" w:rsidRDefault="008E3B77" w:rsidP="0087409D">
      <w:pPr>
        <w:jc w:val="both"/>
        <w:rPr>
          <w:rFonts w:ascii="Times New Roman" w:eastAsia="Arial" w:hAnsi="Times New Roman" w:cs="Arial"/>
          <w:noProof/>
          <w:sz w:val="24"/>
        </w:rPr>
      </w:pPr>
    </w:p>
    <w:p w14:paraId="781F759F" w14:textId="1CBF2DF0" w:rsidR="008E3B77" w:rsidRPr="0087409D" w:rsidRDefault="00803830" w:rsidP="00803830">
      <w:pPr>
        <w:pStyle w:val="Heading1"/>
        <w:tabs>
          <w:tab w:val="left" w:pos="829"/>
        </w:tabs>
        <w:ind w:left="0" w:firstLine="0"/>
        <w:jc w:val="both"/>
        <w:rPr>
          <w:rFonts w:ascii="Times New Roman" w:hAnsi="Times New Roman"/>
          <w:noProof/>
          <w:sz w:val="24"/>
        </w:rPr>
      </w:pPr>
      <w:bookmarkStart w:id="5" w:name="_Toc39749330"/>
      <w:r>
        <w:rPr>
          <w:rFonts w:ascii="Times New Roman" w:hAnsi="Times New Roman"/>
          <w:sz w:val="24"/>
        </w:rPr>
        <w:t>III. Stambulas konvencija</w:t>
      </w:r>
      <w:bookmarkStart w:id="6" w:name="_bookmark3"/>
      <w:bookmarkEnd w:id="6"/>
      <w:bookmarkEnd w:id="5"/>
    </w:p>
    <w:p w14:paraId="69F03CE9" w14:textId="77777777" w:rsidR="008E3B77" w:rsidRPr="0087409D" w:rsidRDefault="008E3B77" w:rsidP="0087409D">
      <w:pPr>
        <w:jc w:val="both"/>
        <w:rPr>
          <w:rFonts w:ascii="Times New Roman" w:eastAsia="Arial" w:hAnsi="Times New Roman" w:cs="Arial"/>
          <w:b/>
          <w:bCs/>
          <w:noProof/>
          <w:sz w:val="24"/>
        </w:rPr>
      </w:pPr>
    </w:p>
    <w:p w14:paraId="405DA311" w14:textId="148D4033" w:rsidR="008E3B77" w:rsidRPr="0087409D" w:rsidRDefault="00803830" w:rsidP="00803830">
      <w:pPr>
        <w:tabs>
          <w:tab w:val="left" w:pos="1254"/>
        </w:tabs>
        <w:jc w:val="both"/>
        <w:rPr>
          <w:rFonts w:ascii="Times New Roman" w:hAnsi="Times New Roman"/>
          <w:b/>
          <w:noProof/>
          <w:sz w:val="24"/>
        </w:rPr>
      </w:pPr>
      <w:r>
        <w:rPr>
          <w:rFonts w:ascii="Times New Roman" w:hAnsi="Times New Roman"/>
          <w:b/>
          <w:sz w:val="24"/>
        </w:rPr>
        <w:t>A. Vispārējie komentāri</w:t>
      </w:r>
    </w:p>
    <w:p w14:paraId="634596A5" w14:textId="77777777" w:rsidR="008E3B77" w:rsidRPr="0087409D" w:rsidRDefault="008E3B77" w:rsidP="0087409D">
      <w:pPr>
        <w:jc w:val="both"/>
        <w:rPr>
          <w:rFonts w:ascii="Times New Roman" w:eastAsia="Arial" w:hAnsi="Times New Roman" w:cs="Arial"/>
          <w:b/>
          <w:bCs/>
          <w:noProof/>
          <w:sz w:val="24"/>
        </w:rPr>
      </w:pPr>
    </w:p>
    <w:p w14:paraId="7FB11F1D" w14:textId="0F75ECC8" w:rsidR="008E3B77" w:rsidRPr="0087409D" w:rsidRDefault="00803830" w:rsidP="00803830">
      <w:pPr>
        <w:tabs>
          <w:tab w:val="left" w:pos="541"/>
        </w:tabs>
        <w:jc w:val="both"/>
        <w:rPr>
          <w:rFonts w:ascii="Times New Roman" w:eastAsia="Arial" w:hAnsi="Times New Roman" w:cs="Arial"/>
          <w:noProof/>
          <w:sz w:val="24"/>
        </w:rPr>
      </w:pPr>
      <w:r>
        <w:rPr>
          <w:rFonts w:ascii="Times New Roman" w:hAnsi="Times New Roman"/>
          <w:sz w:val="24"/>
        </w:rPr>
        <w:t xml:space="preserve">12. Eiropas Padomes </w:t>
      </w:r>
      <w:r>
        <w:rPr>
          <w:rFonts w:ascii="Times New Roman" w:hAnsi="Times New Roman"/>
          <w:i/>
          <w:sz w:val="24"/>
        </w:rPr>
        <w:t>Konvencija par vardarbības pret sievietēm un vardarbības ģimenē novēršanu un apkarošanu</w:t>
      </w:r>
      <w:r>
        <w:rPr>
          <w:rFonts w:ascii="Times New Roman" w:hAnsi="Times New Roman"/>
          <w:sz w:val="24"/>
        </w:rPr>
        <w:t xml:space="preserve">, kas zināma arī kā Stambulas konvencija, ir pieņemta 2011. gada 11. maijā Stambulā, Turcijā. Konvencijas mērķis ir </w:t>
      </w:r>
      <w:r>
        <w:rPr>
          <w:rFonts w:ascii="Times New Roman" w:hAnsi="Times New Roman"/>
          <w:i/>
          <w:sz w:val="24"/>
        </w:rPr>
        <w:t>“aizsargāt sievietes no jebkādas vardarbības un novērst vardarbību pret sievietēm un vardarbību ģimenē, sodīt par to un to izskaust”</w:t>
      </w:r>
      <w:r>
        <w:rPr>
          <w:rFonts w:ascii="Times New Roman" w:hAnsi="Times New Roman"/>
          <w:sz w:val="24"/>
        </w:rPr>
        <w:t xml:space="preserve"> (1. panta 1. punkta a) apakšpunkts). Šī Konvencija attiecas uz </w:t>
      </w:r>
      <w:r>
        <w:rPr>
          <w:rFonts w:ascii="Times New Roman" w:hAnsi="Times New Roman"/>
          <w:i/>
          <w:sz w:val="24"/>
        </w:rPr>
        <w:t>“jebkādu vardarbību pret sievietēm, tostarp vardarbību ģimenē, kas nesamērīgi skar sievietes”</w:t>
      </w:r>
      <w:r>
        <w:rPr>
          <w:rFonts w:ascii="Times New Roman" w:hAnsi="Times New Roman"/>
          <w:sz w:val="24"/>
        </w:rPr>
        <w:t xml:space="preserve"> (2. pants).</w:t>
      </w:r>
    </w:p>
    <w:p w14:paraId="4903A04F" w14:textId="77777777" w:rsidR="008E3B77" w:rsidRPr="0087409D" w:rsidRDefault="008E3B77" w:rsidP="0087409D">
      <w:pPr>
        <w:jc w:val="both"/>
        <w:rPr>
          <w:rFonts w:ascii="Times New Roman" w:eastAsia="Arial" w:hAnsi="Times New Roman" w:cs="Arial"/>
          <w:noProof/>
          <w:sz w:val="24"/>
          <w:szCs w:val="21"/>
        </w:rPr>
      </w:pPr>
    </w:p>
    <w:p w14:paraId="2B29CB72" w14:textId="07B0460B" w:rsidR="008E3B77" w:rsidRPr="0087409D" w:rsidRDefault="00803830" w:rsidP="00803830">
      <w:pPr>
        <w:pStyle w:val="BodyText"/>
        <w:tabs>
          <w:tab w:val="left" w:pos="558"/>
        </w:tabs>
        <w:ind w:left="0"/>
        <w:jc w:val="both"/>
        <w:rPr>
          <w:rFonts w:ascii="Times New Roman" w:hAnsi="Times New Roman"/>
          <w:noProof/>
          <w:sz w:val="24"/>
          <w:szCs w:val="14"/>
        </w:rPr>
      </w:pPr>
      <w:r>
        <w:rPr>
          <w:rFonts w:ascii="Times New Roman" w:hAnsi="Times New Roman"/>
          <w:sz w:val="24"/>
        </w:rPr>
        <w:t>13. Stambulas konvencija stājās spēkā 2014. gada 1. augustā, kad to bija ratificējušas 10 valstis. Līdz 2019. gada augustam to bija ratificējušas 34 Eiropas Padomes dalībvalstis un parakstījušas visas pārējās dalībvalstis, izņemot Azerbaidžānu un Krievijas Federāciju. To ir parakstījusi arī viena starptautiskā organizācija – Eiropas Savienība. Saskaņā ar 78. pantu atrunas attiecībā uz šo Konvenciju ir izteikušas 22 dalībvalstis. Deklarācijas pieņēma piecas dalībvalstis, un sešas dalībvalstis ir iebildušas pret vienas valsts, Polijas, deklarāciju.</w:t>
      </w:r>
      <w:r>
        <w:rPr>
          <w:rStyle w:val="FootnoteReference"/>
          <w:rFonts w:ascii="Times New Roman" w:hAnsi="Times New Roman"/>
          <w:noProof/>
          <w:sz w:val="24"/>
        </w:rPr>
        <w:footnoteReference w:id="11"/>
      </w:r>
    </w:p>
    <w:p w14:paraId="7D6E9898" w14:textId="77777777" w:rsidR="008E3B77" w:rsidRPr="0087409D" w:rsidRDefault="008E3B77" w:rsidP="0087409D">
      <w:pPr>
        <w:jc w:val="both"/>
        <w:rPr>
          <w:rFonts w:ascii="Times New Roman" w:eastAsia="Arial" w:hAnsi="Times New Roman" w:cs="Arial"/>
          <w:noProof/>
          <w:sz w:val="24"/>
        </w:rPr>
      </w:pPr>
    </w:p>
    <w:p w14:paraId="16E10AAA" w14:textId="205B544E" w:rsidR="008E3B77" w:rsidRPr="0087409D" w:rsidRDefault="00803830" w:rsidP="00803830">
      <w:pPr>
        <w:pStyle w:val="BodyText"/>
        <w:tabs>
          <w:tab w:val="left" w:pos="541"/>
        </w:tabs>
        <w:ind w:left="0"/>
        <w:jc w:val="both"/>
        <w:rPr>
          <w:rFonts w:ascii="Times New Roman" w:hAnsi="Times New Roman"/>
          <w:noProof/>
          <w:sz w:val="24"/>
          <w:szCs w:val="14"/>
        </w:rPr>
      </w:pPr>
      <w:r>
        <w:rPr>
          <w:rFonts w:ascii="Times New Roman" w:hAnsi="Times New Roman"/>
          <w:sz w:val="24"/>
        </w:rPr>
        <w:t>14. Divās valstīs, Bulgārijā un Slovākijā, nesen tika apturēts ratifikācijas process. Bulgārijā Konvencijas piemērošana tika apturēta ar Konstitucionālās tiesas lēmumu, jo tā konstatēja pretrunu starp Stambulas konvenciju un Bulgārijas Konstitūciju,</w:t>
      </w:r>
      <w:r>
        <w:rPr>
          <w:rStyle w:val="FootnoteReference"/>
          <w:rFonts w:ascii="Times New Roman" w:hAnsi="Times New Roman"/>
          <w:noProof/>
          <w:sz w:val="24"/>
        </w:rPr>
        <w:footnoteReference w:id="12"/>
      </w:r>
      <w:r>
        <w:rPr>
          <w:rFonts w:ascii="Times New Roman" w:hAnsi="Times New Roman"/>
          <w:color w:val="161616"/>
          <w:sz w:val="24"/>
        </w:rPr>
        <w:t xml:space="preserve"> </w:t>
      </w:r>
      <w:r>
        <w:rPr>
          <w:rFonts w:ascii="Times New Roman" w:hAnsi="Times New Roman"/>
          <w:sz w:val="24"/>
        </w:rPr>
        <w:t>un Armēnijā tas tiek minēts kā arguments pret šīs Konvencijas ratifikāciju. Slovākijā 2019. gada 29. martā Valsts padome ar lielu balsu vairākumu nobalsoja pret Stambulas konvencijas ratifikāciju, pieprasot valdībai pārtraukt ratifikācijas procesu.</w:t>
      </w:r>
      <w:r>
        <w:rPr>
          <w:rStyle w:val="FootnoteReference"/>
          <w:rFonts w:ascii="Times New Roman" w:hAnsi="Times New Roman"/>
          <w:noProof/>
          <w:sz w:val="24"/>
        </w:rPr>
        <w:footnoteReference w:id="13"/>
      </w:r>
    </w:p>
    <w:p w14:paraId="5262D095" w14:textId="77777777" w:rsidR="008E3B77" w:rsidRPr="0087409D" w:rsidRDefault="008E3B77" w:rsidP="0087409D">
      <w:pPr>
        <w:jc w:val="both"/>
        <w:rPr>
          <w:rFonts w:ascii="Times New Roman" w:eastAsia="Arial" w:hAnsi="Times New Roman" w:cs="Arial"/>
          <w:noProof/>
          <w:sz w:val="24"/>
        </w:rPr>
      </w:pPr>
    </w:p>
    <w:p w14:paraId="33E8C024" w14:textId="2B717C83" w:rsidR="008E3B77" w:rsidRPr="0087409D" w:rsidRDefault="00803830" w:rsidP="00803830">
      <w:pPr>
        <w:pStyle w:val="BodyText"/>
        <w:tabs>
          <w:tab w:val="left" w:pos="624"/>
        </w:tabs>
        <w:ind w:left="0"/>
        <w:jc w:val="both"/>
        <w:rPr>
          <w:rFonts w:ascii="Times New Roman" w:hAnsi="Times New Roman"/>
          <w:noProof/>
          <w:sz w:val="24"/>
        </w:rPr>
      </w:pPr>
      <w:r>
        <w:rPr>
          <w:rFonts w:ascii="Times New Roman" w:hAnsi="Times New Roman"/>
          <w:sz w:val="24"/>
        </w:rPr>
        <w:t xml:space="preserve">15. Armēnija Stambulas konvenciju parakstīja 2018. gada 18. janvārī. Parakstot Konvenciju, Armēnija pieņēma atrunu, paturot tiesības nepiemērot Konvencijas 30. panta 2. punkta noteikumus par kompensāciju, 55. panta 1. punkta noteikumus par </w:t>
      </w:r>
      <w:r>
        <w:rPr>
          <w:rFonts w:ascii="Times New Roman" w:hAnsi="Times New Roman"/>
          <w:i/>
          <w:sz w:val="24"/>
        </w:rPr>
        <w:t>ex parte</w:t>
      </w:r>
      <w:r>
        <w:rPr>
          <w:rFonts w:ascii="Times New Roman" w:hAnsi="Times New Roman"/>
          <w:sz w:val="24"/>
        </w:rPr>
        <w:t xml:space="preserve"> un </w:t>
      </w:r>
      <w:r>
        <w:rPr>
          <w:rFonts w:ascii="Times New Roman" w:hAnsi="Times New Roman"/>
          <w:i/>
          <w:sz w:val="24"/>
        </w:rPr>
        <w:t>ex officio</w:t>
      </w:r>
      <w:r>
        <w:rPr>
          <w:rFonts w:ascii="Times New Roman" w:hAnsi="Times New Roman"/>
          <w:sz w:val="24"/>
        </w:rPr>
        <w:t> tiesvedību attiecībā uz 35. pantu par nepilngadīgo nodarījumiem, 58. pantu par noilgumu attiecībā uz 37. pantu un 59. pantu par pastāvīgas uzturēšanās statusu.</w:t>
      </w:r>
    </w:p>
    <w:p w14:paraId="03200105" w14:textId="77777777" w:rsidR="008E3B77" w:rsidRPr="0087409D" w:rsidRDefault="008E3B77" w:rsidP="0087409D">
      <w:pPr>
        <w:jc w:val="both"/>
        <w:rPr>
          <w:rFonts w:ascii="Times New Roman" w:eastAsia="Arial" w:hAnsi="Times New Roman" w:cs="Arial"/>
          <w:noProof/>
          <w:sz w:val="24"/>
          <w:szCs w:val="21"/>
        </w:rPr>
      </w:pPr>
    </w:p>
    <w:p w14:paraId="7DD3CB6B" w14:textId="3BDBAD8F" w:rsidR="008E3B77" w:rsidRPr="0087409D" w:rsidRDefault="00803830" w:rsidP="00803830">
      <w:pPr>
        <w:tabs>
          <w:tab w:val="left" w:pos="1254"/>
        </w:tabs>
        <w:jc w:val="both"/>
        <w:rPr>
          <w:rFonts w:ascii="Times New Roman" w:hAnsi="Times New Roman"/>
          <w:b/>
          <w:noProof/>
          <w:sz w:val="24"/>
        </w:rPr>
      </w:pPr>
      <w:r>
        <w:rPr>
          <w:rFonts w:ascii="Times New Roman" w:hAnsi="Times New Roman"/>
          <w:b/>
          <w:sz w:val="24"/>
        </w:rPr>
        <w:t>B. Piemērošanas joma</w:t>
      </w:r>
    </w:p>
    <w:p w14:paraId="412FC754" w14:textId="77777777" w:rsidR="008E3B77" w:rsidRPr="0087409D" w:rsidRDefault="008E3B77" w:rsidP="0087409D">
      <w:pPr>
        <w:jc w:val="both"/>
        <w:rPr>
          <w:rFonts w:ascii="Times New Roman" w:eastAsia="Arial" w:hAnsi="Times New Roman" w:cs="Arial"/>
          <w:b/>
          <w:bCs/>
          <w:noProof/>
          <w:sz w:val="24"/>
        </w:rPr>
      </w:pPr>
    </w:p>
    <w:p w14:paraId="3FFBEE13" w14:textId="4DB99DF9" w:rsidR="008E3B77" w:rsidRPr="00803830" w:rsidRDefault="00803830" w:rsidP="00803830">
      <w:pPr>
        <w:tabs>
          <w:tab w:val="left" w:pos="558"/>
        </w:tabs>
        <w:jc w:val="both"/>
        <w:rPr>
          <w:rFonts w:ascii="Times New Roman" w:eastAsia="Arial" w:hAnsi="Times New Roman" w:cs="Arial"/>
          <w:noProof/>
          <w:sz w:val="24"/>
        </w:rPr>
      </w:pPr>
      <w:r>
        <w:rPr>
          <w:rFonts w:ascii="Times New Roman" w:hAnsi="Times New Roman"/>
          <w:sz w:val="24"/>
        </w:rPr>
        <w:t xml:space="preserve">16. Stambulas konvencijas preambulā ir teikts, ka tās mērķis ir </w:t>
      </w:r>
      <w:r>
        <w:rPr>
          <w:rFonts w:ascii="Times New Roman" w:hAnsi="Times New Roman"/>
          <w:i/>
          <w:sz w:val="24"/>
        </w:rPr>
        <w:t>“izveidot tādu Eiropu, kurā nebūtu vardarbības pret sievietēm un vardarbības ģimenē”</w:t>
      </w:r>
      <w:r>
        <w:rPr>
          <w:rFonts w:ascii="Times New Roman" w:hAnsi="Times New Roman"/>
          <w:sz w:val="24"/>
        </w:rPr>
        <w:t>. Tāpēc dalībvalstīm ir pienākums ieviest tādu valsts tiesisko regulējumu, kas apkarotu un novērstu jebkādu vardarbību pret sievietēm un sodītu par to.</w:t>
      </w:r>
      <w:r>
        <w:rPr>
          <w:rStyle w:val="FootnoteReference"/>
          <w:rFonts w:ascii="Times New Roman" w:eastAsia="Arial" w:hAnsi="Times New Roman" w:cs="Arial"/>
          <w:noProof/>
          <w:sz w:val="24"/>
        </w:rPr>
        <w:footnoteReference w:id="14"/>
      </w:r>
      <w:r>
        <w:rPr>
          <w:rFonts w:ascii="Times New Roman" w:hAnsi="Times New Roman"/>
          <w:sz w:val="24"/>
          <w:szCs w:val="14"/>
        </w:rPr>
        <w:t xml:space="preserve"> </w:t>
      </w:r>
      <w:r>
        <w:rPr>
          <w:rFonts w:ascii="Times New Roman" w:hAnsi="Times New Roman"/>
          <w:sz w:val="24"/>
        </w:rPr>
        <w:t>Turklāt Konvencijā ir uzsvērta savstarpējā saistība starp sieviešu iespēju palielināšanu, t. i., dzimumu līdztiesību, un visu veidu vardarbības pret sievietēm izskaušanu.</w:t>
      </w:r>
      <w:r>
        <w:rPr>
          <w:rStyle w:val="FootnoteReference"/>
          <w:rFonts w:ascii="Times New Roman" w:hAnsi="Times New Roman"/>
          <w:noProof/>
          <w:sz w:val="24"/>
        </w:rPr>
        <w:footnoteReference w:id="15"/>
      </w:r>
    </w:p>
    <w:p w14:paraId="3EE91C87" w14:textId="77777777" w:rsidR="008E3B77" w:rsidRPr="0087409D" w:rsidRDefault="008E3B77" w:rsidP="0087409D">
      <w:pPr>
        <w:jc w:val="both"/>
        <w:rPr>
          <w:rFonts w:ascii="Times New Roman" w:eastAsia="Arial" w:hAnsi="Times New Roman" w:cs="Arial"/>
          <w:noProof/>
          <w:sz w:val="24"/>
          <w:szCs w:val="21"/>
        </w:rPr>
      </w:pPr>
    </w:p>
    <w:p w14:paraId="0FF847C7" w14:textId="77679442" w:rsidR="008E3B77" w:rsidRPr="0087409D" w:rsidRDefault="00803830" w:rsidP="00803830">
      <w:pPr>
        <w:pStyle w:val="BodyText"/>
        <w:tabs>
          <w:tab w:val="left" w:pos="536"/>
        </w:tabs>
        <w:ind w:left="0"/>
        <w:jc w:val="both"/>
        <w:rPr>
          <w:rFonts w:ascii="Times New Roman" w:hAnsi="Times New Roman" w:cs="Arial"/>
          <w:noProof/>
          <w:sz w:val="24"/>
        </w:rPr>
      </w:pPr>
      <w:r>
        <w:rPr>
          <w:rFonts w:ascii="Times New Roman" w:hAnsi="Times New Roman"/>
          <w:sz w:val="24"/>
        </w:rPr>
        <w:t>17. Lai sasniegtu šo mērķi, Stambulas konvencijas pamatā ir citi starptautiski juridiskie instrumenti, piemēram, Eiropas Cilvēktiesību konvencija (turpmāk tekstā – “ECK”), kā arī Eiropas Cilvēktiesību tiesas (turpmāk tekstā – “ECT”) judikatūra. Turklāt Stambulas konvencijā ir iekļautas atsauces uz Konvenciju par jebkuras sieviešu diskriminācijas izskaušanu (turpmāk tekstā – “</w:t>
      </w:r>
      <w:r>
        <w:rPr>
          <w:rFonts w:ascii="Times New Roman" w:hAnsi="Times New Roman"/>
          <w:i/>
          <w:sz w:val="24"/>
        </w:rPr>
        <w:t>CEDAW</w:t>
      </w:r>
      <w:r>
        <w:rPr>
          <w:rFonts w:ascii="Times New Roman" w:hAnsi="Times New Roman"/>
          <w:sz w:val="24"/>
        </w:rPr>
        <w:t> konvencija”) un ir sīkāk izstrādātas tajā ietvertās normas.</w:t>
      </w:r>
      <w:r>
        <w:rPr>
          <w:rStyle w:val="FootnoteReference"/>
          <w:rFonts w:ascii="Times New Roman" w:hAnsi="Times New Roman"/>
          <w:noProof/>
          <w:sz w:val="24"/>
        </w:rPr>
        <w:footnoteReference w:id="16"/>
      </w:r>
      <w:r>
        <w:rPr>
          <w:rFonts w:ascii="Times New Roman" w:hAnsi="Times New Roman"/>
          <w:sz w:val="24"/>
          <w:szCs w:val="14"/>
        </w:rPr>
        <w:t xml:space="preserve"> </w:t>
      </w:r>
      <w:r>
        <w:rPr>
          <w:rFonts w:ascii="Times New Roman" w:hAnsi="Times New Roman"/>
          <w:sz w:val="24"/>
        </w:rPr>
        <w:t>Visbeidzot, Stambulas konvencija ietver principus, kas noteikti Starptautiskajā paktā par pilsoniskajām un politiskajām tiesībām (turpmāk tekstā – “</w:t>
      </w:r>
      <w:r>
        <w:rPr>
          <w:rFonts w:ascii="Times New Roman" w:hAnsi="Times New Roman"/>
          <w:i/>
          <w:sz w:val="24"/>
        </w:rPr>
        <w:t>ICCPR</w:t>
      </w:r>
      <w:r>
        <w:rPr>
          <w:rFonts w:ascii="Times New Roman" w:hAnsi="Times New Roman"/>
          <w:sz w:val="24"/>
        </w:rPr>
        <w:t>”), Starptautiskajā paktā par ekonomiskajām, sociālajām un kultūras tiesībām (turpmāk tekstā – “</w:t>
      </w:r>
      <w:r>
        <w:rPr>
          <w:rFonts w:ascii="Times New Roman" w:hAnsi="Times New Roman"/>
          <w:i/>
          <w:sz w:val="24"/>
        </w:rPr>
        <w:t>ICESCR</w:t>
      </w:r>
      <w:r>
        <w:rPr>
          <w:rFonts w:ascii="Times New Roman" w:hAnsi="Times New Roman"/>
          <w:sz w:val="24"/>
        </w:rPr>
        <w:t>”) un Konvencijā pret spīdzināšanu un citiem nežēlīgas, necilvēcīgas vai pazemojošas izturēšanās vai sodīšanas veidiem (turpmāk tekstā – “</w:t>
      </w:r>
      <w:r>
        <w:rPr>
          <w:rFonts w:ascii="Times New Roman" w:hAnsi="Times New Roman"/>
          <w:i/>
          <w:sz w:val="24"/>
        </w:rPr>
        <w:t>UNCAT</w:t>
      </w:r>
      <w:r>
        <w:rPr>
          <w:rFonts w:ascii="Times New Roman" w:hAnsi="Times New Roman"/>
          <w:sz w:val="24"/>
        </w:rPr>
        <w:t> konvencija”).</w:t>
      </w:r>
    </w:p>
    <w:p w14:paraId="42E663E0" w14:textId="77777777" w:rsidR="008E3B77" w:rsidRPr="0087409D" w:rsidRDefault="008E3B77" w:rsidP="0087409D">
      <w:pPr>
        <w:jc w:val="both"/>
        <w:rPr>
          <w:rFonts w:ascii="Times New Roman" w:eastAsia="Arial" w:hAnsi="Times New Roman" w:cs="Arial"/>
          <w:noProof/>
          <w:sz w:val="24"/>
        </w:rPr>
      </w:pPr>
    </w:p>
    <w:p w14:paraId="1B926643" w14:textId="0E287C80" w:rsidR="008E3B77" w:rsidRPr="0087409D" w:rsidRDefault="00803830" w:rsidP="00803830">
      <w:pPr>
        <w:tabs>
          <w:tab w:val="left" w:pos="630"/>
        </w:tabs>
        <w:jc w:val="both"/>
        <w:rPr>
          <w:rFonts w:ascii="Times New Roman" w:eastAsia="Arial" w:hAnsi="Times New Roman" w:cs="Arial"/>
          <w:noProof/>
          <w:sz w:val="24"/>
        </w:rPr>
      </w:pPr>
      <w:r>
        <w:rPr>
          <w:rFonts w:ascii="Times New Roman" w:hAnsi="Times New Roman"/>
          <w:sz w:val="24"/>
        </w:rPr>
        <w:t>18. Šie instrumenti ir Stambulas konvencijas pamatā, bet uzmanība tajā ir īpaši pievērsta vardarbībai pret sievietēm un vardarbībai ģimenē, kas nav skaidri aplūkota iepriekšējos instrumentos, lai gan ir vairākkārt norādīts, ka šie vardarbības veidi ir smags un plaši izplatīts cilvēktiesību pārkāpums.</w:t>
      </w:r>
      <w:r>
        <w:rPr>
          <w:rStyle w:val="FootnoteReference"/>
          <w:rFonts w:ascii="Times New Roman" w:eastAsia="Arial" w:hAnsi="Times New Roman" w:cs="Arial"/>
          <w:noProof/>
          <w:sz w:val="24"/>
        </w:rPr>
        <w:footnoteReference w:id="17"/>
      </w:r>
      <w:r>
        <w:rPr>
          <w:rFonts w:ascii="Times New Roman" w:hAnsi="Times New Roman"/>
          <w:sz w:val="24"/>
          <w:szCs w:val="14"/>
        </w:rPr>
        <w:t xml:space="preserve"> </w:t>
      </w:r>
      <w:r>
        <w:rPr>
          <w:rFonts w:ascii="Times New Roman" w:hAnsi="Times New Roman"/>
          <w:sz w:val="24"/>
        </w:rPr>
        <w:t xml:space="preserve">Tā ir izstrādāta, par paraugu ņemot </w:t>
      </w:r>
      <w:r>
        <w:rPr>
          <w:rFonts w:ascii="Times New Roman" w:hAnsi="Times New Roman"/>
          <w:i/>
          <w:sz w:val="24"/>
        </w:rPr>
        <w:t>Amerikas Konvenciju par vardarbības pret sievietēm novēršanu, sodīšanu un izskaušanu</w:t>
      </w:r>
      <w:r>
        <w:rPr>
          <w:rFonts w:ascii="Times New Roman" w:hAnsi="Times New Roman"/>
          <w:sz w:val="24"/>
        </w:rPr>
        <w:t xml:space="preserve"> (1994. gada Belenas konvencija)</w:t>
      </w:r>
      <w:r>
        <w:rPr>
          <w:rStyle w:val="FootnoteReference"/>
          <w:rFonts w:ascii="Times New Roman" w:eastAsia="Arial" w:hAnsi="Times New Roman" w:cs="Arial"/>
          <w:noProof/>
          <w:sz w:val="24"/>
        </w:rPr>
        <w:footnoteReference w:id="18"/>
      </w:r>
      <w:r>
        <w:rPr>
          <w:rFonts w:ascii="Times New Roman" w:hAnsi="Times New Roman"/>
          <w:sz w:val="24"/>
        </w:rPr>
        <w:t xml:space="preserve">, kas tika pieņemta 1994. gadā Amerikas valstu savienības (turpmāk tekstā – “AVS”) aizgādībā, kā arī 2003. gadā pieņemto </w:t>
      </w:r>
      <w:r>
        <w:rPr>
          <w:rFonts w:ascii="Times New Roman" w:hAnsi="Times New Roman"/>
          <w:i/>
          <w:sz w:val="24"/>
        </w:rPr>
        <w:t>Āfrikas Cilvēktiesību un tautu tiesību hartas Protokolu par sieviešu tiesībām Āfrikā</w:t>
      </w:r>
      <w:r>
        <w:rPr>
          <w:rFonts w:ascii="Times New Roman" w:hAnsi="Times New Roman"/>
          <w:sz w:val="24"/>
        </w:rPr>
        <w:t>, kas plašāk zināms kā “</w:t>
      </w:r>
      <w:r>
        <w:rPr>
          <w:rFonts w:ascii="Times New Roman" w:hAnsi="Times New Roman"/>
          <w:i/>
          <w:sz w:val="24"/>
        </w:rPr>
        <w:t>Maputo protokols</w:t>
      </w:r>
      <w:r>
        <w:rPr>
          <w:rFonts w:ascii="Times New Roman" w:hAnsi="Times New Roman"/>
          <w:sz w:val="24"/>
        </w:rPr>
        <w:t>”.</w:t>
      </w:r>
      <w:r>
        <w:rPr>
          <w:rStyle w:val="FootnoteReference"/>
          <w:rFonts w:ascii="Times New Roman" w:eastAsia="Arial" w:hAnsi="Times New Roman" w:cs="Arial"/>
          <w:noProof/>
          <w:sz w:val="24"/>
        </w:rPr>
        <w:footnoteReference w:id="19"/>
      </w:r>
    </w:p>
    <w:p w14:paraId="5A69E2AB" w14:textId="77777777" w:rsidR="008E3B77" w:rsidRPr="0087409D" w:rsidRDefault="008E3B77" w:rsidP="0087409D">
      <w:pPr>
        <w:jc w:val="both"/>
        <w:rPr>
          <w:rFonts w:ascii="Times New Roman" w:eastAsia="Arial" w:hAnsi="Times New Roman" w:cs="Arial"/>
          <w:noProof/>
          <w:sz w:val="24"/>
          <w:szCs w:val="21"/>
        </w:rPr>
      </w:pPr>
    </w:p>
    <w:p w14:paraId="2B299B28" w14:textId="18C6A769" w:rsidR="008E3B77" w:rsidRPr="0087409D" w:rsidRDefault="00803830" w:rsidP="00803830">
      <w:pPr>
        <w:pStyle w:val="BodyText"/>
        <w:tabs>
          <w:tab w:val="left" w:pos="569"/>
        </w:tabs>
        <w:ind w:left="0"/>
        <w:jc w:val="both"/>
        <w:rPr>
          <w:rFonts w:ascii="Times New Roman" w:hAnsi="Times New Roman"/>
          <w:noProof/>
          <w:sz w:val="24"/>
        </w:rPr>
      </w:pPr>
      <w:r>
        <w:rPr>
          <w:rFonts w:ascii="Times New Roman" w:hAnsi="Times New Roman"/>
          <w:sz w:val="24"/>
        </w:rPr>
        <w:t xml:space="preserve">19. Valstīm, kas ratificējušas Stambulas konvenciju, ir ne tikai pienākums, nosakot sankcijas tiesību aktos un citos instrumentos, </w:t>
      </w:r>
      <w:r>
        <w:rPr>
          <w:rFonts w:ascii="Times New Roman" w:hAnsi="Times New Roman"/>
          <w:i/>
          <w:sz w:val="24"/>
        </w:rPr>
        <w:t>sodīt</w:t>
      </w:r>
      <w:r>
        <w:rPr>
          <w:rFonts w:ascii="Times New Roman" w:hAnsi="Times New Roman"/>
          <w:sz w:val="24"/>
        </w:rPr>
        <w:t xml:space="preserve"> par noziedzīgiem nodarījumiem saistībā ar vardarbību pret sievietēm un vardarbību ģimenē (Stambulas konvencijas 29.–48. pants). Tām ir arī jāveic vispusīgs pasākumu kopums, lai </w:t>
      </w:r>
      <w:r>
        <w:rPr>
          <w:rFonts w:ascii="Times New Roman" w:hAnsi="Times New Roman"/>
          <w:i/>
          <w:sz w:val="24"/>
        </w:rPr>
        <w:t>aizsargātu</w:t>
      </w:r>
      <w:r>
        <w:rPr>
          <w:rFonts w:ascii="Times New Roman" w:hAnsi="Times New Roman"/>
          <w:sz w:val="24"/>
        </w:rPr>
        <w:t xml:space="preserve"> visus vardarbības upurus no </w:t>
      </w:r>
      <w:r>
        <w:rPr>
          <w:rFonts w:ascii="Times New Roman" w:hAnsi="Times New Roman"/>
          <w:sz w:val="24"/>
        </w:rPr>
        <w:lastRenderedPageBreak/>
        <w:t xml:space="preserve">jebkādiem turpmākiem vardarbības aktiem (Stambulas konvencijas 18.–28. pants). Turklāt dalībvalstīm ir pienākums palielināt izpratni un </w:t>
      </w:r>
      <w:r>
        <w:rPr>
          <w:rFonts w:ascii="Times New Roman" w:hAnsi="Times New Roman"/>
          <w:i/>
          <w:sz w:val="24"/>
        </w:rPr>
        <w:t>informēt</w:t>
      </w:r>
      <w:r>
        <w:rPr>
          <w:rFonts w:ascii="Times New Roman" w:hAnsi="Times New Roman"/>
          <w:sz w:val="24"/>
        </w:rPr>
        <w:t xml:space="preserve"> sabiedrību par vardarbības ģimenē un vardarbības pret sievietēm novēršanu, kā arī par vīriešu un sieviešu līdztiesības veicināšanu (Stambulas konvencijas 12.–17. pants).</w:t>
      </w:r>
    </w:p>
    <w:p w14:paraId="7632099F" w14:textId="77777777" w:rsidR="008E3B77" w:rsidRPr="0087409D" w:rsidRDefault="008E3B77" w:rsidP="0087409D">
      <w:pPr>
        <w:jc w:val="both"/>
        <w:rPr>
          <w:rFonts w:ascii="Times New Roman" w:eastAsia="Arial" w:hAnsi="Times New Roman" w:cs="Arial"/>
          <w:noProof/>
          <w:sz w:val="24"/>
        </w:rPr>
      </w:pPr>
    </w:p>
    <w:p w14:paraId="5DA8765E" w14:textId="1A517A1A" w:rsidR="008E3B77" w:rsidRPr="00803830" w:rsidRDefault="00803830" w:rsidP="00803830">
      <w:pPr>
        <w:pStyle w:val="BodyText"/>
        <w:tabs>
          <w:tab w:val="left" w:pos="651"/>
        </w:tabs>
        <w:ind w:left="0"/>
        <w:jc w:val="both"/>
        <w:rPr>
          <w:rFonts w:ascii="Times New Roman" w:hAnsi="Times New Roman"/>
          <w:noProof/>
          <w:sz w:val="24"/>
        </w:rPr>
      </w:pPr>
      <w:r>
        <w:rPr>
          <w:rFonts w:ascii="Times New Roman" w:hAnsi="Times New Roman"/>
          <w:sz w:val="24"/>
        </w:rPr>
        <w:t>20. Saskaņā ar iepriekš teikto Stambulas konvencija apkaro jebkādu vardarbību pret sievietēm un vardarbību ģimenē. Šīs Konvencijas 3. panta a) un b) punktā</w:t>
      </w:r>
      <w:r>
        <w:rPr>
          <w:rStyle w:val="FootnoteReference"/>
          <w:rFonts w:ascii="Times New Roman" w:hAnsi="Times New Roman" w:cs="Arial"/>
          <w:noProof/>
          <w:sz w:val="24"/>
        </w:rPr>
        <w:footnoteReference w:id="20"/>
      </w:r>
      <w:r>
        <w:rPr>
          <w:rFonts w:ascii="Times New Roman" w:hAnsi="Times New Roman"/>
          <w:sz w:val="24"/>
        </w:rPr>
        <w:t xml:space="preserve"> ir sniegta </w:t>
      </w:r>
      <w:r>
        <w:rPr>
          <w:rFonts w:ascii="Times New Roman" w:hAnsi="Times New Roman"/>
          <w:i/>
          <w:sz w:val="24"/>
        </w:rPr>
        <w:t>“vardarbības pret sievietēm un vardarbības ģimenē”</w:t>
      </w:r>
      <w:r>
        <w:rPr>
          <w:rFonts w:ascii="Times New Roman" w:hAnsi="Times New Roman"/>
          <w:sz w:val="24"/>
        </w:rPr>
        <w:t xml:space="preserve"> definīcija, lai veicinātu labāku izpratni par šiem abiem terminiem un atšķirtu tos vienu no otra.</w:t>
      </w:r>
    </w:p>
    <w:p w14:paraId="22D1D230" w14:textId="77777777" w:rsidR="008E3B77" w:rsidRPr="0087409D" w:rsidRDefault="008E3B77" w:rsidP="0087409D">
      <w:pPr>
        <w:jc w:val="both"/>
        <w:rPr>
          <w:rFonts w:ascii="Times New Roman" w:eastAsia="Arial" w:hAnsi="Times New Roman" w:cs="Arial"/>
          <w:noProof/>
          <w:sz w:val="24"/>
        </w:rPr>
      </w:pPr>
    </w:p>
    <w:p w14:paraId="66792D56" w14:textId="7B46C035" w:rsidR="008E3B77" w:rsidRPr="0087409D" w:rsidRDefault="00A05A84" w:rsidP="00A05A84">
      <w:pPr>
        <w:pStyle w:val="BodyText"/>
        <w:tabs>
          <w:tab w:val="left" w:pos="557"/>
        </w:tabs>
        <w:ind w:left="0"/>
        <w:jc w:val="both"/>
        <w:rPr>
          <w:rFonts w:ascii="Times New Roman" w:hAnsi="Times New Roman"/>
          <w:noProof/>
          <w:sz w:val="24"/>
          <w:szCs w:val="14"/>
        </w:rPr>
      </w:pPr>
      <w:r>
        <w:rPr>
          <w:rFonts w:ascii="Times New Roman" w:hAnsi="Times New Roman"/>
          <w:sz w:val="24"/>
        </w:rPr>
        <w:t xml:space="preserve">21. Stambulas konvencijas 3. panta a) punktā sniegtā termina </w:t>
      </w:r>
      <w:r>
        <w:rPr>
          <w:rFonts w:ascii="Times New Roman" w:hAnsi="Times New Roman"/>
          <w:i/>
          <w:sz w:val="24"/>
        </w:rPr>
        <w:t>“vardarbība pret sievietēm”</w:t>
      </w:r>
      <w:r>
        <w:rPr>
          <w:rFonts w:ascii="Times New Roman" w:hAnsi="Times New Roman"/>
          <w:sz w:val="24"/>
        </w:rPr>
        <w:t xml:space="preserve"> definīcija attiecas uz visiem vardarbības aktiem, kas saistīti ar dzimumu, piemēram, uz fizisku, seksuālu vai psiholoģisku kaitējumu, kā arī uz piespiešanu vai patvaļīgu brīvības atņemšanu. Šajā definīcijā ir uzsvērts, ka katrs vardarbības akts pret sievietēm ir cilvēktiesību pārkāpums un diskriminācijas veids.</w:t>
      </w:r>
      <w:r>
        <w:rPr>
          <w:rStyle w:val="FootnoteReference"/>
          <w:rFonts w:ascii="Times New Roman" w:hAnsi="Times New Roman"/>
          <w:noProof/>
          <w:sz w:val="24"/>
        </w:rPr>
        <w:footnoteReference w:id="21"/>
      </w:r>
    </w:p>
    <w:p w14:paraId="51CD3B65" w14:textId="77777777" w:rsidR="008E3B77" w:rsidRPr="0087409D" w:rsidRDefault="008E3B77" w:rsidP="0087409D">
      <w:pPr>
        <w:jc w:val="both"/>
        <w:rPr>
          <w:rFonts w:ascii="Times New Roman" w:eastAsia="Arial" w:hAnsi="Times New Roman" w:cs="Arial"/>
          <w:noProof/>
          <w:sz w:val="24"/>
        </w:rPr>
      </w:pPr>
    </w:p>
    <w:p w14:paraId="496C74E5" w14:textId="7926D113" w:rsidR="008E3B77" w:rsidRPr="0087409D" w:rsidRDefault="00A05A84" w:rsidP="00A05A84">
      <w:pPr>
        <w:tabs>
          <w:tab w:val="left" w:pos="591"/>
        </w:tabs>
        <w:jc w:val="both"/>
        <w:rPr>
          <w:rFonts w:ascii="Times New Roman" w:eastAsia="Arial" w:hAnsi="Times New Roman" w:cs="Arial"/>
          <w:noProof/>
          <w:sz w:val="24"/>
          <w:szCs w:val="14"/>
        </w:rPr>
      </w:pPr>
      <w:r>
        <w:rPr>
          <w:rFonts w:ascii="Times New Roman" w:hAnsi="Times New Roman"/>
          <w:sz w:val="24"/>
        </w:rPr>
        <w:t>22. Stambulas konvencijā ir noteikts, ka ar vardarbību pret sievietēm saistītais dzimuma aspekts izriet no konstatētā fakta, ka daudzi vardarbības veidi ir vērsti pret sievietēm vai nu tāpēc, ka viņas ir sievietes, vai tāpēc, ka šīs darbības nesamērīgi ietekmē sievietes.</w:t>
      </w:r>
      <w:r>
        <w:rPr>
          <w:rStyle w:val="FootnoteReference"/>
          <w:rFonts w:ascii="Times New Roman" w:eastAsia="Arial" w:hAnsi="Times New Roman" w:cs="Arial"/>
          <w:noProof/>
          <w:sz w:val="24"/>
        </w:rPr>
        <w:footnoteReference w:id="22"/>
      </w:r>
      <w:r>
        <w:rPr>
          <w:rFonts w:ascii="Times New Roman" w:hAnsi="Times New Roman"/>
          <w:sz w:val="24"/>
          <w:szCs w:val="14"/>
        </w:rPr>
        <w:t xml:space="preserve"> </w:t>
      </w:r>
      <w:r>
        <w:rPr>
          <w:rFonts w:ascii="Times New Roman" w:hAnsi="Times New Roman"/>
          <w:i/>
          <w:sz w:val="24"/>
        </w:rPr>
        <w:t>“Atzīstot to, ka vardarbība pret sievietēm, kas ir ar dzimumu saistīta vardarbība, ir strukturāla”</w:t>
      </w:r>
      <w:r>
        <w:rPr>
          <w:rStyle w:val="FootnoteReference"/>
          <w:rFonts w:ascii="Times New Roman" w:eastAsia="Arial" w:hAnsi="Times New Roman" w:cs="Arial"/>
          <w:i/>
          <w:noProof/>
          <w:sz w:val="24"/>
        </w:rPr>
        <w:footnoteReference w:id="23"/>
      </w:r>
      <w:r>
        <w:rPr>
          <w:rFonts w:ascii="Times New Roman" w:hAnsi="Times New Roman"/>
          <w:sz w:val="24"/>
        </w:rPr>
        <w:t xml:space="preserve">, Stambulas konvencijā tiek pieņemts </w:t>
      </w:r>
      <w:r>
        <w:rPr>
          <w:rFonts w:ascii="Times New Roman" w:hAnsi="Times New Roman"/>
          <w:i/>
          <w:sz w:val="24"/>
        </w:rPr>
        <w:t>CEDAW</w:t>
      </w:r>
      <w:r>
        <w:rPr>
          <w:rFonts w:ascii="Times New Roman" w:hAnsi="Times New Roman"/>
          <w:sz w:val="24"/>
        </w:rPr>
        <w:t xml:space="preserve"> komisijas noteiktais standarts, kas atzīst, ka </w:t>
      </w:r>
      <w:r>
        <w:rPr>
          <w:rFonts w:ascii="Times New Roman" w:hAnsi="Times New Roman"/>
          <w:i/>
          <w:sz w:val="24"/>
        </w:rPr>
        <w:t>“ar dzimumu saistīta vardarbība pret sievietēm ir sieviešu diskriminācija saskaņā ar 1. pantu (CEDAW) (..)”.</w:t>
      </w:r>
      <w:r>
        <w:rPr>
          <w:rStyle w:val="FootnoteReference"/>
          <w:rFonts w:ascii="Times New Roman" w:eastAsia="Arial" w:hAnsi="Times New Roman" w:cs="Arial"/>
          <w:noProof/>
          <w:sz w:val="24"/>
        </w:rPr>
        <w:footnoteReference w:id="24"/>
      </w:r>
      <w:r>
        <w:rPr>
          <w:rFonts w:ascii="Times New Roman" w:hAnsi="Times New Roman"/>
          <w:sz w:val="24"/>
          <w:szCs w:val="14"/>
        </w:rPr>
        <w:t xml:space="preserve"> </w:t>
      </w:r>
      <w:r>
        <w:rPr>
          <w:rFonts w:ascii="Times New Roman" w:hAnsi="Times New Roman"/>
          <w:sz w:val="24"/>
        </w:rPr>
        <w:t>Citiem vārdiem sakot, galvenais motīvs Stambulas konvencijā aprakstīto vardarbības aktu izdarīšanai ir upura dzimums, t. i., fakts, ka upuris ir sieviete, un tāpēc tā ir sieviešu diskriminācija.</w:t>
      </w:r>
      <w:r>
        <w:rPr>
          <w:rStyle w:val="FootnoteReference"/>
          <w:rFonts w:ascii="Times New Roman" w:eastAsia="Arial" w:hAnsi="Times New Roman" w:cs="Arial"/>
          <w:noProof/>
          <w:sz w:val="24"/>
        </w:rPr>
        <w:footnoteReference w:id="25"/>
      </w:r>
    </w:p>
    <w:p w14:paraId="60CD61E9" w14:textId="77777777" w:rsidR="008E3B77" w:rsidRPr="0087409D" w:rsidRDefault="008E3B77" w:rsidP="0087409D">
      <w:pPr>
        <w:jc w:val="both"/>
        <w:rPr>
          <w:rFonts w:ascii="Times New Roman" w:eastAsia="Arial" w:hAnsi="Times New Roman" w:cs="Arial"/>
          <w:noProof/>
          <w:sz w:val="24"/>
          <w:szCs w:val="21"/>
        </w:rPr>
      </w:pPr>
    </w:p>
    <w:p w14:paraId="423216FD" w14:textId="703E823D" w:rsidR="008E3B77" w:rsidRPr="0087409D" w:rsidRDefault="00A05A84" w:rsidP="00A05A84">
      <w:pPr>
        <w:tabs>
          <w:tab w:val="left" w:pos="632"/>
        </w:tabs>
        <w:jc w:val="both"/>
        <w:rPr>
          <w:rFonts w:ascii="Times New Roman" w:eastAsia="Arial" w:hAnsi="Times New Roman" w:cs="Arial"/>
          <w:noProof/>
          <w:sz w:val="24"/>
          <w:szCs w:val="14"/>
        </w:rPr>
      </w:pPr>
      <w:r>
        <w:rPr>
          <w:rFonts w:ascii="Times New Roman" w:hAnsi="Times New Roman"/>
          <w:sz w:val="24"/>
        </w:rPr>
        <w:t>23. Stambulas konvencijas 3. panta c) punktā</w:t>
      </w:r>
      <w:r>
        <w:rPr>
          <w:rStyle w:val="FootnoteReference"/>
          <w:rFonts w:ascii="Times New Roman" w:eastAsia="Arial" w:hAnsi="Times New Roman" w:cs="Arial"/>
          <w:noProof/>
          <w:sz w:val="24"/>
        </w:rPr>
        <w:footnoteReference w:id="26"/>
      </w:r>
      <w:r>
        <w:rPr>
          <w:rFonts w:ascii="Times New Roman" w:hAnsi="Times New Roman"/>
          <w:sz w:val="24"/>
        </w:rPr>
        <w:t xml:space="preserve"> sniegtajā </w:t>
      </w:r>
      <w:r>
        <w:rPr>
          <w:rFonts w:ascii="Times New Roman" w:hAnsi="Times New Roman"/>
          <w:i/>
          <w:sz w:val="24"/>
        </w:rPr>
        <w:t>sociālā dzimuma</w:t>
      </w:r>
      <w:r>
        <w:rPr>
          <w:rFonts w:ascii="Times New Roman" w:hAnsi="Times New Roman"/>
          <w:sz w:val="24"/>
        </w:rPr>
        <w:t xml:space="preserve"> jēdziena definīcijā ir atzīts, ka vardarbība pret sievietēm nepamatojas tikai uz bioloģiskām atšķirībām starp vīriešiem un sievietēm, t. i., dzimumu, un ka tās galvenais motīvs ir </w:t>
      </w:r>
      <w:r>
        <w:rPr>
          <w:rFonts w:ascii="Times New Roman" w:hAnsi="Times New Roman"/>
          <w:i/>
          <w:sz w:val="24"/>
        </w:rPr>
        <w:t xml:space="preserve">“sociālās lomas, uzvedība, nodarbošanās un īpašības, ko konkrēta sabiedrība uzskata par atbilstošām </w:t>
      </w:r>
      <w:r>
        <w:rPr>
          <w:rFonts w:ascii="Times New Roman" w:hAnsi="Times New Roman"/>
          <w:i/>
          <w:sz w:val="24"/>
        </w:rPr>
        <w:lastRenderedPageBreak/>
        <w:t>sievietēm un vīriešiem”</w:t>
      </w:r>
      <w:r>
        <w:rPr>
          <w:rFonts w:ascii="Times New Roman" w:hAnsi="Times New Roman"/>
          <w:sz w:val="24"/>
        </w:rPr>
        <w:t>.</w:t>
      </w:r>
      <w:r>
        <w:rPr>
          <w:rStyle w:val="FootnoteReference"/>
          <w:rFonts w:ascii="Times New Roman" w:eastAsia="Arial" w:hAnsi="Times New Roman" w:cs="Arial"/>
          <w:noProof/>
          <w:sz w:val="24"/>
        </w:rPr>
        <w:footnoteReference w:id="27"/>
      </w:r>
      <w:r>
        <w:rPr>
          <w:rFonts w:ascii="Times New Roman" w:hAnsi="Times New Roman"/>
          <w:sz w:val="24"/>
          <w:szCs w:val="14"/>
        </w:rPr>
        <w:t xml:space="preserve"> </w:t>
      </w:r>
      <w:r>
        <w:rPr>
          <w:rFonts w:ascii="Times New Roman" w:hAnsi="Times New Roman"/>
          <w:sz w:val="24"/>
        </w:rPr>
        <w:t>Šādas stereotipiskas dzimumu lomas veicina sieviešu pakļauto statusu sabiedrībā, un to rezultātā var kļūt pieņemama kaitējumu radoša prakse un vardarbība pret sievietēm privātajā un publiskajā telpā.</w:t>
      </w:r>
      <w:r>
        <w:rPr>
          <w:rStyle w:val="FootnoteReference"/>
          <w:rFonts w:ascii="Times New Roman" w:eastAsia="Arial" w:hAnsi="Times New Roman" w:cs="Arial"/>
          <w:noProof/>
          <w:sz w:val="24"/>
        </w:rPr>
        <w:footnoteReference w:id="28"/>
      </w:r>
    </w:p>
    <w:p w14:paraId="16A8BE9B" w14:textId="77777777" w:rsidR="008E3B77" w:rsidRPr="0087409D" w:rsidRDefault="008E3B77" w:rsidP="0087409D">
      <w:pPr>
        <w:jc w:val="both"/>
        <w:rPr>
          <w:rFonts w:ascii="Times New Roman" w:eastAsia="Arial" w:hAnsi="Times New Roman" w:cs="Arial"/>
          <w:noProof/>
          <w:sz w:val="24"/>
        </w:rPr>
      </w:pPr>
    </w:p>
    <w:p w14:paraId="62A4F9DA" w14:textId="40A6F680" w:rsidR="008E3B77" w:rsidRPr="0087409D" w:rsidRDefault="00A05A84" w:rsidP="00A05A84">
      <w:pPr>
        <w:tabs>
          <w:tab w:val="left" w:pos="622"/>
        </w:tabs>
        <w:jc w:val="both"/>
        <w:rPr>
          <w:rFonts w:ascii="Times New Roman" w:eastAsia="Arial" w:hAnsi="Times New Roman" w:cs="Arial"/>
          <w:noProof/>
          <w:sz w:val="24"/>
          <w:szCs w:val="14"/>
        </w:rPr>
      </w:pPr>
      <w:r>
        <w:rPr>
          <w:rFonts w:ascii="Times New Roman" w:hAnsi="Times New Roman"/>
          <w:sz w:val="24"/>
        </w:rPr>
        <w:t xml:space="preserve">24. Ar </w:t>
      </w:r>
      <w:r>
        <w:rPr>
          <w:rFonts w:ascii="Times New Roman" w:hAnsi="Times New Roman"/>
          <w:i/>
          <w:sz w:val="24"/>
        </w:rPr>
        <w:t>dzimumu</w:t>
      </w:r>
      <w:r>
        <w:rPr>
          <w:rFonts w:ascii="Times New Roman" w:hAnsi="Times New Roman"/>
          <w:sz w:val="24"/>
        </w:rPr>
        <w:t xml:space="preserve"> un </w:t>
      </w:r>
      <w:r>
        <w:rPr>
          <w:rFonts w:ascii="Times New Roman" w:hAnsi="Times New Roman"/>
          <w:i/>
          <w:sz w:val="24"/>
        </w:rPr>
        <w:t>sociālo dzimumu</w:t>
      </w:r>
      <w:r>
        <w:rPr>
          <w:rFonts w:ascii="Times New Roman" w:hAnsi="Times New Roman"/>
          <w:sz w:val="24"/>
        </w:rPr>
        <w:t xml:space="preserve"> saistītas sieviešu diskriminācijas aizliegums ir atzīts daudzos cilvēktiesību līgumos. Tādēļ gan terminu </w:t>
      </w:r>
      <w:r>
        <w:rPr>
          <w:rFonts w:ascii="Times New Roman" w:hAnsi="Times New Roman"/>
          <w:i/>
          <w:sz w:val="24"/>
        </w:rPr>
        <w:t>sociālais dzimums</w:t>
      </w:r>
      <w:r>
        <w:rPr>
          <w:rFonts w:ascii="Times New Roman" w:hAnsi="Times New Roman"/>
          <w:sz w:val="24"/>
        </w:rPr>
        <w:t>, gan arī dzimumu stereotipu radīto kaitējumu ir aplūkojušas gan vairākas ANO līgumu struktūras, gan arī ECT.</w:t>
      </w:r>
      <w:r>
        <w:rPr>
          <w:rStyle w:val="FootnoteReference"/>
          <w:rFonts w:ascii="Times New Roman" w:eastAsia="Arial" w:hAnsi="Times New Roman" w:cs="Arial"/>
          <w:noProof/>
          <w:sz w:val="24"/>
        </w:rPr>
        <w:footnoteReference w:id="29"/>
      </w:r>
      <w:r>
        <w:rPr>
          <w:rFonts w:ascii="Times New Roman" w:hAnsi="Times New Roman"/>
          <w:sz w:val="24"/>
          <w:szCs w:val="14"/>
        </w:rPr>
        <w:t xml:space="preserve"> </w:t>
      </w:r>
      <w:r>
        <w:rPr>
          <w:rFonts w:ascii="Times New Roman" w:hAnsi="Times New Roman"/>
          <w:i/>
          <w:sz w:val="24"/>
        </w:rPr>
        <w:t>CEDAW</w:t>
      </w:r>
      <w:r>
        <w:rPr>
          <w:rFonts w:ascii="Times New Roman" w:hAnsi="Times New Roman"/>
          <w:sz w:val="24"/>
        </w:rPr>
        <w:t xml:space="preserve"> komiteja ir norādījusi, ka termins </w:t>
      </w:r>
      <w:r>
        <w:rPr>
          <w:rFonts w:ascii="Times New Roman" w:hAnsi="Times New Roman"/>
          <w:i/>
          <w:sz w:val="24"/>
        </w:rPr>
        <w:t>sociālais dzimums</w:t>
      </w:r>
      <w:r>
        <w:rPr>
          <w:rFonts w:ascii="Times New Roman" w:hAnsi="Times New Roman"/>
          <w:sz w:val="24"/>
        </w:rPr>
        <w:t xml:space="preserve"> attiecas uz </w:t>
      </w:r>
      <w:r>
        <w:rPr>
          <w:rFonts w:ascii="Times New Roman" w:hAnsi="Times New Roman"/>
          <w:i/>
          <w:sz w:val="24"/>
        </w:rPr>
        <w:t>“sieviešu un vīriešu sociālajām identitātēm, īpašībām un lomām, kā arī uz sabiedrībā piešķirto sociālo un kultūras nozīmi šīm bioloģiskajām atšķirībām, kas rada hierarhiskas attiecības starp sievietēm un vīriešiem un tādu varas un tiesību sadali, kuras rezultātā priekšroka tiek dota vīriešiem, bet sievietes nonāk mazāk izdevīgā stāvoklī”.</w:t>
      </w:r>
      <w:r>
        <w:rPr>
          <w:rStyle w:val="FootnoteReference"/>
          <w:rFonts w:ascii="Times New Roman" w:eastAsia="Arial" w:hAnsi="Times New Roman" w:cs="Arial"/>
          <w:i/>
          <w:noProof/>
          <w:sz w:val="24"/>
        </w:rPr>
        <w:footnoteReference w:id="30"/>
      </w:r>
    </w:p>
    <w:p w14:paraId="6E120D37" w14:textId="77777777" w:rsidR="008E3B77" w:rsidRPr="0087409D" w:rsidRDefault="008E3B77" w:rsidP="0087409D">
      <w:pPr>
        <w:jc w:val="both"/>
        <w:rPr>
          <w:rFonts w:ascii="Times New Roman" w:eastAsia="Arial" w:hAnsi="Times New Roman" w:cs="Arial"/>
          <w:noProof/>
          <w:sz w:val="24"/>
          <w:szCs w:val="14"/>
        </w:rPr>
      </w:pPr>
    </w:p>
    <w:p w14:paraId="4B94A8F6" w14:textId="31F6EAD7" w:rsidR="008E3B77" w:rsidRPr="00A05A84" w:rsidRDefault="00A05A84" w:rsidP="00A05A84">
      <w:pPr>
        <w:pStyle w:val="BodyText"/>
        <w:tabs>
          <w:tab w:val="left" w:pos="546"/>
        </w:tabs>
        <w:ind w:left="0"/>
        <w:jc w:val="both"/>
        <w:rPr>
          <w:rFonts w:ascii="Times New Roman" w:hAnsi="Times New Roman"/>
          <w:noProof/>
          <w:sz w:val="24"/>
        </w:rPr>
      </w:pPr>
      <w:r>
        <w:rPr>
          <w:rFonts w:ascii="Times New Roman" w:hAnsi="Times New Roman"/>
          <w:sz w:val="24"/>
        </w:rPr>
        <w:t xml:space="preserve">25. Lai apkarotu kaitējumu radošus dzimumu stereotipus, </w:t>
      </w:r>
      <w:r>
        <w:rPr>
          <w:rFonts w:ascii="Times New Roman" w:hAnsi="Times New Roman"/>
          <w:i/>
          <w:sz w:val="24"/>
        </w:rPr>
        <w:t>CEDAW</w:t>
      </w:r>
      <w:r>
        <w:rPr>
          <w:rFonts w:ascii="Times New Roman" w:hAnsi="Times New Roman"/>
          <w:sz w:val="24"/>
        </w:rPr>
        <w:t xml:space="preserve"> konvencijas 5. pantā un mazākā mērā arī </w:t>
      </w:r>
      <w:r>
        <w:rPr>
          <w:rFonts w:ascii="Times New Roman" w:hAnsi="Times New Roman"/>
          <w:i/>
          <w:sz w:val="24"/>
        </w:rPr>
        <w:t>CEDAW</w:t>
      </w:r>
      <w:r>
        <w:rPr>
          <w:rFonts w:ascii="Times New Roman" w:hAnsi="Times New Roman"/>
          <w:sz w:val="24"/>
        </w:rPr>
        <w:t> konvencijas 2. panta f) punktā dalībvalstīm ir skaidri noteikti pienākumi veikt atbilstošus pasākumus, lai izskaustu šādus sociālos un kultūras modeļus.</w:t>
      </w:r>
      <w:r>
        <w:rPr>
          <w:rStyle w:val="FootnoteReference"/>
          <w:rFonts w:ascii="Times New Roman" w:hAnsi="Times New Roman"/>
          <w:noProof/>
          <w:sz w:val="24"/>
        </w:rPr>
        <w:footnoteReference w:id="31"/>
      </w:r>
      <w:r>
        <w:rPr>
          <w:rFonts w:ascii="Times New Roman" w:hAnsi="Times New Roman"/>
          <w:sz w:val="24"/>
          <w:szCs w:val="14"/>
        </w:rPr>
        <w:t xml:space="preserve"> </w:t>
      </w:r>
      <w:r>
        <w:rPr>
          <w:rFonts w:ascii="Times New Roman" w:hAnsi="Times New Roman"/>
          <w:sz w:val="24"/>
        </w:rPr>
        <w:t>Tāpat Ekonomisko, sociālo un kultūras tiesību komiteja (turpmāk tekstā – “</w:t>
      </w:r>
      <w:r>
        <w:rPr>
          <w:rFonts w:ascii="Times New Roman" w:hAnsi="Times New Roman"/>
          <w:i/>
          <w:sz w:val="24"/>
        </w:rPr>
        <w:t>CESCR</w:t>
      </w:r>
      <w:r>
        <w:rPr>
          <w:rFonts w:ascii="Times New Roman" w:hAnsi="Times New Roman"/>
          <w:sz w:val="24"/>
        </w:rPr>
        <w:t xml:space="preserve">”) ir uzsvērusi, ka </w:t>
      </w:r>
      <w:r>
        <w:rPr>
          <w:rFonts w:ascii="Times New Roman" w:hAnsi="Times New Roman"/>
          <w:i/>
          <w:sz w:val="24"/>
        </w:rPr>
        <w:t>sociālais dzimums</w:t>
      </w:r>
      <w:r>
        <w:rPr>
          <w:rFonts w:ascii="Times New Roman" w:hAnsi="Times New Roman"/>
          <w:sz w:val="24"/>
        </w:rPr>
        <w:t xml:space="preserve"> arī </w:t>
      </w:r>
      <w:r>
        <w:rPr>
          <w:rFonts w:ascii="Times New Roman" w:hAnsi="Times New Roman"/>
          <w:i/>
          <w:sz w:val="24"/>
        </w:rPr>
        <w:t>“ietekmē vīriešu un sieviešu vienlīdzīgas tiesības uz savu tiesību izmantošanu”</w:t>
      </w:r>
      <w:r>
        <w:rPr>
          <w:rFonts w:ascii="Times New Roman" w:hAnsi="Times New Roman"/>
          <w:sz w:val="24"/>
        </w:rPr>
        <w:t>.</w:t>
      </w:r>
      <w:r>
        <w:rPr>
          <w:rStyle w:val="FootnoteReference"/>
          <w:rFonts w:ascii="Times New Roman" w:hAnsi="Times New Roman" w:cs="Arial"/>
          <w:noProof/>
          <w:sz w:val="24"/>
        </w:rPr>
        <w:footnoteReference w:id="32"/>
      </w:r>
      <w:r>
        <w:rPr>
          <w:rFonts w:ascii="Times New Roman" w:hAnsi="Times New Roman"/>
          <w:sz w:val="24"/>
          <w:szCs w:val="14"/>
        </w:rPr>
        <w:t xml:space="preserve"> </w:t>
      </w:r>
      <w:r>
        <w:rPr>
          <w:rFonts w:ascii="Times New Roman" w:hAnsi="Times New Roman"/>
          <w:sz w:val="24"/>
        </w:rPr>
        <w:t xml:space="preserve">Saskaņā ar </w:t>
      </w:r>
      <w:r>
        <w:rPr>
          <w:rFonts w:ascii="Times New Roman" w:hAnsi="Times New Roman"/>
          <w:i/>
          <w:sz w:val="24"/>
        </w:rPr>
        <w:t>CESCR</w:t>
      </w:r>
      <w:r>
        <w:rPr>
          <w:rFonts w:ascii="Times New Roman" w:hAnsi="Times New Roman"/>
          <w:sz w:val="24"/>
        </w:rPr>
        <w:t xml:space="preserve"> teikto </w:t>
      </w:r>
      <w:r>
        <w:rPr>
          <w:rFonts w:ascii="Times New Roman" w:hAnsi="Times New Roman"/>
          <w:i/>
          <w:sz w:val="24"/>
        </w:rPr>
        <w:t>sociālā dzimuma</w:t>
      </w:r>
      <w:r>
        <w:rPr>
          <w:rFonts w:ascii="Times New Roman" w:hAnsi="Times New Roman"/>
          <w:sz w:val="24"/>
        </w:rPr>
        <w:t xml:space="preserve"> jēdziens ietver </w:t>
      </w:r>
      <w:r>
        <w:rPr>
          <w:rFonts w:ascii="Times New Roman" w:hAnsi="Times New Roman"/>
          <w:i/>
          <w:sz w:val="24"/>
        </w:rPr>
        <w:t>“kultūras perspektīvas un pieņēmumus par vīriešu un sieviešu uzvedību, attieksmi, personības iezīmēm un fiziskajām un intelektuālajām spējām, pamatojoties tikai uz viņu vīriešu vai sieviešu identitāti”.</w:t>
      </w:r>
      <w:r>
        <w:rPr>
          <w:rStyle w:val="FootnoteReference"/>
          <w:rFonts w:ascii="Times New Roman" w:hAnsi="Times New Roman" w:cs="Arial"/>
          <w:i/>
          <w:noProof/>
          <w:sz w:val="24"/>
        </w:rPr>
        <w:footnoteReference w:id="33"/>
      </w:r>
      <w:r>
        <w:rPr>
          <w:rFonts w:ascii="Times New Roman" w:hAnsi="Times New Roman"/>
          <w:sz w:val="24"/>
          <w:szCs w:val="14"/>
        </w:rPr>
        <w:t xml:space="preserve"> </w:t>
      </w:r>
      <w:r>
        <w:rPr>
          <w:rFonts w:ascii="Times New Roman" w:hAnsi="Times New Roman"/>
          <w:sz w:val="24"/>
        </w:rPr>
        <w:t xml:space="preserve">Līdzīga pieeja ir atrodama Cilvēktiesību komitejas </w:t>
      </w:r>
      <w:r>
        <w:rPr>
          <w:rFonts w:ascii="Times New Roman" w:hAnsi="Times New Roman"/>
          <w:i/>
          <w:sz w:val="24"/>
        </w:rPr>
        <w:t>Vispārējā komentārā par vīriešu un sieviešu līdztiesību</w:t>
      </w:r>
      <w:r>
        <w:rPr>
          <w:rFonts w:ascii="Times New Roman" w:hAnsi="Times New Roman"/>
          <w:sz w:val="24"/>
        </w:rPr>
        <w:t xml:space="preserve">, kurā ir uzsvērts, ka </w:t>
      </w:r>
      <w:r>
        <w:rPr>
          <w:rFonts w:ascii="Times New Roman" w:hAnsi="Times New Roman"/>
          <w:i/>
          <w:sz w:val="24"/>
        </w:rPr>
        <w:t>“nevienlīdzība sieviešu tiesību izmantošanā visā pasaulē ir dziļi iesakņojusies tradīcijās, vēsturē un kultūrā, tostarp uz reliģiju pamatotajā attieksmē”</w:t>
      </w:r>
      <w:r>
        <w:rPr>
          <w:rFonts w:ascii="Times New Roman" w:hAnsi="Times New Roman"/>
          <w:sz w:val="24"/>
        </w:rPr>
        <w:t>.</w:t>
      </w:r>
      <w:r>
        <w:rPr>
          <w:rStyle w:val="FootnoteReference"/>
          <w:rFonts w:ascii="Times New Roman" w:hAnsi="Times New Roman" w:cs="Arial"/>
          <w:noProof/>
          <w:sz w:val="24"/>
        </w:rPr>
        <w:footnoteReference w:id="34"/>
      </w:r>
    </w:p>
    <w:p w14:paraId="2122B984" w14:textId="77777777" w:rsidR="008E3B77" w:rsidRPr="0087409D" w:rsidRDefault="008E3B77" w:rsidP="0087409D">
      <w:pPr>
        <w:jc w:val="both"/>
        <w:rPr>
          <w:rFonts w:ascii="Times New Roman" w:eastAsia="Arial" w:hAnsi="Times New Roman" w:cs="Arial"/>
          <w:noProof/>
          <w:sz w:val="24"/>
        </w:rPr>
      </w:pPr>
    </w:p>
    <w:p w14:paraId="4C33AFC1" w14:textId="7F098F3E" w:rsidR="008E3B77" w:rsidRPr="0087409D" w:rsidRDefault="00A05A84" w:rsidP="00A05A84">
      <w:pPr>
        <w:pStyle w:val="BodyText"/>
        <w:tabs>
          <w:tab w:val="left" w:pos="563"/>
        </w:tabs>
        <w:ind w:left="0"/>
        <w:jc w:val="both"/>
        <w:rPr>
          <w:rFonts w:ascii="Times New Roman" w:hAnsi="Times New Roman"/>
          <w:noProof/>
          <w:sz w:val="24"/>
          <w:szCs w:val="14"/>
        </w:rPr>
      </w:pPr>
      <w:r>
        <w:rPr>
          <w:rFonts w:ascii="Times New Roman" w:hAnsi="Times New Roman"/>
          <w:sz w:val="24"/>
        </w:rPr>
        <w:t>26. ECT ir atzinusi, ka atšķirīgu attieksmi pret vīriešiem un sievietēm nevar attaisnot, atsaucoties uz tradicionālo dzimumu lomu sadalījumu sabiedrībā.</w:t>
      </w:r>
      <w:r>
        <w:rPr>
          <w:rStyle w:val="FootnoteReference"/>
          <w:rFonts w:ascii="Times New Roman" w:hAnsi="Times New Roman"/>
          <w:noProof/>
          <w:sz w:val="24"/>
        </w:rPr>
        <w:footnoteReference w:id="35"/>
      </w:r>
    </w:p>
    <w:p w14:paraId="75EA5ECB" w14:textId="77777777" w:rsidR="008E3B77" w:rsidRPr="0087409D" w:rsidRDefault="008E3B77" w:rsidP="0087409D">
      <w:pPr>
        <w:jc w:val="both"/>
        <w:rPr>
          <w:rFonts w:ascii="Times New Roman" w:eastAsia="Arial" w:hAnsi="Times New Roman" w:cs="Arial"/>
          <w:noProof/>
          <w:sz w:val="24"/>
          <w:szCs w:val="21"/>
        </w:rPr>
      </w:pPr>
    </w:p>
    <w:p w14:paraId="3B43903A" w14:textId="49BF1AC5" w:rsidR="008E3B77" w:rsidRPr="0087409D" w:rsidRDefault="00A05A84" w:rsidP="00A05A84">
      <w:pPr>
        <w:tabs>
          <w:tab w:val="left" w:pos="555"/>
        </w:tabs>
        <w:jc w:val="both"/>
        <w:rPr>
          <w:rFonts w:ascii="Times New Roman" w:eastAsia="Arial" w:hAnsi="Times New Roman" w:cs="Arial"/>
          <w:noProof/>
          <w:sz w:val="24"/>
          <w:szCs w:val="14"/>
        </w:rPr>
      </w:pPr>
      <w:r>
        <w:rPr>
          <w:rFonts w:ascii="Times New Roman" w:hAnsi="Times New Roman"/>
          <w:sz w:val="24"/>
        </w:rPr>
        <w:t>27. Stambulas konvencijas 3. panta b) punktā papildus terminam “</w:t>
      </w:r>
      <w:r>
        <w:rPr>
          <w:rFonts w:ascii="Times New Roman" w:hAnsi="Times New Roman"/>
          <w:i/>
          <w:sz w:val="24"/>
        </w:rPr>
        <w:t>vardarbība pret sievietēm</w:t>
      </w:r>
      <w:r>
        <w:rPr>
          <w:rFonts w:ascii="Times New Roman" w:hAnsi="Times New Roman"/>
          <w:sz w:val="24"/>
        </w:rPr>
        <w:t>” ir definēts arī jēdziens “</w:t>
      </w:r>
      <w:r>
        <w:rPr>
          <w:rFonts w:ascii="Times New Roman" w:hAnsi="Times New Roman"/>
          <w:i/>
          <w:sz w:val="24"/>
        </w:rPr>
        <w:t>vardarbība ģimenē</w:t>
      </w:r>
      <w:r>
        <w:rPr>
          <w:rFonts w:ascii="Times New Roman" w:hAnsi="Times New Roman"/>
          <w:sz w:val="24"/>
        </w:rPr>
        <w:t xml:space="preserve">”. Attiecīgi ar terminu “vardarbība ģimenē” apzīmē </w:t>
      </w:r>
      <w:r>
        <w:rPr>
          <w:rFonts w:ascii="Times New Roman" w:hAnsi="Times New Roman"/>
          <w:i/>
          <w:sz w:val="24"/>
        </w:rPr>
        <w:t>“visus fiziskas, seksuālas, psiholoģiskas vai ekonomiskas vardarbības aktus, kas notiek ģimenē vai mājsaimniecībā, vai starp bijušajiem vai esošajiem laulātajiem vai partneriem”.</w:t>
      </w:r>
      <w:r>
        <w:rPr>
          <w:rStyle w:val="FootnoteReference"/>
          <w:rFonts w:ascii="Times New Roman" w:eastAsia="Arial" w:hAnsi="Times New Roman" w:cs="Arial"/>
          <w:i/>
          <w:noProof/>
          <w:sz w:val="24"/>
        </w:rPr>
        <w:footnoteReference w:id="36"/>
      </w:r>
      <w:r>
        <w:rPr>
          <w:rFonts w:ascii="Times New Roman" w:hAnsi="Times New Roman"/>
          <w:sz w:val="24"/>
          <w:szCs w:val="14"/>
        </w:rPr>
        <w:t xml:space="preserve"> </w:t>
      </w:r>
      <w:r>
        <w:rPr>
          <w:rFonts w:ascii="Times New Roman" w:hAnsi="Times New Roman"/>
          <w:sz w:val="24"/>
        </w:rPr>
        <w:t>Šī dzimumneitrālā termina “</w:t>
      </w:r>
      <w:r>
        <w:rPr>
          <w:rFonts w:ascii="Times New Roman" w:hAnsi="Times New Roman"/>
          <w:i/>
          <w:sz w:val="24"/>
        </w:rPr>
        <w:t>vardarbība ģimenē</w:t>
      </w:r>
      <w:r>
        <w:rPr>
          <w:rFonts w:ascii="Times New Roman" w:hAnsi="Times New Roman"/>
          <w:sz w:val="24"/>
        </w:rPr>
        <w:t xml:space="preserve">” definīcija apstiprina, ka no vardarbības </w:t>
      </w:r>
      <w:r>
        <w:rPr>
          <w:rFonts w:ascii="Times New Roman" w:hAnsi="Times New Roman"/>
          <w:sz w:val="24"/>
        </w:rPr>
        <w:lastRenderedPageBreak/>
        <w:t>ģimenē var ciest vīrieši, bērni un vecāka gadagājuma cilvēki.</w:t>
      </w:r>
      <w:r>
        <w:rPr>
          <w:rStyle w:val="FootnoteReference"/>
          <w:rFonts w:ascii="Times New Roman" w:eastAsia="Arial" w:hAnsi="Times New Roman" w:cs="Arial"/>
          <w:noProof/>
          <w:sz w:val="24"/>
        </w:rPr>
        <w:footnoteReference w:id="37"/>
      </w:r>
      <w:r>
        <w:rPr>
          <w:rFonts w:ascii="Times New Roman" w:hAnsi="Times New Roman"/>
          <w:sz w:val="24"/>
          <w:szCs w:val="14"/>
        </w:rPr>
        <w:t xml:space="preserve"> </w:t>
      </w:r>
      <w:r>
        <w:rPr>
          <w:rFonts w:ascii="Times New Roman" w:hAnsi="Times New Roman"/>
          <w:sz w:val="24"/>
        </w:rPr>
        <w:t>Tomēr tiek plaši atzīts, ka lielākā daļa cietušo personu, kuras skārusi vardarbība ģimenē, ir sievietes.</w:t>
      </w:r>
      <w:r>
        <w:rPr>
          <w:rStyle w:val="FootnoteReference"/>
          <w:rFonts w:ascii="Times New Roman" w:eastAsia="Arial" w:hAnsi="Times New Roman" w:cs="Arial"/>
          <w:noProof/>
          <w:sz w:val="24"/>
        </w:rPr>
        <w:footnoteReference w:id="38"/>
      </w:r>
      <w:r>
        <w:rPr>
          <w:rFonts w:ascii="Times New Roman" w:hAnsi="Times New Roman"/>
          <w:sz w:val="24"/>
          <w:szCs w:val="14"/>
        </w:rPr>
        <w:t xml:space="preserve"> </w:t>
      </w:r>
      <w:r>
        <w:rPr>
          <w:rFonts w:ascii="Times New Roman" w:hAnsi="Times New Roman"/>
          <w:sz w:val="24"/>
        </w:rPr>
        <w:t>Tāpēc vardarbība ģimenē ir vēl viena vardarbības forma, kas dzimumus skar atšķirīgā veidā.</w:t>
      </w:r>
      <w:r>
        <w:rPr>
          <w:rStyle w:val="FootnoteReference"/>
          <w:rFonts w:ascii="Times New Roman" w:eastAsia="Arial" w:hAnsi="Times New Roman" w:cs="Arial"/>
          <w:noProof/>
          <w:sz w:val="24"/>
        </w:rPr>
        <w:footnoteReference w:id="39"/>
      </w:r>
    </w:p>
    <w:p w14:paraId="2A00CBED" w14:textId="77777777" w:rsidR="008E3B77" w:rsidRPr="0087409D" w:rsidRDefault="008E3B77" w:rsidP="0087409D">
      <w:pPr>
        <w:jc w:val="both"/>
        <w:rPr>
          <w:rFonts w:ascii="Times New Roman" w:eastAsia="Arial" w:hAnsi="Times New Roman" w:cs="Arial"/>
          <w:noProof/>
          <w:sz w:val="24"/>
        </w:rPr>
      </w:pPr>
    </w:p>
    <w:p w14:paraId="7B9C082E" w14:textId="5B8F248C" w:rsidR="008E3B77" w:rsidRPr="0087409D" w:rsidRDefault="00A05A84" w:rsidP="00A05A84">
      <w:pPr>
        <w:pStyle w:val="BodyText"/>
        <w:tabs>
          <w:tab w:val="left" w:pos="557"/>
        </w:tabs>
        <w:ind w:left="0"/>
        <w:jc w:val="both"/>
        <w:rPr>
          <w:rFonts w:ascii="Times New Roman" w:hAnsi="Times New Roman"/>
          <w:noProof/>
          <w:sz w:val="24"/>
          <w:szCs w:val="14"/>
        </w:rPr>
      </w:pPr>
      <w:r>
        <w:rPr>
          <w:rFonts w:ascii="Times New Roman" w:hAnsi="Times New Roman"/>
          <w:sz w:val="24"/>
        </w:rPr>
        <w:t xml:space="preserve">28. Stambulas konvencija apkaro vardarbību ģimenē neatkarīgi no tā, kādā ģimenes vai mājsaimniecības vidē šāda vardarbība notiek. Vardarbība ģimenē var izraisīt </w:t>
      </w:r>
      <w:r>
        <w:rPr>
          <w:rFonts w:ascii="Times New Roman" w:hAnsi="Times New Roman"/>
          <w:i/>
          <w:sz w:val="24"/>
        </w:rPr>
        <w:t>intīmo attiecību partneru savstarpējo vardarbību</w:t>
      </w:r>
      <w:r>
        <w:rPr>
          <w:rFonts w:ascii="Times New Roman" w:hAnsi="Times New Roman"/>
          <w:sz w:val="24"/>
        </w:rPr>
        <w:t xml:space="preserve"> starp pašreizējiem vai bijušajiem laulātajiem vai kopdzīves partneriem, kā arī </w:t>
      </w:r>
      <w:r>
        <w:rPr>
          <w:rFonts w:ascii="Times New Roman" w:hAnsi="Times New Roman"/>
          <w:i/>
          <w:sz w:val="24"/>
        </w:rPr>
        <w:t>paaudžu savstarpējo vardarbību</w:t>
      </w:r>
      <w:r>
        <w:rPr>
          <w:rFonts w:ascii="Times New Roman" w:hAnsi="Times New Roman"/>
          <w:sz w:val="24"/>
        </w:rPr>
        <w:t xml:space="preserve"> starp diviem vai vairākiem dažādu paaudžu ģimenes locekļiem.</w:t>
      </w:r>
      <w:r>
        <w:rPr>
          <w:rStyle w:val="FootnoteReference"/>
          <w:rFonts w:ascii="Times New Roman" w:hAnsi="Times New Roman"/>
          <w:noProof/>
          <w:sz w:val="24"/>
        </w:rPr>
        <w:footnoteReference w:id="40"/>
      </w:r>
      <w:r>
        <w:rPr>
          <w:rFonts w:ascii="Times New Roman" w:hAnsi="Times New Roman"/>
          <w:sz w:val="24"/>
        </w:rPr>
        <w:t xml:space="preserve"> Tā kā Stambulas konvencijas mērķis ir apkarot vardarbību pret sievietēm un vardarbību ģimenē neatkarīgi no tās izdarīšanas vietas, tā attiecas ne tikai uz likumīgi precētajiem partneriem, bet gan uz visiem partneriem neatkarīgi no tā, vai viņi ir precējušies un vai viņi pārstāv vienu vai pretējus dzimumus. Aizsardzība ģimenes stāvokļa vai tādu citu diskriminējošu iemeslu dēļ, uz kuriem attiecas šī Konvencija, netiek liegta nevienai cietušo personu grupai.</w:t>
      </w:r>
      <w:r>
        <w:rPr>
          <w:rStyle w:val="FootnoteReference"/>
          <w:rFonts w:ascii="Times New Roman" w:hAnsi="Times New Roman"/>
          <w:noProof/>
          <w:sz w:val="24"/>
        </w:rPr>
        <w:footnoteReference w:id="41"/>
      </w:r>
    </w:p>
    <w:p w14:paraId="2BF2B8AF" w14:textId="77777777" w:rsidR="008E3B77" w:rsidRPr="0087409D" w:rsidRDefault="008E3B77" w:rsidP="0087409D">
      <w:pPr>
        <w:jc w:val="both"/>
        <w:rPr>
          <w:rFonts w:ascii="Times New Roman" w:eastAsia="Arial" w:hAnsi="Times New Roman" w:cs="Arial"/>
          <w:noProof/>
          <w:sz w:val="24"/>
        </w:rPr>
      </w:pPr>
    </w:p>
    <w:p w14:paraId="19A3E1AD" w14:textId="7BE17E1D" w:rsidR="008E3B77" w:rsidRPr="0087409D" w:rsidRDefault="00A05A84" w:rsidP="00A05A84">
      <w:pPr>
        <w:tabs>
          <w:tab w:val="left" w:pos="1254"/>
        </w:tabs>
        <w:jc w:val="both"/>
        <w:rPr>
          <w:rFonts w:ascii="Times New Roman" w:hAnsi="Times New Roman"/>
          <w:b/>
          <w:noProof/>
          <w:sz w:val="24"/>
        </w:rPr>
      </w:pPr>
      <w:r>
        <w:rPr>
          <w:rFonts w:ascii="Times New Roman" w:hAnsi="Times New Roman"/>
          <w:b/>
          <w:sz w:val="24"/>
        </w:rPr>
        <w:t>C. Personas, kurām piemērojama Konvencija</w:t>
      </w:r>
    </w:p>
    <w:p w14:paraId="3F1563FE" w14:textId="77777777" w:rsidR="008E3B77" w:rsidRPr="0087409D" w:rsidRDefault="008E3B77" w:rsidP="0087409D">
      <w:pPr>
        <w:jc w:val="both"/>
        <w:rPr>
          <w:rFonts w:ascii="Times New Roman" w:eastAsia="Arial" w:hAnsi="Times New Roman" w:cs="Arial"/>
          <w:b/>
          <w:bCs/>
          <w:noProof/>
          <w:sz w:val="24"/>
          <w:szCs w:val="21"/>
        </w:rPr>
      </w:pPr>
    </w:p>
    <w:p w14:paraId="32A9DF51" w14:textId="0BB59102" w:rsidR="008E3B77" w:rsidRPr="0087409D" w:rsidRDefault="00A05A84" w:rsidP="00A05A84">
      <w:pPr>
        <w:pStyle w:val="BodyText"/>
        <w:tabs>
          <w:tab w:val="left" w:pos="629"/>
        </w:tabs>
        <w:ind w:left="0"/>
        <w:jc w:val="both"/>
        <w:rPr>
          <w:rFonts w:ascii="Times New Roman" w:hAnsi="Times New Roman"/>
          <w:noProof/>
          <w:sz w:val="24"/>
          <w:szCs w:val="14"/>
        </w:rPr>
      </w:pPr>
      <w:r>
        <w:rPr>
          <w:rFonts w:ascii="Times New Roman" w:hAnsi="Times New Roman"/>
          <w:sz w:val="24"/>
        </w:rPr>
        <w:t>29. Tā kā Stambulas konvencijas galvenais mērķis ir aizsargāt sievietes no jebkādas vardarbības (1. panta 1. punkta a) apakšpunkts) un veicināt sieviešu iespēju palielināšanu (1. panta 1. punkta b) apakšpunkts), to pirmām kārtām piemēro sievietēm un meitenēm (3. panta f) punkts). Turklāt Stambulas konvencija piemērojama ierobežotam personu lokam, jo tā galvenokārt attiecas uz tiem vardarbības veidiem, kurus piedzīvo tikai sievietes tāpēc, ka viņas ir sievietes (piemēram, piespiedu aborti vai sieviešu dzimumorgānu kropļošana), vai kuri nesamērīgi ietekmē sievietes (piemēram, izvarošana, izsekošana, vardarbība ģimenē vai piespiedu laulības).</w:t>
      </w:r>
      <w:r>
        <w:rPr>
          <w:rStyle w:val="FootnoteReference"/>
          <w:rFonts w:ascii="Times New Roman" w:hAnsi="Times New Roman"/>
          <w:noProof/>
          <w:sz w:val="24"/>
        </w:rPr>
        <w:footnoteReference w:id="42"/>
      </w:r>
    </w:p>
    <w:p w14:paraId="4F84E95F" w14:textId="77777777" w:rsidR="008E3B77" w:rsidRPr="0087409D" w:rsidRDefault="008E3B77" w:rsidP="0087409D">
      <w:pPr>
        <w:jc w:val="both"/>
        <w:rPr>
          <w:rFonts w:ascii="Times New Roman" w:eastAsia="Arial" w:hAnsi="Times New Roman" w:cs="Arial"/>
          <w:noProof/>
          <w:sz w:val="24"/>
          <w:szCs w:val="21"/>
        </w:rPr>
      </w:pPr>
    </w:p>
    <w:p w14:paraId="38F9B655" w14:textId="299E74A8" w:rsidR="008E3B77" w:rsidRPr="0087409D" w:rsidRDefault="00A05A84" w:rsidP="00A05A84">
      <w:pPr>
        <w:pStyle w:val="BodyText"/>
        <w:tabs>
          <w:tab w:val="left" w:pos="582"/>
        </w:tabs>
        <w:ind w:left="0"/>
        <w:jc w:val="both"/>
        <w:rPr>
          <w:rFonts w:ascii="Times New Roman" w:hAnsi="Times New Roman"/>
          <w:noProof/>
          <w:sz w:val="24"/>
          <w:szCs w:val="14"/>
        </w:rPr>
      </w:pPr>
      <w:r>
        <w:rPr>
          <w:rFonts w:ascii="Times New Roman" w:hAnsi="Times New Roman"/>
          <w:sz w:val="24"/>
        </w:rPr>
        <w:t>30. Tomēr saskaņā ar iepriekš teikto Stambulas konvencijā ir atzīts, ka no vardarbības ģimenē var ciest arī vīrieši un zēni.</w:t>
      </w:r>
      <w:r w:rsidR="009E085F">
        <w:rPr>
          <w:rStyle w:val="FootnoteReference"/>
          <w:rFonts w:ascii="Times New Roman" w:hAnsi="Times New Roman"/>
          <w:noProof/>
          <w:sz w:val="24"/>
        </w:rPr>
        <w:footnoteReference w:id="43"/>
      </w:r>
      <w:r>
        <w:rPr>
          <w:rFonts w:ascii="Times New Roman" w:hAnsi="Times New Roman"/>
          <w:sz w:val="24"/>
        </w:rPr>
        <w:t xml:space="preserve"> Vīrieši cieš no dažiem šīs konvencijas aptvertajiem vardarbības veidiem, lai gan tas notiek retāk un bieži vien mazāk smagos veidos. Stambulas konvencijā tas ir atzīts, un dalībvalstis ir mudinātas tās noteikumus piemērot visām personām, kas cietušas no vardarbības ģimenē, tostarp vīriešiem, bērniem un vecāka gadagājuma cilvēkiem.</w:t>
      </w:r>
      <w:r w:rsidR="009E085F">
        <w:rPr>
          <w:rStyle w:val="FootnoteReference"/>
          <w:rFonts w:ascii="Times New Roman" w:hAnsi="Times New Roman"/>
          <w:noProof/>
          <w:sz w:val="24"/>
        </w:rPr>
        <w:footnoteReference w:id="44"/>
      </w:r>
    </w:p>
    <w:p w14:paraId="5ED4A608" w14:textId="77777777" w:rsidR="008E3B77" w:rsidRPr="0087409D" w:rsidRDefault="008E3B77" w:rsidP="0087409D">
      <w:pPr>
        <w:jc w:val="both"/>
        <w:rPr>
          <w:rFonts w:ascii="Times New Roman" w:eastAsia="Arial" w:hAnsi="Times New Roman" w:cs="Arial"/>
          <w:noProof/>
          <w:sz w:val="24"/>
          <w:szCs w:val="21"/>
        </w:rPr>
      </w:pPr>
    </w:p>
    <w:p w14:paraId="1EF261DE" w14:textId="65AE276D" w:rsidR="008E3B77" w:rsidRPr="0087409D" w:rsidRDefault="009E085F" w:rsidP="009E085F">
      <w:pPr>
        <w:pStyle w:val="BodyText"/>
        <w:tabs>
          <w:tab w:val="left" w:pos="627"/>
        </w:tabs>
        <w:ind w:left="0"/>
        <w:jc w:val="both"/>
        <w:rPr>
          <w:rFonts w:ascii="Times New Roman" w:hAnsi="Times New Roman"/>
          <w:noProof/>
          <w:sz w:val="24"/>
        </w:rPr>
      </w:pPr>
      <w:r>
        <w:rPr>
          <w:rFonts w:ascii="Times New Roman" w:hAnsi="Times New Roman"/>
          <w:sz w:val="24"/>
        </w:rPr>
        <w:t>31. Stambulas konvencijas 4. panta 3. punktā</w:t>
      </w:r>
      <w:r>
        <w:rPr>
          <w:rStyle w:val="FootnoteReference"/>
          <w:rFonts w:ascii="Times New Roman" w:hAnsi="Times New Roman" w:cs="Arial"/>
          <w:noProof/>
          <w:sz w:val="24"/>
        </w:rPr>
        <w:footnoteReference w:id="45"/>
      </w:r>
      <w:r>
        <w:rPr>
          <w:rFonts w:ascii="Times New Roman" w:hAnsi="Times New Roman"/>
          <w:sz w:val="24"/>
          <w:szCs w:val="14"/>
        </w:rPr>
        <w:t xml:space="preserve"> </w:t>
      </w:r>
      <w:r>
        <w:rPr>
          <w:rFonts w:ascii="Times New Roman" w:hAnsi="Times New Roman"/>
          <w:sz w:val="24"/>
        </w:rPr>
        <w:t xml:space="preserve">noteiktais diskriminācijas aizliegums nodrošina vienlīdzīgu aizsardzību visām personām, kas cietušas no vardarbības (ģimenē), </w:t>
      </w:r>
      <w:r>
        <w:rPr>
          <w:rFonts w:ascii="Times New Roman" w:hAnsi="Times New Roman"/>
          <w:sz w:val="24"/>
        </w:rPr>
        <w:lastRenderedPageBreak/>
        <w:t>neatkarīgi no tā, kā viņas varētu tikt raksturotas. Tiesības uz nediskriminēšanu ir pamatelements, uz ko balstās visa starptautiskā cilvēktiesību aizsardzības sistēma.</w:t>
      </w:r>
      <w:r>
        <w:rPr>
          <w:rStyle w:val="FootnoteReference"/>
          <w:rFonts w:ascii="Times New Roman" w:hAnsi="Times New Roman"/>
          <w:noProof/>
          <w:sz w:val="24"/>
        </w:rPr>
        <w:footnoteReference w:id="46"/>
      </w:r>
      <w:r>
        <w:rPr>
          <w:rFonts w:ascii="Times New Roman" w:hAnsi="Times New Roman"/>
          <w:sz w:val="24"/>
          <w:szCs w:val="14"/>
        </w:rPr>
        <w:t xml:space="preserve"> </w:t>
      </w:r>
      <w:r>
        <w:rPr>
          <w:rFonts w:ascii="Times New Roman" w:hAnsi="Times New Roman"/>
          <w:sz w:val="24"/>
        </w:rPr>
        <w:t xml:space="preserve">Nediskriminēšanas princips garantē, ka </w:t>
      </w:r>
      <w:r>
        <w:rPr>
          <w:rFonts w:ascii="Times New Roman" w:hAnsi="Times New Roman"/>
          <w:i/>
          <w:sz w:val="24"/>
        </w:rPr>
        <w:t>“ikvienam ir tiesības uz visām tiesībām un brīvībām (..), bez jebkādas atšķirības, (..)”</w:t>
      </w:r>
      <w:r>
        <w:rPr>
          <w:rFonts w:ascii="Times New Roman" w:hAnsi="Times New Roman"/>
          <w:sz w:val="24"/>
        </w:rPr>
        <w:t>.</w:t>
      </w:r>
      <w:r>
        <w:rPr>
          <w:rStyle w:val="FootnoteReference"/>
          <w:rFonts w:ascii="Times New Roman" w:hAnsi="Times New Roman"/>
          <w:noProof/>
          <w:sz w:val="24"/>
        </w:rPr>
        <w:footnoteReference w:id="47"/>
      </w:r>
      <w:r>
        <w:rPr>
          <w:rFonts w:ascii="Times New Roman" w:hAnsi="Times New Roman"/>
          <w:sz w:val="24"/>
          <w:szCs w:val="14"/>
        </w:rPr>
        <w:t xml:space="preserve"> </w:t>
      </w:r>
      <w:r>
        <w:rPr>
          <w:rFonts w:ascii="Times New Roman" w:hAnsi="Times New Roman"/>
          <w:sz w:val="24"/>
        </w:rPr>
        <w:t>Tas ir atrodams visās galvenajās cilvēktiesību konvencijās, piemēram, Starptautiskā pakta par pilsoniskajām un politiskajām tiesībām 2. panta 1. punktā un 26. pantā, Starptautiskā pakta par ekonomiskajām, sociālajām un kultūras tiesībām 2. panta 2. punktā un ECK 14. pantā. Stambulas konvencija nodrošina aizsardzību pret diskrimināciju, pamatojoties uz kritērijiem, tostarp dzimuma identitāti un dzimumorientāciju, kuru uzskaitījums nav galīgs.</w:t>
      </w:r>
      <w:r>
        <w:rPr>
          <w:rStyle w:val="FootnoteReference"/>
          <w:rFonts w:ascii="Times New Roman" w:hAnsi="Times New Roman"/>
          <w:noProof/>
          <w:sz w:val="24"/>
        </w:rPr>
        <w:footnoteReference w:id="48"/>
      </w:r>
      <w:r>
        <w:rPr>
          <w:rFonts w:ascii="Times New Roman" w:hAnsi="Times New Roman"/>
          <w:sz w:val="24"/>
          <w:szCs w:val="14"/>
        </w:rPr>
        <w:t xml:space="preserve"> </w:t>
      </w:r>
      <w:r>
        <w:rPr>
          <w:rFonts w:ascii="Times New Roman" w:hAnsi="Times New Roman"/>
          <w:sz w:val="24"/>
        </w:rPr>
        <w:t>Piemērojot Stambulas konvencijas noteikumus bez jebkādas diskriminācijas dzimuma identitātes un dzimumorientācijas dēļ, Konvencijā ir apstiprināts, ka ikviens var ciest no vardarbības ģimenē. Turklāt Stambulas konvencija nodrošina, ka ikviena persona neatkarīgi no savas dzimumorientācijas vai dzimuma identitātes tiek aizsargāta no vardarbības ģimenē un tai ir pieejams atbilstošs atbalsts un aizsardzība.</w:t>
      </w:r>
    </w:p>
    <w:p w14:paraId="53A136C6" w14:textId="77777777" w:rsidR="008E3B77" w:rsidRPr="0087409D" w:rsidRDefault="008E3B77" w:rsidP="0087409D">
      <w:pPr>
        <w:jc w:val="both"/>
        <w:rPr>
          <w:rFonts w:ascii="Times New Roman" w:hAnsi="Times New Roman"/>
          <w:noProof/>
          <w:sz w:val="24"/>
        </w:rPr>
      </w:pPr>
    </w:p>
    <w:p w14:paraId="6ABF1B73" w14:textId="3E4E0F37" w:rsidR="008E3B77" w:rsidRPr="0087409D" w:rsidRDefault="009E085F" w:rsidP="009E085F">
      <w:pPr>
        <w:tabs>
          <w:tab w:val="left" w:pos="555"/>
        </w:tabs>
        <w:jc w:val="both"/>
        <w:rPr>
          <w:rFonts w:ascii="Times New Roman" w:eastAsia="Arial" w:hAnsi="Times New Roman" w:cs="Arial"/>
          <w:noProof/>
          <w:sz w:val="24"/>
        </w:rPr>
      </w:pPr>
      <w:r>
        <w:rPr>
          <w:rFonts w:ascii="Times New Roman" w:hAnsi="Times New Roman"/>
          <w:sz w:val="24"/>
        </w:rPr>
        <w:t xml:space="preserve">32. Iekļaujot aizliegto atšķirību sarakstā abus iepriekš minētos motīvus, t. i., dzimuma identitāti un dzimumorientāciju, Stambulas konvencijā nav noteiktas jaunas prasības. Tajā ir tikai </w:t>
      </w:r>
      <w:r>
        <w:rPr>
          <w:rFonts w:ascii="Times New Roman" w:hAnsi="Times New Roman"/>
          <w:i/>
          <w:sz w:val="24"/>
        </w:rPr>
        <w:t>“iekļauti juridiskie pienākumi, kas noteikti citos juridiskajos instrumentos”</w:t>
      </w:r>
      <w:r>
        <w:rPr>
          <w:rStyle w:val="FootnoteReference"/>
          <w:rFonts w:ascii="Times New Roman" w:eastAsia="Arial" w:hAnsi="Times New Roman" w:cs="Arial"/>
          <w:i/>
          <w:noProof/>
          <w:sz w:val="24"/>
        </w:rPr>
        <w:footnoteReference w:id="49"/>
      </w:r>
      <w:r>
        <w:rPr>
          <w:rFonts w:ascii="Times New Roman" w:hAnsi="Times New Roman"/>
          <w:sz w:val="24"/>
        </w:rPr>
        <w:t xml:space="preserve">, piemēram, ECT dokumentos un attiecīgajā judikatūrā, </w:t>
      </w:r>
      <w:r>
        <w:rPr>
          <w:rFonts w:ascii="Times New Roman" w:hAnsi="Times New Roman"/>
          <w:i/>
          <w:sz w:val="24"/>
        </w:rPr>
        <w:t>CEDAW</w:t>
      </w:r>
      <w:r>
        <w:rPr>
          <w:rFonts w:ascii="Times New Roman" w:hAnsi="Times New Roman"/>
          <w:sz w:val="24"/>
        </w:rPr>
        <w:t xml:space="preserve"> konvencijā, Starptautiskajā paktā par pilsoniskajām un politiskajām tiesībām, Starptautiskajā paktā par ekonomiskajām, sociālajām un kultūras tiesībām un </w:t>
      </w:r>
      <w:r>
        <w:rPr>
          <w:rFonts w:ascii="Times New Roman" w:hAnsi="Times New Roman"/>
          <w:i/>
          <w:sz w:val="24"/>
        </w:rPr>
        <w:t>UNCAT</w:t>
      </w:r>
      <w:r>
        <w:rPr>
          <w:rFonts w:ascii="Times New Roman" w:hAnsi="Times New Roman"/>
          <w:sz w:val="24"/>
        </w:rPr>
        <w:t> konvencijā.</w:t>
      </w:r>
    </w:p>
    <w:p w14:paraId="408CFC98" w14:textId="77777777" w:rsidR="008E3B77" w:rsidRPr="0087409D" w:rsidRDefault="008E3B77" w:rsidP="0087409D">
      <w:pPr>
        <w:jc w:val="both"/>
        <w:rPr>
          <w:rFonts w:ascii="Times New Roman" w:eastAsia="Arial" w:hAnsi="Times New Roman" w:cs="Arial"/>
          <w:noProof/>
          <w:sz w:val="24"/>
        </w:rPr>
      </w:pPr>
    </w:p>
    <w:p w14:paraId="7BC329AF" w14:textId="2966D1BD" w:rsidR="008E3B77" w:rsidRPr="0087409D" w:rsidRDefault="009E085F" w:rsidP="009E085F">
      <w:pPr>
        <w:pStyle w:val="BodyText"/>
        <w:tabs>
          <w:tab w:val="left" w:pos="567"/>
        </w:tabs>
        <w:ind w:left="0"/>
        <w:jc w:val="both"/>
        <w:rPr>
          <w:rFonts w:ascii="Times New Roman" w:hAnsi="Times New Roman"/>
          <w:noProof/>
          <w:sz w:val="24"/>
          <w:szCs w:val="14"/>
        </w:rPr>
      </w:pPr>
      <w:r>
        <w:rPr>
          <w:rFonts w:ascii="Times New Roman" w:hAnsi="Times New Roman"/>
          <w:sz w:val="24"/>
        </w:rPr>
        <w:t>33. Piemēram, saskaņā ar ECT veikto ECK interpretāciju pieteikuma iesniedzēji, kas cietuši no diskriminācijas savas dzimumorientācijas un/vai dzimuma identitātes dēļ, var iesniegt prasību, apgalvojot, ka pret viņiem ir pārkāpts ECK 14. pants saistībā ar citām ECK materiālajām tiesībām.</w:t>
      </w:r>
      <w:r>
        <w:rPr>
          <w:rStyle w:val="FootnoteReference"/>
          <w:rFonts w:ascii="Times New Roman" w:hAnsi="Times New Roman"/>
          <w:noProof/>
          <w:sz w:val="24"/>
        </w:rPr>
        <w:footnoteReference w:id="50"/>
      </w:r>
    </w:p>
    <w:p w14:paraId="09230FF2" w14:textId="77777777" w:rsidR="008E3B77" w:rsidRPr="0087409D" w:rsidRDefault="008E3B77" w:rsidP="0087409D">
      <w:pPr>
        <w:jc w:val="both"/>
        <w:rPr>
          <w:rFonts w:ascii="Times New Roman" w:eastAsia="Arial" w:hAnsi="Times New Roman" w:cs="Arial"/>
          <w:noProof/>
          <w:sz w:val="24"/>
          <w:szCs w:val="21"/>
        </w:rPr>
      </w:pPr>
    </w:p>
    <w:p w14:paraId="212763A6" w14:textId="61E3F483" w:rsidR="008E3B77" w:rsidRPr="0087409D" w:rsidRDefault="009E085F" w:rsidP="009E085F">
      <w:pPr>
        <w:pStyle w:val="BodyText"/>
        <w:tabs>
          <w:tab w:val="left" w:pos="586"/>
        </w:tabs>
        <w:ind w:left="0"/>
        <w:jc w:val="both"/>
        <w:rPr>
          <w:rFonts w:ascii="Times New Roman" w:hAnsi="Times New Roman"/>
          <w:noProof/>
          <w:sz w:val="24"/>
          <w:szCs w:val="14"/>
        </w:rPr>
      </w:pPr>
      <w:r>
        <w:rPr>
          <w:rFonts w:ascii="Times New Roman" w:hAnsi="Times New Roman"/>
          <w:sz w:val="24"/>
        </w:rPr>
        <w:t xml:space="preserve">34. Arī citas cilvēktiesību organizācijas ir aktualizējušas jautājumu par diskrimināciju dzimumorientācijas un dzimuma identitātes dēļ. Piemēram, </w:t>
      </w:r>
      <w:r>
        <w:rPr>
          <w:rFonts w:ascii="Times New Roman" w:hAnsi="Times New Roman"/>
          <w:i/>
          <w:sz w:val="24"/>
        </w:rPr>
        <w:t>CEDAW</w:t>
      </w:r>
      <w:r>
        <w:rPr>
          <w:rFonts w:ascii="Times New Roman" w:hAnsi="Times New Roman"/>
          <w:sz w:val="24"/>
        </w:rPr>
        <w:t xml:space="preserve"> komiteja ir izdevusi divus </w:t>
      </w:r>
      <w:r>
        <w:rPr>
          <w:rFonts w:ascii="Times New Roman" w:hAnsi="Times New Roman"/>
          <w:i/>
          <w:sz w:val="24"/>
        </w:rPr>
        <w:t>vispārējos ieteikumus</w:t>
      </w:r>
      <w:r>
        <w:rPr>
          <w:rFonts w:ascii="Times New Roman" w:hAnsi="Times New Roman"/>
          <w:sz w:val="24"/>
        </w:rPr>
        <w:t>, kuros tā atzīst, ka sieviešu diskriminācija ir “</w:t>
      </w:r>
      <w:r>
        <w:rPr>
          <w:rFonts w:ascii="Times New Roman" w:hAnsi="Times New Roman"/>
          <w:i/>
          <w:sz w:val="24"/>
        </w:rPr>
        <w:t>cieši saistīta</w:t>
      </w:r>
      <w:r>
        <w:rPr>
          <w:rFonts w:ascii="Times New Roman" w:hAnsi="Times New Roman"/>
          <w:sz w:val="24"/>
        </w:rPr>
        <w:t>” ar citiem faktoriem, kas ietekmē sievietes, piemēram, ar viņu dzimumorientāciju un dzimuma identitāti.</w:t>
      </w:r>
      <w:r>
        <w:rPr>
          <w:rStyle w:val="FootnoteReference"/>
          <w:rFonts w:ascii="Times New Roman" w:hAnsi="Times New Roman" w:cs="Arial"/>
          <w:noProof/>
          <w:sz w:val="24"/>
        </w:rPr>
        <w:footnoteReference w:id="51"/>
      </w:r>
    </w:p>
    <w:p w14:paraId="7F269BA3" w14:textId="77777777" w:rsidR="008E3B77" w:rsidRPr="0087409D" w:rsidRDefault="008E3B77" w:rsidP="0087409D">
      <w:pPr>
        <w:jc w:val="both"/>
        <w:rPr>
          <w:rFonts w:ascii="Times New Roman" w:eastAsia="Arial" w:hAnsi="Times New Roman" w:cs="Arial"/>
          <w:noProof/>
          <w:sz w:val="24"/>
        </w:rPr>
      </w:pPr>
    </w:p>
    <w:p w14:paraId="3DDB311E" w14:textId="460F5A64" w:rsidR="008E3B77" w:rsidRPr="009E085F" w:rsidRDefault="009E085F" w:rsidP="009E085F">
      <w:pPr>
        <w:pStyle w:val="BodyText"/>
        <w:tabs>
          <w:tab w:val="left" w:pos="569"/>
        </w:tabs>
        <w:ind w:left="0"/>
        <w:jc w:val="both"/>
        <w:rPr>
          <w:rFonts w:ascii="Times New Roman" w:hAnsi="Times New Roman"/>
          <w:noProof/>
          <w:sz w:val="24"/>
        </w:rPr>
      </w:pPr>
      <w:r>
        <w:rPr>
          <w:rFonts w:ascii="Times New Roman" w:hAnsi="Times New Roman"/>
          <w:sz w:val="24"/>
        </w:rPr>
        <w:t xml:space="preserve">35. Savukārt Cilvēktiesību komiteja ir secinājusi, ka Starptautiskā pakta par pilsoniskajām un politiskajām tiesībām 2. panta 1. punktā un 26. pantā minētais </w:t>
      </w:r>
      <w:r>
        <w:rPr>
          <w:rFonts w:ascii="Times New Roman" w:hAnsi="Times New Roman"/>
          <w:i/>
          <w:sz w:val="24"/>
        </w:rPr>
        <w:t>dzimuma</w:t>
      </w:r>
      <w:r>
        <w:rPr>
          <w:rFonts w:ascii="Times New Roman" w:hAnsi="Times New Roman"/>
          <w:sz w:val="24"/>
        </w:rPr>
        <w:t> jēdziens ietver arī dzimumorientāciju.</w:t>
      </w:r>
      <w:r>
        <w:rPr>
          <w:rStyle w:val="FootnoteReference"/>
          <w:rFonts w:ascii="Times New Roman" w:hAnsi="Times New Roman"/>
          <w:noProof/>
          <w:sz w:val="24"/>
        </w:rPr>
        <w:footnoteReference w:id="52"/>
      </w:r>
      <w:r>
        <w:rPr>
          <w:rFonts w:ascii="Times New Roman" w:hAnsi="Times New Roman"/>
          <w:sz w:val="24"/>
        </w:rPr>
        <w:t xml:space="preserve"> Saskaņā ar savu tiesu praksi Cilvēktiesību komiteja uzskata, ka dalībvalstīm ir jānodrošina gan tas, ka visas personas to teritorijā var izmantot savas tiesības, kas noteiktas Starptautiskajā paktā par pilsoniskajām un politiskajām tiesībām, gan arī </w:t>
      </w:r>
      <w:r>
        <w:rPr>
          <w:rFonts w:ascii="Times New Roman" w:hAnsi="Times New Roman"/>
          <w:sz w:val="24"/>
        </w:rPr>
        <w:lastRenderedPageBreak/>
        <w:t>vienlīdzīga tiesiskā aizsardzība bez atšķirībām jebkādu iemeslu dēļ, tostarp dzimumorientācijas dēļ (Starptautiskā pakta par pilsoniskajām un politiskajām tiesībām 2. panta 1. punkts un 26. pants).</w:t>
      </w:r>
      <w:r>
        <w:rPr>
          <w:rStyle w:val="FootnoteReference"/>
          <w:rFonts w:ascii="Times New Roman" w:hAnsi="Times New Roman"/>
          <w:noProof/>
          <w:sz w:val="24"/>
        </w:rPr>
        <w:footnoteReference w:id="53"/>
      </w:r>
    </w:p>
    <w:p w14:paraId="1CF8316E" w14:textId="77777777" w:rsidR="008E3B77" w:rsidRPr="0087409D" w:rsidRDefault="008E3B77" w:rsidP="0087409D">
      <w:pPr>
        <w:jc w:val="both"/>
        <w:rPr>
          <w:rFonts w:ascii="Times New Roman" w:eastAsia="Arial" w:hAnsi="Times New Roman" w:cs="Arial"/>
          <w:noProof/>
          <w:sz w:val="24"/>
        </w:rPr>
      </w:pPr>
    </w:p>
    <w:p w14:paraId="788D0127" w14:textId="7960AB49" w:rsidR="008E3B77" w:rsidRPr="0087409D" w:rsidRDefault="009E085F" w:rsidP="009E085F">
      <w:pPr>
        <w:pStyle w:val="BodyText"/>
        <w:tabs>
          <w:tab w:val="left" w:pos="575"/>
        </w:tabs>
        <w:ind w:left="0"/>
        <w:jc w:val="both"/>
        <w:rPr>
          <w:rFonts w:ascii="Times New Roman" w:hAnsi="Times New Roman"/>
          <w:noProof/>
          <w:sz w:val="24"/>
          <w:szCs w:val="14"/>
        </w:rPr>
      </w:pPr>
      <w:r>
        <w:rPr>
          <w:rFonts w:ascii="Times New Roman" w:hAnsi="Times New Roman"/>
          <w:sz w:val="24"/>
        </w:rPr>
        <w:t xml:space="preserve">36. Ekonomisko, sociālo un kultūras tiesību komiteja ir pieņēmusi </w:t>
      </w:r>
      <w:r>
        <w:rPr>
          <w:rFonts w:ascii="Times New Roman" w:hAnsi="Times New Roman"/>
          <w:i/>
          <w:sz w:val="24"/>
        </w:rPr>
        <w:t>Vispārējo komentāru par diskriminācijas aizliegumu ekonomisko, sociālo un kultūras tiesību jomā</w:t>
      </w:r>
      <w:r>
        <w:rPr>
          <w:rFonts w:ascii="Times New Roman" w:hAnsi="Times New Roman"/>
          <w:sz w:val="24"/>
        </w:rPr>
        <w:t>, kurā tā atzīst, ka personas dzimumorientācijas vai dzimuma identitātes dēļ viņam vai viņai nedrīkst ierobežot to personas tiesību izmantošanu, kas noteiktas Starptautiskajā paktā par ekonomiskajām, sociālajām un kultūras tiesībām. Ekonomisko, sociālo un kultūras tiesību komiteja ir skaidri atzinusi, ka saskaņā ar Starptautiskā pakta par ekonomiskajām, sociālajām un kultūras tiesībām 2. panta 2. punktu “</w:t>
      </w:r>
      <w:r>
        <w:rPr>
          <w:rFonts w:ascii="Times New Roman" w:hAnsi="Times New Roman"/>
          <w:i/>
          <w:sz w:val="24"/>
        </w:rPr>
        <w:t>cita statusa</w:t>
      </w:r>
      <w:r>
        <w:rPr>
          <w:rFonts w:ascii="Times New Roman" w:hAnsi="Times New Roman"/>
          <w:sz w:val="24"/>
        </w:rPr>
        <w:t>” kritēriju vidū ir arī dzimumorientācija un dzimuma identitāte. Rezultātā personas dzimumorientācija vai dzimuma identitāte ir viens no aizliegtajiem diskriminācijas pamatiem, kas noteikts Starptautiskā pakta par ekonomiskajām, sociālajām un kultūras tiesībām 2. panta 2. punktā.</w:t>
      </w:r>
      <w:r>
        <w:rPr>
          <w:rStyle w:val="FootnoteReference"/>
          <w:rFonts w:ascii="Times New Roman" w:hAnsi="Times New Roman"/>
          <w:noProof/>
          <w:sz w:val="24"/>
        </w:rPr>
        <w:footnoteReference w:id="54"/>
      </w:r>
    </w:p>
    <w:p w14:paraId="54723E36" w14:textId="77777777" w:rsidR="008E3B77" w:rsidRPr="0087409D" w:rsidRDefault="008E3B77" w:rsidP="0087409D">
      <w:pPr>
        <w:jc w:val="both"/>
        <w:rPr>
          <w:rFonts w:ascii="Times New Roman" w:eastAsia="Arial" w:hAnsi="Times New Roman" w:cs="Arial"/>
          <w:noProof/>
          <w:sz w:val="24"/>
          <w:szCs w:val="21"/>
        </w:rPr>
      </w:pPr>
    </w:p>
    <w:p w14:paraId="3DC98000" w14:textId="6037EA02" w:rsidR="008E3B77" w:rsidRPr="0087409D" w:rsidRDefault="009E085F" w:rsidP="009E085F">
      <w:pPr>
        <w:pStyle w:val="BodyText"/>
        <w:tabs>
          <w:tab w:val="left" w:pos="641"/>
        </w:tabs>
        <w:ind w:left="0"/>
        <w:jc w:val="both"/>
        <w:rPr>
          <w:rFonts w:ascii="Times New Roman" w:hAnsi="Times New Roman"/>
          <w:noProof/>
          <w:sz w:val="24"/>
          <w:szCs w:val="16"/>
        </w:rPr>
      </w:pPr>
      <w:r>
        <w:rPr>
          <w:rFonts w:ascii="Times New Roman" w:hAnsi="Times New Roman"/>
          <w:sz w:val="24"/>
        </w:rPr>
        <w:t xml:space="preserve">37. Visbeidzot, attiecībā uz to saistību izpildi, kas izriet no </w:t>
      </w:r>
      <w:r>
        <w:rPr>
          <w:rFonts w:ascii="Times New Roman" w:hAnsi="Times New Roman"/>
          <w:i/>
          <w:sz w:val="24"/>
        </w:rPr>
        <w:t>UNCAT</w:t>
      </w:r>
      <w:r>
        <w:rPr>
          <w:rFonts w:ascii="Times New Roman" w:hAnsi="Times New Roman"/>
          <w:sz w:val="24"/>
        </w:rPr>
        <w:t xml:space="preserve"> konvencijas, dalībvalstīm ir jānodrošina, lai </w:t>
      </w:r>
      <w:r>
        <w:rPr>
          <w:rFonts w:ascii="Times New Roman" w:hAnsi="Times New Roman"/>
          <w:i/>
          <w:sz w:val="24"/>
        </w:rPr>
        <w:t>UNCAT</w:t>
      </w:r>
      <w:r>
        <w:rPr>
          <w:rFonts w:ascii="Times New Roman" w:hAnsi="Times New Roman"/>
          <w:sz w:val="24"/>
        </w:rPr>
        <w:t> konvencija tiktu piemērota visām personām neatkarīgi no viņu dzimumorientācijas vai transdzimuma identitātes.</w:t>
      </w:r>
      <w:r>
        <w:rPr>
          <w:rStyle w:val="FootnoteReference"/>
          <w:rFonts w:ascii="Times New Roman" w:hAnsi="Times New Roman"/>
          <w:noProof/>
          <w:sz w:val="24"/>
        </w:rPr>
        <w:footnoteReference w:id="55"/>
      </w:r>
    </w:p>
    <w:p w14:paraId="7640466E" w14:textId="77777777" w:rsidR="008E3B77" w:rsidRPr="0087409D" w:rsidRDefault="008E3B77" w:rsidP="0087409D">
      <w:pPr>
        <w:jc w:val="both"/>
        <w:rPr>
          <w:rFonts w:ascii="Times New Roman" w:eastAsia="Arial" w:hAnsi="Times New Roman" w:cs="Arial"/>
          <w:noProof/>
          <w:sz w:val="24"/>
        </w:rPr>
      </w:pPr>
    </w:p>
    <w:p w14:paraId="1ADAE046" w14:textId="67578DF3" w:rsidR="008E3B77" w:rsidRPr="0087409D" w:rsidRDefault="009E085F" w:rsidP="009E085F">
      <w:pPr>
        <w:pStyle w:val="Heading1"/>
        <w:tabs>
          <w:tab w:val="left" w:pos="829"/>
        </w:tabs>
        <w:ind w:left="0" w:firstLine="0"/>
        <w:jc w:val="both"/>
        <w:rPr>
          <w:rFonts w:ascii="Times New Roman" w:hAnsi="Times New Roman"/>
          <w:noProof/>
          <w:sz w:val="24"/>
        </w:rPr>
      </w:pPr>
      <w:bookmarkStart w:id="7" w:name="_Toc39749331"/>
      <w:r>
        <w:rPr>
          <w:rFonts w:ascii="Times New Roman" w:hAnsi="Times New Roman"/>
          <w:sz w:val="24"/>
        </w:rPr>
        <w:t>IV. Starptautiskās saistības</w:t>
      </w:r>
      <w:bookmarkStart w:id="8" w:name="_bookmark4"/>
      <w:bookmarkEnd w:id="8"/>
      <w:bookmarkEnd w:id="7"/>
    </w:p>
    <w:p w14:paraId="59DAB013" w14:textId="77777777" w:rsidR="008E3B77" w:rsidRPr="0087409D" w:rsidRDefault="008E3B77" w:rsidP="0087409D">
      <w:pPr>
        <w:jc w:val="both"/>
        <w:rPr>
          <w:rFonts w:ascii="Times New Roman" w:eastAsia="Arial" w:hAnsi="Times New Roman" w:cs="Arial"/>
          <w:b/>
          <w:bCs/>
          <w:noProof/>
          <w:sz w:val="24"/>
        </w:rPr>
      </w:pPr>
    </w:p>
    <w:p w14:paraId="35A1B028" w14:textId="755F23B7" w:rsidR="008E3B77" w:rsidRPr="0087409D" w:rsidRDefault="009E085F" w:rsidP="009E085F">
      <w:pPr>
        <w:pStyle w:val="BodyText"/>
        <w:tabs>
          <w:tab w:val="left" w:pos="610"/>
        </w:tabs>
        <w:ind w:left="0"/>
        <w:jc w:val="both"/>
        <w:rPr>
          <w:rFonts w:ascii="Times New Roman" w:hAnsi="Times New Roman"/>
          <w:noProof/>
          <w:sz w:val="24"/>
        </w:rPr>
      </w:pPr>
      <w:r>
        <w:rPr>
          <w:rFonts w:ascii="Times New Roman" w:hAnsi="Times New Roman"/>
          <w:sz w:val="24"/>
        </w:rPr>
        <w:t>38. Pienākums aizsargāt ikvienu personu no vardarbības, kas saistīta ar dzimumu, izriet no turpmāk minēto cilvēktiesību aizsardzības līgumu ratifikācijas.</w:t>
      </w:r>
    </w:p>
    <w:p w14:paraId="16EFAD8C" w14:textId="77777777" w:rsidR="008E3B77" w:rsidRPr="0087409D" w:rsidRDefault="008E3B77" w:rsidP="0087409D">
      <w:pPr>
        <w:jc w:val="both"/>
        <w:rPr>
          <w:rFonts w:ascii="Times New Roman" w:eastAsia="Arial" w:hAnsi="Times New Roman" w:cs="Arial"/>
          <w:noProof/>
          <w:sz w:val="24"/>
        </w:rPr>
      </w:pPr>
    </w:p>
    <w:p w14:paraId="03E1A47C" w14:textId="27FBA47B" w:rsidR="008E3B77" w:rsidRPr="0087409D" w:rsidRDefault="009E085F" w:rsidP="009E085F">
      <w:pPr>
        <w:pStyle w:val="BodyText"/>
        <w:tabs>
          <w:tab w:val="left" w:pos="841"/>
        </w:tabs>
        <w:ind w:left="284"/>
        <w:jc w:val="both"/>
        <w:rPr>
          <w:rFonts w:ascii="Times New Roman" w:hAnsi="Times New Roman"/>
          <w:noProof/>
          <w:sz w:val="24"/>
          <w:szCs w:val="14"/>
        </w:rPr>
      </w:pPr>
      <w:r>
        <w:rPr>
          <w:rFonts w:ascii="Times New Roman" w:hAnsi="Times New Roman"/>
          <w:sz w:val="24"/>
        </w:rPr>
        <w:t>1. Eiropas Cilvēktiesību un pamatbrīvību aizsardzības konvencija (SEL:</w:t>
      </w:r>
      <w:r w:rsidR="0013528C">
        <w:rPr>
          <w:rStyle w:val="FootnoteReference"/>
          <w:rFonts w:ascii="Times New Roman" w:hAnsi="Times New Roman" w:cs="Arial"/>
          <w:noProof/>
          <w:sz w:val="24"/>
        </w:rPr>
        <w:footnoteReference w:id="56"/>
      </w:r>
      <w:r>
        <w:rPr>
          <w:rFonts w:ascii="Times New Roman" w:hAnsi="Times New Roman"/>
          <w:sz w:val="24"/>
        </w:rPr>
        <w:t xml:space="preserve"> 1953);</w:t>
      </w:r>
      <w:r w:rsidR="0013528C">
        <w:rPr>
          <w:rStyle w:val="FootnoteReference"/>
          <w:rFonts w:ascii="Times New Roman" w:hAnsi="Times New Roman"/>
          <w:noProof/>
          <w:sz w:val="24"/>
        </w:rPr>
        <w:footnoteReference w:id="57"/>
      </w:r>
    </w:p>
    <w:p w14:paraId="026FED9C" w14:textId="094A0D1C" w:rsidR="008E3B77" w:rsidRPr="0087409D" w:rsidRDefault="009E085F" w:rsidP="009E085F">
      <w:pPr>
        <w:pStyle w:val="BodyText"/>
        <w:tabs>
          <w:tab w:val="left" w:pos="841"/>
        </w:tabs>
        <w:ind w:left="284"/>
        <w:jc w:val="both"/>
        <w:rPr>
          <w:rFonts w:ascii="Times New Roman" w:hAnsi="Times New Roman"/>
          <w:noProof/>
          <w:sz w:val="24"/>
          <w:szCs w:val="14"/>
        </w:rPr>
      </w:pPr>
      <w:r>
        <w:rPr>
          <w:rFonts w:ascii="Times New Roman" w:hAnsi="Times New Roman"/>
          <w:sz w:val="24"/>
        </w:rPr>
        <w:t>2. Starptautiskais pakts par pilsoniskajām un politiskajām tiesībām (SEL: 1976);</w:t>
      </w:r>
      <w:r w:rsidR="0013528C">
        <w:rPr>
          <w:rStyle w:val="FootnoteReference"/>
          <w:rFonts w:ascii="Times New Roman" w:hAnsi="Times New Roman"/>
          <w:noProof/>
          <w:sz w:val="24"/>
        </w:rPr>
        <w:footnoteReference w:id="58"/>
      </w:r>
    </w:p>
    <w:p w14:paraId="1AFB34DE" w14:textId="73C266B2" w:rsidR="008E3B77" w:rsidRPr="0087409D" w:rsidRDefault="009E085F" w:rsidP="009E085F">
      <w:pPr>
        <w:pStyle w:val="BodyText"/>
        <w:tabs>
          <w:tab w:val="left" w:pos="841"/>
        </w:tabs>
        <w:ind w:left="284"/>
        <w:jc w:val="both"/>
        <w:rPr>
          <w:rFonts w:ascii="Times New Roman" w:hAnsi="Times New Roman"/>
          <w:noProof/>
          <w:sz w:val="24"/>
          <w:szCs w:val="14"/>
        </w:rPr>
      </w:pPr>
      <w:r>
        <w:rPr>
          <w:rFonts w:ascii="Times New Roman" w:hAnsi="Times New Roman"/>
          <w:sz w:val="24"/>
        </w:rPr>
        <w:t>3. Starptautiskais pakts par ekonomiskajām, sociālajām un kultūras tiesībām (SEL: 1976);</w:t>
      </w:r>
      <w:r w:rsidR="0013528C">
        <w:rPr>
          <w:rStyle w:val="FootnoteReference"/>
          <w:rFonts w:ascii="Times New Roman" w:hAnsi="Times New Roman"/>
          <w:noProof/>
          <w:sz w:val="24"/>
        </w:rPr>
        <w:footnoteReference w:id="59"/>
      </w:r>
    </w:p>
    <w:p w14:paraId="3227EF29" w14:textId="220FD33A" w:rsidR="008E3B77" w:rsidRPr="0087409D" w:rsidRDefault="009E085F" w:rsidP="009E085F">
      <w:pPr>
        <w:pStyle w:val="BodyText"/>
        <w:tabs>
          <w:tab w:val="left" w:pos="841"/>
        </w:tabs>
        <w:ind w:left="284"/>
        <w:jc w:val="both"/>
        <w:rPr>
          <w:rFonts w:ascii="Times New Roman" w:hAnsi="Times New Roman"/>
          <w:noProof/>
          <w:sz w:val="24"/>
        </w:rPr>
      </w:pPr>
      <w:r>
        <w:rPr>
          <w:rFonts w:ascii="Times New Roman" w:hAnsi="Times New Roman"/>
          <w:sz w:val="24"/>
        </w:rPr>
        <w:t>4. Konvencija par jebkuras sieviešu diskriminācijas izskaušanu (</w:t>
      </w:r>
      <w:r>
        <w:rPr>
          <w:rFonts w:ascii="Times New Roman" w:hAnsi="Times New Roman"/>
          <w:i/>
          <w:sz w:val="24"/>
        </w:rPr>
        <w:t>CEDAW</w:t>
      </w:r>
      <w:r>
        <w:rPr>
          <w:rFonts w:ascii="Times New Roman" w:hAnsi="Times New Roman"/>
          <w:sz w:val="24"/>
        </w:rPr>
        <w:t> konvencija) (SEL: 1981);</w:t>
      </w:r>
      <w:r w:rsidR="0013528C">
        <w:rPr>
          <w:rStyle w:val="FootnoteReference"/>
          <w:rFonts w:ascii="Times New Roman" w:hAnsi="Times New Roman"/>
          <w:noProof/>
          <w:sz w:val="24"/>
        </w:rPr>
        <w:footnoteReference w:id="60"/>
      </w:r>
    </w:p>
    <w:p w14:paraId="410EBF74" w14:textId="750DFC44" w:rsidR="008E3B77" w:rsidRPr="0087409D" w:rsidRDefault="009E085F" w:rsidP="009E085F">
      <w:pPr>
        <w:pStyle w:val="BodyText"/>
        <w:tabs>
          <w:tab w:val="left" w:pos="841"/>
        </w:tabs>
        <w:ind w:left="284"/>
        <w:jc w:val="both"/>
        <w:rPr>
          <w:rFonts w:ascii="Times New Roman" w:hAnsi="Times New Roman"/>
          <w:noProof/>
          <w:sz w:val="24"/>
        </w:rPr>
      </w:pPr>
      <w:r>
        <w:rPr>
          <w:rFonts w:ascii="Times New Roman" w:hAnsi="Times New Roman"/>
          <w:sz w:val="24"/>
        </w:rPr>
        <w:t>5. Konvencija par spīdzināšanu un citiem nežēlīgas, necilvēcīgas vai pazemojošas izturēšanās vai sodīšanas veidiem (</w:t>
      </w:r>
      <w:r>
        <w:rPr>
          <w:rFonts w:ascii="Times New Roman" w:hAnsi="Times New Roman"/>
          <w:i/>
          <w:sz w:val="24"/>
        </w:rPr>
        <w:t>UNCAT</w:t>
      </w:r>
      <w:r>
        <w:rPr>
          <w:rFonts w:ascii="Times New Roman" w:hAnsi="Times New Roman"/>
          <w:sz w:val="24"/>
        </w:rPr>
        <w:t> konvencija) (SEL: 1987)</w:t>
      </w:r>
      <w:r w:rsidR="0013528C">
        <w:rPr>
          <w:rStyle w:val="FootnoteReference"/>
          <w:rFonts w:ascii="Times New Roman" w:hAnsi="Times New Roman"/>
          <w:noProof/>
          <w:sz w:val="24"/>
        </w:rPr>
        <w:footnoteReference w:id="61"/>
      </w:r>
      <w:r>
        <w:rPr>
          <w:rFonts w:ascii="Times New Roman" w:hAnsi="Times New Roman"/>
          <w:sz w:val="24"/>
        </w:rPr>
        <w:t>.</w:t>
      </w:r>
    </w:p>
    <w:p w14:paraId="6DD38A86" w14:textId="77777777" w:rsidR="008E3B77" w:rsidRPr="0087409D" w:rsidRDefault="008E3B77" w:rsidP="0087409D">
      <w:pPr>
        <w:jc w:val="both"/>
        <w:rPr>
          <w:rFonts w:ascii="Times New Roman" w:eastAsia="Arial" w:hAnsi="Times New Roman" w:cs="Arial"/>
          <w:noProof/>
          <w:sz w:val="24"/>
          <w:szCs w:val="21"/>
        </w:rPr>
      </w:pPr>
    </w:p>
    <w:p w14:paraId="67761829" w14:textId="25CB142C" w:rsidR="008E3B77" w:rsidRPr="0087409D" w:rsidRDefault="009E085F" w:rsidP="009E085F">
      <w:pPr>
        <w:pStyle w:val="BodyText"/>
        <w:tabs>
          <w:tab w:val="left" w:pos="557"/>
        </w:tabs>
        <w:ind w:left="0"/>
        <w:jc w:val="both"/>
        <w:rPr>
          <w:rFonts w:ascii="Times New Roman" w:hAnsi="Times New Roman"/>
          <w:noProof/>
          <w:sz w:val="24"/>
          <w:szCs w:val="14"/>
        </w:rPr>
      </w:pPr>
      <w:r>
        <w:rPr>
          <w:rFonts w:ascii="Times New Roman" w:hAnsi="Times New Roman"/>
          <w:sz w:val="24"/>
        </w:rPr>
        <w:t>39. Pirmkārt un galvenokārt, nespēja aizsargāt personu no vardarbības ģimenē, kā arī nepieļaut ar dzimumu saistītu vardarbību pret sievietēm var izraisīt ECK 2. un 3. pantā un Starptautiskā pakta par pilsoniskajām un politiskajām tiesībām 6. un 7. pantā noteikto tiesību uz dzīvību vai tiesību uz brīvību no spīdzināšan</w:t>
      </w:r>
      <w:r w:rsidR="00BB548D">
        <w:rPr>
          <w:rFonts w:ascii="Times New Roman" w:hAnsi="Times New Roman"/>
          <w:sz w:val="24"/>
        </w:rPr>
        <w:t>as</w:t>
      </w:r>
      <w:r>
        <w:rPr>
          <w:rFonts w:ascii="Times New Roman" w:hAnsi="Times New Roman"/>
          <w:sz w:val="24"/>
        </w:rPr>
        <w:t xml:space="preserve"> un/vai citas sliktas izturēšanās pārkāpumus.</w:t>
      </w:r>
      <w:r w:rsidR="0013528C">
        <w:rPr>
          <w:rStyle w:val="FootnoteReference"/>
          <w:rFonts w:ascii="Times New Roman" w:hAnsi="Times New Roman"/>
          <w:noProof/>
          <w:sz w:val="24"/>
        </w:rPr>
        <w:footnoteReference w:id="62"/>
      </w:r>
    </w:p>
    <w:p w14:paraId="3889C2DF" w14:textId="77777777" w:rsidR="008E3B77" w:rsidRPr="0087409D" w:rsidRDefault="008E3B77" w:rsidP="0087409D">
      <w:pPr>
        <w:jc w:val="both"/>
        <w:rPr>
          <w:rFonts w:ascii="Times New Roman" w:eastAsia="Arial" w:hAnsi="Times New Roman" w:cs="Arial"/>
          <w:noProof/>
          <w:sz w:val="24"/>
        </w:rPr>
      </w:pPr>
    </w:p>
    <w:p w14:paraId="7A399FA0" w14:textId="27934C7B" w:rsidR="008E3B77" w:rsidRPr="0013528C" w:rsidRDefault="009E085F" w:rsidP="0013528C">
      <w:pPr>
        <w:pStyle w:val="BodyText"/>
        <w:tabs>
          <w:tab w:val="left" w:pos="569"/>
        </w:tabs>
        <w:ind w:left="0"/>
        <w:jc w:val="both"/>
        <w:rPr>
          <w:rFonts w:ascii="Times New Roman" w:hAnsi="Times New Roman"/>
          <w:noProof/>
          <w:sz w:val="24"/>
        </w:rPr>
      </w:pPr>
      <w:r>
        <w:rPr>
          <w:rFonts w:ascii="Times New Roman" w:hAnsi="Times New Roman"/>
          <w:sz w:val="24"/>
        </w:rPr>
        <w:t>40. Attiecībā uz ECK 2. un 3. pantu ECT lēma, ka dalībvalstīm var būt pozitīvs pienākums pasargāt personas no dzīvības atņemšanas, kā arī no sliktas izturēšanās pret tām, ja šīs darbības izdarījusi fiziska persona.</w:t>
      </w:r>
      <w:r w:rsidR="0013528C">
        <w:rPr>
          <w:rStyle w:val="FootnoteReference"/>
          <w:rFonts w:ascii="Times New Roman" w:hAnsi="Times New Roman"/>
          <w:noProof/>
          <w:sz w:val="24"/>
        </w:rPr>
        <w:footnoteReference w:id="63"/>
      </w:r>
      <w:r>
        <w:rPr>
          <w:rFonts w:ascii="Times New Roman" w:hAnsi="Times New Roman"/>
          <w:sz w:val="24"/>
        </w:rPr>
        <w:t xml:space="preserve"> Turklāt dalībvalstīm ir pienākums veikt atbilstošus pasākumus, lai kriminalizētu vardarbības un uzmākšanās aktus. Citiem vārdiem sakot, ja ģimenē notiek vardarbība, dalībvalstīm jāveic visi (likumdošanas) pasākumi, lai aizsargātu (iespējami) skartās personas.</w:t>
      </w:r>
      <w:r w:rsidR="0013528C">
        <w:rPr>
          <w:rStyle w:val="FootnoteReference"/>
          <w:rFonts w:ascii="Times New Roman" w:hAnsi="Times New Roman"/>
          <w:noProof/>
          <w:sz w:val="24"/>
        </w:rPr>
        <w:footnoteReference w:id="64"/>
      </w:r>
      <w:r>
        <w:rPr>
          <w:rFonts w:ascii="Times New Roman" w:hAnsi="Times New Roman"/>
          <w:sz w:val="24"/>
        </w:rPr>
        <w:t xml:space="preserve"> Ja vardarbības ģimenē rezultātā vēl nav notikusi fiziska vardarbība, bet gan personai ir atkārtoti izteikti draudi, var tikt pārkāptas šīs personas ECK 8. pantā noteiktās tiesības uz fizisko un psiholoģisko integritāti.</w:t>
      </w:r>
      <w:r w:rsidR="0013528C">
        <w:rPr>
          <w:rStyle w:val="FootnoteReference"/>
          <w:rFonts w:ascii="Times New Roman" w:hAnsi="Times New Roman"/>
          <w:noProof/>
          <w:sz w:val="24"/>
        </w:rPr>
        <w:footnoteReference w:id="65"/>
      </w:r>
      <w:r>
        <w:rPr>
          <w:rFonts w:ascii="Times New Roman" w:hAnsi="Times New Roman"/>
          <w:sz w:val="24"/>
        </w:rPr>
        <w:t xml:space="preserve"> Līdz ar to dalībvalstīm var būt pienākums aizsargāt personas no šādas trešo pušu iejaukšanās.</w:t>
      </w:r>
      <w:r w:rsidR="0013528C">
        <w:rPr>
          <w:rStyle w:val="FootnoteReference"/>
          <w:rFonts w:ascii="Times New Roman" w:hAnsi="Times New Roman"/>
          <w:noProof/>
          <w:sz w:val="24"/>
        </w:rPr>
        <w:footnoteReference w:id="66"/>
      </w:r>
      <w:r>
        <w:rPr>
          <w:rFonts w:ascii="Times New Roman" w:hAnsi="Times New Roman"/>
          <w:sz w:val="24"/>
        </w:rPr>
        <w:t xml:space="preserve"> Visbeidzot, ECT ir atzinusi, ka dalībvalstīs, kurās no vardarbības ģimenē ir cietušas galvenokārt sievietes, vardarbību ģimenē var uzskatīt par vardarbību, kas saistīta ar dzimumu, un tāpēc tā var būt ECK 14. panta pārkāpums saistībā ar ECK 2. un 3. pantu.</w:t>
      </w:r>
      <w:r w:rsidR="0013528C">
        <w:rPr>
          <w:rStyle w:val="FootnoteReference"/>
          <w:rFonts w:ascii="Times New Roman" w:hAnsi="Times New Roman"/>
          <w:noProof/>
          <w:sz w:val="24"/>
        </w:rPr>
        <w:footnoteReference w:id="67"/>
      </w:r>
    </w:p>
    <w:p w14:paraId="0FADA7FA" w14:textId="77777777" w:rsidR="008E3B77" w:rsidRPr="0087409D" w:rsidRDefault="008E3B77" w:rsidP="0087409D">
      <w:pPr>
        <w:jc w:val="both"/>
        <w:rPr>
          <w:rFonts w:ascii="Times New Roman" w:eastAsia="Arial" w:hAnsi="Times New Roman" w:cs="Arial"/>
          <w:noProof/>
          <w:sz w:val="24"/>
        </w:rPr>
      </w:pPr>
    </w:p>
    <w:p w14:paraId="1411D633" w14:textId="665CD687" w:rsidR="008E3B77" w:rsidRPr="0087409D" w:rsidRDefault="0013528C" w:rsidP="0013528C">
      <w:pPr>
        <w:pStyle w:val="BodyText"/>
        <w:tabs>
          <w:tab w:val="left" w:pos="569"/>
        </w:tabs>
        <w:ind w:left="0"/>
        <w:jc w:val="both"/>
        <w:rPr>
          <w:rFonts w:ascii="Times New Roman" w:hAnsi="Times New Roman"/>
          <w:noProof/>
          <w:sz w:val="24"/>
          <w:szCs w:val="14"/>
        </w:rPr>
      </w:pPr>
      <w:r>
        <w:rPr>
          <w:rFonts w:ascii="Times New Roman" w:hAnsi="Times New Roman"/>
          <w:sz w:val="24"/>
        </w:rPr>
        <w:t>41. Lai ievērotu Starptautiskā pakta par pilsoniskajām un politiskajām tiesībām 6. un 7. pantu, dalībvalstīm ir jāaizsargā sievietes no prakses, kuras rezultātā tiek pārkāptas viņu tiesības uz dzīvību un/vai viņas tiek pakļautas nežēlīgas, necilvēcīgas vai pazemojošas izturēšanās veidiem.</w:t>
      </w:r>
      <w:r>
        <w:rPr>
          <w:rStyle w:val="FootnoteReference"/>
          <w:rFonts w:ascii="Times New Roman" w:hAnsi="Times New Roman"/>
          <w:noProof/>
          <w:sz w:val="24"/>
        </w:rPr>
        <w:footnoteReference w:id="68"/>
      </w:r>
      <w:r>
        <w:rPr>
          <w:rFonts w:ascii="Times New Roman" w:hAnsi="Times New Roman"/>
          <w:sz w:val="24"/>
        </w:rPr>
        <w:t xml:space="preserve"> Tāpēc dalībvalstīm ir jāsauc pie atbildības un jāsoda par vardarbību ģimenē un cita veida vardarbību pret sievietēm. Turklāt Cilvēktiesību komiteja uzsver, ka ar sieviešu aizsardzības pasākumiem vien nepietiek, lai ievērotu Starptautisko paktu par pilsoniskajām un politiskajām tiesībām. Starptautiskajā paktā par pilsoniskajām un politiskajām tiesībām noteiktās saistības attiecas arī uz pasākumu ieviešanu ar mērķi nodrošināt faktiskas un vienlīdzīgas iespējas sievietēm.</w:t>
      </w:r>
      <w:r>
        <w:rPr>
          <w:rStyle w:val="FootnoteReference"/>
          <w:rFonts w:ascii="Times New Roman" w:hAnsi="Times New Roman"/>
          <w:noProof/>
          <w:sz w:val="24"/>
        </w:rPr>
        <w:footnoteReference w:id="69"/>
      </w:r>
    </w:p>
    <w:p w14:paraId="0B5314BC" w14:textId="77777777" w:rsidR="008E3B77" w:rsidRPr="0087409D" w:rsidRDefault="008E3B77" w:rsidP="0087409D">
      <w:pPr>
        <w:jc w:val="both"/>
        <w:rPr>
          <w:rFonts w:ascii="Times New Roman" w:eastAsia="Arial" w:hAnsi="Times New Roman" w:cs="Arial"/>
          <w:noProof/>
          <w:sz w:val="24"/>
        </w:rPr>
      </w:pPr>
    </w:p>
    <w:p w14:paraId="0D4F183D" w14:textId="00E5FA34" w:rsidR="008E3B77" w:rsidRPr="0087409D" w:rsidRDefault="0013528C" w:rsidP="0013528C">
      <w:pPr>
        <w:pStyle w:val="BodyText"/>
        <w:tabs>
          <w:tab w:val="left" w:pos="558"/>
        </w:tabs>
        <w:ind w:left="0"/>
        <w:jc w:val="both"/>
        <w:rPr>
          <w:rFonts w:ascii="Times New Roman" w:hAnsi="Times New Roman"/>
          <w:noProof/>
          <w:sz w:val="24"/>
          <w:szCs w:val="14"/>
        </w:rPr>
      </w:pPr>
      <w:r>
        <w:rPr>
          <w:rFonts w:ascii="Times New Roman" w:hAnsi="Times New Roman"/>
          <w:sz w:val="24"/>
        </w:rPr>
        <w:t xml:space="preserve">42. Saskaņā ar iepriekš teikto (skat. III.B daļu) </w:t>
      </w:r>
      <w:r>
        <w:rPr>
          <w:rFonts w:ascii="Times New Roman" w:hAnsi="Times New Roman"/>
          <w:i/>
          <w:sz w:val="24"/>
        </w:rPr>
        <w:t>CEDAW</w:t>
      </w:r>
      <w:r>
        <w:rPr>
          <w:rFonts w:ascii="Times New Roman" w:hAnsi="Times New Roman"/>
          <w:sz w:val="24"/>
        </w:rPr>
        <w:t xml:space="preserve"> komitejas interpretācijā ar dzimumu saistīta vardarbība ir sieviešu diskriminācijas veids, ko aizliedz </w:t>
      </w:r>
      <w:r>
        <w:rPr>
          <w:rFonts w:ascii="Times New Roman" w:hAnsi="Times New Roman"/>
          <w:i/>
          <w:sz w:val="24"/>
        </w:rPr>
        <w:t>CEDAW</w:t>
      </w:r>
      <w:r>
        <w:rPr>
          <w:rFonts w:ascii="Times New Roman" w:hAnsi="Times New Roman"/>
          <w:sz w:val="24"/>
        </w:rPr>
        <w:t> konvencijas 1. pants.</w:t>
      </w:r>
      <w:r>
        <w:rPr>
          <w:rStyle w:val="FootnoteReference"/>
          <w:rFonts w:ascii="Times New Roman" w:hAnsi="Times New Roman"/>
          <w:noProof/>
          <w:sz w:val="24"/>
        </w:rPr>
        <w:footnoteReference w:id="70"/>
      </w:r>
      <w:r>
        <w:rPr>
          <w:rFonts w:ascii="Times New Roman" w:hAnsi="Times New Roman"/>
          <w:sz w:val="24"/>
          <w:szCs w:val="14"/>
        </w:rPr>
        <w:t xml:space="preserve"> </w:t>
      </w:r>
      <w:r>
        <w:rPr>
          <w:rFonts w:ascii="Times New Roman" w:hAnsi="Times New Roman"/>
          <w:sz w:val="24"/>
        </w:rPr>
        <w:t xml:space="preserve">Tātad vardarbība, </w:t>
      </w:r>
      <w:r>
        <w:rPr>
          <w:rFonts w:ascii="Times New Roman" w:hAnsi="Times New Roman"/>
          <w:i/>
          <w:sz w:val="24"/>
        </w:rPr>
        <w:t>“kas vērsta pret sievieti tāpēc, ka viņa ir sieviete, vai kas nesamērīgi skar sievietes”</w:t>
      </w:r>
      <w:r>
        <w:rPr>
          <w:rFonts w:ascii="Times New Roman" w:hAnsi="Times New Roman"/>
          <w:sz w:val="24"/>
        </w:rPr>
        <w:t xml:space="preserve">, ir pretrunā ne tikai ar sieviešu tiesībām uz dzīvību un tiesībām netikt pakļautām nežēlīgas, necilvēcīgas vai pazemojošas izturēšanās veidiem, bet arī ar </w:t>
      </w:r>
      <w:r>
        <w:rPr>
          <w:rFonts w:ascii="Times New Roman" w:hAnsi="Times New Roman"/>
          <w:i/>
          <w:sz w:val="24"/>
        </w:rPr>
        <w:t>CEDAW</w:t>
      </w:r>
      <w:r>
        <w:rPr>
          <w:rFonts w:ascii="Times New Roman" w:hAnsi="Times New Roman"/>
          <w:sz w:val="24"/>
        </w:rPr>
        <w:t> konvencijas 1. pantu.</w:t>
      </w:r>
      <w:r>
        <w:rPr>
          <w:rStyle w:val="FootnoteReference"/>
          <w:rFonts w:ascii="Times New Roman" w:hAnsi="Times New Roman"/>
          <w:noProof/>
          <w:sz w:val="24"/>
        </w:rPr>
        <w:footnoteReference w:id="71"/>
      </w:r>
      <w:r>
        <w:rPr>
          <w:rFonts w:ascii="Times New Roman" w:hAnsi="Times New Roman"/>
          <w:sz w:val="24"/>
          <w:szCs w:val="14"/>
        </w:rPr>
        <w:t xml:space="preserve"> </w:t>
      </w:r>
      <w:r>
        <w:rPr>
          <w:rFonts w:ascii="Times New Roman" w:hAnsi="Times New Roman"/>
          <w:i/>
          <w:sz w:val="24"/>
        </w:rPr>
        <w:t>CEDAW</w:t>
      </w:r>
      <w:r>
        <w:rPr>
          <w:rFonts w:ascii="Times New Roman" w:hAnsi="Times New Roman"/>
          <w:sz w:val="24"/>
        </w:rPr>
        <w:t> komiteja ir secinājusi arī to, ka ar dzimumu saistītas vardarbības aizliegums (</w:t>
      </w:r>
      <w:r>
        <w:rPr>
          <w:rFonts w:ascii="Times New Roman" w:hAnsi="Times New Roman"/>
          <w:i/>
          <w:sz w:val="24"/>
        </w:rPr>
        <w:t>CEDAW</w:t>
      </w:r>
      <w:r>
        <w:rPr>
          <w:rFonts w:ascii="Times New Roman" w:hAnsi="Times New Roman"/>
          <w:sz w:val="24"/>
        </w:rPr>
        <w:t> konvencijas 1. pants), kā arī sieviešu diskriminācijas aizliegums ģimenes attiecībās (</w:t>
      </w:r>
      <w:r>
        <w:rPr>
          <w:rFonts w:ascii="Times New Roman" w:hAnsi="Times New Roman"/>
          <w:i/>
          <w:sz w:val="24"/>
        </w:rPr>
        <w:t>CEDAW</w:t>
      </w:r>
      <w:r>
        <w:rPr>
          <w:rFonts w:ascii="Times New Roman" w:hAnsi="Times New Roman"/>
          <w:sz w:val="24"/>
        </w:rPr>
        <w:t xml:space="preserve"> konvencijas 16. pants) rada pozitīvas valsts saistības </w:t>
      </w:r>
      <w:r>
        <w:rPr>
          <w:rFonts w:ascii="Times New Roman" w:hAnsi="Times New Roman"/>
          <w:sz w:val="24"/>
        </w:rPr>
        <w:lastRenderedPageBreak/>
        <w:t>attiecībā uz sieviešu aizsardzību no vardarbības ģimenē.</w:t>
      </w:r>
      <w:r>
        <w:rPr>
          <w:rStyle w:val="FootnoteReference"/>
          <w:rFonts w:ascii="Times New Roman" w:hAnsi="Times New Roman"/>
          <w:noProof/>
          <w:sz w:val="24"/>
        </w:rPr>
        <w:footnoteReference w:id="72"/>
      </w:r>
      <w:r>
        <w:rPr>
          <w:rFonts w:ascii="Times New Roman" w:hAnsi="Times New Roman"/>
          <w:sz w:val="24"/>
          <w:szCs w:val="14"/>
        </w:rPr>
        <w:t xml:space="preserve"> </w:t>
      </w:r>
      <w:r>
        <w:rPr>
          <w:rFonts w:ascii="Times New Roman" w:hAnsi="Times New Roman"/>
          <w:sz w:val="24"/>
        </w:rPr>
        <w:t xml:space="preserve">Tāpēc dalībvalstu pienākumiem saistībā ar cīņu pret vardarbību ģimenē un ar dzimumu saistītu vardarbību kopumā jāietver arī </w:t>
      </w:r>
      <w:r>
        <w:rPr>
          <w:rFonts w:ascii="Times New Roman" w:hAnsi="Times New Roman"/>
          <w:i/>
          <w:sz w:val="24"/>
        </w:rPr>
        <w:t>CEDAW</w:t>
      </w:r>
      <w:r>
        <w:rPr>
          <w:rFonts w:ascii="Times New Roman" w:hAnsi="Times New Roman"/>
          <w:sz w:val="24"/>
        </w:rPr>
        <w:t> konvencijas 2. pantā noteiktie pasākumi.</w:t>
      </w:r>
      <w:r>
        <w:rPr>
          <w:rStyle w:val="FootnoteReference"/>
          <w:rFonts w:ascii="Times New Roman" w:hAnsi="Times New Roman"/>
          <w:noProof/>
          <w:sz w:val="24"/>
        </w:rPr>
        <w:footnoteReference w:id="73"/>
      </w:r>
      <w:r>
        <w:rPr>
          <w:rFonts w:ascii="Times New Roman" w:hAnsi="Times New Roman"/>
          <w:sz w:val="24"/>
          <w:szCs w:val="14"/>
        </w:rPr>
        <w:t xml:space="preserve"> </w:t>
      </w:r>
      <w:r>
        <w:rPr>
          <w:rFonts w:ascii="Times New Roman" w:hAnsi="Times New Roman"/>
          <w:sz w:val="24"/>
        </w:rPr>
        <w:t>Attiecīgi valstīm ir jāpieņem tiesību akti, lai aizliegtu visus ar dzimumu saistītās vardarbības pret sievietēm veidus un noteiktu kriminālatbildību par šādas vardarbības izdarīšanu, un nodrošinātu cietušajām sievietēm piekļuvi medicīnas un konsultāciju pakalpojumiem, kā arī izveidotu izpratnes veidošanas programmas ar mērķi uzlabot izpratni par tiem vardarbības pret sievietēm veidiem, kas saistīti ar dzimumu.</w:t>
      </w:r>
      <w:r>
        <w:rPr>
          <w:rStyle w:val="FootnoteReference"/>
          <w:rFonts w:ascii="Times New Roman" w:hAnsi="Times New Roman"/>
          <w:noProof/>
          <w:sz w:val="24"/>
        </w:rPr>
        <w:footnoteReference w:id="74"/>
      </w:r>
    </w:p>
    <w:p w14:paraId="2E618885" w14:textId="77777777" w:rsidR="008E3B77" w:rsidRPr="0087409D" w:rsidRDefault="008E3B77" w:rsidP="0087409D">
      <w:pPr>
        <w:jc w:val="both"/>
        <w:rPr>
          <w:rFonts w:ascii="Times New Roman" w:eastAsia="Arial" w:hAnsi="Times New Roman" w:cs="Arial"/>
          <w:noProof/>
          <w:sz w:val="24"/>
        </w:rPr>
      </w:pPr>
    </w:p>
    <w:p w14:paraId="477CB132" w14:textId="1AF8B085" w:rsidR="008E3B77" w:rsidRPr="0013528C" w:rsidRDefault="0013528C" w:rsidP="0013528C">
      <w:pPr>
        <w:tabs>
          <w:tab w:val="left" w:pos="539"/>
        </w:tabs>
        <w:jc w:val="both"/>
        <w:rPr>
          <w:rFonts w:ascii="Times New Roman" w:eastAsia="Arial" w:hAnsi="Times New Roman" w:cs="Arial"/>
          <w:noProof/>
          <w:sz w:val="24"/>
        </w:rPr>
      </w:pPr>
      <w:r>
        <w:rPr>
          <w:rFonts w:ascii="Times New Roman" w:hAnsi="Times New Roman"/>
          <w:sz w:val="24"/>
        </w:rPr>
        <w:t xml:space="preserve">43. Ekonomisko, sociālo un kultūras tiesību komiteja atzīst, ka ar dzimumu saistīta vardarbība </w:t>
      </w:r>
      <w:r>
        <w:rPr>
          <w:rFonts w:ascii="Times New Roman" w:hAnsi="Times New Roman"/>
          <w:i/>
          <w:sz w:val="24"/>
        </w:rPr>
        <w:t>“ir diskriminācijas veids, kas kavē iespēju vienlīdzīgi izmantot tiesības un brīvības, tostarp ekonomiskās, sociālās un kultūras tiesības”</w:t>
      </w:r>
      <w:r>
        <w:rPr>
          <w:rFonts w:ascii="Times New Roman" w:hAnsi="Times New Roman"/>
          <w:sz w:val="24"/>
        </w:rPr>
        <w:t>.</w:t>
      </w:r>
      <w:r>
        <w:rPr>
          <w:rStyle w:val="FootnoteReference"/>
          <w:rFonts w:ascii="Times New Roman" w:eastAsia="Arial" w:hAnsi="Times New Roman" w:cs="Arial"/>
          <w:noProof/>
          <w:sz w:val="24"/>
        </w:rPr>
        <w:footnoteReference w:id="75"/>
      </w:r>
      <w:r>
        <w:rPr>
          <w:rFonts w:ascii="Times New Roman" w:hAnsi="Times New Roman"/>
          <w:sz w:val="24"/>
          <w:szCs w:val="14"/>
        </w:rPr>
        <w:t xml:space="preserve"> </w:t>
      </w:r>
      <w:r>
        <w:rPr>
          <w:rFonts w:ascii="Times New Roman" w:hAnsi="Times New Roman"/>
          <w:sz w:val="24"/>
        </w:rPr>
        <w:t xml:space="preserve">Rezultātā Ekonomisko, sociālo un kultūras tiesību komitejas pieeja attiecībā uz dalībvalstu pienākumu novērst vardarbību pret sievietēm ir līdzīga ECT, Cilvēktiesību komitejas un </w:t>
      </w:r>
      <w:r>
        <w:rPr>
          <w:rFonts w:ascii="Times New Roman" w:hAnsi="Times New Roman"/>
          <w:i/>
          <w:sz w:val="24"/>
        </w:rPr>
        <w:t>CEDAW</w:t>
      </w:r>
      <w:r>
        <w:rPr>
          <w:rFonts w:ascii="Times New Roman" w:hAnsi="Times New Roman"/>
          <w:sz w:val="24"/>
        </w:rPr>
        <w:t> komitejas pieejai šajā jautājumā. Ekonomisko, sociālo un kultūras tiesību komiteja uzsver nepieciešamību īstenot atbilstošus pasākumus, lai novērstu un izmeklētu fizisku personu izdarītu vardarbību pret sievietēm, sodītu vainīgos un atlīdzinātu šādas vardarbības radīto kaitējumu.</w:t>
      </w:r>
      <w:r>
        <w:rPr>
          <w:rStyle w:val="FootnoteReference"/>
          <w:rFonts w:ascii="Times New Roman" w:hAnsi="Times New Roman"/>
          <w:noProof/>
          <w:sz w:val="24"/>
        </w:rPr>
        <w:footnoteReference w:id="76"/>
      </w:r>
      <w:r>
        <w:rPr>
          <w:rFonts w:ascii="Times New Roman" w:hAnsi="Times New Roman"/>
          <w:sz w:val="24"/>
        </w:rPr>
        <w:t xml:space="preserve"> Turklāt Ekonomisko, sociālo un kultūras tiesību komiteja uzsver faktu, ka vardarbība ģimenē galvenokārt skar sievietes un ka tādēļ valstīm rodas aizsardzības pienākumi saskaņā ar </w:t>
      </w:r>
      <w:r>
        <w:rPr>
          <w:rFonts w:ascii="Times New Roman" w:hAnsi="Times New Roman"/>
          <w:i/>
          <w:sz w:val="24"/>
        </w:rPr>
        <w:t>ICESCR</w:t>
      </w:r>
      <w:r>
        <w:rPr>
          <w:rFonts w:ascii="Times New Roman" w:hAnsi="Times New Roman"/>
          <w:sz w:val="24"/>
        </w:rPr>
        <w:t xml:space="preserve"> 10. panta 1. punktu (ģimenes tiesības), to skatot saistībā ar </w:t>
      </w:r>
      <w:r>
        <w:rPr>
          <w:rFonts w:ascii="Times New Roman" w:hAnsi="Times New Roman"/>
          <w:i/>
          <w:sz w:val="24"/>
        </w:rPr>
        <w:t>ICESCR</w:t>
      </w:r>
      <w:r>
        <w:rPr>
          <w:rFonts w:ascii="Times New Roman" w:hAnsi="Times New Roman"/>
          <w:sz w:val="24"/>
        </w:rPr>
        <w:t> 3. pantu (vīriešu un sieviešu līdztiesība).</w:t>
      </w:r>
      <w:r>
        <w:rPr>
          <w:rStyle w:val="FootnoteReference"/>
          <w:rFonts w:ascii="Times New Roman" w:hAnsi="Times New Roman"/>
          <w:noProof/>
          <w:sz w:val="24"/>
        </w:rPr>
        <w:footnoteReference w:id="77"/>
      </w:r>
      <w:r>
        <w:rPr>
          <w:rFonts w:ascii="Times New Roman" w:hAnsi="Times New Roman"/>
          <w:sz w:val="24"/>
        </w:rPr>
        <w:t xml:space="preserve"> Šie aizsardzības jautājumi ietver īpaša vardarbības ģimenē nodarījuma </w:t>
      </w:r>
      <w:r w:rsidR="00BB548D">
        <w:rPr>
          <w:rFonts w:ascii="Times New Roman" w:hAnsi="Times New Roman"/>
          <w:sz w:val="24"/>
        </w:rPr>
        <w:t>izveidi</w:t>
      </w:r>
      <w:r>
        <w:rPr>
          <w:rFonts w:ascii="Times New Roman" w:hAnsi="Times New Roman"/>
          <w:sz w:val="24"/>
        </w:rPr>
        <w:t>, kā arī krīzes centru vai cietušajiem domātu patversmju izveidi un izpratnes veidošanas kampaņu rīkošanu.</w:t>
      </w:r>
      <w:r>
        <w:rPr>
          <w:rStyle w:val="FootnoteReference"/>
          <w:rFonts w:ascii="Times New Roman" w:hAnsi="Times New Roman"/>
          <w:noProof/>
          <w:sz w:val="24"/>
        </w:rPr>
        <w:footnoteReference w:id="78"/>
      </w:r>
    </w:p>
    <w:p w14:paraId="15A693EC" w14:textId="77777777" w:rsidR="008E3B77" w:rsidRPr="0087409D" w:rsidRDefault="008E3B77" w:rsidP="0087409D">
      <w:pPr>
        <w:jc w:val="both"/>
        <w:rPr>
          <w:rFonts w:ascii="Times New Roman" w:eastAsia="Arial" w:hAnsi="Times New Roman" w:cs="Arial"/>
          <w:noProof/>
          <w:sz w:val="24"/>
        </w:rPr>
      </w:pPr>
    </w:p>
    <w:p w14:paraId="32858686" w14:textId="588FA75C" w:rsidR="008E3B77" w:rsidRPr="0087409D" w:rsidRDefault="0013528C" w:rsidP="0013528C">
      <w:pPr>
        <w:pStyle w:val="BodyText"/>
        <w:tabs>
          <w:tab w:val="left" w:pos="541"/>
        </w:tabs>
        <w:ind w:left="0"/>
        <w:jc w:val="both"/>
        <w:rPr>
          <w:rFonts w:ascii="Times New Roman" w:hAnsi="Times New Roman"/>
          <w:noProof/>
          <w:sz w:val="24"/>
          <w:szCs w:val="14"/>
        </w:rPr>
      </w:pPr>
      <w:r>
        <w:rPr>
          <w:rFonts w:ascii="Times New Roman" w:hAnsi="Times New Roman"/>
          <w:sz w:val="24"/>
        </w:rPr>
        <w:t xml:space="preserve">44. Visbeidzot, </w:t>
      </w:r>
      <w:r>
        <w:rPr>
          <w:rFonts w:ascii="Times New Roman" w:hAnsi="Times New Roman"/>
          <w:i/>
          <w:sz w:val="24"/>
        </w:rPr>
        <w:t>UNCAT</w:t>
      </w:r>
      <w:r>
        <w:rPr>
          <w:rFonts w:ascii="Times New Roman" w:hAnsi="Times New Roman"/>
          <w:sz w:val="24"/>
        </w:rPr>
        <w:t xml:space="preserve"> konvencijā ir uzsvērts, ka dalībvalstīm, īstenojot savas pamatsaistības saskaņā ar </w:t>
      </w:r>
      <w:r>
        <w:rPr>
          <w:rFonts w:ascii="Times New Roman" w:hAnsi="Times New Roman"/>
          <w:i/>
          <w:sz w:val="24"/>
        </w:rPr>
        <w:t>UNCAT</w:t>
      </w:r>
      <w:r>
        <w:rPr>
          <w:rFonts w:ascii="Times New Roman" w:hAnsi="Times New Roman"/>
          <w:sz w:val="24"/>
        </w:rPr>
        <w:t> konvenciju, proti, attiecībā uz spīdzināšanas un sliktas izturēšanās novēršanu, īpaša uzmanība jāpievērš atstumto grupu vai personu aizsardzībai.</w:t>
      </w:r>
      <w:r>
        <w:rPr>
          <w:rStyle w:val="FootnoteReference"/>
          <w:rFonts w:ascii="Times New Roman" w:hAnsi="Times New Roman"/>
          <w:noProof/>
          <w:sz w:val="24"/>
        </w:rPr>
        <w:footnoteReference w:id="79"/>
      </w:r>
      <w:r>
        <w:rPr>
          <w:rFonts w:ascii="Times New Roman" w:hAnsi="Times New Roman"/>
          <w:sz w:val="24"/>
          <w:szCs w:val="14"/>
        </w:rPr>
        <w:t xml:space="preserve"> </w:t>
      </w:r>
      <w:r>
        <w:rPr>
          <w:rFonts w:ascii="Times New Roman" w:hAnsi="Times New Roman"/>
          <w:sz w:val="24"/>
        </w:rPr>
        <w:t>Sievietes un meitenes sava dzimuma dēļ ir īpaši neaizsargātas pret spīdzināšanu un sliktu izturēšanos.</w:t>
      </w:r>
      <w:r>
        <w:rPr>
          <w:rStyle w:val="FootnoteReference"/>
          <w:rFonts w:ascii="Times New Roman" w:hAnsi="Times New Roman"/>
          <w:noProof/>
          <w:sz w:val="24"/>
        </w:rPr>
        <w:footnoteReference w:id="80"/>
      </w:r>
      <w:r>
        <w:rPr>
          <w:rFonts w:ascii="Times New Roman" w:hAnsi="Times New Roman"/>
          <w:sz w:val="24"/>
          <w:szCs w:val="14"/>
        </w:rPr>
        <w:t xml:space="preserve"> </w:t>
      </w:r>
      <w:r>
        <w:rPr>
          <w:rFonts w:ascii="Times New Roman" w:hAnsi="Times New Roman"/>
          <w:sz w:val="24"/>
        </w:rPr>
        <w:t xml:space="preserve">Spīdzināšanas novēršanas komiteja norāda, ka viena no situācijām, kurā sievietes ir pakļautas riskam, ir privātpersonu izdarīta vardarbība mājās. Tāpēc dalībvalstis, kas nespēj novērst, izmeklēt, saukt pie atbildības un sodīt privātpersonas ar dzimumu saistītas vardarbības gadījumā, piemēram, vardarbības ģimenē gadījumā, pārkāpj </w:t>
      </w:r>
      <w:r>
        <w:rPr>
          <w:rFonts w:ascii="Times New Roman" w:hAnsi="Times New Roman"/>
          <w:i/>
          <w:sz w:val="24"/>
        </w:rPr>
        <w:t>UNCAT</w:t>
      </w:r>
      <w:r>
        <w:rPr>
          <w:rFonts w:ascii="Times New Roman" w:hAnsi="Times New Roman"/>
          <w:sz w:val="24"/>
        </w:rPr>
        <w:t> noteikumus.</w:t>
      </w:r>
      <w:r>
        <w:rPr>
          <w:rStyle w:val="FootnoteReference"/>
          <w:rFonts w:ascii="Times New Roman" w:hAnsi="Times New Roman"/>
          <w:noProof/>
          <w:sz w:val="24"/>
        </w:rPr>
        <w:footnoteReference w:id="81"/>
      </w:r>
    </w:p>
    <w:p w14:paraId="47868896" w14:textId="77777777" w:rsidR="008E3B77" w:rsidRPr="0087409D" w:rsidRDefault="008E3B77" w:rsidP="0087409D">
      <w:pPr>
        <w:jc w:val="both"/>
        <w:rPr>
          <w:rFonts w:ascii="Times New Roman" w:eastAsia="Arial" w:hAnsi="Times New Roman" w:cs="Arial"/>
          <w:noProof/>
          <w:sz w:val="24"/>
          <w:szCs w:val="30"/>
        </w:rPr>
      </w:pPr>
    </w:p>
    <w:p w14:paraId="0F32CE64" w14:textId="6A0F8A2F" w:rsidR="008E3B77" w:rsidRPr="0087409D" w:rsidRDefault="0013528C" w:rsidP="0013528C">
      <w:pPr>
        <w:pStyle w:val="BodyText"/>
        <w:tabs>
          <w:tab w:val="left" w:pos="581"/>
        </w:tabs>
        <w:ind w:left="0"/>
        <w:jc w:val="both"/>
        <w:rPr>
          <w:rFonts w:ascii="Times New Roman" w:hAnsi="Times New Roman"/>
          <w:noProof/>
          <w:sz w:val="24"/>
        </w:rPr>
      </w:pPr>
      <w:r>
        <w:rPr>
          <w:rFonts w:ascii="Times New Roman" w:hAnsi="Times New Roman"/>
          <w:sz w:val="24"/>
        </w:rPr>
        <w:t xml:space="preserve">45. Šajā svarīgo starptautisko instrumentu krājumā Stambulas konvencijas pievienotā vērtība ir tas, ka tā ir pirmais Eiropas instruments, kurš attiecas uz visiem vardarbības pret sievietēm </w:t>
      </w:r>
      <w:r>
        <w:rPr>
          <w:rFonts w:ascii="Times New Roman" w:hAnsi="Times New Roman"/>
          <w:sz w:val="24"/>
        </w:rPr>
        <w:lastRenderedPageBreak/>
        <w:t xml:space="preserve">un vardarbības ģimenē aspektiem. Ar to tiek ieviesti jauni noteikumi, kuru izpildei ir nepieciešama īpaša iestāžu struktūra (tostarp valstu koordinācijas struktūras, datu vākšana un izpēte, NVO iesaistīšanās un daudzu iestāžu savstarpējā sadarbība) un kuri paredz konkrētus preventīvos pasākumus (sākot ar izglītību un </w:t>
      </w:r>
      <w:r w:rsidR="00BB548D">
        <w:rPr>
          <w:rFonts w:ascii="Times New Roman" w:hAnsi="Times New Roman"/>
          <w:sz w:val="24"/>
        </w:rPr>
        <w:t>attiecīgo profesiju pārstāvju apmācību</w:t>
      </w:r>
      <w:r>
        <w:rPr>
          <w:rFonts w:ascii="Times New Roman" w:hAnsi="Times New Roman"/>
          <w:sz w:val="24"/>
        </w:rPr>
        <w:t xml:space="preserve"> un beidzot ar privātā sektora un plašsaziņas līdzekļu līdzdalību), aizsardzības pasākumus (kas jāveic gan vispārējiem, gan specializētajiem dienestiem un dienestiem, kas paredzēti bērniem, kuri ir liecinieki, kā arī informācijas sniegšanu cietušajiem) un saskaņā ar materiālajām tiesībām civiltiesiskos, administratīvos un krimināltiesiskos pasākumus, kā arī procesuālās garantijas cietušajiem. Tas ir arī pirmais Eiropas instruments, kurā ir noteikta skaidra saikne starp šīm parādībām un kaitējumu radošiem dzimumu stereotipiem. Visbeidzot, ar šo Konvenciju tiek izveidota jauna starptautiskā struktūra (Ekspertu grupa cīņai ar vardarbību pret sievietēm un vardarbību ģimenē (</w:t>
      </w:r>
      <w:r>
        <w:rPr>
          <w:rFonts w:ascii="Times New Roman" w:hAnsi="Times New Roman"/>
          <w:i/>
          <w:sz w:val="24"/>
        </w:rPr>
        <w:t>GREVIO</w:t>
      </w:r>
      <w:r>
        <w:rPr>
          <w:rFonts w:ascii="Times New Roman" w:hAnsi="Times New Roman"/>
          <w:sz w:val="24"/>
        </w:rPr>
        <w:t>) – skat. turpmāk tekstā V. D) šādu pasākumu īstenošanas uzraudzībai.</w:t>
      </w:r>
      <w:r w:rsidR="009C7C0B">
        <w:rPr>
          <w:rStyle w:val="FootnoteReference"/>
          <w:rFonts w:ascii="Times New Roman" w:hAnsi="Times New Roman"/>
          <w:noProof/>
          <w:sz w:val="24"/>
        </w:rPr>
        <w:footnoteReference w:id="82"/>
      </w:r>
      <w:r>
        <w:rPr>
          <w:rFonts w:ascii="Times New Roman" w:hAnsi="Times New Roman"/>
          <w:sz w:val="24"/>
          <w:szCs w:val="14"/>
        </w:rPr>
        <w:t xml:space="preserve"> </w:t>
      </w:r>
      <w:r>
        <w:rPr>
          <w:rFonts w:ascii="Times New Roman" w:hAnsi="Times New Roman"/>
          <w:sz w:val="24"/>
        </w:rPr>
        <w:t xml:space="preserve">Tāpēc, ratificējot Stambulas konvenciju, dalībvalsts ne tikai pauž normatīvu apņemšanos ievērot šā instrumenta aizsargātās vērtības, bet arī uzņemas pienākumu īstenot noteiktus jaunus pasākumus un pakļaut valsti </w:t>
      </w:r>
      <w:r>
        <w:rPr>
          <w:rFonts w:ascii="Times New Roman" w:hAnsi="Times New Roman"/>
          <w:i/>
          <w:sz w:val="24"/>
        </w:rPr>
        <w:t>GREVIO</w:t>
      </w:r>
      <w:r>
        <w:rPr>
          <w:rFonts w:ascii="Times New Roman" w:hAnsi="Times New Roman"/>
          <w:sz w:val="24"/>
        </w:rPr>
        <w:t> uzraudzības procedūrai. Tieši par šiem jaunajiem elementiem ir spriests citās ar Stambulas konvenciju saistītajās diskusijās.</w:t>
      </w:r>
    </w:p>
    <w:p w14:paraId="6F5934CA" w14:textId="77777777" w:rsidR="008E3B77" w:rsidRPr="0087409D" w:rsidRDefault="008E3B77" w:rsidP="0087409D">
      <w:pPr>
        <w:jc w:val="both"/>
        <w:rPr>
          <w:rFonts w:ascii="Times New Roman" w:eastAsia="Arial" w:hAnsi="Times New Roman" w:cs="Arial"/>
          <w:noProof/>
          <w:sz w:val="24"/>
          <w:szCs w:val="21"/>
        </w:rPr>
      </w:pPr>
    </w:p>
    <w:p w14:paraId="4C4B0D7D" w14:textId="0C1E1A65" w:rsidR="008E3B77" w:rsidRPr="0087409D" w:rsidRDefault="009A07C3" w:rsidP="009A07C3">
      <w:pPr>
        <w:pStyle w:val="Heading1"/>
        <w:tabs>
          <w:tab w:val="left" w:pos="834"/>
        </w:tabs>
        <w:ind w:left="0" w:firstLine="0"/>
        <w:jc w:val="both"/>
        <w:rPr>
          <w:rFonts w:ascii="Times New Roman" w:hAnsi="Times New Roman"/>
          <w:noProof/>
          <w:sz w:val="24"/>
        </w:rPr>
      </w:pPr>
      <w:bookmarkStart w:id="9" w:name="_Toc39749332"/>
      <w:r>
        <w:rPr>
          <w:rFonts w:ascii="Times New Roman" w:hAnsi="Times New Roman"/>
          <w:sz w:val="24"/>
        </w:rPr>
        <w:t>V. Novērtējums</w:t>
      </w:r>
      <w:bookmarkEnd w:id="9"/>
    </w:p>
    <w:p w14:paraId="765141A9" w14:textId="77777777" w:rsidR="008E3B77" w:rsidRPr="0087409D" w:rsidRDefault="008E3B77" w:rsidP="0087409D">
      <w:pPr>
        <w:jc w:val="both"/>
        <w:rPr>
          <w:rFonts w:ascii="Times New Roman" w:eastAsia="Arial" w:hAnsi="Times New Roman" w:cs="Arial"/>
          <w:b/>
          <w:bCs/>
          <w:noProof/>
          <w:sz w:val="24"/>
        </w:rPr>
      </w:pPr>
    </w:p>
    <w:p w14:paraId="2650D4A7" w14:textId="70024601" w:rsidR="008E3B77" w:rsidRPr="0087409D" w:rsidRDefault="009A07C3" w:rsidP="009A07C3">
      <w:pPr>
        <w:tabs>
          <w:tab w:val="left" w:pos="1114"/>
        </w:tabs>
        <w:jc w:val="both"/>
        <w:rPr>
          <w:rFonts w:ascii="Times New Roman" w:hAnsi="Times New Roman"/>
          <w:b/>
          <w:noProof/>
          <w:sz w:val="24"/>
        </w:rPr>
      </w:pPr>
      <w:r>
        <w:rPr>
          <w:rFonts w:ascii="Times New Roman" w:hAnsi="Times New Roman"/>
          <w:b/>
          <w:sz w:val="24"/>
        </w:rPr>
        <w:t>A. Stambulas konvencija – vai Armēnijai tā ir vajadzīga?</w:t>
      </w:r>
    </w:p>
    <w:p w14:paraId="05FABFA5" w14:textId="77777777" w:rsidR="008E3B77" w:rsidRPr="0087409D" w:rsidRDefault="008E3B77" w:rsidP="0087409D">
      <w:pPr>
        <w:jc w:val="both"/>
        <w:rPr>
          <w:rFonts w:ascii="Times New Roman" w:eastAsia="Arial" w:hAnsi="Times New Roman" w:cs="Arial"/>
          <w:b/>
          <w:bCs/>
          <w:noProof/>
          <w:sz w:val="24"/>
        </w:rPr>
      </w:pPr>
    </w:p>
    <w:p w14:paraId="7F96E086" w14:textId="6C456503" w:rsidR="008E3B77" w:rsidRPr="0087409D" w:rsidRDefault="009A07C3" w:rsidP="009A07C3">
      <w:pPr>
        <w:pStyle w:val="BodyText"/>
        <w:tabs>
          <w:tab w:val="left" w:pos="565"/>
        </w:tabs>
        <w:ind w:left="0"/>
        <w:jc w:val="both"/>
        <w:rPr>
          <w:rFonts w:ascii="Times New Roman" w:hAnsi="Times New Roman"/>
          <w:noProof/>
          <w:sz w:val="24"/>
        </w:rPr>
      </w:pPr>
      <w:r>
        <w:rPr>
          <w:rFonts w:ascii="Times New Roman" w:hAnsi="Times New Roman"/>
          <w:sz w:val="24"/>
        </w:rPr>
        <w:t>46. Dažreiz tiek apgalvots, ka Stambulas konvencija nav īsti vajadzīga šādu iemeslu dēļ:</w:t>
      </w:r>
    </w:p>
    <w:p w14:paraId="5A306EBD" w14:textId="77777777" w:rsidR="008E3B77" w:rsidRPr="0087409D" w:rsidRDefault="008E3B77" w:rsidP="0087409D">
      <w:pPr>
        <w:jc w:val="both"/>
        <w:rPr>
          <w:rFonts w:ascii="Times New Roman" w:eastAsia="Arial" w:hAnsi="Times New Roman" w:cs="Arial"/>
          <w:noProof/>
          <w:sz w:val="24"/>
        </w:rPr>
      </w:pPr>
    </w:p>
    <w:p w14:paraId="0F151E75" w14:textId="50032883" w:rsidR="008E3B77" w:rsidRPr="0087409D" w:rsidRDefault="009A07C3" w:rsidP="009A07C3">
      <w:pPr>
        <w:pStyle w:val="BodyText"/>
        <w:tabs>
          <w:tab w:val="left" w:pos="829"/>
        </w:tabs>
        <w:ind w:left="426"/>
        <w:jc w:val="both"/>
        <w:rPr>
          <w:rFonts w:ascii="Times New Roman" w:hAnsi="Times New Roman"/>
          <w:noProof/>
          <w:sz w:val="24"/>
        </w:rPr>
      </w:pPr>
      <w:r>
        <w:rPr>
          <w:rFonts w:ascii="Times New Roman" w:hAnsi="Times New Roman"/>
          <w:sz w:val="24"/>
        </w:rPr>
        <w:t>a. tāpēc, ka problēma, kuru tā risina, attiecīgajā valstī nepastāv;</w:t>
      </w:r>
    </w:p>
    <w:p w14:paraId="383E2128" w14:textId="7A179217" w:rsidR="008E3B77" w:rsidRPr="0087409D" w:rsidRDefault="009A07C3" w:rsidP="009A07C3">
      <w:pPr>
        <w:pStyle w:val="BodyText"/>
        <w:tabs>
          <w:tab w:val="left" w:pos="829"/>
        </w:tabs>
        <w:ind w:left="426"/>
        <w:jc w:val="both"/>
        <w:rPr>
          <w:rFonts w:ascii="Times New Roman" w:hAnsi="Times New Roman"/>
          <w:noProof/>
          <w:sz w:val="24"/>
        </w:rPr>
      </w:pPr>
      <w:r>
        <w:rPr>
          <w:rFonts w:ascii="Times New Roman" w:hAnsi="Times New Roman"/>
          <w:sz w:val="24"/>
        </w:rPr>
        <w:t>b. tāpēc, ka šo problēmu jau pietiekami aptver esošie starptautiskie tiesību instrumenti;</w:t>
      </w:r>
    </w:p>
    <w:p w14:paraId="428ACD47" w14:textId="65CA2E02" w:rsidR="008E3B77" w:rsidRPr="0087409D" w:rsidRDefault="009A07C3" w:rsidP="009A07C3">
      <w:pPr>
        <w:pStyle w:val="BodyText"/>
        <w:tabs>
          <w:tab w:val="left" w:pos="829"/>
        </w:tabs>
        <w:ind w:left="426"/>
        <w:jc w:val="both"/>
        <w:rPr>
          <w:rFonts w:ascii="Times New Roman" w:hAnsi="Times New Roman"/>
          <w:noProof/>
          <w:sz w:val="24"/>
        </w:rPr>
      </w:pPr>
      <w:r>
        <w:rPr>
          <w:rFonts w:ascii="Times New Roman" w:hAnsi="Times New Roman"/>
          <w:sz w:val="24"/>
        </w:rPr>
        <w:t>c. tāpēc, ka attiecīgajā valstī jau ir pietiekama valsts (likumdošanas) sistēma, lai apkarotu visu veidu vardarbību pret sievietēm.</w:t>
      </w:r>
    </w:p>
    <w:p w14:paraId="61F1FD26" w14:textId="77777777" w:rsidR="008E3B77" w:rsidRPr="0087409D" w:rsidRDefault="008E3B77" w:rsidP="0087409D">
      <w:pPr>
        <w:jc w:val="both"/>
        <w:rPr>
          <w:rFonts w:ascii="Times New Roman" w:eastAsia="Arial" w:hAnsi="Times New Roman" w:cs="Arial"/>
          <w:noProof/>
          <w:sz w:val="24"/>
        </w:rPr>
      </w:pPr>
    </w:p>
    <w:p w14:paraId="1B898B46" w14:textId="739675B8" w:rsidR="008E3B77" w:rsidRPr="0087409D" w:rsidRDefault="009A07C3" w:rsidP="009A07C3">
      <w:pPr>
        <w:pStyle w:val="BodyText"/>
        <w:tabs>
          <w:tab w:val="left" w:pos="543"/>
        </w:tabs>
        <w:ind w:left="0"/>
        <w:jc w:val="both"/>
        <w:rPr>
          <w:rFonts w:ascii="Times New Roman" w:hAnsi="Times New Roman"/>
          <w:noProof/>
          <w:sz w:val="24"/>
        </w:rPr>
      </w:pPr>
      <w:r>
        <w:rPr>
          <w:rFonts w:ascii="Times New Roman" w:hAnsi="Times New Roman"/>
          <w:sz w:val="24"/>
        </w:rPr>
        <w:t xml:space="preserve">47. Jau pašā sākumā jāuzsver, ka neviens no šiem trīs argumentiem nav konstitucionāls šķērslis. Tie attiecas nevis uz </w:t>
      </w:r>
      <w:r>
        <w:rPr>
          <w:rFonts w:ascii="Times New Roman" w:hAnsi="Times New Roman"/>
          <w:i/>
          <w:sz w:val="24"/>
        </w:rPr>
        <w:t>iespēju</w:t>
      </w:r>
      <w:r>
        <w:rPr>
          <w:rFonts w:ascii="Times New Roman" w:hAnsi="Times New Roman"/>
          <w:sz w:val="24"/>
        </w:rPr>
        <w:t xml:space="preserve"> ratificēt Stambulas konvenciju, bet gan uz </w:t>
      </w:r>
      <w:r>
        <w:rPr>
          <w:rFonts w:ascii="Times New Roman" w:hAnsi="Times New Roman"/>
          <w:i/>
          <w:sz w:val="24"/>
        </w:rPr>
        <w:t>vēlmi</w:t>
      </w:r>
      <w:r>
        <w:rPr>
          <w:rFonts w:ascii="Times New Roman" w:hAnsi="Times New Roman"/>
          <w:sz w:val="24"/>
        </w:rPr>
        <w:t xml:space="preserve"> to darīt.</w:t>
      </w:r>
    </w:p>
    <w:p w14:paraId="06B0C890" w14:textId="77777777" w:rsidR="008E3B77" w:rsidRPr="0087409D" w:rsidRDefault="008E3B77" w:rsidP="0087409D">
      <w:pPr>
        <w:jc w:val="both"/>
        <w:rPr>
          <w:rFonts w:ascii="Times New Roman" w:eastAsia="Arial" w:hAnsi="Times New Roman" w:cs="Arial"/>
          <w:noProof/>
          <w:sz w:val="24"/>
        </w:rPr>
      </w:pPr>
    </w:p>
    <w:p w14:paraId="470ADE68" w14:textId="515A0D10" w:rsidR="008E3B77" w:rsidRPr="0087409D" w:rsidRDefault="009A07C3" w:rsidP="009A07C3">
      <w:pPr>
        <w:pStyle w:val="BodyText"/>
        <w:tabs>
          <w:tab w:val="left" w:pos="642"/>
        </w:tabs>
        <w:ind w:left="0"/>
        <w:jc w:val="both"/>
        <w:rPr>
          <w:rFonts w:ascii="Times New Roman" w:hAnsi="Times New Roman"/>
          <w:noProof/>
          <w:sz w:val="24"/>
        </w:rPr>
      </w:pPr>
      <w:r>
        <w:rPr>
          <w:rFonts w:ascii="Times New Roman" w:hAnsi="Times New Roman"/>
          <w:sz w:val="24"/>
        </w:rPr>
        <w:t xml:space="preserve">48. </w:t>
      </w:r>
      <w:r>
        <w:rPr>
          <w:rFonts w:ascii="Times New Roman" w:hAnsi="Times New Roman"/>
          <w:i/>
          <w:sz w:val="24"/>
        </w:rPr>
        <w:t>Pirmajam apgalvojumam</w:t>
      </w:r>
      <w:r>
        <w:rPr>
          <w:rFonts w:ascii="Times New Roman" w:hAnsi="Times New Roman"/>
          <w:sz w:val="24"/>
        </w:rPr>
        <w:t xml:space="preserve"> galvenokārt ir faktisks raksturs. Stambulas konvencijas mērķis ir novērst un izskaust visu veidu vardarbību pret sievietēm, tostarp vardarbību ģimenē, kas nesamērīgi skar sievietes, un saukt pie atbildības par šādas vardarbības izdarīšanu, un sniegt ieguldījumu visu veidu sieviešu diskriminācijas izskaušanā un veicināt būtisku vīriešu un sieviešu līdztiesību.</w:t>
      </w:r>
    </w:p>
    <w:p w14:paraId="07030810" w14:textId="77777777" w:rsidR="008E3B77" w:rsidRPr="0087409D" w:rsidRDefault="008E3B77" w:rsidP="0087409D">
      <w:pPr>
        <w:jc w:val="both"/>
        <w:rPr>
          <w:rFonts w:ascii="Times New Roman" w:hAnsi="Times New Roman"/>
          <w:noProof/>
          <w:sz w:val="24"/>
        </w:rPr>
      </w:pPr>
    </w:p>
    <w:p w14:paraId="1A58FDD8" w14:textId="362C4E06" w:rsidR="008E3B77" w:rsidRPr="0087409D" w:rsidRDefault="009A07C3" w:rsidP="009A07C3">
      <w:pPr>
        <w:pStyle w:val="BodyText"/>
        <w:tabs>
          <w:tab w:val="left" w:pos="692"/>
        </w:tabs>
        <w:ind w:left="0"/>
        <w:jc w:val="both"/>
        <w:rPr>
          <w:rFonts w:ascii="Times New Roman" w:hAnsi="Times New Roman"/>
          <w:noProof/>
          <w:sz w:val="24"/>
          <w:szCs w:val="14"/>
        </w:rPr>
      </w:pPr>
      <w:r>
        <w:rPr>
          <w:rFonts w:ascii="Times New Roman" w:hAnsi="Times New Roman"/>
          <w:sz w:val="24"/>
        </w:rPr>
        <w:t xml:space="preserve">49. Vardarbība ģimenē ir plaši izplatīta parādība, kas skar daudzas personas. Vienu no pašiem vispusīgākajiem pētījumiem Eiropā 2014. gadā veica ES Pamattiesību aģentūra. Tajā tika sniegti dati par vardarbības pret sievietēm apmēru, veidu un sekām visās 28 ES dalībvalstīs. </w:t>
      </w:r>
      <w:r>
        <w:rPr>
          <w:rFonts w:ascii="Times New Roman" w:hAnsi="Times New Roman"/>
          <w:sz w:val="24"/>
        </w:rPr>
        <w:lastRenderedPageBreak/>
        <w:t>Pētījuma rezultāti bija šokējoši. Viena no trīs sievietēm (33 %) kopš 15 gadu vecuma ir pieredzējusi fizisku un/vai seksuālu vardarbību. Viena no piecām sievietēm (18 %) ir piedzīvojusi izsekošanu, bet katra otrā sieviete (55 %) ir saskārusies ar vienu vai vairākiem seksuālās uzmākšanās veidiem. Kaut arī šie skaitļi ir satraucoši, tie ir vēl nozīmīgāki, ja ņem vērā, ka sievietes parasti par to neziņo ne policijai, ne vairākiem citiem dienestiem, kas varētu sniegt atbalstu, tostarp cietušo atbalsta organizācijām. Kaut arī minētie statistikas dati neattiecas uz Armēniju, ir pamats uzskatīt, ka šī parādība Armēnijā nav tikai nebūtiska.</w:t>
      </w:r>
      <w:r>
        <w:rPr>
          <w:rStyle w:val="FootnoteReference"/>
          <w:rFonts w:ascii="Times New Roman" w:hAnsi="Times New Roman"/>
          <w:noProof/>
          <w:sz w:val="24"/>
        </w:rPr>
        <w:footnoteReference w:id="83"/>
      </w:r>
      <w:r>
        <w:rPr>
          <w:rFonts w:ascii="Times New Roman" w:hAnsi="Times New Roman"/>
          <w:sz w:val="24"/>
        </w:rPr>
        <w:t xml:space="preserve"> 2019. gada martā EDSO ir izdevusi arī jaunu pētījumu (kas arī neaptver Armēniju), kurš apstiprina pašus satraucošākos atklājumus par šīs parādības plašo mērogu.</w:t>
      </w:r>
      <w:r>
        <w:rPr>
          <w:rStyle w:val="FootnoteReference"/>
          <w:rFonts w:ascii="Times New Roman" w:hAnsi="Times New Roman"/>
          <w:noProof/>
          <w:sz w:val="24"/>
        </w:rPr>
        <w:footnoteReference w:id="84"/>
      </w:r>
    </w:p>
    <w:p w14:paraId="630F0B80" w14:textId="77777777" w:rsidR="008E3B77" w:rsidRPr="0087409D" w:rsidRDefault="008E3B77" w:rsidP="0087409D">
      <w:pPr>
        <w:jc w:val="both"/>
        <w:rPr>
          <w:rFonts w:ascii="Times New Roman" w:eastAsia="Arial" w:hAnsi="Times New Roman" w:cs="Arial"/>
          <w:noProof/>
          <w:sz w:val="24"/>
          <w:szCs w:val="21"/>
        </w:rPr>
      </w:pPr>
    </w:p>
    <w:p w14:paraId="53392B01" w14:textId="34D340AF" w:rsidR="008E3B77" w:rsidRPr="0087409D" w:rsidRDefault="009A07C3" w:rsidP="009A07C3">
      <w:pPr>
        <w:tabs>
          <w:tab w:val="left" w:pos="560"/>
        </w:tabs>
        <w:jc w:val="both"/>
        <w:rPr>
          <w:rFonts w:ascii="Times New Roman" w:eastAsia="Arial" w:hAnsi="Times New Roman" w:cs="Arial"/>
          <w:noProof/>
          <w:sz w:val="24"/>
        </w:rPr>
      </w:pPr>
      <w:r>
        <w:rPr>
          <w:rFonts w:ascii="Times New Roman" w:hAnsi="Times New Roman"/>
          <w:sz w:val="24"/>
        </w:rPr>
        <w:t xml:space="preserve">50. ECT savā spriedumā lietā “Opuza pret Turciju” norādīja, ka </w:t>
      </w:r>
      <w:r>
        <w:rPr>
          <w:rStyle w:val="FootnoteReference"/>
          <w:rFonts w:ascii="Times New Roman" w:eastAsia="Arial" w:hAnsi="Times New Roman" w:cs="Arial"/>
          <w:noProof/>
          <w:sz w:val="24"/>
        </w:rPr>
        <w:footnoteReference w:id="85"/>
      </w:r>
      <w:r>
        <w:rPr>
          <w:rFonts w:ascii="Times New Roman" w:hAnsi="Times New Roman"/>
          <w:i/>
          <w:sz w:val="24"/>
        </w:rPr>
        <w:t>“(..) vardarbības ģimenē jautājums (..) ir vispārēja problēma, kas attiecas uz visām dalībvalstīm un ne vienmēr ir viegli pamanāma, jo tā bieži notiek personīgās attiecībās vai slēgtā personu lokā”.</w:t>
      </w:r>
    </w:p>
    <w:p w14:paraId="5333A8B8" w14:textId="77777777" w:rsidR="008E3B77" w:rsidRPr="0087409D" w:rsidRDefault="008E3B77" w:rsidP="0087409D">
      <w:pPr>
        <w:jc w:val="both"/>
        <w:rPr>
          <w:rFonts w:ascii="Times New Roman" w:eastAsia="Arial" w:hAnsi="Times New Roman" w:cs="Arial"/>
          <w:i/>
          <w:noProof/>
          <w:sz w:val="24"/>
          <w:szCs w:val="21"/>
        </w:rPr>
      </w:pPr>
    </w:p>
    <w:p w14:paraId="654D8BCE" w14:textId="50147A19" w:rsidR="008E3B77" w:rsidRPr="0087409D" w:rsidRDefault="009A07C3" w:rsidP="009A07C3">
      <w:pPr>
        <w:pStyle w:val="BodyText"/>
        <w:tabs>
          <w:tab w:val="left" w:pos="625"/>
        </w:tabs>
        <w:ind w:left="0"/>
        <w:jc w:val="both"/>
        <w:rPr>
          <w:rFonts w:ascii="Times New Roman" w:hAnsi="Times New Roman"/>
          <w:noProof/>
          <w:sz w:val="24"/>
        </w:rPr>
      </w:pPr>
      <w:r>
        <w:rPr>
          <w:rFonts w:ascii="Times New Roman" w:hAnsi="Times New Roman"/>
          <w:sz w:val="24"/>
        </w:rPr>
        <w:t xml:space="preserve">51. </w:t>
      </w:r>
      <w:r>
        <w:rPr>
          <w:rFonts w:ascii="Times New Roman" w:hAnsi="Times New Roman"/>
          <w:i/>
          <w:sz w:val="24"/>
        </w:rPr>
        <w:t>Otrais apgalvojums</w:t>
      </w:r>
      <w:r>
        <w:rPr>
          <w:rFonts w:ascii="Times New Roman" w:hAnsi="Times New Roman"/>
          <w:sz w:val="24"/>
        </w:rPr>
        <w:t xml:space="preserve"> attiecas uz viedokli, ka ar Stambulas konvenciju netiek ieviesti nekādi jauni elementi, jo šis priekšmets jau ir pienācīgi aplūkots citos starptautiskajos tiesību instrumentos. Saskaņā ar iepriekš teikto patiešām gan pasaules, gan reģionālā līmenī jau pastāv dažādi cilvēktiesību instrumenti, ko Armēnija ir ratificējusi un kas attiecas uz dažiem no tiem jautājumiem, kurus risina Stambulas konvencija. Piemēram, sieviešu un vīriešu diskriminācijas aizliegums ir ietverts vispārējos cilvēktiesību aizsardzības instrumentos (</w:t>
      </w:r>
      <w:r>
        <w:rPr>
          <w:rFonts w:ascii="Times New Roman" w:hAnsi="Times New Roman"/>
          <w:i/>
          <w:sz w:val="24"/>
        </w:rPr>
        <w:t>ICCPR</w:t>
      </w:r>
      <w:r>
        <w:rPr>
          <w:rFonts w:ascii="Times New Roman" w:hAnsi="Times New Roman"/>
          <w:sz w:val="24"/>
        </w:rPr>
        <w:t xml:space="preserve"> – 3. pantā, ECK – 14. pantā un 12. protokolā) un sīkāk risināts dažādu sabiedrības segmentu cilvēktiesību aizsardzības līgumos (</w:t>
      </w:r>
      <w:r>
        <w:rPr>
          <w:rFonts w:ascii="Times New Roman" w:hAnsi="Times New Roman"/>
          <w:i/>
          <w:sz w:val="24"/>
        </w:rPr>
        <w:t>CEDAW</w:t>
      </w:r>
      <w:r>
        <w:rPr>
          <w:rFonts w:ascii="Times New Roman" w:hAnsi="Times New Roman"/>
          <w:sz w:val="24"/>
        </w:rPr>
        <w:t xml:space="preserve"> konvencija). Šie instrumenti paredz arī citas garantijas, kas ir svarīgas faktiskas </w:t>
      </w:r>
      <w:r w:rsidR="00BB548D">
        <w:rPr>
          <w:rFonts w:ascii="Times New Roman" w:hAnsi="Times New Roman"/>
          <w:sz w:val="24"/>
        </w:rPr>
        <w:t>līdzties</w:t>
      </w:r>
      <w:r>
        <w:rPr>
          <w:rFonts w:ascii="Times New Roman" w:hAnsi="Times New Roman"/>
          <w:sz w:val="24"/>
        </w:rPr>
        <w:t>ības veicināšanai un cilvēka cieņas aizsardzībai. Tomēr jau tika minēts, ka šie instrumenti ir Stambulas konvencijas pamatā, bet uzmanība tajā ir pievērsta tieši vardarbībai pret sievietēm un vardarbībai ģimenē, kas vecākajos instrumentos nav skaidri iztirzāta, turklāt šī Konvencija paredz īpašu uzraudzības mehānismu. Tāpēc Stambulas konvencija sniedz īpašu pievienoto vērtību salīdzinājumā ar iepriekš ratificētajiem starptautiskajiem līgumiem šajā jomā.</w:t>
      </w:r>
    </w:p>
    <w:p w14:paraId="6AF95019" w14:textId="77777777" w:rsidR="008E3B77" w:rsidRPr="0087409D" w:rsidRDefault="008E3B77" w:rsidP="0087409D">
      <w:pPr>
        <w:jc w:val="both"/>
        <w:rPr>
          <w:rFonts w:ascii="Times New Roman" w:eastAsia="Arial" w:hAnsi="Times New Roman" w:cs="Arial"/>
          <w:noProof/>
          <w:sz w:val="24"/>
        </w:rPr>
      </w:pPr>
    </w:p>
    <w:p w14:paraId="7982CF5B" w14:textId="06135216" w:rsidR="008E3B77" w:rsidRPr="0087409D" w:rsidRDefault="009A07C3" w:rsidP="009A07C3">
      <w:pPr>
        <w:pStyle w:val="BodyText"/>
        <w:tabs>
          <w:tab w:val="left" w:pos="539"/>
        </w:tabs>
        <w:ind w:left="0"/>
        <w:jc w:val="both"/>
        <w:rPr>
          <w:rFonts w:ascii="Times New Roman" w:hAnsi="Times New Roman"/>
          <w:noProof/>
          <w:sz w:val="24"/>
        </w:rPr>
      </w:pPr>
      <w:r>
        <w:rPr>
          <w:rFonts w:ascii="Times New Roman" w:hAnsi="Times New Roman"/>
          <w:sz w:val="24"/>
        </w:rPr>
        <w:t xml:space="preserve">52. </w:t>
      </w:r>
      <w:r>
        <w:rPr>
          <w:rFonts w:ascii="Times New Roman" w:hAnsi="Times New Roman"/>
          <w:i/>
          <w:sz w:val="24"/>
        </w:rPr>
        <w:t>Trešais apgalvojums</w:t>
      </w:r>
      <w:r>
        <w:rPr>
          <w:rFonts w:ascii="Times New Roman" w:hAnsi="Times New Roman"/>
          <w:sz w:val="24"/>
        </w:rPr>
        <w:t xml:space="preserve"> ir tāds, ka Stambulas konvencija nav vajadzīga, jo Armēnijā jau ir pietiekams valsts (likumdošanas) regulējums, lai apkarotu visa veida vardarbību pret sievietēm. Venēcijas komisija uzskata, ka stabilas valsts infrastruktūras esamība cilvēktiesību aizsardzībai nemazina ārējās kontroles nepieciešamību. Šie abi ir savstarpēji papildinoši, nevis pretrunīgi elementi. Ir acīmredzams, ka cilvēktiesību aizsardzībai galvenokārt jānotiek valsts tiesiskā regulējuma ietvaros. Katrai valstij, ņemot vērā faktiskos datus,</w:t>
      </w:r>
      <w:r>
        <w:rPr>
          <w:rStyle w:val="FootnoteReference"/>
          <w:rFonts w:ascii="Times New Roman" w:hAnsi="Times New Roman"/>
          <w:noProof/>
          <w:sz w:val="24"/>
        </w:rPr>
        <w:footnoteReference w:id="86"/>
      </w:r>
      <w:r>
        <w:rPr>
          <w:rFonts w:ascii="Times New Roman" w:hAnsi="Times New Roman"/>
          <w:sz w:val="24"/>
        </w:rPr>
        <w:t xml:space="preserve"> ir jānovērtē, kādi ir labākie līdzekļi parādības novēršanai valsts līmenī. Tas tomēr nenozīmē, ka starptautisko instrumentu ārēja papildu uzraudzība būtu jāuzskata par lieku: a) starptautiska instrumenta ratifikācijai ir simboliska nozīme (valsts iestādes sūta spēcīgu signālu, ka tās ir </w:t>
      </w:r>
      <w:r>
        <w:rPr>
          <w:rFonts w:ascii="Times New Roman" w:hAnsi="Times New Roman"/>
          <w:sz w:val="24"/>
        </w:rPr>
        <w:lastRenderedPageBreak/>
        <w:t>nopietni apņēmušās aizsargāt pilsoņu pamattiesības/cīnīties pret konkrētu sociālu parādību); b) starptautiskais līmenis var būt forums, kurā iespējams dalīties ar labu praksi un valstu iestāžu pieejām cīņai pret vardarbību pret sievietēm un vardarbību ģimenē, apspriest iespējamos trūkumus valsts līmenī un aktīvi piedalīties kopīgas starptautiskas rīcības noteikšanā; c) </w:t>
      </w:r>
      <w:r w:rsidR="00BB548D">
        <w:rPr>
          <w:rFonts w:ascii="Times New Roman" w:hAnsi="Times New Roman"/>
          <w:sz w:val="24"/>
        </w:rPr>
        <w:t xml:space="preserve">starptautiskais </w:t>
      </w:r>
      <w:r>
        <w:rPr>
          <w:rFonts w:ascii="Times New Roman" w:hAnsi="Times New Roman"/>
          <w:sz w:val="24"/>
        </w:rPr>
        <w:t>instruments var nodrošināt papildu aizsardzīb</w:t>
      </w:r>
      <w:r w:rsidR="00BB548D">
        <w:rPr>
          <w:rFonts w:ascii="Times New Roman" w:hAnsi="Times New Roman"/>
          <w:sz w:val="24"/>
        </w:rPr>
        <w:t>u</w:t>
      </w:r>
      <w:r>
        <w:rPr>
          <w:rFonts w:ascii="Times New Roman" w:hAnsi="Times New Roman"/>
          <w:sz w:val="24"/>
        </w:rPr>
        <w:t xml:space="preserve"> </w:t>
      </w:r>
      <w:r w:rsidR="00BB548D">
        <w:rPr>
          <w:rFonts w:ascii="Times New Roman" w:hAnsi="Times New Roman"/>
          <w:sz w:val="24"/>
        </w:rPr>
        <w:t>s</w:t>
      </w:r>
      <w:r>
        <w:rPr>
          <w:rFonts w:ascii="Times New Roman" w:hAnsi="Times New Roman"/>
          <w:sz w:val="24"/>
        </w:rPr>
        <w:t>alīdzinājumā ar valsts regulējumu.</w:t>
      </w:r>
    </w:p>
    <w:p w14:paraId="2A59D510" w14:textId="77777777" w:rsidR="008E3B77" w:rsidRPr="0087409D" w:rsidRDefault="008E3B77" w:rsidP="0087409D">
      <w:pPr>
        <w:jc w:val="both"/>
        <w:rPr>
          <w:rFonts w:ascii="Times New Roman" w:hAnsi="Times New Roman"/>
          <w:noProof/>
          <w:sz w:val="24"/>
        </w:rPr>
      </w:pPr>
    </w:p>
    <w:p w14:paraId="534F9C28" w14:textId="725A6583" w:rsidR="008E3B77" w:rsidRPr="0087409D" w:rsidRDefault="009A07C3" w:rsidP="009A07C3">
      <w:pPr>
        <w:tabs>
          <w:tab w:val="left" w:pos="546"/>
        </w:tabs>
        <w:jc w:val="both"/>
        <w:rPr>
          <w:rFonts w:ascii="Times New Roman" w:eastAsia="Arial" w:hAnsi="Times New Roman" w:cs="Arial"/>
          <w:noProof/>
          <w:sz w:val="24"/>
        </w:rPr>
      </w:pPr>
      <w:r>
        <w:rPr>
          <w:rFonts w:ascii="Times New Roman" w:hAnsi="Times New Roman"/>
          <w:sz w:val="24"/>
        </w:rPr>
        <w:t xml:space="preserve">53. Noslēgumā attiecībā uz to, vai patiešām pastāv nepieciešamība ratificēt Stambulas konvenciju, Venēcijas komisija uzsver, ka tas nav jautājums par saderību ar Armēnijas konstitūciju, bet gan jautājums par vēlmi/iespēju. Venēcijas komisijai nav uzdevuma sniegt izsmeļošu analīzi par situāciju Armēnijā un Armēnijas valsts tiesību aktiem un praksi. Situācijas novērtējums jāveic Armēnijas iestādēm, ņemot vērā tādus ekspertu ziņojumus kā, piemēram, 2016. gada </w:t>
      </w:r>
      <w:r>
        <w:rPr>
          <w:rFonts w:ascii="Times New Roman" w:hAnsi="Times New Roman"/>
          <w:i/>
          <w:sz w:val="24"/>
        </w:rPr>
        <w:t>CEDAW Concluding observations on the combined fifth and sixth periodic reports of Armenia</w:t>
      </w:r>
      <w:r>
        <w:rPr>
          <w:rFonts w:ascii="Times New Roman" w:hAnsi="Times New Roman"/>
          <w:sz w:val="24"/>
        </w:rPr>
        <w:t xml:space="preserve"> [</w:t>
      </w:r>
      <w:r>
        <w:rPr>
          <w:rFonts w:ascii="Times New Roman" w:hAnsi="Times New Roman"/>
          <w:i/>
          <w:sz w:val="24"/>
        </w:rPr>
        <w:t>CEDAW</w:t>
      </w:r>
      <w:r>
        <w:rPr>
          <w:rFonts w:ascii="Times New Roman" w:hAnsi="Times New Roman"/>
          <w:sz w:val="24"/>
        </w:rPr>
        <w:t> komitejas Noslēguma apsvērumi par Armēnijas apvienoto piekto un sesto periodisko ziņojumu]</w:t>
      </w:r>
      <w:r>
        <w:rPr>
          <w:rStyle w:val="FootnoteReference"/>
          <w:rFonts w:ascii="Times New Roman" w:eastAsia="Arial" w:hAnsi="Times New Roman" w:cs="Arial"/>
          <w:i/>
          <w:noProof/>
          <w:sz w:val="24"/>
        </w:rPr>
        <w:footnoteReference w:id="87"/>
      </w:r>
      <w:r>
        <w:rPr>
          <w:rFonts w:ascii="Times New Roman" w:hAnsi="Times New Roman"/>
          <w:sz w:val="24"/>
        </w:rPr>
        <w:t xml:space="preserve"> un Eiropas Padomes 2017. gada ziņojumu “</w:t>
      </w:r>
      <w:r>
        <w:rPr>
          <w:rFonts w:ascii="Times New Roman" w:hAnsi="Times New Roman"/>
          <w:i/>
          <w:sz w:val="24"/>
        </w:rPr>
        <w:t>Armēnijas krimināltiesību nepilnību analīze, ņemot vērā tiesību normas, kas noteiktas Eiropas Padomes Konvencijā par vardarbības pret sievietēm un vardarbības ģimenē novēršanu un apkarošanu</w:t>
      </w:r>
      <w:r>
        <w:rPr>
          <w:rFonts w:ascii="Times New Roman" w:hAnsi="Times New Roman"/>
          <w:sz w:val="24"/>
        </w:rPr>
        <w:t>”.</w:t>
      </w:r>
      <w:r>
        <w:rPr>
          <w:rStyle w:val="FootnoteReference"/>
          <w:rFonts w:ascii="Times New Roman" w:eastAsia="Arial" w:hAnsi="Times New Roman" w:cs="Arial"/>
          <w:i/>
          <w:noProof/>
          <w:sz w:val="24"/>
        </w:rPr>
        <w:footnoteReference w:id="88"/>
      </w:r>
    </w:p>
    <w:p w14:paraId="3026801A" w14:textId="77777777" w:rsidR="008E3B77" w:rsidRPr="0087409D" w:rsidRDefault="008E3B77" w:rsidP="0087409D">
      <w:pPr>
        <w:jc w:val="both"/>
        <w:rPr>
          <w:rFonts w:ascii="Times New Roman" w:eastAsia="Arial" w:hAnsi="Times New Roman" w:cs="Arial"/>
          <w:noProof/>
          <w:sz w:val="24"/>
        </w:rPr>
      </w:pPr>
    </w:p>
    <w:p w14:paraId="500D298E" w14:textId="654BCAE2" w:rsidR="008E3B77" w:rsidRPr="0087409D" w:rsidRDefault="009A07C3" w:rsidP="009A07C3">
      <w:pPr>
        <w:tabs>
          <w:tab w:val="left" w:pos="1114"/>
        </w:tabs>
        <w:jc w:val="both"/>
        <w:rPr>
          <w:rFonts w:ascii="Times New Roman" w:hAnsi="Times New Roman"/>
          <w:b/>
          <w:noProof/>
          <w:sz w:val="24"/>
        </w:rPr>
      </w:pPr>
      <w:r>
        <w:rPr>
          <w:rFonts w:ascii="Times New Roman" w:hAnsi="Times New Roman"/>
          <w:b/>
          <w:sz w:val="24"/>
        </w:rPr>
        <w:t>B. Stambulas konvencija – vai tajā ir problemātiski termini un jēdzieni?</w:t>
      </w:r>
    </w:p>
    <w:p w14:paraId="24000AB3" w14:textId="77777777" w:rsidR="008E3B77" w:rsidRPr="0087409D" w:rsidRDefault="008E3B77" w:rsidP="0087409D">
      <w:pPr>
        <w:jc w:val="both"/>
        <w:rPr>
          <w:rFonts w:ascii="Times New Roman" w:eastAsia="Arial" w:hAnsi="Times New Roman" w:cs="Arial"/>
          <w:b/>
          <w:bCs/>
          <w:noProof/>
          <w:sz w:val="24"/>
        </w:rPr>
      </w:pPr>
    </w:p>
    <w:p w14:paraId="30A72DE6" w14:textId="13BAC776" w:rsidR="008E3B77" w:rsidRPr="0087409D" w:rsidRDefault="009A07C3" w:rsidP="009A07C3">
      <w:pPr>
        <w:tabs>
          <w:tab w:val="left" w:pos="670"/>
        </w:tabs>
        <w:jc w:val="both"/>
        <w:rPr>
          <w:rFonts w:ascii="Times New Roman" w:eastAsia="Arial" w:hAnsi="Times New Roman" w:cs="Arial"/>
          <w:noProof/>
          <w:sz w:val="24"/>
        </w:rPr>
      </w:pPr>
      <w:r>
        <w:rPr>
          <w:rFonts w:ascii="Times New Roman" w:hAnsi="Times New Roman"/>
          <w:sz w:val="24"/>
        </w:rPr>
        <w:t xml:space="preserve">54. Stambulas konvencijā ir izmantoti daži termini un jēdzieni, kas saskaņā ar dažiem viedokļiem varētu būt pretrunā ar valstu konstitūcijās ietvertajiem terminiem un jēdzieniem. Tas galvenokārt attiecas uz </w:t>
      </w:r>
      <w:r>
        <w:rPr>
          <w:rFonts w:ascii="Times New Roman" w:hAnsi="Times New Roman"/>
          <w:i/>
          <w:sz w:val="24"/>
        </w:rPr>
        <w:t>sociālo dzimumu</w:t>
      </w:r>
      <w:r>
        <w:rPr>
          <w:rFonts w:ascii="Times New Roman" w:hAnsi="Times New Roman"/>
          <w:sz w:val="24"/>
        </w:rPr>
        <w:t xml:space="preserve">, </w:t>
      </w:r>
      <w:r>
        <w:rPr>
          <w:rFonts w:ascii="Times New Roman" w:hAnsi="Times New Roman"/>
          <w:i/>
          <w:sz w:val="24"/>
        </w:rPr>
        <w:t>dzimuma identitāti</w:t>
      </w:r>
      <w:r>
        <w:rPr>
          <w:rFonts w:ascii="Times New Roman" w:hAnsi="Times New Roman"/>
          <w:sz w:val="24"/>
        </w:rPr>
        <w:t xml:space="preserve">, </w:t>
      </w:r>
      <w:r>
        <w:rPr>
          <w:rFonts w:ascii="Times New Roman" w:hAnsi="Times New Roman"/>
          <w:i/>
          <w:sz w:val="24"/>
        </w:rPr>
        <w:t>ģimeni</w:t>
      </w:r>
      <w:r>
        <w:rPr>
          <w:rFonts w:ascii="Times New Roman" w:hAnsi="Times New Roman"/>
          <w:sz w:val="24"/>
        </w:rPr>
        <w:t xml:space="preserve">, </w:t>
      </w:r>
      <w:r>
        <w:rPr>
          <w:rFonts w:ascii="Times New Roman" w:hAnsi="Times New Roman"/>
          <w:i/>
          <w:sz w:val="24"/>
        </w:rPr>
        <w:t>laulībām</w:t>
      </w:r>
      <w:r>
        <w:rPr>
          <w:rFonts w:ascii="Times New Roman" w:hAnsi="Times New Roman"/>
          <w:sz w:val="24"/>
        </w:rPr>
        <w:t xml:space="preserve"> un </w:t>
      </w:r>
      <w:r>
        <w:rPr>
          <w:rFonts w:ascii="Times New Roman" w:hAnsi="Times New Roman"/>
          <w:i/>
          <w:sz w:val="24"/>
        </w:rPr>
        <w:t>dzimumorientāciju</w:t>
      </w:r>
      <w:r>
        <w:rPr>
          <w:rFonts w:ascii="Times New Roman" w:hAnsi="Times New Roman"/>
          <w:sz w:val="24"/>
        </w:rPr>
        <w:t>.</w:t>
      </w:r>
    </w:p>
    <w:p w14:paraId="1898A53A" w14:textId="77777777" w:rsidR="008E3B77" w:rsidRPr="0087409D" w:rsidRDefault="008E3B77" w:rsidP="0087409D">
      <w:pPr>
        <w:jc w:val="both"/>
        <w:rPr>
          <w:rFonts w:ascii="Times New Roman" w:eastAsia="Arial" w:hAnsi="Times New Roman" w:cs="Arial"/>
          <w:noProof/>
          <w:sz w:val="24"/>
        </w:rPr>
      </w:pPr>
    </w:p>
    <w:p w14:paraId="33075F4A" w14:textId="208C4348" w:rsidR="008E3B77" w:rsidRPr="0087409D" w:rsidRDefault="009A07C3" w:rsidP="009A07C3">
      <w:pPr>
        <w:pStyle w:val="BodyText"/>
        <w:tabs>
          <w:tab w:val="left" w:pos="567"/>
        </w:tabs>
        <w:ind w:left="0"/>
        <w:jc w:val="both"/>
        <w:rPr>
          <w:rFonts w:ascii="Times New Roman" w:hAnsi="Times New Roman"/>
          <w:noProof/>
          <w:sz w:val="24"/>
        </w:rPr>
      </w:pPr>
      <w:r>
        <w:rPr>
          <w:rFonts w:ascii="Times New Roman" w:hAnsi="Times New Roman"/>
          <w:sz w:val="24"/>
        </w:rPr>
        <w:t xml:space="preserve">55. Termins </w:t>
      </w:r>
      <w:r>
        <w:rPr>
          <w:rFonts w:ascii="Times New Roman" w:hAnsi="Times New Roman"/>
          <w:i/>
          <w:sz w:val="24"/>
        </w:rPr>
        <w:t>sociālais dzimums</w:t>
      </w:r>
      <w:r>
        <w:rPr>
          <w:rFonts w:ascii="Times New Roman" w:hAnsi="Times New Roman"/>
          <w:sz w:val="24"/>
        </w:rPr>
        <w:t>, kas izmantots Stambulas konvencijā, ir lietots jau kādā citā iepriekšējā līgumā, kas attiecas uz vardarbību pret sievietēm, proti, 1994. gada Belenas konvencijā, kurā vardarbība pret sievietēm ir definēta līdzīgā veidā kā Stambulas konvencijā.</w:t>
      </w:r>
    </w:p>
    <w:p w14:paraId="3CDF5CB8" w14:textId="77777777" w:rsidR="008E3B77" w:rsidRPr="0087409D" w:rsidRDefault="008E3B77" w:rsidP="0087409D">
      <w:pPr>
        <w:jc w:val="both"/>
        <w:rPr>
          <w:rFonts w:ascii="Times New Roman" w:eastAsia="Arial" w:hAnsi="Times New Roman" w:cs="Arial"/>
          <w:noProof/>
          <w:sz w:val="24"/>
        </w:rPr>
      </w:pPr>
    </w:p>
    <w:p w14:paraId="758DC19A" w14:textId="62E14D8F" w:rsidR="008E3B77" w:rsidRPr="0087409D" w:rsidRDefault="009A07C3" w:rsidP="009A07C3">
      <w:pPr>
        <w:pStyle w:val="BodyText"/>
        <w:tabs>
          <w:tab w:val="left" w:pos="615"/>
        </w:tabs>
        <w:ind w:left="0"/>
        <w:jc w:val="both"/>
        <w:rPr>
          <w:rFonts w:ascii="Times New Roman" w:hAnsi="Times New Roman"/>
          <w:noProof/>
          <w:sz w:val="24"/>
        </w:rPr>
      </w:pPr>
      <w:r>
        <w:rPr>
          <w:rFonts w:ascii="Times New Roman" w:hAnsi="Times New Roman"/>
          <w:sz w:val="24"/>
        </w:rPr>
        <w:t xml:space="preserve">56. Stambulas konvencijā šis jēdziens ir izmantots vairākas reizes (kopā 25). Pirmkārt, tajā ir iekļauta jēdziena </w:t>
      </w:r>
      <w:r>
        <w:rPr>
          <w:rFonts w:ascii="Times New Roman" w:hAnsi="Times New Roman"/>
          <w:i/>
          <w:sz w:val="24"/>
        </w:rPr>
        <w:t>sociālais dzimums</w:t>
      </w:r>
      <w:r>
        <w:rPr>
          <w:rFonts w:ascii="Times New Roman" w:hAnsi="Times New Roman"/>
          <w:sz w:val="24"/>
        </w:rPr>
        <w:t xml:space="preserve"> definīcija (skat. iepriekš 3. panta c) punktu) un ar dzimumu saistītas vardarbības definīcija (skat. iepriekš 3. panta d) punktu). Otrkārt, tā aicina valstis cīņā pret vardarbību pret sievietēm un vardarbību ģimenē piemērot dzimumu līdztiesības pieeju.</w:t>
      </w:r>
    </w:p>
    <w:p w14:paraId="5A492FB9" w14:textId="77777777" w:rsidR="008E3B77" w:rsidRPr="0087409D" w:rsidRDefault="008E3B77" w:rsidP="0087409D">
      <w:pPr>
        <w:jc w:val="both"/>
        <w:rPr>
          <w:rFonts w:ascii="Times New Roman" w:eastAsia="Arial" w:hAnsi="Times New Roman" w:cs="Arial"/>
          <w:noProof/>
          <w:sz w:val="24"/>
        </w:rPr>
      </w:pPr>
    </w:p>
    <w:p w14:paraId="44B8BE79" w14:textId="7A209DA2" w:rsidR="008E3B77" w:rsidRPr="0087409D" w:rsidRDefault="009A07C3" w:rsidP="009A07C3">
      <w:pPr>
        <w:pStyle w:val="BodyText"/>
        <w:tabs>
          <w:tab w:val="left" w:pos="601"/>
        </w:tabs>
        <w:ind w:left="0"/>
        <w:jc w:val="both"/>
        <w:rPr>
          <w:rFonts w:ascii="Times New Roman" w:hAnsi="Times New Roman"/>
          <w:noProof/>
          <w:sz w:val="24"/>
        </w:rPr>
      </w:pPr>
      <w:r>
        <w:rPr>
          <w:rFonts w:ascii="Times New Roman" w:hAnsi="Times New Roman"/>
          <w:sz w:val="24"/>
        </w:rPr>
        <w:t xml:space="preserve">57. Tika apgalvots, ka, ieviešot </w:t>
      </w:r>
      <w:r>
        <w:rPr>
          <w:rFonts w:ascii="Times New Roman" w:hAnsi="Times New Roman"/>
          <w:i/>
          <w:sz w:val="24"/>
        </w:rPr>
        <w:t>sociālā dzimuma</w:t>
      </w:r>
      <w:r>
        <w:rPr>
          <w:rFonts w:ascii="Times New Roman" w:hAnsi="Times New Roman"/>
          <w:sz w:val="24"/>
        </w:rPr>
        <w:t xml:space="preserve"> jēdzienu, Stambulas konvencija noliedz dabisko, bioloģisko atšķirību pastāvēšanu starp sievietēm un vīriešiem.</w:t>
      </w:r>
      <w:r>
        <w:rPr>
          <w:rStyle w:val="FootnoteReference"/>
          <w:rFonts w:ascii="Times New Roman" w:hAnsi="Times New Roman"/>
          <w:noProof/>
          <w:sz w:val="24"/>
        </w:rPr>
        <w:footnoteReference w:id="89"/>
      </w:r>
      <w:r>
        <w:rPr>
          <w:rFonts w:ascii="Times New Roman" w:hAnsi="Times New Roman"/>
          <w:sz w:val="24"/>
        </w:rPr>
        <w:t xml:space="preserve"> Tādējādi Stambulas konvencijas 12. panta 1. punkts būtu Trojas zirgs tā dēvētajā dzimumu ideoloģijā, kuras mērķis ir pilnībā mainīt nacionālo valstu kultūru un piespiest tās noliegt vīriešu un sieviešu bioloģiskās atšķirības. Iespējams, Stambulas konvencija ir pretrunā tām valstu konstitūcijām, kurās ir atzīta divu dzimumu (vīriešu un sieviešu) pastāvēšana. Tomēr šī interpretācija nav pamatota.</w:t>
      </w:r>
    </w:p>
    <w:p w14:paraId="7E7001DE" w14:textId="77777777" w:rsidR="008E3B77" w:rsidRPr="0087409D" w:rsidRDefault="008E3B77" w:rsidP="0087409D">
      <w:pPr>
        <w:jc w:val="both"/>
        <w:rPr>
          <w:rFonts w:ascii="Times New Roman" w:hAnsi="Times New Roman"/>
          <w:noProof/>
          <w:sz w:val="24"/>
        </w:rPr>
      </w:pPr>
    </w:p>
    <w:p w14:paraId="2A04A0A7" w14:textId="3BE25F7F" w:rsidR="008E3B77" w:rsidRPr="0087409D" w:rsidRDefault="009A07C3" w:rsidP="009A07C3">
      <w:pPr>
        <w:pStyle w:val="BodyText"/>
        <w:tabs>
          <w:tab w:val="left" w:pos="536"/>
        </w:tabs>
        <w:ind w:left="0"/>
        <w:jc w:val="both"/>
        <w:rPr>
          <w:rFonts w:ascii="Times New Roman" w:hAnsi="Times New Roman"/>
          <w:noProof/>
          <w:sz w:val="24"/>
        </w:rPr>
      </w:pPr>
      <w:r>
        <w:rPr>
          <w:rFonts w:ascii="Times New Roman" w:hAnsi="Times New Roman"/>
          <w:sz w:val="24"/>
        </w:rPr>
        <w:t xml:space="preserve">58. Tas lielā mērā varētu būt saistīts ar sajukumu attiecībā uz dzimumu un sociālo dzimumu vai drīzāk ar to, ka daudzās valodās šiem diviem atšķirīgajiem jēdzieniem netiek izmantoti </w:t>
      </w:r>
      <w:r>
        <w:rPr>
          <w:rFonts w:ascii="Times New Roman" w:hAnsi="Times New Roman"/>
          <w:sz w:val="24"/>
        </w:rPr>
        <w:lastRenderedPageBreak/>
        <w:t xml:space="preserve">dažādi vārdi. Tomēr abās valodās, kurās Stambulas konvencijas teksts ir autentisks, – angļu un franču valodā – ir atšķirība starp </w:t>
      </w:r>
      <w:r>
        <w:rPr>
          <w:rFonts w:ascii="Times New Roman" w:hAnsi="Times New Roman"/>
          <w:i/>
          <w:sz w:val="24"/>
        </w:rPr>
        <w:t>sex/sexe</w:t>
      </w:r>
      <w:r>
        <w:rPr>
          <w:rFonts w:ascii="Times New Roman" w:hAnsi="Times New Roman"/>
          <w:sz w:val="24"/>
        </w:rPr>
        <w:t xml:space="preserve"> un </w:t>
      </w:r>
      <w:r>
        <w:rPr>
          <w:rFonts w:ascii="Times New Roman" w:hAnsi="Times New Roman"/>
          <w:i/>
          <w:sz w:val="24"/>
        </w:rPr>
        <w:t>gender/genre</w:t>
      </w:r>
      <w:r>
        <w:rPr>
          <w:rFonts w:ascii="Times New Roman" w:hAnsi="Times New Roman"/>
          <w:sz w:val="24"/>
        </w:rPr>
        <w:t xml:space="preserve">. Ja pirmais termins attiecas uz bioloģisko realitāti, otrais saskaņā ar iepriekšminēto definīciju attiecas uz sociālajām </w:t>
      </w:r>
      <w:r w:rsidR="00BB548D">
        <w:rPr>
          <w:rFonts w:ascii="Times New Roman" w:hAnsi="Times New Roman"/>
          <w:sz w:val="24"/>
        </w:rPr>
        <w:t>gaidām</w:t>
      </w:r>
      <w:r>
        <w:rPr>
          <w:rFonts w:ascii="Times New Roman" w:hAnsi="Times New Roman"/>
          <w:sz w:val="24"/>
        </w:rPr>
        <w:t>, kas saistītas ar šo realitāti. Ar šo “sociālo” definīciju nekādā ziņā nav paredzēts aizstāt bioloģisko definīciju. Turklāt, kaut arī Stambulas konvencijā ir sniegta sociālā dzimuma definīcija, tā nepieprasa dalībvalstīm šo definīciju ieviest savā tiesiskajā regulējumā. Šī definīcija dalībvalstīm drīzāk ir instruments Stambulas konvencijas noteikumu interpretēšanai, labākai izpratnei un tātad arī to piemērošanai.</w:t>
      </w:r>
    </w:p>
    <w:p w14:paraId="0E93FC04" w14:textId="77777777" w:rsidR="008E3B77" w:rsidRPr="0087409D" w:rsidRDefault="008E3B77" w:rsidP="0087409D">
      <w:pPr>
        <w:jc w:val="both"/>
        <w:rPr>
          <w:rFonts w:ascii="Times New Roman" w:hAnsi="Times New Roman"/>
          <w:noProof/>
          <w:sz w:val="24"/>
        </w:rPr>
      </w:pPr>
    </w:p>
    <w:p w14:paraId="5E37D4A8" w14:textId="31D4F5A3" w:rsidR="008E3B77" w:rsidRPr="0087409D" w:rsidRDefault="009A07C3" w:rsidP="009A07C3">
      <w:pPr>
        <w:tabs>
          <w:tab w:val="left" w:pos="649"/>
        </w:tabs>
        <w:jc w:val="both"/>
        <w:rPr>
          <w:rFonts w:ascii="Times New Roman" w:eastAsia="Arial" w:hAnsi="Times New Roman" w:cs="Arial"/>
          <w:noProof/>
          <w:sz w:val="24"/>
        </w:rPr>
      </w:pPr>
      <w:r>
        <w:rPr>
          <w:rFonts w:ascii="Times New Roman" w:hAnsi="Times New Roman"/>
          <w:sz w:val="24"/>
        </w:rPr>
        <w:t xml:space="preserve">59. Stambulas konvencijas skaidrojošajā ziņojumā ir norādīts, ka </w:t>
      </w:r>
      <w:r>
        <w:rPr>
          <w:rFonts w:ascii="Times New Roman" w:hAnsi="Times New Roman"/>
          <w:i/>
          <w:sz w:val="24"/>
        </w:rPr>
        <w:t>“šā noteikuma mērķis ir sasniegt to personu sirdis un prātus, kas ar savu uzvedību atbalsta tās vardarbības formas, uz kurām attiecas šī Konvencija”.</w:t>
      </w:r>
      <w:r>
        <w:rPr>
          <w:rStyle w:val="FootnoteReference"/>
          <w:rFonts w:ascii="Times New Roman" w:eastAsia="Arial" w:hAnsi="Times New Roman" w:cs="Arial"/>
          <w:i/>
          <w:noProof/>
          <w:sz w:val="24"/>
        </w:rPr>
        <w:footnoteReference w:id="90"/>
      </w:r>
      <w:r>
        <w:rPr>
          <w:rFonts w:ascii="Times New Roman" w:hAnsi="Times New Roman"/>
          <w:sz w:val="24"/>
          <w:szCs w:val="14"/>
        </w:rPr>
        <w:t xml:space="preserve"> </w:t>
      </w:r>
      <w:r>
        <w:rPr>
          <w:rFonts w:ascii="Times New Roman" w:hAnsi="Times New Roman"/>
          <w:sz w:val="24"/>
        </w:rPr>
        <w:t>Tādējādi šis noteikums ir vērsts pret tiem dzimumu stereotipiem un aizspriedumiem, kas stimulē un veicina vardarbību pret sievietēm, piemēram, pret priekšstatu, ka sievietes ir mazvērtīgākas nekā vīrieši un ka tāpēc viņas ir jādisciplinē sitot. Pasākumi, kas nepieciešami, lai mainītu šādus kaitējumu radošus stereotipus, ir atstāti katras valsts ziņā.</w:t>
      </w:r>
    </w:p>
    <w:p w14:paraId="1EE61B82" w14:textId="77777777" w:rsidR="008E3B77" w:rsidRPr="0087409D" w:rsidRDefault="008E3B77" w:rsidP="0087409D">
      <w:pPr>
        <w:jc w:val="both"/>
        <w:rPr>
          <w:rFonts w:ascii="Times New Roman" w:eastAsia="Arial" w:hAnsi="Times New Roman" w:cs="Arial"/>
          <w:noProof/>
          <w:sz w:val="24"/>
        </w:rPr>
      </w:pPr>
    </w:p>
    <w:p w14:paraId="7CBA01F8" w14:textId="3516D0A1" w:rsidR="008E3B77" w:rsidRPr="0087409D" w:rsidRDefault="009A07C3" w:rsidP="009A07C3">
      <w:pPr>
        <w:pStyle w:val="BodyText"/>
        <w:tabs>
          <w:tab w:val="left" w:pos="587"/>
        </w:tabs>
        <w:ind w:left="0"/>
        <w:jc w:val="both"/>
        <w:rPr>
          <w:rFonts w:ascii="Times New Roman" w:hAnsi="Times New Roman"/>
          <w:noProof/>
          <w:sz w:val="24"/>
          <w:szCs w:val="14"/>
        </w:rPr>
      </w:pPr>
      <w:r>
        <w:rPr>
          <w:rFonts w:ascii="Times New Roman" w:hAnsi="Times New Roman"/>
          <w:sz w:val="24"/>
        </w:rPr>
        <w:t xml:space="preserve">60. Stambulas konvencijā nav teikts, ka visa vardarbība pret sievietēm, nemaz nerunājot par visu vardarbību kopumā, ir saistīta ar dzimumu. Tajā ir pausta doma, ka sociālās </w:t>
      </w:r>
      <w:r w:rsidR="00BB548D">
        <w:rPr>
          <w:rFonts w:ascii="Times New Roman" w:hAnsi="Times New Roman"/>
          <w:sz w:val="24"/>
        </w:rPr>
        <w:t>gaidas</w:t>
      </w:r>
      <w:r>
        <w:rPr>
          <w:rFonts w:ascii="Times New Roman" w:hAnsi="Times New Roman"/>
          <w:sz w:val="24"/>
        </w:rPr>
        <w:t xml:space="preserve"> par to, kāda rīcība vai kādas rīcības neveikšana tiek gaidīta (vai negaidīta) no vīriešiem un sievietēm, ir viens no vardarbības pret sievietēm un vardarbības ģimenē avotiem. Ņemot vērā to, kas Stambulas konvencijas preambulā ir raksturots kā </w:t>
      </w:r>
      <w:r>
        <w:rPr>
          <w:rFonts w:ascii="Times New Roman" w:hAnsi="Times New Roman"/>
          <w:i/>
          <w:sz w:val="24"/>
        </w:rPr>
        <w:t>“vēsturiski izveidojies sieviešu un vīriešu varas nevienlīdzīgs sadalījums, kura dēļ vīrieši dominē pār sievietēm un diskriminē sievietes un ir apgrūtināta sieviešu pilnīga attīstība”</w:t>
      </w:r>
      <w:r>
        <w:rPr>
          <w:rFonts w:ascii="Times New Roman" w:hAnsi="Times New Roman"/>
          <w:sz w:val="24"/>
        </w:rPr>
        <w:t xml:space="preserve"> (devītā rindkopa), sievietes ir īpaši neaizsargātas pret vardarbību, jo vardarbība pret sievietēm, īpaši sadzīves apstākļos, tradicionāli tiek uzskatīta par sociāli pieņemamu. Piemēram, tiesību akti, kas ļauj vai pat pieprasa vīriešiem “disciplinēt” savas sievas, tostarp disciplinēt viņas, izmantojot fizisku vardarbību, vēsturiski bija spēkā lielākajā daļā pasaules valstu un tika atcelti tikai salīdzinoši nesen.</w:t>
      </w:r>
      <w:r>
        <w:rPr>
          <w:rStyle w:val="FootnoteReference"/>
          <w:rFonts w:ascii="Times New Roman" w:hAnsi="Times New Roman"/>
          <w:noProof/>
          <w:sz w:val="24"/>
        </w:rPr>
        <w:footnoteReference w:id="91"/>
      </w:r>
      <w:r>
        <w:rPr>
          <w:rFonts w:ascii="Times New Roman" w:hAnsi="Times New Roman"/>
          <w:sz w:val="24"/>
          <w:szCs w:val="14"/>
        </w:rPr>
        <w:t xml:space="preserve"> </w:t>
      </w:r>
      <w:r>
        <w:rPr>
          <w:rFonts w:ascii="Times New Roman" w:hAnsi="Times New Roman"/>
          <w:sz w:val="24"/>
        </w:rPr>
        <w:t xml:space="preserve">Tāpat tā dēvētie </w:t>
      </w:r>
      <w:r>
        <w:rPr>
          <w:rFonts w:ascii="Times New Roman" w:hAnsi="Times New Roman"/>
          <w:i/>
          <w:sz w:val="24"/>
        </w:rPr>
        <w:t>goda noziegumi</w:t>
      </w:r>
      <w:r>
        <w:rPr>
          <w:rFonts w:ascii="Times New Roman" w:hAnsi="Times New Roman"/>
          <w:sz w:val="24"/>
        </w:rPr>
        <w:t>, kad viens ģimenes loceklis nogalina vai ievaino radinieku, kurš, domājams, ir radījis kaunu vai negodu ģimenei, vai citādi nodara viņam kaitējumu, vairumā gadījumu ir vērsti pret sievietēm.</w:t>
      </w:r>
      <w:r>
        <w:rPr>
          <w:rStyle w:val="FootnoteReference"/>
          <w:rFonts w:ascii="Times New Roman" w:hAnsi="Times New Roman"/>
          <w:noProof/>
          <w:sz w:val="24"/>
        </w:rPr>
        <w:footnoteReference w:id="92"/>
      </w:r>
    </w:p>
    <w:p w14:paraId="7A1BEAF7" w14:textId="77777777" w:rsidR="008E3B77" w:rsidRPr="0087409D" w:rsidRDefault="008E3B77" w:rsidP="0087409D">
      <w:pPr>
        <w:jc w:val="both"/>
        <w:rPr>
          <w:rFonts w:ascii="Times New Roman" w:eastAsia="Arial" w:hAnsi="Times New Roman" w:cs="Arial"/>
          <w:noProof/>
          <w:sz w:val="24"/>
          <w:szCs w:val="21"/>
        </w:rPr>
      </w:pPr>
    </w:p>
    <w:p w14:paraId="1C121080" w14:textId="041574F1" w:rsidR="008E3B77" w:rsidRPr="0087409D" w:rsidRDefault="009A07C3" w:rsidP="009A07C3">
      <w:pPr>
        <w:pStyle w:val="BodyText"/>
        <w:tabs>
          <w:tab w:val="left" w:pos="567"/>
        </w:tabs>
        <w:ind w:left="0"/>
        <w:jc w:val="both"/>
        <w:rPr>
          <w:rFonts w:ascii="Times New Roman" w:hAnsi="Times New Roman"/>
          <w:noProof/>
          <w:sz w:val="24"/>
        </w:rPr>
      </w:pPr>
      <w:r>
        <w:rPr>
          <w:rFonts w:ascii="Times New Roman" w:hAnsi="Times New Roman"/>
          <w:sz w:val="24"/>
        </w:rPr>
        <w:t>61. Lielāka iecietība pret vardarbību, kas vērsta pret sievietēm, jo īpaši sadzīves apstākļos, atspoguļo faktu, ka lielākajā daļā tradicionālo sabiedrību sievietes tika uzskatītas par mazvērtīgākām nekā vīrieši. Viņām bija liegts darboties daudzās sabiedriskās dzīves jomās un bija jāpaliek tikai savā privātajā personu lokā. Turklāt vīriešu dzimuma radiniekiem vai citiem vīriešu kārtas biedriem bija sievietēm jāparāda viņu vieta. Pagājušajā gadsimtā šī stingrā dzimumu dalīšana tika lielā mērā novērsta Eiropas Padomes dalībvalstīs, kuru tiesiskajā regulējumā vīrieši un sievietes tagad tiek uzskatīti par juridiski vienlīdzīgiem (piemēram, Armēnijas Konstitūcijas 30. pants). Tomēr tie, kas izdara vardarbību pret sievietēm, it īpaši vardarbību ģimenē, joprojām var ievērot no iepriekšējām paaudzēm mantotos dzimumu uzvedības modeļus vai izmantot vidi, kurā šie modeļi vēl nav pilnībā izskausti.</w:t>
      </w:r>
    </w:p>
    <w:p w14:paraId="7C0FC142" w14:textId="77777777" w:rsidR="008E3B77" w:rsidRPr="0087409D" w:rsidRDefault="008E3B77" w:rsidP="0087409D">
      <w:pPr>
        <w:jc w:val="both"/>
        <w:rPr>
          <w:rFonts w:ascii="Times New Roman" w:eastAsia="Arial" w:hAnsi="Times New Roman" w:cs="Arial"/>
          <w:noProof/>
          <w:sz w:val="24"/>
          <w:szCs w:val="24"/>
        </w:rPr>
      </w:pPr>
    </w:p>
    <w:p w14:paraId="0375FB1D" w14:textId="59490775" w:rsidR="008E3B77" w:rsidRPr="0087409D" w:rsidRDefault="009A07C3" w:rsidP="009A07C3">
      <w:pPr>
        <w:tabs>
          <w:tab w:val="left" w:pos="596"/>
        </w:tabs>
        <w:jc w:val="both"/>
        <w:rPr>
          <w:rFonts w:ascii="Times New Roman" w:eastAsia="Arial" w:hAnsi="Times New Roman" w:cs="Arial"/>
          <w:noProof/>
          <w:sz w:val="24"/>
        </w:rPr>
      </w:pPr>
      <w:r>
        <w:rPr>
          <w:rFonts w:ascii="Times New Roman" w:hAnsi="Times New Roman"/>
          <w:sz w:val="24"/>
        </w:rPr>
        <w:t xml:space="preserve">62. Attiecībā uz šo situāciju Stambulas konvencijā ir atzīts, ka, lai arī vardarbība pret </w:t>
      </w:r>
      <w:r>
        <w:rPr>
          <w:rFonts w:ascii="Times New Roman" w:hAnsi="Times New Roman"/>
          <w:sz w:val="24"/>
        </w:rPr>
        <w:lastRenderedPageBreak/>
        <w:t xml:space="preserve">sievietēm ir parādība, kurai ir daudz cēloņu, tai ir strukturāla dimensija, jo tā bieži ir saistīta ar sieviešu diskrimināciju un viņu juridiski atšķirīgo un zemāko stāvokli sabiedrībā. Tādējādi tā mudina valstis pievērst uzmanību šim aspektam un piemērot dzimumu līdztiesības perspektīvu. Tā arī mudina valstis novērst strukturālos cēloņus vardarbībai pret sievietēm, veicot </w:t>
      </w:r>
      <w:r>
        <w:rPr>
          <w:rFonts w:ascii="Times New Roman" w:hAnsi="Times New Roman"/>
          <w:i/>
          <w:sz w:val="24"/>
        </w:rPr>
        <w:t>“vajadzīgos pasākumus, lai veicinātu izmaiņas sociālās vides un kultūras noteiktajos sieviešu un vīriešu uzvedības modeļos nolūkā izskaust aizspriedumus, paražas, tradīcijas un jebkādu citu praksi, kuras pamatā ir ideja par sieviešu nepilnvērtību vai par sieviešu un vīriešu lomām, kas padarītas par stereotipiem”</w:t>
      </w:r>
      <w:r>
        <w:rPr>
          <w:rFonts w:ascii="Times New Roman" w:hAnsi="Times New Roman"/>
          <w:sz w:val="24"/>
        </w:rPr>
        <w:t xml:space="preserve"> (12. panta 1. punkts).</w:t>
      </w:r>
    </w:p>
    <w:p w14:paraId="602F3E02" w14:textId="77777777" w:rsidR="008E3B77" w:rsidRPr="0087409D" w:rsidRDefault="008E3B77" w:rsidP="0087409D">
      <w:pPr>
        <w:jc w:val="both"/>
        <w:rPr>
          <w:rFonts w:ascii="Times New Roman" w:eastAsia="Arial" w:hAnsi="Times New Roman" w:cs="Arial"/>
          <w:noProof/>
          <w:sz w:val="24"/>
        </w:rPr>
      </w:pPr>
    </w:p>
    <w:p w14:paraId="0F6AAE98" w14:textId="573A5C71" w:rsidR="008E3B77" w:rsidRPr="0087409D" w:rsidRDefault="009A07C3" w:rsidP="009A07C3">
      <w:pPr>
        <w:pStyle w:val="BodyText"/>
        <w:tabs>
          <w:tab w:val="left" w:pos="558"/>
        </w:tabs>
        <w:ind w:left="0"/>
        <w:jc w:val="both"/>
        <w:rPr>
          <w:rFonts w:ascii="Times New Roman" w:hAnsi="Times New Roman"/>
          <w:noProof/>
          <w:sz w:val="24"/>
        </w:rPr>
      </w:pPr>
      <w:r>
        <w:rPr>
          <w:rFonts w:ascii="Times New Roman" w:hAnsi="Times New Roman"/>
          <w:sz w:val="24"/>
        </w:rPr>
        <w:t xml:space="preserve">63. Armēnijas Konstitūcijā nav minēts sociālais dzimums. Tomēr tā garantē vīriešu un sieviešu līdztiesību (30. pants) un nosaka, ka viens no valsts politikas mērķiem ir </w:t>
      </w:r>
      <w:r>
        <w:rPr>
          <w:rFonts w:ascii="Times New Roman" w:hAnsi="Times New Roman"/>
          <w:i/>
          <w:sz w:val="24"/>
        </w:rPr>
        <w:t>“faktiska sieviešu un vīriešu līdztiesības veicināšana”</w:t>
      </w:r>
      <w:r>
        <w:rPr>
          <w:rFonts w:ascii="Times New Roman" w:hAnsi="Times New Roman"/>
          <w:sz w:val="24"/>
        </w:rPr>
        <w:t xml:space="preserve"> (86. panta 4. punkts). Šai Konstitūcijas normai pilnībā atbilst vardarbības pret sievietēm, tostarp ar dzimumu saistītas vardarbības, izskaušana un šā mērķa sasniegšanai paredzētu pasākumu veicināšana, tostarp tādu pasākumu veicināšana, kuru nolūks ir mainīt kaitīgus dzimumu stereotipus.</w:t>
      </w:r>
    </w:p>
    <w:p w14:paraId="0AB8A4DC" w14:textId="77777777" w:rsidR="008E3B77" w:rsidRPr="0087409D" w:rsidRDefault="008E3B77" w:rsidP="0087409D">
      <w:pPr>
        <w:jc w:val="both"/>
        <w:rPr>
          <w:rFonts w:ascii="Times New Roman" w:hAnsi="Times New Roman"/>
          <w:noProof/>
          <w:sz w:val="24"/>
        </w:rPr>
      </w:pPr>
    </w:p>
    <w:p w14:paraId="689942C4" w14:textId="42B87D8C" w:rsidR="008E3B77" w:rsidRPr="0087409D" w:rsidRDefault="00FF3E7F" w:rsidP="00FF3E7F">
      <w:pPr>
        <w:tabs>
          <w:tab w:val="left" w:pos="567"/>
        </w:tabs>
        <w:jc w:val="both"/>
        <w:rPr>
          <w:rFonts w:ascii="Times New Roman" w:eastAsia="Arial" w:hAnsi="Times New Roman" w:cs="Arial"/>
          <w:noProof/>
          <w:sz w:val="24"/>
          <w:szCs w:val="14"/>
        </w:rPr>
      </w:pPr>
      <w:r>
        <w:rPr>
          <w:rFonts w:ascii="Times New Roman" w:hAnsi="Times New Roman"/>
          <w:sz w:val="24"/>
        </w:rPr>
        <w:t>64. Iespējams, vēl viens pretrunīgs jēdziens ir “</w:t>
      </w:r>
      <w:r>
        <w:rPr>
          <w:rFonts w:ascii="Times New Roman" w:hAnsi="Times New Roman"/>
          <w:i/>
          <w:sz w:val="24"/>
        </w:rPr>
        <w:t>dzimuma identitāte</w:t>
      </w:r>
      <w:r>
        <w:rPr>
          <w:rFonts w:ascii="Times New Roman" w:hAnsi="Times New Roman"/>
          <w:sz w:val="24"/>
        </w:rPr>
        <w:t>”. Saskaņā ar visbiežāk izmantotajiem šā jēdziena aprakstiem var uzskatīt, ka termins “</w:t>
      </w:r>
      <w:r>
        <w:rPr>
          <w:rFonts w:ascii="Times New Roman" w:hAnsi="Times New Roman"/>
          <w:i/>
          <w:sz w:val="24"/>
        </w:rPr>
        <w:t>dzimuma identitāte</w:t>
      </w:r>
      <w:r>
        <w:rPr>
          <w:rFonts w:ascii="Times New Roman" w:hAnsi="Times New Roman"/>
          <w:sz w:val="24"/>
        </w:rPr>
        <w:t>” aptver ne tikai tādas personas kā transseksuālas personas, kas ir mainījušas savu dzimumu, bet arī personas, kas izvēlas citus līdzekļus sava dzimuma atspoguļošanai.</w:t>
      </w:r>
      <w:r>
        <w:rPr>
          <w:rStyle w:val="FootnoteReference"/>
          <w:rFonts w:ascii="Times New Roman" w:eastAsia="Arial" w:hAnsi="Times New Roman" w:cs="Arial"/>
          <w:noProof/>
          <w:sz w:val="24"/>
        </w:rPr>
        <w:footnoteReference w:id="93"/>
      </w:r>
      <w:r>
        <w:rPr>
          <w:rFonts w:ascii="Times New Roman" w:hAnsi="Times New Roman"/>
          <w:sz w:val="24"/>
          <w:szCs w:val="14"/>
        </w:rPr>
        <w:t xml:space="preserve"> </w:t>
      </w:r>
      <w:r>
        <w:rPr>
          <w:rFonts w:ascii="Times New Roman" w:hAnsi="Times New Roman"/>
          <w:sz w:val="24"/>
        </w:rPr>
        <w:t xml:space="preserve">To vidū ir transvestīti, transpersonas un pretējā dzimuma apģērbu nēsātāji, kā arī citas personu grupas, kas neietilpst binārajās </w:t>
      </w:r>
      <w:r>
        <w:rPr>
          <w:rFonts w:ascii="Times New Roman" w:hAnsi="Times New Roman"/>
          <w:i/>
          <w:sz w:val="24"/>
        </w:rPr>
        <w:t>vīriešu</w:t>
      </w:r>
      <w:r>
        <w:rPr>
          <w:rFonts w:ascii="Times New Roman" w:hAnsi="Times New Roman"/>
          <w:sz w:val="24"/>
        </w:rPr>
        <w:t xml:space="preserve"> vai </w:t>
      </w:r>
      <w:r>
        <w:rPr>
          <w:rFonts w:ascii="Times New Roman" w:hAnsi="Times New Roman"/>
          <w:i/>
          <w:sz w:val="24"/>
        </w:rPr>
        <w:t>sieviešu</w:t>
      </w:r>
      <w:r>
        <w:rPr>
          <w:rFonts w:ascii="Times New Roman" w:hAnsi="Times New Roman"/>
          <w:sz w:val="24"/>
        </w:rPr>
        <w:t xml:space="preserve"> kategorijās un ko bieži dēvē par “</w:t>
      </w:r>
      <w:r>
        <w:rPr>
          <w:rFonts w:ascii="Times New Roman" w:hAnsi="Times New Roman"/>
          <w:i/>
          <w:sz w:val="24"/>
        </w:rPr>
        <w:t>trešo dzimumu</w:t>
      </w:r>
      <w:r>
        <w:rPr>
          <w:rFonts w:ascii="Times New Roman" w:hAnsi="Times New Roman"/>
          <w:sz w:val="24"/>
        </w:rPr>
        <w:t>”.</w:t>
      </w:r>
      <w:r>
        <w:rPr>
          <w:rStyle w:val="FootnoteReference"/>
          <w:rFonts w:ascii="Times New Roman" w:eastAsia="Arial" w:hAnsi="Times New Roman" w:cs="Arial"/>
          <w:noProof/>
          <w:sz w:val="24"/>
        </w:rPr>
        <w:footnoteReference w:id="94"/>
      </w:r>
      <w:r>
        <w:rPr>
          <w:rFonts w:ascii="Times New Roman" w:hAnsi="Times New Roman"/>
          <w:sz w:val="24"/>
          <w:szCs w:val="14"/>
        </w:rPr>
        <w:t xml:space="preserve"> </w:t>
      </w:r>
      <w:r>
        <w:rPr>
          <w:rFonts w:ascii="Times New Roman" w:hAnsi="Times New Roman"/>
          <w:sz w:val="24"/>
        </w:rPr>
        <w:t>Tomēr Stambulas konvencijā nav definēts termins “</w:t>
      </w:r>
      <w:r>
        <w:rPr>
          <w:rFonts w:ascii="Times New Roman" w:hAnsi="Times New Roman"/>
          <w:i/>
          <w:sz w:val="24"/>
        </w:rPr>
        <w:t>dzimuma identitāte</w:t>
      </w:r>
      <w:r>
        <w:rPr>
          <w:rFonts w:ascii="Times New Roman" w:hAnsi="Times New Roman"/>
          <w:sz w:val="24"/>
        </w:rPr>
        <w:t xml:space="preserve">”, kas ir lietots tikai vienu reizi, 4. panta 3. punktā, kurā ir ietverts diskriminācijas aizlieguma noteikums, kas paredz, ka </w:t>
      </w:r>
      <w:r>
        <w:rPr>
          <w:rFonts w:ascii="Times New Roman" w:hAnsi="Times New Roman"/>
          <w:i/>
          <w:sz w:val="24"/>
        </w:rPr>
        <w:t>“Konvencijas dalībvalstis garantē to, ka, īstenojot šīs Konvencijas noteikumus, it īpaši veicot vardarbības upuru tiesību aizsardzības pasākumus, nenotiek nekāda diskriminācija neatkarīgi no tā, vai šādas diskriminācijas pamatā ir (..) dzimuma identitāte (..)”</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Stambulas konvencijas skaidrojošajā ziņojumā ir tikai paskaidrots, ka </w:t>
      </w:r>
      <w:r>
        <w:rPr>
          <w:rFonts w:ascii="Times New Roman" w:hAnsi="Times New Roman"/>
          <w:i/>
          <w:sz w:val="24"/>
        </w:rPr>
        <w:t>dzimuma identitāte</w:t>
      </w:r>
      <w:r>
        <w:rPr>
          <w:rFonts w:ascii="Times New Roman" w:hAnsi="Times New Roman"/>
          <w:sz w:val="24"/>
        </w:rPr>
        <w:t xml:space="preserve"> šajā saistībā attiecas uz situāciju, kurā </w:t>
      </w:r>
      <w:r>
        <w:rPr>
          <w:rFonts w:ascii="Times New Roman" w:hAnsi="Times New Roman"/>
          <w:i/>
          <w:sz w:val="24"/>
        </w:rPr>
        <w:t>“sociālais dzimums</w:t>
      </w:r>
      <w:r w:rsidR="00BB548D">
        <w:rPr>
          <w:rFonts w:ascii="Times New Roman" w:hAnsi="Times New Roman"/>
          <w:sz w:val="24"/>
        </w:rPr>
        <w:t xml:space="preserve">, ar kuru </w:t>
      </w:r>
      <w:r>
        <w:rPr>
          <w:rFonts w:ascii="Times New Roman" w:hAnsi="Times New Roman"/>
          <w:sz w:val="24"/>
        </w:rPr>
        <w:t xml:space="preserve">personas </w:t>
      </w:r>
      <w:r>
        <w:rPr>
          <w:rFonts w:ascii="Times New Roman" w:hAnsi="Times New Roman"/>
          <w:i/>
          <w:sz w:val="24"/>
        </w:rPr>
        <w:t>identificējas</w:t>
      </w:r>
      <w:r w:rsidR="00BB548D">
        <w:rPr>
          <w:rFonts w:ascii="Times New Roman" w:hAnsi="Times New Roman"/>
          <w:i/>
          <w:sz w:val="24"/>
        </w:rPr>
        <w:t>,</w:t>
      </w:r>
      <w:r>
        <w:rPr>
          <w:rFonts w:ascii="Times New Roman" w:hAnsi="Times New Roman"/>
          <w:i/>
          <w:sz w:val="24"/>
        </w:rPr>
        <w:t xml:space="preserve"> neatbilst bioloģiskajam dzimumam</w:t>
      </w:r>
      <w:r w:rsidR="00BB548D">
        <w:rPr>
          <w:rFonts w:ascii="Times New Roman" w:hAnsi="Times New Roman"/>
          <w:i/>
          <w:sz w:val="24"/>
        </w:rPr>
        <w:t xml:space="preserve"> dzimšanas brīdī</w:t>
      </w:r>
      <w:r>
        <w:rPr>
          <w:rFonts w:ascii="Times New Roman" w:hAnsi="Times New Roman"/>
          <w:i/>
          <w:sz w:val="24"/>
        </w:rPr>
        <w:t>”.</w:t>
      </w:r>
      <w:r>
        <w:rPr>
          <w:rStyle w:val="FootnoteReference"/>
          <w:rFonts w:ascii="Times New Roman" w:eastAsia="Arial" w:hAnsi="Times New Roman" w:cs="Arial"/>
          <w:i/>
          <w:noProof/>
          <w:sz w:val="24"/>
        </w:rPr>
        <w:footnoteReference w:id="95"/>
      </w:r>
    </w:p>
    <w:p w14:paraId="5AA357E8" w14:textId="77777777" w:rsidR="008E3B77" w:rsidRPr="0087409D" w:rsidRDefault="008E3B77" w:rsidP="0087409D">
      <w:pPr>
        <w:jc w:val="both"/>
        <w:rPr>
          <w:rFonts w:ascii="Times New Roman" w:eastAsia="Arial" w:hAnsi="Times New Roman" w:cs="Arial"/>
          <w:noProof/>
          <w:sz w:val="24"/>
          <w:szCs w:val="24"/>
        </w:rPr>
      </w:pPr>
    </w:p>
    <w:p w14:paraId="60B778F1" w14:textId="4A21A13E" w:rsidR="008E3B77" w:rsidRPr="0087409D" w:rsidRDefault="00FF3E7F" w:rsidP="00FF3E7F">
      <w:pPr>
        <w:pStyle w:val="BodyText"/>
        <w:tabs>
          <w:tab w:val="left" w:pos="563"/>
        </w:tabs>
        <w:ind w:left="0"/>
        <w:jc w:val="both"/>
        <w:rPr>
          <w:rFonts w:ascii="Times New Roman" w:hAnsi="Times New Roman"/>
          <w:noProof/>
          <w:sz w:val="24"/>
        </w:rPr>
      </w:pPr>
      <w:r>
        <w:rPr>
          <w:rFonts w:ascii="Times New Roman" w:hAnsi="Times New Roman"/>
          <w:sz w:val="24"/>
        </w:rPr>
        <w:t>65. Ir svarīgi norādīt, ka saskaņā ar Stambulas konvenciju dalībvalstīm nav jāveic nekādi pasākumi, lai atzītu šīs dažādās personu kategorijas vai lai tām piešķirtu īpašu juridisko statusu. Tajā ir vienkārši apstiprināts, ka dzimuma identitāte – tāpat kā dzimums, sociālais dzimums, rase, ādas krāsa, valoda, reliģiskā pārliecība, politiskie vai citi uzskati, nacionālā piederība, sociālā izcelsme, piederība mazākumtautībai, īpašums, izcelšanās, dzimumorientācija, vecums, veselības stāvoklis, invaliditāte, ģimenes stāvoklis, migranta vai bēgļa statuss vai cits statuss – ir aizliegts diskriminācijas pamats. Tas nozīmē, ka personai savas dzimuma identitātes dēļ nedrīkst liegt ne aizsardzību no vardarbības vai cietušā statusu, ne arī tiesības, kas izriet no šī statusa. Nebinārām, transdzimumu, transseksuālām un citām personām šajā ziņā ir tādas pašas tiesības kā jebkurai citai personai (ne vairāk un ne mazāk tiesību).</w:t>
      </w:r>
    </w:p>
    <w:p w14:paraId="79A797C7" w14:textId="77777777" w:rsidR="008E3B77" w:rsidRPr="0087409D" w:rsidRDefault="008E3B77" w:rsidP="0087409D">
      <w:pPr>
        <w:jc w:val="both"/>
        <w:rPr>
          <w:rFonts w:ascii="Times New Roman" w:eastAsia="Arial" w:hAnsi="Times New Roman" w:cs="Arial"/>
          <w:noProof/>
          <w:sz w:val="24"/>
        </w:rPr>
      </w:pPr>
    </w:p>
    <w:p w14:paraId="2D76B284" w14:textId="5DFFF55D" w:rsidR="008E3B77" w:rsidRPr="0087409D" w:rsidRDefault="00FF3E7F" w:rsidP="00FF3E7F">
      <w:pPr>
        <w:tabs>
          <w:tab w:val="left" w:pos="574"/>
        </w:tabs>
        <w:jc w:val="both"/>
        <w:rPr>
          <w:rFonts w:ascii="Times New Roman" w:eastAsia="Arial" w:hAnsi="Times New Roman" w:cs="Arial"/>
          <w:noProof/>
          <w:sz w:val="24"/>
        </w:rPr>
      </w:pPr>
      <w:r>
        <w:rPr>
          <w:rFonts w:ascii="Times New Roman" w:hAnsi="Times New Roman"/>
          <w:sz w:val="24"/>
        </w:rPr>
        <w:t xml:space="preserve">66. Šķiet, ka šī tiesību norma ir pilnībā saderīga ar Armēnijas Konstitūciju. Tā apstiprina Konstitūcijas 28. pantā teikto, ka </w:t>
      </w:r>
      <w:r>
        <w:rPr>
          <w:rFonts w:ascii="Times New Roman" w:hAnsi="Times New Roman"/>
          <w:i/>
          <w:sz w:val="24"/>
        </w:rPr>
        <w:t>“likuma priekšā visi ir vienlīdzīgi”</w:t>
      </w:r>
      <w:r>
        <w:rPr>
          <w:rFonts w:ascii="Times New Roman" w:hAnsi="Times New Roman"/>
          <w:sz w:val="24"/>
        </w:rPr>
        <w:t xml:space="preserve"> un ka saskaņā ar Konstitūcijas 29. pantu </w:t>
      </w:r>
      <w:r>
        <w:rPr>
          <w:rFonts w:ascii="Times New Roman" w:hAnsi="Times New Roman"/>
          <w:i/>
          <w:sz w:val="24"/>
        </w:rPr>
        <w:t xml:space="preserve">“ir aizliegta jebkāda diskriminācija, pamatojoties uz dzimumu, rasi, </w:t>
      </w:r>
      <w:r>
        <w:rPr>
          <w:rFonts w:ascii="Times New Roman" w:hAnsi="Times New Roman"/>
          <w:i/>
          <w:sz w:val="24"/>
        </w:rPr>
        <w:lastRenderedPageBreak/>
        <w:t>ādas krāsu, etnisko vai sociālo izcelsmi, ģenētiskajām īpatnībām, valodu, reliģisko pārliecību, pasaules uzskatiem, politiskajiem vai citiem uzskatiem, piederību mazākumtautībai, īpašuma statusu, izcelsmi, invaliditāti, vecumu vai citiem personiskiem vai sociāliem apstākļiem”</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Kaut arī nav skaidri minēts, ka dzimuma identitāte ir viens no aizliegtajiem pamatiem, Armēnijas Konstitucionālā tiesa varēja pamatoti uzskatīt, ka tā ietilpst </w:t>
      </w:r>
      <w:r>
        <w:rPr>
          <w:rFonts w:ascii="Times New Roman" w:hAnsi="Times New Roman"/>
          <w:i/>
          <w:sz w:val="24"/>
        </w:rPr>
        <w:t>“citos personiskos apstākļos”</w:t>
      </w:r>
      <w:r>
        <w:rPr>
          <w:rFonts w:ascii="Times New Roman" w:hAnsi="Times New Roman"/>
          <w:sz w:val="24"/>
        </w:rPr>
        <w:t>. Ir grūti saprast, kāpēc ar dzimuma identitāti saistītas diskriminācijas aizliegumu aizsardzībā pret vardarbību un, iespējams, arī visās citās jomās varētu uzskatīt par esošu pretrunā Konstitūcijai. Daudz vieglāk ir saprast, kā tas varētu notikt pretējā situācijā (ja konkrētām personām netika piešķirta aizsardzība pret vardarbību viņu dzimuma identitātes dēļ).</w:t>
      </w:r>
    </w:p>
    <w:p w14:paraId="3DAB4A4B" w14:textId="77777777" w:rsidR="008E3B77" w:rsidRPr="0087409D" w:rsidRDefault="008E3B77" w:rsidP="0087409D">
      <w:pPr>
        <w:jc w:val="both"/>
        <w:rPr>
          <w:rFonts w:ascii="Times New Roman" w:eastAsia="Arial" w:hAnsi="Times New Roman" w:cs="Arial"/>
          <w:noProof/>
          <w:sz w:val="24"/>
        </w:rPr>
      </w:pPr>
    </w:p>
    <w:p w14:paraId="6F4DFF00" w14:textId="400D4EF2" w:rsidR="008E3B77" w:rsidRPr="0087409D" w:rsidRDefault="00FF3E7F" w:rsidP="00FF3E7F">
      <w:pPr>
        <w:pStyle w:val="BodyText"/>
        <w:tabs>
          <w:tab w:val="left" w:pos="572"/>
        </w:tabs>
        <w:ind w:left="0"/>
        <w:jc w:val="both"/>
        <w:rPr>
          <w:rFonts w:ascii="Times New Roman" w:hAnsi="Times New Roman"/>
          <w:noProof/>
          <w:sz w:val="24"/>
        </w:rPr>
      </w:pPr>
      <w:r>
        <w:rPr>
          <w:rFonts w:ascii="Times New Roman" w:hAnsi="Times New Roman"/>
          <w:sz w:val="24"/>
        </w:rPr>
        <w:t xml:space="preserve">67. Attiecībā uz Stambulas konvenciju jāpiemin, ka viens no galvenajiem jēdzieniem, kas izraisījis strīdus, ir </w:t>
      </w:r>
      <w:r>
        <w:rPr>
          <w:rFonts w:ascii="Times New Roman" w:hAnsi="Times New Roman"/>
          <w:i/>
          <w:sz w:val="24"/>
        </w:rPr>
        <w:t>ģimenes</w:t>
      </w:r>
      <w:r>
        <w:rPr>
          <w:rFonts w:ascii="Times New Roman" w:hAnsi="Times New Roman"/>
          <w:sz w:val="24"/>
        </w:rPr>
        <w:t xml:space="preserve"> jēdziens. Tiek apgalvots, ka Stambulas konvencijā partnerattiecības ir definētas veidā, kas varētu būt nesavienojams ar dažu valstu konstitūcijās ietvertajām definīcijām.</w:t>
      </w:r>
      <w:r>
        <w:rPr>
          <w:rStyle w:val="FootnoteReference"/>
          <w:rFonts w:ascii="Times New Roman" w:hAnsi="Times New Roman"/>
          <w:noProof/>
          <w:sz w:val="24"/>
        </w:rPr>
        <w:footnoteReference w:id="96"/>
      </w:r>
      <w:r>
        <w:rPr>
          <w:rFonts w:ascii="Times New Roman" w:hAnsi="Times New Roman"/>
          <w:sz w:val="24"/>
        </w:rPr>
        <w:t xml:space="preserve"> Tomēr Stambulas konvencijā šajā ziņā nav ietverta ģimenes vai partneru, vai viendzimuma attiecību definīcija, un tā nepopularizē nevienu konkrētu šādu attiecību formu (skat. turpmāk C daļu).</w:t>
      </w:r>
    </w:p>
    <w:p w14:paraId="1E3CA873" w14:textId="77777777" w:rsidR="008E3B77" w:rsidRPr="0087409D" w:rsidRDefault="008E3B77" w:rsidP="0087409D">
      <w:pPr>
        <w:jc w:val="both"/>
        <w:rPr>
          <w:rFonts w:ascii="Times New Roman" w:eastAsia="Arial" w:hAnsi="Times New Roman" w:cs="Arial"/>
          <w:noProof/>
          <w:sz w:val="24"/>
          <w:szCs w:val="21"/>
        </w:rPr>
      </w:pPr>
    </w:p>
    <w:p w14:paraId="46FDE8EB" w14:textId="3E6951D4" w:rsidR="008E3B77" w:rsidRPr="0087409D" w:rsidRDefault="00FF3E7F" w:rsidP="00FF3E7F">
      <w:pPr>
        <w:pStyle w:val="BodyText"/>
        <w:tabs>
          <w:tab w:val="left" w:pos="572"/>
        </w:tabs>
        <w:ind w:left="0"/>
        <w:jc w:val="both"/>
        <w:rPr>
          <w:rFonts w:ascii="Times New Roman" w:hAnsi="Times New Roman" w:cs="Arial"/>
          <w:i/>
          <w:noProof/>
          <w:sz w:val="24"/>
        </w:rPr>
      </w:pPr>
      <w:r>
        <w:rPr>
          <w:rFonts w:ascii="Times New Roman" w:hAnsi="Times New Roman"/>
          <w:sz w:val="24"/>
        </w:rPr>
        <w:t xml:space="preserve">68. Ģimenes jēdziens Armēnijā ir aplūkots Konstitūcijas 16. pantā, saskaņā ar kuru ģimenes aizsardzība ir konstitucionālās kārtības pamatelements: </w:t>
      </w:r>
      <w:r>
        <w:rPr>
          <w:rFonts w:ascii="Times New Roman" w:hAnsi="Times New Roman"/>
          <w:i/>
          <w:sz w:val="24"/>
        </w:rPr>
        <w:t>“Ģimene, kas ir dabiska un sabiedrības pamatvienība un pamats iedzīvotāju saglabāšanai un reprodukcijai, kā arī mātes stāvokļa un bērnības aizsardzībai, saņem īpašu valsts aizsardzību un gādību.”</w:t>
      </w:r>
    </w:p>
    <w:p w14:paraId="15DD63B4" w14:textId="77777777" w:rsidR="008E3B77" w:rsidRPr="0087409D" w:rsidRDefault="008E3B77" w:rsidP="0087409D">
      <w:pPr>
        <w:jc w:val="both"/>
        <w:rPr>
          <w:rFonts w:ascii="Times New Roman" w:eastAsia="Arial" w:hAnsi="Times New Roman" w:cs="Arial"/>
          <w:i/>
          <w:noProof/>
          <w:sz w:val="24"/>
        </w:rPr>
      </w:pPr>
    </w:p>
    <w:p w14:paraId="6946AC2E" w14:textId="6677A1A1" w:rsidR="008E3B77" w:rsidRPr="0087409D" w:rsidRDefault="00FF3E7F" w:rsidP="00FF3E7F">
      <w:pPr>
        <w:pStyle w:val="BodyText"/>
        <w:tabs>
          <w:tab w:val="left" w:pos="558"/>
        </w:tabs>
        <w:ind w:left="0"/>
        <w:jc w:val="both"/>
        <w:rPr>
          <w:rFonts w:ascii="Times New Roman" w:hAnsi="Times New Roman"/>
          <w:noProof/>
          <w:sz w:val="24"/>
        </w:rPr>
      </w:pPr>
      <w:r>
        <w:rPr>
          <w:rFonts w:ascii="Times New Roman" w:hAnsi="Times New Roman"/>
          <w:sz w:val="24"/>
        </w:rPr>
        <w:t xml:space="preserve">69. Ģimenes jēdziens ir cieši saistīts ar </w:t>
      </w:r>
      <w:r>
        <w:rPr>
          <w:rFonts w:ascii="Times New Roman" w:hAnsi="Times New Roman"/>
          <w:i/>
          <w:sz w:val="24"/>
        </w:rPr>
        <w:t>laulības</w:t>
      </w:r>
      <w:r>
        <w:rPr>
          <w:rFonts w:ascii="Times New Roman" w:hAnsi="Times New Roman"/>
          <w:sz w:val="24"/>
        </w:rPr>
        <w:t xml:space="preserve"> jēdzienu. Armēnijas Konstitūcijas 35. pantā brīvība</w:t>
      </w:r>
      <w:r w:rsidR="00524819">
        <w:rPr>
          <w:rFonts w:ascii="Times New Roman" w:hAnsi="Times New Roman"/>
          <w:sz w:val="24"/>
        </w:rPr>
        <w:t xml:space="preserve"> noslēgt laulību</w:t>
      </w:r>
      <w:r>
        <w:rPr>
          <w:rFonts w:ascii="Times New Roman" w:hAnsi="Times New Roman"/>
          <w:sz w:val="24"/>
        </w:rPr>
        <w:t xml:space="preserve"> ir noteikta šādi:</w:t>
      </w:r>
    </w:p>
    <w:p w14:paraId="57485EF7" w14:textId="77777777" w:rsidR="008E3B77" w:rsidRPr="0087409D" w:rsidRDefault="008E3B77" w:rsidP="0087409D">
      <w:pPr>
        <w:jc w:val="both"/>
        <w:rPr>
          <w:rFonts w:ascii="Times New Roman" w:hAnsi="Times New Roman"/>
          <w:noProof/>
          <w:sz w:val="24"/>
        </w:rPr>
      </w:pPr>
    </w:p>
    <w:p w14:paraId="0E70060C" w14:textId="77777777" w:rsidR="008E3B77" w:rsidRPr="0087409D" w:rsidRDefault="008E3B77" w:rsidP="00FF3E7F">
      <w:pPr>
        <w:ind w:left="426"/>
        <w:jc w:val="both"/>
        <w:rPr>
          <w:rFonts w:ascii="Times New Roman" w:eastAsia="Arial" w:hAnsi="Times New Roman" w:cs="Arial"/>
          <w:i/>
          <w:noProof/>
          <w:sz w:val="24"/>
        </w:rPr>
      </w:pPr>
      <w:r>
        <w:rPr>
          <w:rFonts w:ascii="Times New Roman" w:hAnsi="Times New Roman"/>
          <w:i/>
          <w:sz w:val="24"/>
        </w:rPr>
        <w:t>“1. Sievietei un vīrietim, kas sasnieguši laulības vecumu, ir tiesības precēties un veidot ģimeni, brīvi paužot savu gribu. Laulības vecums, kā arī laulības un šķiršanās kārtība ir noteikta tiesību aktos.</w:t>
      </w:r>
    </w:p>
    <w:p w14:paraId="7AA4A571" w14:textId="333318E0" w:rsidR="008E3B77" w:rsidRPr="0087409D" w:rsidRDefault="00FF3E7F" w:rsidP="00FF3E7F">
      <w:pPr>
        <w:tabs>
          <w:tab w:val="left" w:pos="646"/>
        </w:tabs>
        <w:ind w:left="426"/>
        <w:jc w:val="both"/>
        <w:rPr>
          <w:rFonts w:ascii="Times New Roman" w:hAnsi="Times New Roman"/>
          <w:i/>
          <w:noProof/>
          <w:sz w:val="24"/>
        </w:rPr>
      </w:pPr>
      <w:r>
        <w:rPr>
          <w:rFonts w:ascii="Times New Roman" w:hAnsi="Times New Roman"/>
          <w:i/>
          <w:sz w:val="24"/>
        </w:rPr>
        <w:t>2. Sievietei un vīrietim ir vienādas tiesības uz laulību, laulības laikā un laulības šķiršanas laikā.</w:t>
      </w:r>
    </w:p>
    <w:p w14:paraId="196BCAE7" w14:textId="5C31FEC4" w:rsidR="008E3B77" w:rsidRPr="0087409D" w:rsidRDefault="00FF3E7F" w:rsidP="00FF3E7F">
      <w:pPr>
        <w:tabs>
          <w:tab w:val="left" w:pos="673"/>
        </w:tabs>
        <w:ind w:left="426"/>
        <w:jc w:val="both"/>
        <w:rPr>
          <w:rFonts w:ascii="Times New Roman" w:eastAsia="Arial" w:hAnsi="Times New Roman" w:cs="Arial"/>
          <w:noProof/>
          <w:sz w:val="24"/>
          <w:szCs w:val="14"/>
        </w:rPr>
      </w:pPr>
      <w:r>
        <w:rPr>
          <w:rFonts w:ascii="Times New Roman" w:hAnsi="Times New Roman"/>
          <w:i/>
          <w:sz w:val="24"/>
        </w:rPr>
        <w:t xml:space="preserve">3. Brīvību </w:t>
      </w:r>
      <w:r w:rsidR="00524819">
        <w:rPr>
          <w:rFonts w:ascii="Times New Roman" w:hAnsi="Times New Roman"/>
          <w:i/>
          <w:sz w:val="24"/>
        </w:rPr>
        <w:t>noslēgt laulību</w:t>
      </w:r>
      <w:r>
        <w:rPr>
          <w:rFonts w:ascii="Times New Roman" w:hAnsi="Times New Roman"/>
          <w:i/>
          <w:sz w:val="24"/>
        </w:rPr>
        <w:t xml:space="preserve"> var ierobežot tikai ar likumu, lai aizsargātu veselību un tikumību.”</w:t>
      </w:r>
      <w:r>
        <w:rPr>
          <w:rStyle w:val="FootnoteReference"/>
          <w:rFonts w:ascii="Times New Roman" w:eastAsia="Arial" w:hAnsi="Times New Roman" w:cs="Arial"/>
          <w:i/>
          <w:noProof/>
          <w:sz w:val="24"/>
        </w:rPr>
        <w:footnoteReference w:id="97"/>
      </w:r>
    </w:p>
    <w:p w14:paraId="5753B44B" w14:textId="77777777" w:rsidR="008E3B77" w:rsidRPr="0087409D" w:rsidRDefault="008E3B77" w:rsidP="0087409D">
      <w:pPr>
        <w:jc w:val="both"/>
        <w:rPr>
          <w:rFonts w:ascii="Times New Roman" w:eastAsia="Arial" w:hAnsi="Times New Roman" w:cs="Arial"/>
          <w:noProof/>
          <w:sz w:val="24"/>
          <w:szCs w:val="14"/>
        </w:rPr>
      </w:pPr>
    </w:p>
    <w:p w14:paraId="413879D0" w14:textId="5B29539C" w:rsidR="008E3B77" w:rsidRPr="0087409D" w:rsidRDefault="008E3B77" w:rsidP="0087409D">
      <w:pPr>
        <w:pStyle w:val="BodyText"/>
        <w:ind w:left="0"/>
        <w:jc w:val="both"/>
        <w:rPr>
          <w:rFonts w:ascii="Times New Roman" w:hAnsi="Times New Roman"/>
          <w:noProof/>
          <w:sz w:val="24"/>
        </w:rPr>
      </w:pPr>
      <w:r>
        <w:rPr>
          <w:rFonts w:ascii="Times New Roman" w:hAnsi="Times New Roman"/>
          <w:sz w:val="24"/>
        </w:rPr>
        <w:t xml:space="preserve">70. Tātad Armēnijas Konstitūcijas 35. pantā ir noteikts, ka laulība ir savienība starp vīrieti un sievieti, kuri ir sasnieguši laulības vecumu. Viņiem ir tiesības veidot ģimeni, kas saskaņā ar Armēnijas Konstitūcijas 16. pantu </w:t>
      </w:r>
      <w:r>
        <w:rPr>
          <w:rFonts w:ascii="Times New Roman" w:hAnsi="Times New Roman"/>
          <w:i/>
          <w:sz w:val="24"/>
        </w:rPr>
        <w:t>“saņem īpašu valsts aizsardzību un gādību”</w:t>
      </w:r>
      <w:r>
        <w:rPr>
          <w:rFonts w:ascii="Times New Roman" w:hAnsi="Times New Roman"/>
          <w:sz w:val="24"/>
        </w:rPr>
        <w:t>. Tas nozīmē, ka pašreizējā Armēnijas Konstitūcija neatļauj viendzimuma laulības.</w:t>
      </w:r>
    </w:p>
    <w:p w14:paraId="2EA5EEDD" w14:textId="77777777" w:rsidR="008E3B77" w:rsidRPr="0087409D" w:rsidRDefault="008E3B77" w:rsidP="0087409D">
      <w:pPr>
        <w:jc w:val="both"/>
        <w:rPr>
          <w:rFonts w:ascii="Times New Roman" w:hAnsi="Times New Roman"/>
          <w:noProof/>
          <w:sz w:val="24"/>
        </w:rPr>
      </w:pPr>
    </w:p>
    <w:p w14:paraId="3AD79951" w14:textId="209F80BB" w:rsidR="008E3B77" w:rsidRPr="0087409D" w:rsidRDefault="00FF3E7F" w:rsidP="00FF3E7F">
      <w:pPr>
        <w:pStyle w:val="BodyText"/>
        <w:tabs>
          <w:tab w:val="left" w:pos="562"/>
        </w:tabs>
        <w:ind w:left="0"/>
        <w:jc w:val="both"/>
        <w:rPr>
          <w:rFonts w:ascii="Times New Roman" w:hAnsi="Times New Roman"/>
          <w:noProof/>
          <w:sz w:val="24"/>
        </w:rPr>
      </w:pPr>
      <w:r>
        <w:rPr>
          <w:rFonts w:ascii="Times New Roman" w:hAnsi="Times New Roman"/>
          <w:sz w:val="24"/>
        </w:rPr>
        <w:t xml:space="preserve">71. Stambulas konvencijā laulības ir pieminētas tikai saistībā ar piespiedu laulībām (37. pants). Tā neuzliek dalībvalstīm pienākumu legalizēt viendzimuma laulības (skat. turpmāk C daļu) vai noteikt citus pasākumus attiecībā uz lesbietēm, gejiem, biseksuāļiem un transseksuāļiem (tā vienīgi neliedz šīm personām aizsardzību, kas Konvencijā paredzēta cietušajiem no vardarbības pret sievietēm un vardarbības ģimenē). Tāpēc Stambulas konvencija nekādā ziņā nav pretrunā tām valstu konstitūcijām, kurās laulība definēta kā sievietes un vīrieša savienība – kā tas saskaņā ar iepriekš sniegto skaidrojumu ir </w:t>
      </w:r>
      <w:r>
        <w:rPr>
          <w:rFonts w:ascii="Times New Roman" w:hAnsi="Times New Roman"/>
          <w:sz w:val="24"/>
        </w:rPr>
        <w:lastRenderedPageBreak/>
        <w:t>Armēnijas gadījumā.</w:t>
      </w:r>
    </w:p>
    <w:p w14:paraId="7C219243" w14:textId="77777777" w:rsidR="008E3B77" w:rsidRPr="0087409D" w:rsidRDefault="008E3B77" w:rsidP="0087409D">
      <w:pPr>
        <w:jc w:val="both"/>
        <w:rPr>
          <w:rFonts w:ascii="Times New Roman" w:eastAsia="Arial" w:hAnsi="Times New Roman" w:cs="Arial"/>
          <w:noProof/>
          <w:sz w:val="24"/>
        </w:rPr>
      </w:pPr>
    </w:p>
    <w:p w14:paraId="2EF50C60" w14:textId="064A3F43" w:rsidR="008E3B77" w:rsidRPr="0087409D" w:rsidRDefault="00FF3E7F" w:rsidP="00FF3E7F">
      <w:pPr>
        <w:pStyle w:val="BodyText"/>
        <w:tabs>
          <w:tab w:val="left" w:pos="577"/>
        </w:tabs>
        <w:ind w:left="0"/>
        <w:jc w:val="both"/>
        <w:rPr>
          <w:rFonts w:ascii="Times New Roman" w:hAnsi="Times New Roman"/>
          <w:noProof/>
          <w:sz w:val="24"/>
          <w:szCs w:val="14"/>
        </w:rPr>
      </w:pPr>
      <w:r>
        <w:rPr>
          <w:rFonts w:ascii="Times New Roman" w:hAnsi="Times New Roman"/>
          <w:sz w:val="24"/>
        </w:rPr>
        <w:t xml:space="preserve">72. Vēl viens jēdziens, kas izraisījis diskusijas, ir </w:t>
      </w:r>
      <w:r>
        <w:rPr>
          <w:rFonts w:ascii="Times New Roman" w:hAnsi="Times New Roman"/>
          <w:i/>
          <w:sz w:val="24"/>
        </w:rPr>
        <w:t>dzimumorientācijas</w:t>
      </w:r>
      <w:r>
        <w:rPr>
          <w:rFonts w:ascii="Times New Roman" w:hAnsi="Times New Roman"/>
          <w:sz w:val="24"/>
        </w:rPr>
        <w:t xml:space="preserve"> jēdziens. Šo terminu var uzskatīt par atsauci uz personām, kas pieder pie kādas seksuālās minoritātes, piemēram, lesbietēm, gejiem, biseksuāļiem un transseksuāļiem (</w:t>
      </w:r>
      <w:r>
        <w:rPr>
          <w:rFonts w:ascii="Times New Roman" w:hAnsi="Times New Roman"/>
          <w:i/>
          <w:sz w:val="24"/>
        </w:rPr>
        <w:t>LGBT</w:t>
      </w:r>
      <w:r>
        <w:rPr>
          <w:rFonts w:ascii="Times New Roman" w:hAnsi="Times New Roman"/>
          <w:sz w:val="24"/>
        </w:rPr>
        <w:t>), kā arī personām, kuras sevi uzskata par heteroseksuālām.</w:t>
      </w:r>
      <w:r>
        <w:rPr>
          <w:rStyle w:val="FootnoteReference"/>
          <w:rFonts w:ascii="Times New Roman" w:hAnsi="Times New Roman"/>
          <w:noProof/>
          <w:sz w:val="24"/>
        </w:rPr>
        <w:footnoteReference w:id="98"/>
      </w:r>
    </w:p>
    <w:p w14:paraId="09E8986B" w14:textId="77777777" w:rsidR="008E3B77" w:rsidRPr="0087409D" w:rsidRDefault="008E3B77" w:rsidP="0087409D">
      <w:pPr>
        <w:jc w:val="both"/>
        <w:rPr>
          <w:rFonts w:ascii="Times New Roman" w:eastAsia="Arial" w:hAnsi="Times New Roman" w:cs="Arial"/>
          <w:noProof/>
          <w:sz w:val="24"/>
        </w:rPr>
      </w:pPr>
    </w:p>
    <w:p w14:paraId="24AAEE5E" w14:textId="1609A428" w:rsidR="008E3B77" w:rsidRPr="0087409D" w:rsidRDefault="00FF3E7F" w:rsidP="00FF3E7F">
      <w:pPr>
        <w:pStyle w:val="BodyText"/>
        <w:tabs>
          <w:tab w:val="left" w:pos="601"/>
        </w:tabs>
        <w:ind w:left="0"/>
        <w:jc w:val="both"/>
        <w:rPr>
          <w:rFonts w:ascii="Times New Roman" w:hAnsi="Times New Roman" w:cs="Arial"/>
          <w:noProof/>
          <w:sz w:val="24"/>
        </w:rPr>
      </w:pPr>
      <w:r>
        <w:rPr>
          <w:rFonts w:ascii="Times New Roman" w:hAnsi="Times New Roman"/>
          <w:sz w:val="24"/>
        </w:rPr>
        <w:t xml:space="preserve">73. Ir jāpaskaidro, ka tad, ja līgumā (vai kādā citā juridiskā tekstā par šo jautājumu) nav iekļauti iebildumi pret to, ka saskaņā ar valsts tiesību aktiem dažās valstīs pastāv noteiktas likumīgās tiesības vai prasījums, tas </w:t>
      </w:r>
      <w:r>
        <w:rPr>
          <w:rFonts w:ascii="Times New Roman" w:hAnsi="Times New Roman"/>
          <w:i/>
          <w:sz w:val="24"/>
        </w:rPr>
        <w:t>pats par sevi</w:t>
      </w:r>
      <w:r>
        <w:rPr>
          <w:rFonts w:ascii="Times New Roman" w:hAnsi="Times New Roman"/>
          <w:sz w:val="24"/>
        </w:rPr>
        <w:t xml:space="preserve"> nenozīmē, ka līgums tām valstīm, kuras neatzīst šo likumīgo tiesību esamību, uzliek pozitīvu pienākumu aktīvi ieviest šādu jēdzienu savā valsts tiesiskajā regulējumā. Šajā sakarā piemērs var būt ECT spriedums lietā “Pretija [</w:t>
      </w:r>
      <w:r>
        <w:rPr>
          <w:rFonts w:ascii="Times New Roman" w:hAnsi="Times New Roman"/>
          <w:i/>
          <w:sz w:val="24"/>
        </w:rPr>
        <w:t>Pretty</w:t>
      </w:r>
      <w:r>
        <w:rPr>
          <w:rFonts w:ascii="Times New Roman" w:hAnsi="Times New Roman"/>
          <w:sz w:val="24"/>
        </w:rPr>
        <w:t>] pret Apvienoto Karalisti”.</w:t>
      </w:r>
      <w:r>
        <w:rPr>
          <w:rStyle w:val="FootnoteReference"/>
          <w:rFonts w:ascii="Times New Roman" w:hAnsi="Times New Roman" w:cs="Arial"/>
          <w:noProof/>
          <w:sz w:val="24"/>
        </w:rPr>
        <w:footnoteReference w:id="99"/>
      </w:r>
      <w:r>
        <w:rPr>
          <w:rFonts w:ascii="Times New Roman" w:hAnsi="Times New Roman"/>
          <w:sz w:val="24"/>
        </w:rPr>
        <w:t xml:space="preserve"> Pieteikuma iesniedzēja bija paralizēta un progresējušā motoriskā neirona slimības stadijā. Viņa apgalvoja, ka Anglijas tiesību aktos noteiktais vispārējais aizliegums veikt asistētu pašnāvību ir viņas tiesību uz dzīvību pārkāpums. Tiesa lēma, ka tā </w:t>
      </w:r>
      <w:r>
        <w:rPr>
          <w:rFonts w:ascii="Times New Roman" w:hAnsi="Times New Roman"/>
          <w:i/>
          <w:sz w:val="24"/>
        </w:rPr>
        <w:t>“</w:t>
      </w:r>
      <w:r w:rsidR="00524819">
        <w:rPr>
          <w:rFonts w:ascii="Times New Roman" w:hAnsi="Times New Roman"/>
          <w:i/>
          <w:sz w:val="24"/>
        </w:rPr>
        <w:t>neguva pārliecību</w:t>
      </w:r>
      <w:r>
        <w:rPr>
          <w:rFonts w:ascii="Times New Roman" w:hAnsi="Times New Roman"/>
          <w:i/>
          <w:sz w:val="24"/>
        </w:rPr>
        <w:t>, ka [varētu] interpretēt, ka 2. pantā garantētās tiesības uz dzīvību ietver negatīvu aspektu”</w:t>
      </w:r>
      <w:r>
        <w:rPr>
          <w:rFonts w:ascii="Times New Roman" w:hAnsi="Times New Roman"/>
          <w:sz w:val="24"/>
        </w:rPr>
        <w:t xml:space="preserve">, ka </w:t>
      </w:r>
      <w:r>
        <w:rPr>
          <w:rFonts w:ascii="Times New Roman" w:hAnsi="Times New Roman"/>
          <w:i/>
          <w:sz w:val="24"/>
        </w:rPr>
        <w:t>“2. pants bez valodas izkropļojumiem [nevar tikt] interpretēts kā tāds, kas piešķir diametrāli pretējas tiesības, proti, tiesības nomirt”</w:t>
      </w:r>
      <w:r>
        <w:rPr>
          <w:rFonts w:ascii="Times New Roman" w:hAnsi="Times New Roman"/>
          <w:sz w:val="24"/>
        </w:rPr>
        <w:t xml:space="preserve"> un ka </w:t>
      </w:r>
      <w:r>
        <w:rPr>
          <w:rFonts w:ascii="Times New Roman" w:hAnsi="Times New Roman"/>
          <w:i/>
          <w:sz w:val="24"/>
        </w:rPr>
        <w:t>“no Konvencijas 2. panta [varētu] izrietēt tiesības nomirt neatkarīgi no tā, vai tas notiek trešās personas rīcības rezultātā vai ar valsts iestādes palīdzību”</w:t>
      </w:r>
      <w:r>
        <w:rPr>
          <w:rFonts w:ascii="Times New Roman" w:hAnsi="Times New Roman"/>
          <w:sz w:val="24"/>
        </w:rPr>
        <w:t>. ECT neteica, ka to valstu tiesību sistēmas, kas atzīst asistētu pašnāvību, ir pretrunā ar Konvencijas prasībām. Tā lēma, ka ECK nevar izmantot, lai valstīm, kuras nav atzinušas asistētas pašnāvības jēdzienu, uzliktu pozitīvu pienākumu ieviest šādu jēdzienu savās tiesību sistēmās.</w:t>
      </w:r>
    </w:p>
    <w:p w14:paraId="4C873FA0" w14:textId="77777777" w:rsidR="008E3B77" w:rsidRPr="0087409D" w:rsidRDefault="008E3B77" w:rsidP="0087409D">
      <w:pPr>
        <w:jc w:val="both"/>
        <w:rPr>
          <w:rFonts w:ascii="Times New Roman" w:eastAsia="Arial" w:hAnsi="Times New Roman" w:cs="Arial"/>
          <w:noProof/>
          <w:sz w:val="24"/>
        </w:rPr>
      </w:pPr>
    </w:p>
    <w:p w14:paraId="7BA0AECB" w14:textId="2016CEF9" w:rsidR="008E3B77" w:rsidRPr="0087409D" w:rsidRDefault="00FF3E7F" w:rsidP="00FF3E7F">
      <w:pPr>
        <w:pStyle w:val="BodyText"/>
        <w:tabs>
          <w:tab w:val="left" w:pos="625"/>
        </w:tabs>
        <w:ind w:left="0"/>
        <w:jc w:val="both"/>
        <w:rPr>
          <w:rFonts w:ascii="Times New Roman" w:hAnsi="Times New Roman"/>
          <w:noProof/>
          <w:sz w:val="24"/>
        </w:rPr>
      </w:pPr>
      <w:r>
        <w:rPr>
          <w:rFonts w:ascii="Times New Roman" w:hAnsi="Times New Roman"/>
          <w:sz w:val="24"/>
        </w:rPr>
        <w:t>74. Līguma tekstu būtībā ir paredzēts piemērot dažādām, ļoti atšķirīgām tiesību sistēmām. Tāpēc šādu līgumu apspriešanas laikā tā izstrādātāji bieži izvēlas šādu formulējumu, lai to varētu piemērot dažādās tiesību sistēmās. Piemēram, Stambulas konvencija vienādi attiecas uz valstīm, kuras juridiski atzīst viendzimuma laulības un/vai iespēju homoseksuāļiem adoptēt bērnus, un uz valstīm, kuras to neatzīst. Stambulas konvencija neiebilst pret šādām tiesību sistēmām, taču tas nenozīmē, ka Stambulas konvencija aicinātu dalībvalstis, kas nav atzinušas šādus juridiskos jēdzienus, tos ieviest savā valsts tiesiskajā regulējumā.</w:t>
      </w:r>
    </w:p>
    <w:p w14:paraId="5E5EA17F" w14:textId="77777777" w:rsidR="008E3B77" w:rsidRPr="0087409D" w:rsidRDefault="008E3B77" w:rsidP="0087409D">
      <w:pPr>
        <w:jc w:val="both"/>
        <w:rPr>
          <w:rFonts w:ascii="Times New Roman" w:eastAsia="Arial" w:hAnsi="Times New Roman" w:cs="Arial"/>
          <w:noProof/>
          <w:sz w:val="24"/>
        </w:rPr>
      </w:pPr>
    </w:p>
    <w:p w14:paraId="6F6679CC" w14:textId="5357B0BE" w:rsidR="008E3B77" w:rsidRPr="0087409D" w:rsidRDefault="00FF3E7F" w:rsidP="00FF3E7F">
      <w:pPr>
        <w:tabs>
          <w:tab w:val="left" w:pos="1114"/>
        </w:tabs>
        <w:jc w:val="both"/>
        <w:rPr>
          <w:rFonts w:ascii="Times New Roman" w:hAnsi="Times New Roman"/>
          <w:b/>
          <w:noProof/>
          <w:sz w:val="24"/>
        </w:rPr>
      </w:pPr>
      <w:r>
        <w:rPr>
          <w:rFonts w:ascii="Times New Roman" w:hAnsi="Times New Roman"/>
          <w:b/>
          <w:sz w:val="24"/>
        </w:rPr>
        <w:t>C. Stambulas konvencija – vai tā pieprasa veikt īpašas izmaiņas tiesību aktos?</w:t>
      </w:r>
    </w:p>
    <w:p w14:paraId="495B8031" w14:textId="77777777" w:rsidR="008E3B77" w:rsidRPr="0087409D" w:rsidRDefault="008E3B77" w:rsidP="0087409D">
      <w:pPr>
        <w:jc w:val="both"/>
        <w:rPr>
          <w:rFonts w:ascii="Times New Roman" w:eastAsia="Arial" w:hAnsi="Times New Roman" w:cs="Arial"/>
          <w:b/>
          <w:bCs/>
          <w:noProof/>
          <w:sz w:val="24"/>
          <w:szCs w:val="21"/>
        </w:rPr>
      </w:pPr>
    </w:p>
    <w:p w14:paraId="5651C605" w14:textId="13898626" w:rsidR="008E3B77" w:rsidRPr="0087409D" w:rsidRDefault="00FF3E7F" w:rsidP="00FF3E7F">
      <w:pPr>
        <w:pStyle w:val="BodyText"/>
        <w:tabs>
          <w:tab w:val="left" w:pos="599"/>
        </w:tabs>
        <w:ind w:left="0"/>
        <w:jc w:val="both"/>
        <w:rPr>
          <w:rFonts w:ascii="Times New Roman" w:hAnsi="Times New Roman"/>
          <w:noProof/>
          <w:sz w:val="24"/>
        </w:rPr>
      </w:pPr>
      <w:r>
        <w:rPr>
          <w:rFonts w:ascii="Times New Roman" w:hAnsi="Times New Roman"/>
          <w:sz w:val="24"/>
        </w:rPr>
        <w:t xml:space="preserve">75. Tiek apgalvots, ka Stambulas konvencija ne tikai ietver problemātiskus terminus un jēdzienus, bet arī pieprasa veikt noteiktas izmaiņas tiesību aktos, kas varētu būt pretrunā ar valstu konstitūcijām. Galvenās šajā saistībā paredzētās izmaiņas attiecas uz </w:t>
      </w:r>
      <w:r>
        <w:rPr>
          <w:rFonts w:ascii="Times New Roman" w:hAnsi="Times New Roman"/>
          <w:i/>
          <w:sz w:val="24"/>
        </w:rPr>
        <w:t>viendzimuma laulībām</w:t>
      </w:r>
      <w:r>
        <w:rPr>
          <w:rFonts w:ascii="Times New Roman" w:hAnsi="Times New Roman"/>
          <w:sz w:val="24"/>
        </w:rPr>
        <w:t xml:space="preserve">, </w:t>
      </w:r>
      <w:r>
        <w:rPr>
          <w:rFonts w:ascii="Times New Roman" w:hAnsi="Times New Roman"/>
          <w:i/>
          <w:sz w:val="24"/>
        </w:rPr>
        <w:t>izglītību</w:t>
      </w:r>
      <w:r>
        <w:rPr>
          <w:rFonts w:ascii="Times New Roman" w:hAnsi="Times New Roman"/>
          <w:sz w:val="24"/>
        </w:rPr>
        <w:t xml:space="preserve"> un </w:t>
      </w:r>
      <w:r w:rsidR="00524819">
        <w:rPr>
          <w:rFonts w:ascii="Times New Roman" w:hAnsi="Times New Roman"/>
          <w:i/>
          <w:sz w:val="24"/>
        </w:rPr>
        <w:t>attiecīgo profesiju pārstāvju</w:t>
      </w:r>
      <w:r>
        <w:rPr>
          <w:rFonts w:ascii="Times New Roman" w:hAnsi="Times New Roman"/>
          <w:i/>
          <w:sz w:val="24"/>
        </w:rPr>
        <w:t xml:space="preserve"> ziņojumiem</w:t>
      </w:r>
      <w:r>
        <w:rPr>
          <w:rFonts w:ascii="Times New Roman" w:hAnsi="Times New Roman"/>
          <w:sz w:val="24"/>
        </w:rPr>
        <w:t>.</w:t>
      </w:r>
    </w:p>
    <w:p w14:paraId="1A268F13" w14:textId="77777777" w:rsidR="008E3B77" w:rsidRPr="0087409D" w:rsidRDefault="008E3B77" w:rsidP="0087409D">
      <w:pPr>
        <w:jc w:val="both"/>
        <w:rPr>
          <w:rFonts w:ascii="Times New Roman" w:eastAsia="Arial" w:hAnsi="Times New Roman" w:cs="Arial"/>
          <w:noProof/>
          <w:sz w:val="24"/>
        </w:rPr>
      </w:pPr>
    </w:p>
    <w:p w14:paraId="70E59281" w14:textId="0E85FFBE" w:rsidR="008E3B77" w:rsidRPr="0087409D" w:rsidRDefault="00FF3E7F" w:rsidP="00FF3E7F">
      <w:pPr>
        <w:pStyle w:val="BodyText"/>
        <w:tabs>
          <w:tab w:val="left" w:pos="575"/>
        </w:tabs>
        <w:ind w:left="0"/>
        <w:jc w:val="both"/>
        <w:rPr>
          <w:rFonts w:ascii="Times New Roman" w:hAnsi="Times New Roman"/>
          <w:noProof/>
          <w:sz w:val="24"/>
        </w:rPr>
      </w:pPr>
      <w:r>
        <w:rPr>
          <w:rFonts w:ascii="Times New Roman" w:hAnsi="Times New Roman"/>
          <w:sz w:val="24"/>
        </w:rPr>
        <w:t xml:space="preserve">76. Jautājumā par </w:t>
      </w:r>
      <w:r>
        <w:rPr>
          <w:rFonts w:ascii="Times New Roman" w:hAnsi="Times New Roman"/>
          <w:i/>
          <w:sz w:val="24"/>
        </w:rPr>
        <w:t>viendzimuma laulībām</w:t>
      </w:r>
      <w:r>
        <w:rPr>
          <w:rFonts w:ascii="Times New Roman" w:hAnsi="Times New Roman"/>
          <w:sz w:val="24"/>
        </w:rPr>
        <w:t>, kas apspriests iepriekš B daļā, jāpiebilst, ka ir vairākkārt apgalvots, ka Stambulas konvencijas ratifikācijas rezultātā tiktu legalizētas viendzimuma laulības. Šis arguments bija izšķirošs, kā dēļ tika noraidīts valdības ierosinājums ratificēt Stambulas konvenciju Slovākijā, un tas tiek diezgan bieži minēts arī citu valstu sabiedriskajās diskusijās.</w:t>
      </w:r>
      <w:r>
        <w:rPr>
          <w:rStyle w:val="FootnoteReference"/>
          <w:rFonts w:ascii="Times New Roman" w:hAnsi="Times New Roman"/>
          <w:noProof/>
          <w:sz w:val="24"/>
        </w:rPr>
        <w:footnoteReference w:id="100"/>
      </w:r>
      <w:r>
        <w:rPr>
          <w:rFonts w:ascii="Times New Roman" w:hAnsi="Times New Roman"/>
          <w:sz w:val="24"/>
          <w:szCs w:val="14"/>
        </w:rPr>
        <w:t xml:space="preserve"> </w:t>
      </w:r>
      <w:r>
        <w:rPr>
          <w:rFonts w:ascii="Times New Roman" w:hAnsi="Times New Roman"/>
          <w:sz w:val="24"/>
        </w:rPr>
        <w:t xml:space="preserve">Nav skaidrs, uz kuru tiesību normu tas ir pamatots, jo Stambulas konvencija vispār neattiecas uz homoseksuāļiem – dzimumorientācija ir pieminēta tikai </w:t>
      </w:r>
      <w:r>
        <w:rPr>
          <w:rFonts w:ascii="Times New Roman" w:hAnsi="Times New Roman"/>
          <w:sz w:val="24"/>
        </w:rPr>
        <w:lastRenderedPageBreak/>
        <w:t>noteikumā par diskriminācijas aizliegumu (4. panta 3. punkts), savukārt laulība ir pieminēta saistībā ar piespiedu laulībām (37. pants).</w:t>
      </w:r>
    </w:p>
    <w:p w14:paraId="3232460A" w14:textId="77777777" w:rsidR="008E3B77" w:rsidRPr="0087409D" w:rsidRDefault="008E3B77" w:rsidP="0087409D">
      <w:pPr>
        <w:jc w:val="both"/>
        <w:rPr>
          <w:rFonts w:ascii="Times New Roman" w:eastAsia="Arial" w:hAnsi="Times New Roman" w:cs="Arial"/>
          <w:noProof/>
          <w:sz w:val="24"/>
        </w:rPr>
      </w:pPr>
    </w:p>
    <w:p w14:paraId="4DB5CC1E" w14:textId="421B374B" w:rsidR="008E3B77" w:rsidRPr="0087409D" w:rsidRDefault="00FF3E7F" w:rsidP="00FF3E7F">
      <w:pPr>
        <w:pStyle w:val="BodyText"/>
        <w:tabs>
          <w:tab w:val="left" w:pos="675"/>
        </w:tabs>
        <w:ind w:left="0"/>
        <w:jc w:val="both"/>
        <w:rPr>
          <w:rFonts w:ascii="Times New Roman" w:hAnsi="Times New Roman"/>
          <w:noProof/>
          <w:sz w:val="24"/>
        </w:rPr>
      </w:pPr>
      <w:r>
        <w:rPr>
          <w:rFonts w:ascii="Times New Roman" w:hAnsi="Times New Roman"/>
          <w:sz w:val="24"/>
        </w:rPr>
        <w:t>77. Iepriekš B daļā ir minēts, ka Stambulas konvencijas dalībvalstīm nav pienākuma legalizēt viendzimuma laulības, tāpēc nerodas pretruna Armēnijas Konstitūcijai.</w:t>
      </w:r>
    </w:p>
    <w:p w14:paraId="5264769C" w14:textId="77777777" w:rsidR="008E3B77" w:rsidRPr="0087409D" w:rsidRDefault="008E3B77" w:rsidP="0087409D">
      <w:pPr>
        <w:jc w:val="both"/>
        <w:rPr>
          <w:rFonts w:ascii="Times New Roman" w:eastAsia="Arial" w:hAnsi="Times New Roman" w:cs="Arial"/>
          <w:noProof/>
          <w:sz w:val="24"/>
        </w:rPr>
      </w:pPr>
    </w:p>
    <w:p w14:paraId="73272519" w14:textId="32FD805B" w:rsidR="008E3B77" w:rsidRPr="0087409D" w:rsidRDefault="00FF3E7F" w:rsidP="00FF3E7F">
      <w:pPr>
        <w:tabs>
          <w:tab w:val="left" w:pos="567"/>
        </w:tabs>
        <w:jc w:val="both"/>
        <w:rPr>
          <w:rFonts w:ascii="Times New Roman" w:eastAsia="Arial" w:hAnsi="Times New Roman" w:cs="Arial"/>
          <w:noProof/>
          <w:sz w:val="24"/>
        </w:rPr>
      </w:pPr>
      <w:r>
        <w:rPr>
          <w:rFonts w:ascii="Times New Roman" w:hAnsi="Times New Roman"/>
          <w:sz w:val="24"/>
        </w:rPr>
        <w:t xml:space="preserve">78. Šajā ziņā Venēcijas komisija piebilst, ka Eiropas Cilvēktiesību tiesa ir vairākkārt skatījusi jautājumu par viendzimuma laulībām. Tiesa ir paudusi viedokli, ka, </w:t>
      </w:r>
      <w:r>
        <w:rPr>
          <w:rFonts w:ascii="Times New Roman" w:hAnsi="Times New Roman"/>
          <w:i/>
          <w:sz w:val="24"/>
        </w:rPr>
        <w:t>“lai gan kopš Konvencijas pieņemšanas laulību jomā ir notikušas lielas sociālas pārmaiņas, (..) Eiropā nav vienprātības par viendzimuma laulībām”</w:t>
      </w:r>
      <w:r>
        <w:rPr>
          <w:rFonts w:ascii="Times New Roman" w:hAnsi="Times New Roman"/>
          <w:sz w:val="24"/>
        </w:rPr>
        <w:t>.</w:t>
      </w:r>
      <w:r>
        <w:rPr>
          <w:rStyle w:val="FootnoteReference"/>
          <w:rFonts w:ascii="Times New Roman" w:eastAsia="Arial" w:hAnsi="Times New Roman" w:cs="Arial"/>
          <w:noProof/>
          <w:sz w:val="24"/>
        </w:rPr>
        <w:footnoteReference w:id="101"/>
      </w:r>
      <w:r>
        <w:rPr>
          <w:rFonts w:ascii="Times New Roman" w:hAnsi="Times New Roman"/>
          <w:sz w:val="24"/>
          <w:szCs w:val="14"/>
        </w:rPr>
        <w:t xml:space="preserve"> </w:t>
      </w:r>
      <w:r>
        <w:rPr>
          <w:rFonts w:ascii="Times New Roman" w:hAnsi="Times New Roman"/>
          <w:sz w:val="24"/>
        </w:rPr>
        <w:t xml:space="preserve">Šo jautājumu joprojām </w:t>
      </w:r>
      <w:r>
        <w:rPr>
          <w:rFonts w:ascii="Times New Roman" w:hAnsi="Times New Roman"/>
          <w:i/>
          <w:sz w:val="24"/>
        </w:rPr>
        <w:t>“reglamentē līgumslēdzēju valstu tiesību akti”.</w:t>
      </w:r>
      <w:r w:rsidR="00035E05">
        <w:rPr>
          <w:rStyle w:val="FootnoteReference"/>
          <w:rFonts w:ascii="Times New Roman" w:eastAsia="Arial" w:hAnsi="Times New Roman" w:cs="Arial"/>
          <w:i/>
          <w:noProof/>
          <w:sz w:val="24"/>
        </w:rPr>
        <w:footnoteReference w:id="102"/>
      </w:r>
      <w:r>
        <w:rPr>
          <w:rFonts w:ascii="Times New Roman" w:hAnsi="Times New Roman"/>
          <w:sz w:val="24"/>
          <w:szCs w:val="14"/>
        </w:rPr>
        <w:t xml:space="preserve"> </w:t>
      </w:r>
      <w:r>
        <w:rPr>
          <w:rFonts w:ascii="Times New Roman" w:hAnsi="Times New Roman"/>
          <w:sz w:val="24"/>
        </w:rPr>
        <w:t>Stambulas konvencija nemaina šo situāciju.</w:t>
      </w:r>
    </w:p>
    <w:p w14:paraId="47092193" w14:textId="77777777" w:rsidR="00FF3E7F" w:rsidRDefault="00FF3E7F" w:rsidP="00FF3E7F">
      <w:pPr>
        <w:pStyle w:val="BodyText"/>
        <w:tabs>
          <w:tab w:val="left" w:pos="623"/>
        </w:tabs>
        <w:ind w:left="0"/>
        <w:jc w:val="both"/>
        <w:rPr>
          <w:rFonts w:ascii="Times New Roman" w:hAnsi="Times New Roman"/>
          <w:noProof/>
          <w:sz w:val="24"/>
        </w:rPr>
      </w:pPr>
    </w:p>
    <w:p w14:paraId="3FC71589" w14:textId="6D348509" w:rsidR="008E3B77" w:rsidRDefault="00FF3E7F" w:rsidP="00FF3E7F">
      <w:pPr>
        <w:pStyle w:val="BodyText"/>
        <w:tabs>
          <w:tab w:val="left" w:pos="623"/>
        </w:tabs>
        <w:ind w:left="0"/>
        <w:jc w:val="both"/>
        <w:rPr>
          <w:rFonts w:ascii="Times New Roman" w:hAnsi="Times New Roman"/>
          <w:noProof/>
          <w:sz w:val="24"/>
        </w:rPr>
      </w:pPr>
      <w:r>
        <w:rPr>
          <w:rFonts w:ascii="Times New Roman" w:hAnsi="Times New Roman"/>
          <w:sz w:val="24"/>
        </w:rPr>
        <w:t>79. Venēcijas komisija vērš uzmanību arī uz Armēnijas Konstitucionālās tiesas 2002. gada 22. februāra lēmumu par ECK ratifikāciju:</w:t>
      </w:r>
    </w:p>
    <w:p w14:paraId="12E0A681" w14:textId="77777777" w:rsidR="00FF3E7F" w:rsidRPr="0087409D" w:rsidRDefault="00FF3E7F" w:rsidP="00FF3E7F">
      <w:pPr>
        <w:pStyle w:val="BodyText"/>
        <w:tabs>
          <w:tab w:val="left" w:pos="623"/>
        </w:tabs>
        <w:ind w:left="0"/>
        <w:jc w:val="both"/>
        <w:rPr>
          <w:rFonts w:ascii="Times New Roman" w:hAnsi="Times New Roman"/>
          <w:noProof/>
          <w:sz w:val="24"/>
        </w:rPr>
      </w:pPr>
    </w:p>
    <w:p w14:paraId="53920082" w14:textId="77777777" w:rsidR="008E3B77" w:rsidRPr="0087409D" w:rsidRDefault="008E3B77" w:rsidP="00FF3E7F">
      <w:pPr>
        <w:ind w:left="426"/>
        <w:jc w:val="both"/>
        <w:rPr>
          <w:rFonts w:ascii="Times New Roman" w:eastAsia="Arial" w:hAnsi="Times New Roman" w:cs="Arial"/>
          <w:noProof/>
          <w:sz w:val="24"/>
        </w:rPr>
      </w:pPr>
      <w:r>
        <w:rPr>
          <w:rFonts w:ascii="Times New Roman" w:hAnsi="Times New Roman"/>
          <w:i/>
          <w:sz w:val="24"/>
        </w:rPr>
        <w:t xml:space="preserve">“1. Saistības, kas paziņotas 1950. gada 4. novembrī Romā parakstītajā Cilvēktiesību un pamatbrīvību aizsardzības konvencijā, 1952. gada 20. martā Parīzē parakstītajā Cilvēktiesību un pamatbrīvību aizsardzības konvencijas protokolā, 1963. gada 16. septembrī Strasbūrā parakstītajā 4. protokolā, kurš nodrošina zināmas tiesības un brīvības, kuras nav iekļautas konvencijā un tās Pirmajā protokolā, ar 11. protokola izdarītajiem grozījumiem, un 1984. gada 22. novembrī parakstītajā Cilvēktiesību un pamatbrīvību aizsardzības konvencijas 7. protokolā, </w:t>
      </w:r>
      <w:r>
        <w:rPr>
          <w:rFonts w:ascii="Times New Roman" w:hAnsi="Times New Roman"/>
          <w:b/>
          <w:bCs/>
          <w:i/>
          <w:sz w:val="24"/>
        </w:rPr>
        <w:t>atbilst Armēnijas Republikas Konstitūcijai</w:t>
      </w:r>
      <w:r>
        <w:rPr>
          <w:rFonts w:ascii="Times New Roman" w:hAnsi="Times New Roman"/>
          <w:i/>
          <w:sz w:val="24"/>
        </w:rPr>
        <w:t>.</w:t>
      </w:r>
    </w:p>
    <w:p w14:paraId="232A6FF8" w14:textId="45026790" w:rsidR="008E3B77" w:rsidRPr="0087409D" w:rsidRDefault="008E3B77" w:rsidP="00FF3E7F">
      <w:pPr>
        <w:ind w:left="426"/>
        <w:jc w:val="both"/>
        <w:rPr>
          <w:rFonts w:ascii="Times New Roman" w:eastAsia="Arial" w:hAnsi="Times New Roman" w:cs="Arial"/>
          <w:noProof/>
          <w:sz w:val="24"/>
        </w:rPr>
      </w:pPr>
      <w:r>
        <w:rPr>
          <w:rFonts w:ascii="Times New Roman" w:hAnsi="Times New Roman"/>
          <w:i/>
          <w:sz w:val="24"/>
        </w:rPr>
        <w:t xml:space="preserve">2. Saskaņā ar 102. panta 2. punktu šis lēmums ir galīgs, nav </w:t>
      </w:r>
      <w:r w:rsidR="00524819">
        <w:rPr>
          <w:rFonts w:ascii="Times New Roman" w:hAnsi="Times New Roman"/>
          <w:i/>
          <w:sz w:val="24"/>
        </w:rPr>
        <w:t>pārskatāms</w:t>
      </w:r>
      <w:r>
        <w:rPr>
          <w:rFonts w:ascii="Times New Roman" w:hAnsi="Times New Roman"/>
          <w:i/>
          <w:sz w:val="24"/>
        </w:rPr>
        <w:t xml:space="preserve"> un stājas spēkā pēc publicēšanas.”</w:t>
      </w:r>
      <w:r w:rsidR="00035E05">
        <w:rPr>
          <w:rStyle w:val="FootnoteReference"/>
          <w:rFonts w:ascii="Times New Roman" w:eastAsia="Arial" w:hAnsi="Times New Roman" w:cs="Arial"/>
          <w:i/>
          <w:noProof/>
          <w:sz w:val="24"/>
        </w:rPr>
        <w:footnoteReference w:id="103"/>
      </w:r>
      <w:r>
        <w:rPr>
          <w:rFonts w:ascii="Times New Roman" w:hAnsi="Times New Roman"/>
          <w:i/>
          <w:sz w:val="24"/>
          <w:szCs w:val="14"/>
        </w:rPr>
        <w:t xml:space="preserve"> </w:t>
      </w:r>
      <w:r>
        <w:rPr>
          <w:rFonts w:ascii="Times New Roman" w:hAnsi="Times New Roman"/>
          <w:i/>
          <w:sz w:val="24"/>
        </w:rPr>
        <w:t>[uzsvars pievienots]</w:t>
      </w:r>
    </w:p>
    <w:p w14:paraId="3ECE8E6A" w14:textId="77777777" w:rsidR="00FF3E7F" w:rsidRDefault="00FF3E7F" w:rsidP="0087409D">
      <w:pPr>
        <w:pStyle w:val="BodyText"/>
        <w:ind w:left="0"/>
        <w:jc w:val="both"/>
        <w:rPr>
          <w:rFonts w:ascii="Times New Roman" w:hAnsi="Times New Roman"/>
          <w:noProof/>
          <w:sz w:val="24"/>
        </w:rPr>
      </w:pPr>
    </w:p>
    <w:p w14:paraId="2E16306C" w14:textId="4F605CA2" w:rsidR="008E3B77" w:rsidRPr="0087409D" w:rsidRDefault="008E3B77" w:rsidP="0087409D">
      <w:pPr>
        <w:pStyle w:val="BodyText"/>
        <w:ind w:left="0"/>
        <w:jc w:val="both"/>
        <w:rPr>
          <w:rFonts w:ascii="Times New Roman" w:hAnsi="Times New Roman"/>
          <w:noProof/>
          <w:sz w:val="24"/>
        </w:rPr>
      </w:pPr>
      <w:r>
        <w:rPr>
          <w:rFonts w:ascii="Times New Roman" w:hAnsi="Times New Roman"/>
          <w:sz w:val="24"/>
        </w:rPr>
        <w:t>Tas joprojām ir spēkā.</w:t>
      </w:r>
    </w:p>
    <w:p w14:paraId="244C62F9" w14:textId="77777777" w:rsidR="008E3B77" w:rsidRPr="0087409D" w:rsidRDefault="008E3B77" w:rsidP="0087409D">
      <w:pPr>
        <w:jc w:val="both"/>
        <w:rPr>
          <w:rFonts w:ascii="Times New Roman" w:eastAsia="Arial" w:hAnsi="Times New Roman" w:cs="Arial"/>
          <w:noProof/>
          <w:sz w:val="24"/>
        </w:rPr>
      </w:pPr>
    </w:p>
    <w:p w14:paraId="6C4B9E0B" w14:textId="7EE5919A" w:rsidR="008E3B77" w:rsidRPr="0087409D" w:rsidRDefault="00FF3E7F" w:rsidP="00FF3E7F">
      <w:pPr>
        <w:tabs>
          <w:tab w:val="left" w:pos="560"/>
        </w:tabs>
        <w:jc w:val="both"/>
        <w:rPr>
          <w:rFonts w:ascii="Times New Roman" w:hAnsi="Times New Roman"/>
          <w:noProof/>
          <w:sz w:val="24"/>
          <w:szCs w:val="14"/>
        </w:rPr>
      </w:pPr>
      <w:r>
        <w:rPr>
          <w:rFonts w:ascii="Times New Roman" w:hAnsi="Times New Roman"/>
          <w:sz w:val="24"/>
        </w:rPr>
        <w:t xml:space="preserve">80. Attiecībā uz </w:t>
      </w:r>
      <w:r>
        <w:rPr>
          <w:rFonts w:ascii="Times New Roman" w:hAnsi="Times New Roman"/>
          <w:i/>
          <w:sz w:val="24"/>
        </w:rPr>
        <w:t>izglītību</w:t>
      </w:r>
      <w:r>
        <w:rPr>
          <w:rFonts w:ascii="Times New Roman" w:hAnsi="Times New Roman"/>
          <w:sz w:val="24"/>
        </w:rPr>
        <w:t xml:space="preserve"> Armēnijā </w:t>
      </w:r>
      <w:r>
        <w:rPr>
          <w:rFonts w:ascii="Times New Roman" w:hAnsi="Times New Roman"/>
          <w:i/>
          <w:sz w:val="24"/>
        </w:rPr>
        <w:t>“(vecāku) tiesības un pienākums rūpēties par (..) savu bērnu izglītību”</w:t>
      </w:r>
      <w:r>
        <w:rPr>
          <w:rFonts w:ascii="Times New Roman" w:hAnsi="Times New Roman"/>
          <w:sz w:val="24"/>
        </w:rPr>
        <w:t xml:space="preserve"> ir noteikts Konstitūcijas 36. panta 1. punktā</w:t>
      </w:r>
      <w:r w:rsidR="00A64274">
        <w:rPr>
          <w:rStyle w:val="FootnoteReference"/>
          <w:rFonts w:ascii="Times New Roman" w:hAnsi="Times New Roman" w:cs="Arial"/>
          <w:noProof/>
          <w:sz w:val="24"/>
        </w:rPr>
        <w:footnoteReference w:id="104"/>
      </w:r>
      <w:r>
        <w:rPr>
          <w:rFonts w:ascii="Times New Roman" w:hAnsi="Times New Roman"/>
          <w:sz w:val="24"/>
        </w:rPr>
        <w:t>, bet tiesības uz izglītību paredz Konstitūcijas 38. pants.</w:t>
      </w:r>
      <w:r w:rsidR="00A64274">
        <w:rPr>
          <w:rStyle w:val="FootnoteReference"/>
          <w:rFonts w:ascii="Times New Roman" w:hAnsi="Times New Roman" w:cs="Arial"/>
          <w:noProof/>
          <w:sz w:val="24"/>
        </w:rPr>
        <w:footnoteReference w:id="105"/>
      </w:r>
      <w:r>
        <w:rPr>
          <w:rFonts w:ascii="Times New Roman" w:hAnsi="Times New Roman"/>
          <w:sz w:val="24"/>
        </w:rPr>
        <w:t xml:space="preserve"> Šīs Armēnijas vecāku tiesības un pienākumus, kas saistīti ar viņu bērnu izglītību, paskaidro un pastiprina dažādi starptautiski dokumenti, k</w:t>
      </w:r>
      <w:r w:rsidR="00524819">
        <w:rPr>
          <w:rFonts w:ascii="Times New Roman" w:hAnsi="Times New Roman"/>
          <w:sz w:val="24"/>
        </w:rPr>
        <w:t>uros noteiktas vecāku tiesības</w:t>
      </w:r>
      <w:r>
        <w:rPr>
          <w:rFonts w:ascii="Times New Roman" w:hAnsi="Times New Roman"/>
          <w:sz w:val="24"/>
        </w:rPr>
        <w:t xml:space="preserve"> izvēlēties saviem bērniem reliģisko un morālo audzināšanu atbilstoši savai </w:t>
      </w:r>
      <w:r>
        <w:rPr>
          <w:rFonts w:ascii="Times New Roman" w:hAnsi="Times New Roman"/>
          <w:sz w:val="24"/>
        </w:rPr>
        <w:lastRenderedPageBreak/>
        <w:t>sirdsapziņai.</w:t>
      </w:r>
      <w:r w:rsidR="00A64274">
        <w:rPr>
          <w:rStyle w:val="FootnoteReference"/>
          <w:rFonts w:ascii="Times New Roman" w:hAnsi="Times New Roman"/>
          <w:noProof/>
          <w:sz w:val="24"/>
        </w:rPr>
        <w:footnoteReference w:id="106"/>
      </w:r>
    </w:p>
    <w:p w14:paraId="5BBABD34" w14:textId="77777777" w:rsidR="008E3B77" w:rsidRPr="0087409D" w:rsidRDefault="008E3B77" w:rsidP="0087409D">
      <w:pPr>
        <w:jc w:val="both"/>
        <w:rPr>
          <w:rFonts w:ascii="Times New Roman" w:eastAsia="Arial" w:hAnsi="Times New Roman" w:cs="Arial"/>
          <w:noProof/>
          <w:sz w:val="24"/>
          <w:szCs w:val="21"/>
        </w:rPr>
      </w:pPr>
    </w:p>
    <w:p w14:paraId="25F94F9B" w14:textId="79CBFE46" w:rsidR="008E3B77" w:rsidRPr="0087409D" w:rsidRDefault="00A64274" w:rsidP="00A64274">
      <w:pPr>
        <w:tabs>
          <w:tab w:val="left" w:pos="630"/>
        </w:tabs>
        <w:jc w:val="both"/>
        <w:rPr>
          <w:rFonts w:ascii="Times New Roman" w:eastAsia="Arial" w:hAnsi="Times New Roman" w:cs="Arial"/>
          <w:noProof/>
          <w:sz w:val="24"/>
        </w:rPr>
      </w:pPr>
      <w:r>
        <w:rPr>
          <w:rFonts w:ascii="Times New Roman" w:hAnsi="Times New Roman"/>
          <w:sz w:val="24"/>
        </w:rPr>
        <w:t xml:space="preserve">81. Uz izglītību attiecas Stambulas konvencijas 14. pants, kas nosaka, ka </w:t>
      </w:r>
      <w:r>
        <w:rPr>
          <w:rFonts w:ascii="Times New Roman" w:hAnsi="Times New Roman"/>
          <w:i/>
          <w:sz w:val="24"/>
        </w:rPr>
        <w:t>“Konvencijas dalībvalstis attiecīgos gadījumos veic vajadzīgos pasākumus, lai visu izglītības līmeņu mācību programmās iekļautu mācību vielu par tādiem jautājumiem kā sieviešu un vīriešu līdztiesība, tādas dzimumu sociālās lomas, kas nav padarītas par stereotipiem, savstarpējā cieņa, nevardarbīga konfliktu atrisināšana savstarpējās attiecībās, ar dzimumu saistīta vardarbība pret sievietēm un tiesības uz personas integritāti, un lai šī mācību viela būtu pielāgota audzēkņu spēju attīstības līmenim</w:t>
      </w:r>
      <w:r>
        <w:rPr>
          <w:rFonts w:ascii="Times New Roman" w:hAnsi="Times New Roman"/>
          <w:i/>
          <w:iCs/>
          <w:sz w:val="24"/>
        </w:rPr>
        <w:t>”</w:t>
      </w:r>
      <w:r>
        <w:rPr>
          <w:rFonts w:ascii="Times New Roman" w:hAnsi="Times New Roman"/>
          <w:sz w:val="24"/>
        </w:rPr>
        <w:t xml:space="preserve"> (1. punkts). Šis noteikums, iespējams, radīja bažas par vecāku tiesībām izglītot bērnus pēc savas izvēles, kā arī par valsts pienākumu iekļaut skolas mācību programmās </w:t>
      </w:r>
      <w:r w:rsidR="00524819">
        <w:rPr>
          <w:rFonts w:ascii="Times New Roman" w:hAnsi="Times New Roman"/>
          <w:sz w:val="24"/>
        </w:rPr>
        <w:t>mācību priekšmetus par dzimuma identitāti un dzimumorientāciju</w:t>
      </w:r>
      <w:r>
        <w:rPr>
          <w:rFonts w:ascii="Times New Roman" w:hAnsi="Times New Roman"/>
          <w:sz w:val="24"/>
        </w:rPr>
        <w:t>.</w:t>
      </w:r>
    </w:p>
    <w:p w14:paraId="686FAD5F" w14:textId="77777777" w:rsidR="008E3B77" w:rsidRPr="0087409D" w:rsidRDefault="008E3B77" w:rsidP="0087409D">
      <w:pPr>
        <w:jc w:val="both"/>
        <w:rPr>
          <w:rFonts w:ascii="Times New Roman" w:eastAsia="Arial" w:hAnsi="Times New Roman" w:cs="Arial"/>
          <w:noProof/>
          <w:sz w:val="24"/>
        </w:rPr>
      </w:pPr>
    </w:p>
    <w:p w14:paraId="1F5AFAF8" w14:textId="0258C99D" w:rsidR="008E3B77" w:rsidRPr="0087409D" w:rsidRDefault="00A64274" w:rsidP="00A64274">
      <w:pPr>
        <w:pStyle w:val="BodyText"/>
        <w:tabs>
          <w:tab w:val="left" w:pos="493"/>
        </w:tabs>
        <w:ind w:left="0"/>
        <w:jc w:val="both"/>
        <w:rPr>
          <w:rFonts w:ascii="Times New Roman" w:hAnsi="Times New Roman"/>
          <w:noProof/>
          <w:sz w:val="24"/>
          <w:szCs w:val="14"/>
        </w:rPr>
      </w:pPr>
      <w:r>
        <w:rPr>
          <w:rFonts w:ascii="Times New Roman" w:hAnsi="Times New Roman"/>
          <w:sz w:val="24"/>
        </w:rPr>
        <w:t xml:space="preserve">82. Jāuzsver, ka Stambulas konvencijas 14. pants neierobežo vecāku tiesības izglītot bērnus pēc savas izvēles. Šis jautājums faktiski ir ārpus Stambulas konvencijas piemērošanas jomas. Šīs Konvencijas 14. pants tikai pieprasa, lai dalībvalstis, pēc saviem ieskatiem izvēloties piemērotu laiku, skolu mācību programmās iekļauj mācību vielu par šajā noteikumā minētajiem jautājumiem. Šis pants to paredz, atspoguļojot faktu, ka saskaņā ar iepriekš teikto vardarbība pret sievietēm un vardarbība ģimenē bieži rodas no kaitīgiem dzimumu stereotipiem un aizspriedumiem, kas ir cilvēku attieksmes, pārliecības un uzvedības modeļu daļa, un ka attieksme, pārliecība un izturēšanās modeļi </w:t>
      </w:r>
      <w:r>
        <w:rPr>
          <w:rFonts w:ascii="Times New Roman" w:hAnsi="Times New Roman"/>
          <w:i/>
          <w:sz w:val="24"/>
        </w:rPr>
        <w:t>“tiek veidoti ļoti agrīnā dzīves posmā”</w:t>
      </w:r>
      <w:r>
        <w:rPr>
          <w:rFonts w:ascii="Times New Roman" w:hAnsi="Times New Roman"/>
          <w:sz w:val="24"/>
        </w:rPr>
        <w:t>.</w:t>
      </w:r>
      <w:r>
        <w:rPr>
          <w:rStyle w:val="FootnoteReference"/>
          <w:rFonts w:ascii="Times New Roman" w:hAnsi="Times New Roman"/>
          <w:noProof/>
          <w:sz w:val="24"/>
        </w:rPr>
        <w:footnoteReference w:id="107"/>
      </w:r>
    </w:p>
    <w:p w14:paraId="005AAD53" w14:textId="77777777" w:rsidR="008E3B77" w:rsidRPr="0087409D" w:rsidRDefault="008E3B77" w:rsidP="0087409D">
      <w:pPr>
        <w:jc w:val="both"/>
        <w:rPr>
          <w:rFonts w:ascii="Times New Roman" w:eastAsia="Arial" w:hAnsi="Times New Roman" w:cs="Arial"/>
          <w:noProof/>
          <w:sz w:val="24"/>
          <w:szCs w:val="20"/>
        </w:rPr>
      </w:pPr>
    </w:p>
    <w:p w14:paraId="31B80998" w14:textId="21EAF292" w:rsidR="008E3B77" w:rsidRPr="0087409D" w:rsidRDefault="00A64274" w:rsidP="00A64274">
      <w:pPr>
        <w:tabs>
          <w:tab w:val="left" w:pos="579"/>
        </w:tabs>
        <w:jc w:val="both"/>
        <w:rPr>
          <w:rFonts w:ascii="Times New Roman" w:eastAsia="Arial" w:hAnsi="Times New Roman" w:cs="Arial"/>
          <w:noProof/>
          <w:sz w:val="24"/>
        </w:rPr>
      </w:pPr>
      <w:r>
        <w:rPr>
          <w:rFonts w:ascii="Times New Roman" w:hAnsi="Times New Roman"/>
          <w:sz w:val="24"/>
        </w:rPr>
        <w:t>83. Armēnija savā Izglītības likumā</w:t>
      </w:r>
      <w:r>
        <w:rPr>
          <w:rStyle w:val="FootnoteReference"/>
          <w:rFonts w:ascii="Times New Roman" w:eastAsia="Arial" w:hAnsi="Times New Roman" w:cs="Arial"/>
          <w:noProof/>
          <w:sz w:val="24"/>
        </w:rPr>
        <w:footnoteReference w:id="108"/>
      </w:r>
      <w:r>
        <w:rPr>
          <w:rFonts w:ascii="Times New Roman" w:hAnsi="Times New Roman"/>
          <w:sz w:val="24"/>
        </w:rPr>
        <w:t xml:space="preserve"> ir norādījusi, ka viens no galvenajiem valsts politikas principiem izglītības jomā ir </w:t>
      </w:r>
      <w:r>
        <w:rPr>
          <w:rFonts w:ascii="Times New Roman" w:hAnsi="Times New Roman"/>
          <w:i/>
          <w:sz w:val="24"/>
        </w:rPr>
        <w:t>“izglītības humānais raksturs, vispārējo vērtību prioritāte, cilvēka dzīvība un veselība, brīva un vispusīga personas attīstība un pilsoniskās apziņas, nacionālās pašcieņas, patriotisma, likumības un apkārtēj</w:t>
      </w:r>
      <w:r w:rsidR="00524819">
        <w:rPr>
          <w:rFonts w:ascii="Times New Roman" w:hAnsi="Times New Roman"/>
          <w:i/>
          <w:sz w:val="24"/>
        </w:rPr>
        <w:t>o</w:t>
      </w:r>
      <w:r>
        <w:rPr>
          <w:rFonts w:ascii="Times New Roman" w:hAnsi="Times New Roman"/>
          <w:i/>
          <w:sz w:val="24"/>
        </w:rPr>
        <w:t xml:space="preserve"> vid</w:t>
      </w:r>
      <w:r w:rsidR="00524819">
        <w:rPr>
          <w:rFonts w:ascii="Times New Roman" w:hAnsi="Times New Roman"/>
          <w:i/>
          <w:sz w:val="24"/>
        </w:rPr>
        <w:t>i cienoša</w:t>
      </w:r>
      <w:r>
        <w:rPr>
          <w:rFonts w:ascii="Times New Roman" w:hAnsi="Times New Roman"/>
          <w:i/>
          <w:sz w:val="24"/>
        </w:rPr>
        <w:t xml:space="preserve"> redzējuma veicināšana”</w:t>
      </w:r>
      <w:r>
        <w:rPr>
          <w:rFonts w:ascii="Times New Roman" w:hAnsi="Times New Roman"/>
          <w:sz w:val="24"/>
        </w:rPr>
        <w:t xml:space="preserve"> (5. panta 1. punkts). Tajā ir norādīts, ka, kaut arī uz izglītību attiecas </w:t>
      </w:r>
      <w:r>
        <w:rPr>
          <w:rFonts w:ascii="Times New Roman" w:hAnsi="Times New Roman"/>
          <w:i/>
          <w:sz w:val="24"/>
        </w:rPr>
        <w:t>“demokrātijas princips”</w:t>
      </w:r>
      <w:r>
        <w:rPr>
          <w:rFonts w:ascii="Times New Roman" w:hAnsi="Times New Roman"/>
          <w:sz w:val="24"/>
        </w:rPr>
        <w:t xml:space="preserve"> (Izglītības likuma 5. panta 3. punkts), tās pamatā jābūt vērtībām, uz kurām balstās valsts konstitucionālā kārtība. Šo vērtību vidū ir cilvēka cieņa, cilvēktiesību un pamatbrīvību ievērošana un visu pilsoņu līdztiesība, tostarp vīriešu un sieviešu līdztiesība (Armēnijas Konstitūcijas 3., 28. un 30. pants).</w:t>
      </w:r>
    </w:p>
    <w:p w14:paraId="7C54C7C9" w14:textId="77777777" w:rsidR="008E3B77" w:rsidRPr="0087409D" w:rsidRDefault="008E3B77" w:rsidP="0087409D">
      <w:pPr>
        <w:jc w:val="both"/>
        <w:rPr>
          <w:rFonts w:ascii="Times New Roman" w:eastAsia="Arial" w:hAnsi="Times New Roman" w:cs="Arial"/>
          <w:noProof/>
          <w:sz w:val="24"/>
        </w:rPr>
      </w:pPr>
    </w:p>
    <w:p w14:paraId="5B8161C1" w14:textId="7CEEE3C2" w:rsidR="008E3B77" w:rsidRPr="0087409D" w:rsidRDefault="00A64274" w:rsidP="00A64274">
      <w:pPr>
        <w:tabs>
          <w:tab w:val="left" w:pos="639"/>
        </w:tabs>
        <w:jc w:val="both"/>
        <w:rPr>
          <w:rFonts w:ascii="Times New Roman" w:eastAsia="Arial" w:hAnsi="Times New Roman" w:cs="Arial"/>
          <w:noProof/>
          <w:sz w:val="24"/>
        </w:rPr>
      </w:pPr>
      <w:r>
        <w:rPr>
          <w:rFonts w:ascii="Times New Roman" w:hAnsi="Times New Roman"/>
          <w:sz w:val="24"/>
        </w:rPr>
        <w:t xml:space="preserve">84. Stambulas konvencijas 14. pantā nav norādīts īpašs veids, kādā būtu jāīsteno izglītošana saistībā ar jautājumiem, uz kuriem attiecas Stambulas konvencija. Faktiski šajā noteikumā frāze </w:t>
      </w:r>
      <w:r>
        <w:rPr>
          <w:rFonts w:ascii="Times New Roman" w:hAnsi="Times New Roman"/>
          <w:i/>
          <w:sz w:val="24"/>
        </w:rPr>
        <w:t>“attiecīgos gadījumos”</w:t>
      </w:r>
      <w:r>
        <w:rPr>
          <w:rFonts w:ascii="Times New Roman" w:hAnsi="Times New Roman"/>
          <w:sz w:val="24"/>
        </w:rPr>
        <w:t xml:space="preserve"> liecina par to, ka Stambulas konvencija atstāj dalībvalstu ziņā ne tikai izglītošanas veidu, bet arī apmēru. Dalībvalstīm ir </w:t>
      </w:r>
      <w:r>
        <w:rPr>
          <w:rFonts w:ascii="Times New Roman" w:hAnsi="Times New Roman"/>
          <w:i/>
          <w:sz w:val="24"/>
        </w:rPr>
        <w:t>“jāizlemj, kuram izglītošanas veidam un kurām izglītojamo vecuma grupām tās uzskata šo mācību vielu par piemērotu”</w:t>
      </w:r>
      <w:r>
        <w:rPr>
          <w:rStyle w:val="FootnoteReference"/>
          <w:rFonts w:ascii="Times New Roman" w:eastAsia="Arial" w:hAnsi="Times New Roman" w:cs="Arial"/>
          <w:i/>
          <w:noProof/>
          <w:sz w:val="24"/>
        </w:rPr>
        <w:footnoteReference w:id="109"/>
      </w:r>
      <w:r>
        <w:rPr>
          <w:rFonts w:ascii="Times New Roman" w:hAnsi="Times New Roman"/>
          <w:sz w:val="24"/>
        </w:rPr>
        <w:t>, un faktiski arī tas, vai tās vispār uzskata par piemērotu šādu mācību vielu.</w:t>
      </w:r>
    </w:p>
    <w:p w14:paraId="0D900D25" w14:textId="77777777" w:rsidR="008E3B77" w:rsidRPr="0087409D" w:rsidRDefault="008E3B77" w:rsidP="0087409D">
      <w:pPr>
        <w:jc w:val="both"/>
        <w:rPr>
          <w:rFonts w:ascii="Times New Roman" w:eastAsia="Arial" w:hAnsi="Times New Roman" w:cs="Arial"/>
          <w:noProof/>
          <w:sz w:val="24"/>
        </w:rPr>
      </w:pPr>
    </w:p>
    <w:p w14:paraId="6A550AB9" w14:textId="2F81C1E6" w:rsidR="008E3B77" w:rsidRPr="0087409D" w:rsidRDefault="00A64274" w:rsidP="00A64274">
      <w:pPr>
        <w:pStyle w:val="BodyText"/>
        <w:tabs>
          <w:tab w:val="left" w:pos="699"/>
        </w:tabs>
        <w:ind w:left="0"/>
        <w:jc w:val="both"/>
        <w:rPr>
          <w:rFonts w:ascii="Times New Roman" w:hAnsi="Times New Roman"/>
          <w:noProof/>
          <w:sz w:val="24"/>
        </w:rPr>
      </w:pPr>
      <w:r>
        <w:rPr>
          <w:rFonts w:ascii="Times New Roman" w:hAnsi="Times New Roman"/>
          <w:sz w:val="24"/>
        </w:rPr>
        <w:t>85. Venēcijas komisija secina, ka, tā kā Stambulas konvencijas atbalstītās vērtības saskan ar Armēnijas konstitucionālajām vērtībām un dalībvalstīm ir liela rīcības brīvība attiecībā uz to, kā (cik lielā mērā un kādā veidā) tās izglītos savus iedzīvotājus par Stambulas konvencijas aptvertajiem jautājumiem, šķiet, ka nav pretrunu starp Stambulas konvencijas 14. pantu un Armēnijas Konstitūciju.</w:t>
      </w:r>
    </w:p>
    <w:p w14:paraId="5B894395" w14:textId="77777777" w:rsidR="008E3B77" w:rsidRPr="0087409D" w:rsidRDefault="008E3B77" w:rsidP="0087409D">
      <w:pPr>
        <w:jc w:val="both"/>
        <w:rPr>
          <w:rFonts w:ascii="Times New Roman" w:eastAsia="Arial" w:hAnsi="Times New Roman" w:cs="Arial"/>
          <w:noProof/>
          <w:sz w:val="24"/>
        </w:rPr>
      </w:pPr>
    </w:p>
    <w:p w14:paraId="0A09030F" w14:textId="4E8A1CCC" w:rsidR="008E3B77" w:rsidRPr="00A64274" w:rsidRDefault="00A64274" w:rsidP="00A64274">
      <w:pPr>
        <w:tabs>
          <w:tab w:val="left" w:pos="625"/>
        </w:tabs>
        <w:jc w:val="both"/>
        <w:rPr>
          <w:rFonts w:ascii="Times New Roman" w:eastAsia="Arial" w:hAnsi="Times New Roman" w:cs="Arial"/>
          <w:noProof/>
          <w:sz w:val="24"/>
        </w:rPr>
      </w:pPr>
      <w:r>
        <w:rPr>
          <w:rFonts w:ascii="Times New Roman" w:hAnsi="Times New Roman"/>
          <w:iCs/>
          <w:sz w:val="24"/>
        </w:rPr>
        <w:lastRenderedPageBreak/>
        <w:t xml:space="preserve">86. </w:t>
      </w:r>
      <w:r>
        <w:rPr>
          <w:rFonts w:ascii="Times New Roman" w:hAnsi="Times New Roman"/>
          <w:sz w:val="24"/>
        </w:rPr>
        <w:t xml:space="preserve">Uz </w:t>
      </w:r>
      <w:r w:rsidR="00524819">
        <w:rPr>
          <w:rFonts w:ascii="Times New Roman" w:hAnsi="Times New Roman"/>
          <w:i/>
          <w:sz w:val="24"/>
        </w:rPr>
        <w:t>attiecīgo profesiju pārstāvju</w:t>
      </w:r>
      <w:r>
        <w:rPr>
          <w:rFonts w:ascii="Times New Roman" w:hAnsi="Times New Roman"/>
          <w:i/>
          <w:sz w:val="24"/>
        </w:rPr>
        <w:t xml:space="preserve"> ziņojumiem</w:t>
      </w:r>
      <w:r>
        <w:rPr>
          <w:rFonts w:ascii="Times New Roman" w:hAnsi="Times New Roman"/>
          <w:sz w:val="24"/>
        </w:rPr>
        <w:t xml:space="preserve"> attiecas Stambulas konvencijas 28. pants, kas nosaka, ka </w:t>
      </w:r>
      <w:r>
        <w:rPr>
          <w:rFonts w:ascii="Times New Roman" w:hAnsi="Times New Roman"/>
          <w:i/>
          <w:sz w:val="24"/>
        </w:rPr>
        <w:t xml:space="preserve">“dalībvalstis veic visus vajadzīgos pasākumus, lai nodrošinātu to, ka konfidencialitātes noteikumi, kas konkrētiem attiecīgo profesiju pārstāvjiem jāievēro saskaņā ar valsts tiesību aktiem, atbilstošos apstākļos neliedz viņiem ziņot kompetentajām organizācijām vai iestādēm, ja tiem ir pamatots iemesls uzskatīt, ka ir izdarīts tāds smags vardarbības akts, uz kuru attiecas šī Konvencija, vai ka ir gaidāmi atkārtoti smagi vardarbības akti”. </w:t>
      </w:r>
      <w:r>
        <w:rPr>
          <w:rFonts w:ascii="Times New Roman" w:hAnsi="Times New Roman"/>
          <w:sz w:val="24"/>
        </w:rPr>
        <w:t>Dažās valstīs šis noteikums noteiktu</w:t>
      </w:r>
      <w:r w:rsidR="00524819">
        <w:rPr>
          <w:rFonts w:ascii="Times New Roman" w:hAnsi="Times New Roman"/>
          <w:sz w:val="24"/>
        </w:rPr>
        <w:t xml:space="preserve"> attiecīgo</w:t>
      </w:r>
      <w:r>
        <w:rPr>
          <w:rFonts w:ascii="Times New Roman" w:hAnsi="Times New Roman"/>
          <w:sz w:val="24"/>
        </w:rPr>
        <w:t xml:space="preserve"> profesiju pārstāvju grupām, jo īpaši advokātu apvienībām,</w:t>
      </w:r>
      <w:r w:rsidR="00C74FA4">
        <w:rPr>
          <w:rStyle w:val="FootnoteReference"/>
          <w:rFonts w:ascii="Times New Roman" w:hAnsi="Times New Roman"/>
          <w:noProof/>
          <w:sz w:val="24"/>
        </w:rPr>
        <w:footnoteReference w:id="110"/>
      </w:r>
      <w:r>
        <w:rPr>
          <w:rFonts w:ascii="Times New Roman" w:hAnsi="Times New Roman"/>
          <w:sz w:val="24"/>
        </w:rPr>
        <w:t xml:space="preserve"> ir radījis bailes par to, ka tā piemērošanas rezultātā varētu tikt atcelta profesionālā konfidencialitāte un valsts tiesību aktos ieviests pienākums ziņot. Armēnijā saziņas konfidencialitāti vispārējā nozīmē nodrošina Konstitūcijas 33. pants, bet noteikumi, kas attiecas uz konkrētām profesijām, ir ietverti parastos tiesību aktos un profesionālajos kodeksos.</w:t>
      </w:r>
    </w:p>
    <w:p w14:paraId="16C71FBB" w14:textId="77777777" w:rsidR="008E3B77" w:rsidRPr="0087409D" w:rsidRDefault="008E3B77" w:rsidP="0087409D">
      <w:pPr>
        <w:jc w:val="both"/>
        <w:rPr>
          <w:rFonts w:ascii="Times New Roman" w:hAnsi="Times New Roman"/>
          <w:noProof/>
          <w:sz w:val="24"/>
        </w:rPr>
      </w:pPr>
    </w:p>
    <w:p w14:paraId="70191522" w14:textId="18C63A0D" w:rsidR="008E3B77" w:rsidRPr="0087409D" w:rsidRDefault="00A64274" w:rsidP="00A64274">
      <w:pPr>
        <w:pStyle w:val="BodyText"/>
        <w:tabs>
          <w:tab w:val="left" w:pos="632"/>
        </w:tabs>
        <w:ind w:left="0"/>
        <w:jc w:val="both"/>
        <w:rPr>
          <w:rFonts w:ascii="Times New Roman" w:hAnsi="Times New Roman"/>
          <w:noProof/>
          <w:sz w:val="24"/>
        </w:rPr>
      </w:pPr>
      <w:r>
        <w:rPr>
          <w:rFonts w:ascii="Times New Roman" w:hAnsi="Times New Roman"/>
          <w:sz w:val="24"/>
        </w:rPr>
        <w:t xml:space="preserve">87. Tomēr šī interpretācija nav pamatota. Stambulas konvencijas 28. panta galvenais mērķis nav mudināt valstis atcelt profesionālo konfidencialitāti, bet gan mudināt tās dot iespēju noteiktiem </w:t>
      </w:r>
      <w:r w:rsidR="00524819">
        <w:rPr>
          <w:rFonts w:ascii="Times New Roman" w:hAnsi="Times New Roman"/>
          <w:sz w:val="24"/>
        </w:rPr>
        <w:t>attiecīgo profesiju pārstāvjiem</w:t>
      </w:r>
      <w:r>
        <w:rPr>
          <w:rFonts w:ascii="Times New Roman" w:hAnsi="Times New Roman"/>
          <w:sz w:val="24"/>
        </w:rPr>
        <w:t xml:space="preserve">, galvenokārt veselības aprūpes nozarē, ziņot, ja viņiem ir radušās aizdomas par smagas vardarbības pret sievietēm vai vardarbību ģimenē gadījumiem bez riska, ka viņiem varētu tikt piemērotas sankcijas par konfidencialitātes pārkāpšanu. Tāpat kā Stambulas konvencijas 14. pants, arī 28. pants atstāj dalībvalstīm rīcības brīvību izlemt, kādus pasākumus tās veiks un kādos </w:t>
      </w:r>
      <w:r>
        <w:rPr>
          <w:rFonts w:ascii="Times New Roman" w:hAnsi="Times New Roman"/>
          <w:i/>
          <w:sz w:val="24"/>
        </w:rPr>
        <w:t>“atbilstošos apstākļos”</w:t>
      </w:r>
      <w:r>
        <w:rPr>
          <w:rFonts w:ascii="Times New Roman" w:hAnsi="Times New Roman"/>
          <w:sz w:val="24"/>
        </w:rPr>
        <w:t xml:space="preserve"> tās dos </w:t>
      </w:r>
      <w:r w:rsidR="00524819">
        <w:rPr>
          <w:rFonts w:ascii="Times New Roman" w:hAnsi="Times New Roman"/>
          <w:sz w:val="24"/>
        </w:rPr>
        <w:t>attiecīgo profesiju pārstāvjiem</w:t>
      </w:r>
      <w:r>
        <w:rPr>
          <w:rFonts w:ascii="Times New Roman" w:hAnsi="Times New Roman"/>
          <w:sz w:val="24"/>
        </w:rPr>
        <w:t xml:space="preserve"> iespēju ziņot. Ir svarīgi piebilst, ka Skaidrojošajā ziņojumā ir paskaidrots, ka Stambulas konvencija neparedz obligātu ziņošanu;</w:t>
      </w:r>
      <w:r w:rsidR="00C74FA4">
        <w:rPr>
          <w:rStyle w:val="FootnoteReference"/>
          <w:rFonts w:ascii="Times New Roman" w:hAnsi="Times New Roman"/>
          <w:noProof/>
          <w:sz w:val="24"/>
        </w:rPr>
        <w:footnoteReference w:id="111"/>
      </w:r>
      <w:r>
        <w:rPr>
          <w:rFonts w:ascii="Times New Roman" w:hAnsi="Times New Roman"/>
          <w:sz w:val="24"/>
        </w:rPr>
        <w:t xml:space="preserve"> </w:t>
      </w:r>
      <w:r>
        <w:rPr>
          <w:rFonts w:ascii="Times New Roman" w:hAnsi="Times New Roman"/>
          <w:i/>
          <w:sz w:val="24"/>
        </w:rPr>
        <w:t>“tā šīm personām tikai dod iespēju to darīt, neriskējot izdarīt konfidencialitātes pārkāpumu”.</w:t>
      </w:r>
      <w:r w:rsidR="00C74FA4">
        <w:rPr>
          <w:rStyle w:val="FootnoteReference"/>
          <w:rFonts w:ascii="Times New Roman" w:hAnsi="Times New Roman" w:cs="Arial"/>
          <w:i/>
          <w:noProof/>
          <w:sz w:val="24"/>
        </w:rPr>
        <w:footnoteReference w:id="112"/>
      </w:r>
      <w:r>
        <w:rPr>
          <w:rFonts w:ascii="Times New Roman" w:hAnsi="Times New Roman"/>
          <w:sz w:val="24"/>
          <w:szCs w:val="14"/>
        </w:rPr>
        <w:t xml:space="preserve"> </w:t>
      </w:r>
      <w:r>
        <w:rPr>
          <w:rFonts w:ascii="Times New Roman" w:hAnsi="Times New Roman"/>
          <w:sz w:val="24"/>
        </w:rPr>
        <w:t>Tāpēc Stambulas konvencija nepieprasa dalībvalstīm pieņemt tiesību aktus veidā, kas varētu tikt uzskatīts par nesaderīgu ar konstitucionālajiem noteikumiem par saziņas konfidencialitāti.</w:t>
      </w:r>
    </w:p>
    <w:p w14:paraId="0D4CAF24" w14:textId="77777777" w:rsidR="008E3B77" w:rsidRPr="0087409D" w:rsidRDefault="008E3B77" w:rsidP="0087409D">
      <w:pPr>
        <w:jc w:val="both"/>
        <w:rPr>
          <w:rFonts w:ascii="Times New Roman" w:eastAsia="Arial" w:hAnsi="Times New Roman" w:cs="Arial"/>
          <w:noProof/>
          <w:sz w:val="24"/>
        </w:rPr>
      </w:pPr>
    </w:p>
    <w:p w14:paraId="51E7C03C" w14:textId="2BB8FB7D" w:rsidR="008E3B77" w:rsidRPr="0087409D" w:rsidRDefault="00A64274" w:rsidP="00A64274">
      <w:pPr>
        <w:tabs>
          <w:tab w:val="left" w:pos="1114"/>
          <w:tab w:val="left" w:pos="1713"/>
          <w:tab w:val="left" w:pos="2750"/>
          <w:tab w:val="left" w:pos="4217"/>
          <w:tab w:val="left" w:pos="4935"/>
          <w:tab w:val="left" w:pos="5281"/>
          <w:tab w:val="left" w:pos="6425"/>
          <w:tab w:val="left" w:pos="6761"/>
          <w:tab w:val="left" w:pos="7486"/>
          <w:tab w:val="left" w:pos="8137"/>
        </w:tabs>
        <w:jc w:val="both"/>
        <w:rPr>
          <w:rFonts w:ascii="Times New Roman" w:hAnsi="Times New Roman"/>
          <w:b/>
          <w:noProof/>
          <w:sz w:val="24"/>
        </w:rPr>
      </w:pPr>
      <w:r>
        <w:rPr>
          <w:rFonts w:ascii="Times New Roman" w:hAnsi="Times New Roman"/>
          <w:b/>
          <w:sz w:val="24"/>
        </w:rPr>
        <w:t>D. Stambulas konvencija – vai ar to tiek izveidota struktūra, kurai ir pārmērīgas pilnvaras?</w:t>
      </w:r>
    </w:p>
    <w:p w14:paraId="42C69490" w14:textId="77777777" w:rsidR="008E3B77" w:rsidRPr="0087409D" w:rsidRDefault="008E3B77" w:rsidP="0087409D">
      <w:pPr>
        <w:jc w:val="both"/>
        <w:rPr>
          <w:rFonts w:ascii="Times New Roman" w:eastAsia="Arial" w:hAnsi="Times New Roman" w:cs="Arial"/>
          <w:b/>
          <w:bCs/>
          <w:noProof/>
          <w:sz w:val="24"/>
        </w:rPr>
      </w:pPr>
    </w:p>
    <w:p w14:paraId="573E3F30" w14:textId="0AD169E3" w:rsidR="008E3B77" w:rsidRPr="0087409D" w:rsidRDefault="00A64274" w:rsidP="00A64274">
      <w:pPr>
        <w:pStyle w:val="BodyText"/>
        <w:tabs>
          <w:tab w:val="left" w:pos="577"/>
        </w:tabs>
        <w:ind w:left="0"/>
        <w:jc w:val="both"/>
        <w:rPr>
          <w:rFonts w:ascii="Times New Roman" w:hAnsi="Times New Roman"/>
          <w:noProof/>
          <w:sz w:val="24"/>
        </w:rPr>
      </w:pPr>
      <w:r>
        <w:rPr>
          <w:rFonts w:ascii="Times New Roman" w:hAnsi="Times New Roman"/>
          <w:sz w:val="24"/>
        </w:rPr>
        <w:t>88. Saskaņā ar Stambulas konvenciju dalībvalstīm ir jāveic pasākumi, lai īstenotu tās politikas nostādnes, kuru mērķis ir novērst un apkarot visu veidu vardarbību pret sievietēm un vardarbību ģimenē. Tā arī mudina dalībvalstis šajā jomā sadarboties. Īstenošanas stāvokļa uzraudzībai tā izveido jaunu starptautisku struktūru – Ekspertu grupu cīņai ar vardarbību pret sievietēm un vardarbību ģimenē (</w:t>
      </w:r>
      <w:r>
        <w:rPr>
          <w:rFonts w:ascii="Times New Roman" w:hAnsi="Times New Roman"/>
          <w:i/>
          <w:sz w:val="24"/>
        </w:rPr>
        <w:t>GREVIO</w:t>
      </w:r>
      <w:r>
        <w:rPr>
          <w:rFonts w:ascii="Times New Roman" w:hAnsi="Times New Roman"/>
          <w:sz w:val="24"/>
        </w:rPr>
        <w:t xml:space="preserve">). Tā ir ekspertu struktūra, kurā darbojas vismaz 10–15 biedri, ko ievēl Pušu komiteja. Tā izskata dalībvalstu iesniegtos valsts ziņojumus (anketas) un izdod ziņojumus un secinājumus. Tā var arī pieņemt vispārējos ieteikumus. Saskaņā ar 68. panta 9. un 14. punktu </w:t>
      </w:r>
      <w:r>
        <w:rPr>
          <w:rFonts w:ascii="Times New Roman" w:hAnsi="Times New Roman"/>
          <w:i/>
          <w:sz w:val="24"/>
        </w:rPr>
        <w:t>GREVIO</w:t>
      </w:r>
      <w:r>
        <w:rPr>
          <w:rFonts w:ascii="Times New Roman" w:hAnsi="Times New Roman"/>
          <w:sz w:val="24"/>
        </w:rPr>
        <w:t> var organizēt valstu apmeklējumus, kuru laikā tās biedriem, kā arī citiem delegācijas locekļiem saskaņā ar 66. panta 7. punktu ir noteiktas privilēģijas un imunitāte. Šīs privilēģijas un imunitāte ir noteikta Stambulas konvencijas papildinājumā, un to vidū ir:</w:t>
      </w:r>
    </w:p>
    <w:p w14:paraId="0A0AFD57" w14:textId="77777777" w:rsidR="008E3B77" w:rsidRPr="0087409D" w:rsidRDefault="008E3B77" w:rsidP="0087409D">
      <w:pPr>
        <w:jc w:val="both"/>
        <w:rPr>
          <w:rFonts w:ascii="Times New Roman" w:eastAsia="Arial" w:hAnsi="Times New Roman" w:cs="Arial"/>
          <w:noProof/>
          <w:sz w:val="24"/>
        </w:rPr>
      </w:pPr>
    </w:p>
    <w:p w14:paraId="62A5B178" w14:textId="77777777" w:rsidR="008E3B77" w:rsidRPr="0087409D" w:rsidRDefault="008E3B77" w:rsidP="00A64274">
      <w:pPr>
        <w:pStyle w:val="BodyText"/>
        <w:numPr>
          <w:ilvl w:val="1"/>
          <w:numId w:val="3"/>
        </w:numPr>
        <w:ind w:left="709" w:hanging="283"/>
        <w:jc w:val="both"/>
        <w:rPr>
          <w:rFonts w:ascii="Times New Roman" w:hAnsi="Times New Roman"/>
          <w:noProof/>
          <w:sz w:val="24"/>
        </w:rPr>
      </w:pPr>
      <w:r>
        <w:rPr>
          <w:rFonts w:ascii="Times New Roman" w:hAnsi="Times New Roman"/>
          <w:sz w:val="24"/>
        </w:rPr>
        <w:t>imunitāte pret aizturēšanu vai apcietināšanu un personiskās bagāžas konfiscēšanu un imunitāte pret jebkādiem tiesas procesiem, kuri saistīti ar visu, ko viņi teikuši, rakstījuši vai darījuši, pildot savus darba pienākumus;</w:t>
      </w:r>
    </w:p>
    <w:p w14:paraId="099631A6" w14:textId="77777777" w:rsidR="008E3B77" w:rsidRPr="0087409D" w:rsidRDefault="008E3B77" w:rsidP="00A64274">
      <w:pPr>
        <w:pStyle w:val="BodyText"/>
        <w:numPr>
          <w:ilvl w:val="1"/>
          <w:numId w:val="3"/>
        </w:numPr>
        <w:ind w:left="709" w:hanging="283"/>
        <w:jc w:val="both"/>
        <w:rPr>
          <w:rFonts w:ascii="Times New Roman" w:hAnsi="Times New Roman"/>
          <w:noProof/>
          <w:sz w:val="24"/>
        </w:rPr>
      </w:pPr>
      <w:r>
        <w:rPr>
          <w:rFonts w:ascii="Times New Roman" w:hAnsi="Times New Roman"/>
          <w:sz w:val="24"/>
        </w:rPr>
        <w:t xml:space="preserve">atbrīvojums no jebkādiem pārvietošanās brīvības ierobežojumiem, izceļojot no savas </w:t>
      </w:r>
      <w:r>
        <w:rPr>
          <w:rFonts w:ascii="Times New Roman" w:hAnsi="Times New Roman"/>
          <w:sz w:val="24"/>
        </w:rPr>
        <w:lastRenderedPageBreak/>
        <w:t>dzīvesvietas valsts un atgriežoties tajā, ieceļojot un izceļojot no valsts, kurā tie veic savas funkcijas, kā arī no ārvalstnieku reģistrācijas valstī, uz kuru tie dodas vizītē vai kuru tie šķērso, veicot savas funkcijas;</w:t>
      </w:r>
    </w:p>
    <w:p w14:paraId="61FB53BE" w14:textId="77777777" w:rsidR="008E3B77" w:rsidRPr="0087409D" w:rsidRDefault="008E3B77" w:rsidP="00A64274">
      <w:pPr>
        <w:pStyle w:val="BodyText"/>
        <w:numPr>
          <w:ilvl w:val="1"/>
          <w:numId w:val="3"/>
        </w:numPr>
        <w:ind w:left="709" w:hanging="283"/>
        <w:jc w:val="both"/>
        <w:rPr>
          <w:rFonts w:ascii="Times New Roman" w:hAnsi="Times New Roman"/>
          <w:noProof/>
          <w:sz w:val="24"/>
        </w:rPr>
      </w:pPr>
      <w:r>
        <w:rPr>
          <w:rFonts w:ascii="Times New Roman" w:hAnsi="Times New Roman"/>
          <w:sz w:val="24"/>
        </w:rPr>
        <w:t>attiecībā uz muitas un valūtas kontroli tādi paši atvieglojumi kā ārvalstu valdību pārstāvjiem, kas īslaicīgi pilda dienesta pienākumus;</w:t>
      </w:r>
    </w:p>
    <w:p w14:paraId="01C880D6" w14:textId="77777777" w:rsidR="008E3B77" w:rsidRPr="0087409D" w:rsidRDefault="008E3B77" w:rsidP="00A64274">
      <w:pPr>
        <w:pStyle w:val="BodyText"/>
        <w:numPr>
          <w:ilvl w:val="1"/>
          <w:numId w:val="3"/>
        </w:numPr>
        <w:ind w:left="709" w:hanging="283"/>
        <w:jc w:val="both"/>
        <w:rPr>
          <w:rFonts w:ascii="Times New Roman" w:hAnsi="Times New Roman"/>
          <w:noProof/>
          <w:sz w:val="24"/>
        </w:rPr>
      </w:pPr>
      <w:r>
        <w:rPr>
          <w:rFonts w:ascii="Times New Roman" w:hAnsi="Times New Roman"/>
          <w:sz w:val="24"/>
        </w:rPr>
        <w:t>visu ar Konvencijas īstenošanas izvērtēšanu saistīto dokumentu neaizskaramība.</w:t>
      </w:r>
    </w:p>
    <w:p w14:paraId="040338EF" w14:textId="77777777" w:rsidR="008E3B77" w:rsidRPr="0087409D" w:rsidRDefault="008E3B77" w:rsidP="0087409D">
      <w:pPr>
        <w:jc w:val="both"/>
        <w:rPr>
          <w:rFonts w:ascii="Times New Roman" w:eastAsia="Arial" w:hAnsi="Times New Roman" w:cs="Arial"/>
          <w:noProof/>
          <w:sz w:val="24"/>
          <w:szCs w:val="21"/>
        </w:rPr>
      </w:pPr>
    </w:p>
    <w:p w14:paraId="43395D76" w14:textId="5CF6CAE4" w:rsidR="008E3B77" w:rsidRPr="00C74FA4" w:rsidRDefault="006878B6" w:rsidP="00C74FA4">
      <w:pPr>
        <w:tabs>
          <w:tab w:val="left" w:pos="548"/>
        </w:tabs>
        <w:jc w:val="both"/>
        <w:rPr>
          <w:rFonts w:ascii="Times New Roman" w:eastAsia="Arial" w:hAnsi="Times New Roman" w:cs="Arial"/>
          <w:noProof/>
          <w:sz w:val="24"/>
        </w:rPr>
      </w:pPr>
      <w:r>
        <w:rPr>
          <w:rFonts w:ascii="Times New Roman" w:hAnsi="Times New Roman"/>
          <w:sz w:val="24"/>
        </w:rPr>
        <w:t xml:space="preserve">89. Privilēģijas un imunitāti minētajām personām piešķir, </w:t>
      </w:r>
      <w:r>
        <w:rPr>
          <w:rFonts w:ascii="Times New Roman" w:hAnsi="Times New Roman"/>
          <w:i/>
          <w:iCs/>
          <w:sz w:val="24"/>
        </w:rPr>
        <w:t>“</w:t>
      </w:r>
      <w:r>
        <w:rPr>
          <w:rFonts w:ascii="Times New Roman" w:hAnsi="Times New Roman"/>
          <w:i/>
          <w:sz w:val="24"/>
        </w:rPr>
        <w:t>lai tās objektīvi pildītu savas funkcijas GREVIO interesēs, nevis personiskā labuma gūšanai</w:t>
      </w:r>
      <w:r>
        <w:rPr>
          <w:rFonts w:ascii="Times New Roman" w:hAnsi="Times New Roman"/>
          <w:i/>
          <w:iCs/>
          <w:sz w:val="24"/>
        </w:rPr>
        <w:t>”</w:t>
      </w:r>
      <w:r>
        <w:rPr>
          <w:rFonts w:ascii="Times New Roman" w:hAnsi="Times New Roman"/>
          <w:sz w:val="24"/>
        </w:rPr>
        <w:t xml:space="preserve"> (6. punkts). Imunitāti pret tiesas procesiem saistībā ar izrunātiem vai rakstītiem vārdiem un visām darbībām, ko attiecīgās personas veikušas, pildot savus pienākumus, tām turpina piešķirt arī pēc tam, kad tās vairs nepilda savus pienākumus.</w:t>
      </w:r>
    </w:p>
    <w:p w14:paraId="0AC344AC" w14:textId="77777777" w:rsidR="008E3B77" w:rsidRPr="0087409D" w:rsidRDefault="008E3B77" w:rsidP="0087409D">
      <w:pPr>
        <w:jc w:val="both"/>
        <w:rPr>
          <w:rFonts w:ascii="Times New Roman" w:eastAsia="Arial" w:hAnsi="Times New Roman" w:cs="Arial"/>
          <w:noProof/>
          <w:sz w:val="24"/>
        </w:rPr>
      </w:pPr>
    </w:p>
    <w:p w14:paraId="002E34EF" w14:textId="2CBF55A6" w:rsidR="008E3B77" w:rsidRPr="0087409D" w:rsidRDefault="00C74FA4" w:rsidP="00C74FA4">
      <w:pPr>
        <w:pStyle w:val="BodyText"/>
        <w:tabs>
          <w:tab w:val="left" w:pos="565"/>
        </w:tabs>
        <w:ind w:left="0"/>
        <w:jc w:val="both"/>
        <w:rPr>
          <w:rFonts w:ascii="Times New Roman" w:hAnsi="Times New Roman"/>
          <w:noProof/>
          <w:sz w:val="24"/>
        </w:rPr>
      </w:pPr>
      <w:r>
        <w:rPr>
          <w:rFonts w:ascii="Times New Roman" w:hAnsi="Times New Roman"/>
          <w:sz w:val="24"/>
        </w:rPr>
        <w:t xml:space="preserve">90. Dažkārt tiek kritizēta </w:t>
      </w:r>
      <w:r>
        <w:rPr>
          <w:rFonts w:ascii="Times New Roman" w:hAnsi="Times New Roman"/>
          <w:i/>
          <w:sz w:val="24"/>
        </w:rPr>
        <w:t>GREVIO</w:t>
      </w:r>
      <w:r>
        <w:rPr>
          <w:rFonts w:ascii="Times New Roman" w:hAnsi="Times New Roman"/>
          <w:sz w:val="24"/>
        </w:rPr>
        <w:t xml:space="preserve"> kompetence, jo īpaši tās biedriem piešķirtās privilēģijas un imunitāte, un tiek apgalvots, ka tādā veidā valsts suverenitāte tiek </w:t>
      </w:r>
      <w:r>
        <w:rPr>
          <w:rFonts w:ascii="Times New Roman" w:hAnsi="Times New Roman"/>
          <w:i/>
          <w:sz w:val="24"/>
        </w:rPr>
        <w:t xml:space="preserve">de facto </w:t>
      </w:r>
      <w:r>
        <w:rPr>
          <w:rFonts w:ascii="Times New Roman" w:hAnsi="Times New Roman"/>
          <w:sz w:val="24"/>
        </w:rPr>
        <w:t>nodota ārējai struktūrai, kas nav ievēlēta.</w:t>
      </w:r>
      <w:r>
        <w:rPr>
          <w:rStyle w:val="FootnoteReference"/>
          <w:rFonts w:ascii="Times New Roman" w:hAnsi="Times New Roman"/>
          <w:noProof/>
          <w:sz w:val="24"/>
        </w:rPr>
        <w:footnoteReference w:id="113"/>
      </w:r>
      <w:r>
        <w:rPr>
          <w:rFonts w:ascii="Times New Roman" w:hAnsi="Times New Roman"/>
          <w:sz w:val="24"/>
        </w:rPr>
        <w:t xml:space="preserve"> Tomēr šāds novērtējums ir nepamatots. </w:t>
      </w:r>
      <w:r>
        <w:rPr>
          <w:rFonts w:ascii="Times New Roman" w:hAnsi="Times New Roman"/>
          <w:i/>
          <w:sz w:val="24"/>
        </w:rPr>
        <w:t>GREVIO</w:t>
      </w:r>
      <w:r>
        <w:rPr>
          <w:rFonts w:ascii="Times New Roman" w:hAnsi="Times New Roman"/>
          <w:sz w:val="24"/>
        </w:rPr>
        <w:t xml:space="preserve"> kompetence nav starptautiskai struktūrai neparasta. Faktiski tās kompetence ir diezgan ierobežota, jo tā, piemēram, neietver tiesības saņemt starpvalstu vai individuālas sūdzības. Turklāt </w:t>
      </w:r>
      <w:r>
        <w:rPr>
          <w:rFonts w:ascii="Times New Roman" w:hAnsi="Times New Roman"/>
          <w:i/>
          <w:sz w:val="24"/>
        </w:rPr>
        <w:t>GREVIO</w:t>
      </w:r>
      <w:r>
        <w:rPr>
          <w:rFonts w:ascii="Times New Roman" w:hAnsi="Times New Roman"/>
          <w:sz w:val="24"/>
        </w:rPr>
        <w:t xml:space="preserve"> nedrīkst izdot saistošus secinājumus, un ieteikumi, pamatojoties uz tās ziņojumiem, jāizdod Pušu komitejai, nevis pašai </w:t>
      </w:r>
      <w:r>
        <w:rPr>
          <w:rFonts w:ascii="Times New Roman" w:hAnsi="Times New Roman"/>
          <w:i/>
          <w:sz w:val="24"/>
        </w:rPr>
        <w:t>GREVIO</w:t>
      </w:r>
      <w:r>
        <w:rPr>
          <w:rFonts w:ascii="Times New Roman" w:hAnsi="Times New Roman"/>
          <w:sz w:val="24"/>
        </w:rPr>
        <w:t xml:space="preserve">. Privilēģiju un imunitāšu esamība un apmērs arī nav iepriekš nepieredzēts. Papildinājuma pamatā ir </w:t>
      </w:r>
      <w:r>
        <w:rPr>
          <w:rFonts w:ascii="Times New Roman" w:hAnsi="Times New Roman"/>
          <w:i/>
          <w:sz w:val="24"/>
        </w:rPr>
        <w:t>Eiropas Padomes Vispārējā vienošanās par privilēģijām un imunitāti</w:t>
      </w:r>
      <w:r>
        <w:rPr>
          <w:rFonts w:ascii="Times New Roman" w:hAnsi="Times New Roman"/>
          <w:sz w:val="24"/>
        </w:rPr>
        <w:t xml:space="preserve">, kas ir spēkā kopš 1952. gada, un tajā ir pārņemti daži šīs vienošanās noteikumi, lai tie būtu tieši piemērojami valstīm, kuras nav Eiropas Padomes dalībvalstis (un nav parakstījušas Eiropas Padomes Vispārējo vienošanos), bet kuras var nolemt pievienoties Stambulas konvencijai. Tādējādi Stambulas konvencijas ratifikācija nav saistīta ne ar kādu </w:t>
      </w:r>
      <w:r>
        <w:rPr>
          <w:rFonts w:ascii="Times New Roman" w:hAnsi="Times New Roman"/>
          <w:i/>
          <w:sz w:val="24"/>
        </w:rPr>
        <w:t>de facto</w:t>
      </w:r>
      <w:r>
        <w:rPr>
          <w:rFonts w:ascii="Times New Roman" w:hAnsi="Times New Roman"/>
          <w:sz w:val="24"/>
        </w:rPr>
        <w:t xml:space="preserve">, nemaz nerunājot par </w:t>
      </w:r>
      <w:r>
        <w:rPr>
          <w:rFonts w:ascii="Times New Roman" w:hAnsi="Times New Roman"/>
          <w:i/>
          <w:sz w:val="24"/>
        </w:rPr>
        <w:t>de jure</w:t>
      </w:r>
      <w:r>
        <w:rPr>
          <w:rFonts w:ascii="Times New Roman" w:hAnsi="Times New Roman"/>
          <w:sz w:val="24"/>
        </w:rPr>
        <w:t>, valsts suverenitātes nodošanu ārējai struktūrai.</w:t>
      </w:r>
    </w:p>
    <w:p w14:paraId="07B15C04" w14:textId="77777777" w:rsidR="008E3B77" w:rsidRPr="0087409D" w:rsidRDefault="008E3B77" w:rsidP="0087409D">
      <w:pPr>
        <w:jc w:val="both"/>
        <w:rPr>
          <w:rFonts w:ascii="Times New Roman" w:eastAsia="Arial" w:hAnsi="Times New Roman" w:cs="Arial"/>
          <w:noProof/>
          <w:sz w:val="24"/>
          <w:szCs w:val="21"/>
        </w:rPr>
      </w:pPr>
    </w:p>
    <w:p w14:paraId="3A23B8DB" w14:textId="22B750B8" w:rsidR="008E3B77" w:rsidRPr="0087409D" w:rsidRDefault="00C74FA4" w:rsidP="00C74FA4">
      <w:pPr>
        <w:tabs>
          <w:tab w:val="left" w:pos="1114"/>
        </w:tabs>
        <w:jc w:val="both"/>
        <w:rPr>
          <w:rFonts w:ascii="Times New Roman" w:hAnsi="Times New Roman"/>
          <w:b/>
          <w:noProof/>
          <w:sz w:val="24"/>
        </w:rPr>
      </w:pPr>
      <w:r>
        <w:rPr>
          <w:rFonts w:ascii="Times New Roman" w:hAnsi="Times New Roman"/>
          <w:b/>
          <w:sz w:val="24"/>
        </w:rPr>
        <w:t>E. Stambulas konvencija – vai ar to tiek paredzēta patvēruma piešķiršana, pamatojoties uz dzimumu?</w:t>
      </w:r>
    </w:p>
    <w:p w14:paraId="077782A5" w14:textId="77777777" w:rsidR="008E3B77" w:rsidRPr="0087409D" w:rsidRDefault="008E3B77" w:rsidP="0087409D">
      <w:pPr>
        <w:jc w:val="both"/>
        <w:rPr>
          <w:rFonts w:ascii="Times New Roman" w:eastAsia="Arial" w:hAnsi="Times New Roman" w:cs="Arial"/>
          <w:b/>
          <w:bCs/>
          <w:noProof/>
          <w:sz w:val="24"/>
        </w:rPr>
      </w:pPr>
    </w:p>
    <w:p w14:paraId="0EDB9703" w14:textId="128C9AA5" w:rsidR="008E3B77" w:rsidRDefault="00C74FA4" w:rsidP="00C74FA4">
      <w:pPr>
        <w:pStyle w:val="BodyText"/>
        <w:tabs>
          <w:tab w:val="left" w:pos="596"/>
        </w:tabs>
        <w:ind w:left="0"/>
        <w:jc w:val="both"/>
        <w:rPr>
          <w:rFonts w:ascii="Times New Roman" w:hAnsi="Times New Roman"/>
          <w:noProof/>
          <w:sz w:val="24"/>
        </w:rPr>
      </w:pPr>
      <w:r>
        <w:rPr>
          <w:rFonts w:ascii="Times New Roman" w:hAnsi="Times New Roman"/>
          <w:sz w:val="24"/>
        </w:rPr>
        <w:t>91. Stambulas konvencijas VII nodaļa attiecas uz migrāciju un patvērumu, un tajā ir ietvertas vairākas pozitīvas saistības dalībvalstīm, jo īpaši tās 60. pantā, kurā noteikts:</w:t>
      </w:r>
    </w:p>
    <w:p w14:paraId="37156689" w14:textId="77777777" w:rsidR="00C74FA4" w:rsidRPr="0087409D" w:rsidRDefault="00C74FA4" w:rsidP="00C74FA4">
      <w:pPr>
        <w:pStyle w:val="BodyText"/>
        <w:tabs>
          <w:tab w:val="left" w:pos="596"/>
        </w:tabs>
        <w:ind w:left="0"/>
        <w:jc w:val="both"/>
        <w:rPr>
          <w:rFonts w:ascii="Times New Roman" w:hAnsi="Times New Roman"/>
          <w:noProof/>
          <w:sz w:val="24"/>
        </w:rPr>
      </w:pPr>
    </w:p>
    <w:p w14:paraId="193D01DE" w14:textId="77777777" w:rsidR="008E3B77" w:rsidRPr="0087409D" w:rsidRDefault="008E3B77" w:rsidP="00C74FA4">
      <w:pPr>
        <w:ind w:left="426"/>
        <w:jc w:val="both"/>
        <w:rPr>
          <w:rFonts w:ascii="Times New Roman" w:eastAsia="Arial" w:hAnsi="Times New Roman" w:cs="Arial"/>
          <w:i/>
          <w:noProof/>
          <w:sz w:val="24"/>
        </w:rPr>
      </w:pPr>
      <w:r>
        <w:rPr>
          <w:rFonts w:ascii="Times New Roman" w:hAnsi="Times New Roman"/>
          <w:i/>
          <w:sz w:val="24"/>
        </w:rPr>
        <w:t>“60. pants. Patvēruma pieteikumi ar dzimumu saistītas vardarbības dēļ</w:t>
      </w:r>
    </w:p>
    <w:p w14:paraId="547D68D4" w14:textId="7EA673F3" w:rsidR="008E3B77" w:rsidRPr="0087409D" w:rsidRDefault="00C74FA4" w:rsidP="00C74FA4">
      <w:pPr>
        <w:tabs>
          <w:tab w:val="left" w:pos="687"/>
        </w:tabs>
        <w:ind w:left="426"/>
        <w:jc w:val="both"/>
        <w:rPr>
          <w:rFonts w:ascii="Times New Roman" w:hAnsi="Times New Roman"/>
          <w:i/>
          <w:noProof/>
          <w:sz w:val="24"/>
        </w:rPr>
      </w:pPr>
      <w:r>
        <w:rPr>
          <w:rFonts w:ascii="Times New Roman" w:hAnsi="Times New Roman"/>
          <w:i/>
          <w:sz w:val="24"/>
        </w:rPr>
        <w:t>1. Konvencijas dalībvalstis pieņem normatīvos aktus vai veic citus pasākumus, kas vajadzīgi, lai nodrošinātu to, ka ar dzimumu saistīta vardarbība pret sievietēm var tikt atzīta par vajāšanu 1951. gada Konvencijas par bēgļa statusu 1. daļas A punkta 2) apakšpunkta izpratnē un par būtisku kaitējumu, kas ir pamats papildu aizsardzībai.</w:t>
      </w:r>
    </w:p>
    <w:p w14:paraId="6A2B7C48" w14:textId="6E410C33" w:rsidR="008E3B77" w:rsidRPr="0087409D" w:rsidRDefault="00C74FA4" w:rsidP="00C74FA4">
      <w:pPr>
        <w:tabs>
          <w:tab w:val="left" w:pos="687"/>
        </w:tabs>
        <w:ind w:left="426"/>
        <w:jc w:val="both"/>
        <w:rPr>
          <w:rFonts w:ascii="Times New Roman" w:hAnsi="Times New Roman"/>
          <w:i/>
          <w:noProof/>
          <w:sz w:val="24"/>
        </w:rPr>
      </w:pPr>
      <w:r>
        <w:rPr>
          <w:rFonts w:ascii="Times New Roman" w:hAnsi="Times New Roman"/>
          <w:i/>
          <w:sz w:val="24"/>
        </w:rPr>
        <w:t>2. Konvencijas dalībvalstis nodrošina to, ka, interpretējot ikvienu Konvencijā minēto pamatu, tiek ievērots dzimumu līdztiesības princips un ka tad, ja tiek konstatēts, ka pastāv bažas par vajāšanu viena vai vairāku pamatu dēļ, pieteikuma iesniedzējam piešķir bēgļa statusu saskaņā ar attiecīgajiem spēkā esošajiem tiesību aktiem.</w:t>
      </w:r>
    </w:p>
    <w:p w14:paraId="214BCC3F" w14:textId="592401CC" w:rsidR="008E3B77" w:rsidRPr="0087409D" w:rsidRDefault="00C74FA4" w:rsidP="00C74FA4">
      <w:pPr>
        <w:tabs>
          <w:tab w:val="left" w:pos="687"/>
        </w:tabs>
        <w:ind w:left="426"/>
        <w:jc w:val="both"/>
        <w:rPr>
          <w:rFonts w:ascii="Times New Roman" w:eastAsia="Arial" w:hAnsi="Times New Roman" w:cs="Arial"/>
          <w:i/>
          <w:noProof/>
          <w:sz w:val="24"/>
        </w:rPr>
      </w:pPr>
      <w:r>
        <w:rPr>
          <w:rFonts w:ascii="Times New Roman" w:hAnsi="Times New Roman"/>
          <w:i/>
          <w:sz w:val="24"/>
        </w:rPr>
        <w:t xml:space="preserve">3. Konvencijas dalībvalstis pieņem normatīvos aktus vai veic citus pasākumus, kas vajadzīgi, lai izveidotu dzimumu līdztiesības principam atbilstošas reģistrācijas procedūras un atbalsta pakalpojumus patvēruma meklētājiem, kā arī dzimumu līdztiesības vadlīnijas un dzimumu līdztiesības principam atbilstošas patvēruma piešķiršanas procedūras, tostarp attiecībā uz bēgļa statusa konstatēšanu un pieteikumiem </w:t>
      </w:r>
      <w:r>
        <w:rPr>
          <w:rFonts w:ascii="Times New Roman" w:hAnsi="Times New Roman"/>
          <w:i/>
          <w:sz w:val="24"/>
        </w:rPr>
        <w:lastRenderedPageBreak/>
        <w:t>starptautiskas aizsardzības nodrošināšanai.</w:t>
      </w:r>
    </w:p>
    <w:p w14:paraId="73E74A8D" w14:textId="77777777" w:rsidR="008E3B77" w:rsidRPr="0087409D" w:rsidRDefault="008E3B77" w:rsidP="0087409D">
      <w:pPr>
        <w:jc w:val="both"/>
        <w:rPr>
          <w:rFonts w:ascii="Times New Roman" w:eastAsia="Arial" w:hAnsi="Times New Roman" w:cs="Arial"/>
          <w:i/>
          <w:noProof/>
          <w:sz w:val="24"/>
          <w:szCs w:val="21"/>
        </w:rPr>
      </w:pPr>
    </w:p>
    <w:p w14:paraId="0B23EFDF" w14:textId="7544CAEF" w:rsidR="008E3B77" w:rsidRPr="0087409D" w:rsidRDefault="00C74FA4" w:rsidP="00C74FA4">
      <w:pPr>
        <w:pStyle w:val="BodyText"/>
        <w:tabs>
          <w:tab w:val="left" w:pos="610"/>
        </w:tabs>
        <w:ind w:left="0"/>
        <w:jc w:val="both"/>
        <w:rPr>
          <w:rFonts w:ascii="Times New Roman" w:hAnsi="Times New Roman"/>
          <w:noProof/>
          <w:sz w:val="24"/>
        </w:rPr>
      </w:pPr>
      <w:r>
        <w:rPr>
          <w:rFonts w:ascii="Times New Roman" w:hAnsi="Times New Roman"/>
          <w:sz w:val="24"/>
        </w:rPr>
        <w:t>92. Skaidrojošā ziņojuma 310. punktā ir skaidri norādīts, ka Stambulas konvencijas 60. pantā ir paredzēts kodificēt notikumus (</w:t>
      </w:r>
      <w:r>
        <w:rPr>
          <w:rFonts w:ascii="Times New Roman" w:hAnsi="Times New Roman"/>
          <w:i/>
          <w:iCs/>
          <w:sz w:val="24"/>
        </w:rPr>
        <w:t>inter alia</w:t>
      </w:r>
      <w:r>
        <w:rPr>
          <w:rFonts w:ascii="Times New Roman" w:hAnsi="Times New Roman"/>
          <w:sz w:val="24"/>
        </w:rPr>
        <w:t>) ECT judikatūrā, atzīstot, ka var būt nepieciešama aizsardzība no dažiem vardarbības pret sievietēm veidiem. Ievērojams ECT judikatūras piemērs ir spriedums lietā “N. pret Zviedriju”,</w:t>
      </w:r>
      <w:r>
        <w:rPr>
          <w:rStyle w:val="FootnoteReference"/>
          <w:rFonts w:ascii="Times New Roman" w:hAnsi="Times New Roman" w:cs="Arial"/>
          <w:noProof/>
          <w:sz w:val="24"/>
        </w:rPr>
        <w:footnoteReference w:id="114"/>
      </w:r>
      <w:r>
        <w:rPr>
          <w:rFonts w:ascii="Times New Roman" w:hAnsi="Times New Roman"/>
          <w:sz w:val="24"/>
        </w:rPr>
        <w:t xml:space="preserve"> kurā Tiesa norādīja, ka saskaņā ar ziņojumiem aptuveni 80 % afgāņu sieviešu ir cietušas no vardarbības ģimenē – no darbībām, kuras iestādes uzskatīja par likumīgām, tāpēc saistībā ar tām kriminālprocesus neuzsāka. Spriedumā lietā “N. pret Zviedriju” 55. punktā ir noteikts:</w:t>
      </w:r>
    </w:p>
    <w:p w14:paraId="7CB6002C" w14:textId="77777777" w:rsidR="008E3B77" w:rsidRPr="0087409D" w:rsidRDefault="008E3B77" w:rsidP="0087409D">
      <w:pPr>
        <w:jc w:val="both"/>
        <w:rPr>
          <w:rFonts w:ascii="Times New Roman" w:hAnsi="Times New Roman"/>
          <w:noProof/>
          <w:sz w:val="24"/>
        </w:rPr>
      </w:pPr>
    </w:p>
    <w:p w14:paraId="73CE9BD3" w14:textId="7515D8A7" w:rsidR="008E3B77" w:rsidRPr="0087409D" w:rsidRDefault="008E3B77" w:rsidP="00C74FA4">
      <w:pPr>
        <w:ind w:left="426"/>
        <w:jc w:val="both"/>
        <w:rPr>
          <w:rFonts w:ascii="Times New Roman" w:eastAsia="Arial" w:hAnsi="Times New Roman" w:cs="Arial"/>
          <w:i/>
          <w:noProof/>
          <w:sz w:val="24"/>
        </w:rPr>
      </w:pPr>
      <w:r>
        <w:rPr>
          <w:rFonts w:ascii="Times New Roman" w:hAnsi="Times New Roman"/>
          <w:i/>
          <w:sz w:val="24"/>
        </w:rPr>
        <w:t>“55. Pirmkārt, Tiesa norāda, ka Afganistānā sievietes ir īpaši pakļautas sliktas izturēšanās riskam, ja uzskata, ka tās nepilda atbilstošā dzimuma lomu, kuru viņām noteikusi sabiedrība, tradīcijas un pat tiesību sistēma. Tādējādi ANO augstais komisārs bēgļu jautājumos atzina, ka tās afgāņu sievietes, kas ir izvēlējušās mazāk kulturāli konservatīvu dzīvesveidu, piemēram, sievietes, kas atgriezušās no trimdas Irānā vai Eiropā, joprojām uzskata par pārkāpušām iesakņojušās sociālās un reliģiskās normas, tāpēc viņas var tikt pakļautas vardarbībai ģimenē un citiem sodīšanas veidiem, sākot no izolācijas un stigmatizācijas līdz goda aizstāvēšanas noziegumiem pret tām sievietēm, kas apsūdzētas par kauna radīšanu savai ģimenei, kopienai vai ciltij. Sociālās uzvedības kodeksa faktisko vai pieļauto pārkāpumu vidū ir ne tikai sociālā uzvedība ģimenes vai kopienas vidē, bet arī dzimumorientācija, profesionālas karjeras veidošana un vienkāršas domstarpības par ģimenes dzīves norisi.”</w:t>
      </w:r>
    </w:p>
    <w:p w14:paraId="583CF259" w14:textId="77777777" w:rsidR="008E3B77" w:rsidRPr="0087409D" w:rsidRDefault="008E3B77" w:rsidP="0087409D">
      <w:pPr>
        <w:jc w:val="both"/>
        <w:rPr>
          <w:rFonts w:ascii="Times New Roman" w:eastAsia="Arial" w:hAnsi="Times New Roman" w:cs="Arial"/>
          <w:i/>
          <w:noProof/>
          <w:sz w:val="24"/>
        </w:rPr>
      </w:pPr>
    </w:p>
    <w:p w14:paraId="352A348C" w14:textId="51412316" w:rsidR="008E3B77" w:rsidRPr="0087409D" w:rsidRDefault="00C74FA4" w:rsidP="00C74FA4">
      <w:pPr>
        <w:pStyle w:val="BodyText"/>
        <w:tabs>
          <w:tab w:val="left" w:pos="600"/>
        </w:tabs>
        <w:ind w:left="0"/>
        <w:jc w:val="both"/>
        <w:rPr>
          <w:rFonts w:ascii="Times New Roman" w:hAnsi="Times New Roman"/>
          <w:noProof/>
          <w:sz w:val="24"/>
        </w:rPr>
      </w:pPr>
      <w:r>
        <w:rPr>
          <w:rFonts w:ascii="Times New Roman" w:hAnsi="Times New Roman"/>
          <w:sz w:val="24"/>
        </w:rPr>
        <w:t xml:space="preserve">93. Tāpat Stambulas konvencija aicina dalībvalstis atzīt, ka tāda vardarbība kā izvarošana, sieviešu dzimumorgānu kropļošana, vardarbība, kas saistīta ar mantojumu, smaga vardarbība ģimenē vai cilvēku tirdzniecība var būt pielīdzināma vajāšanai vai nopietnam kaitējumam un tās gadījumā var tikt piešķirts pastāvīgas uzturēšanās statuss. Stambulas konvencijas ratifikācija nenozīmē, ka visa ar dzimumu saistīta vardarbība automātiski tiek uzskatīta par “nopietnu kaitējumu” vai ka, pieņemot dzimumu līdztiesības principam atbilstošu pieeju, visām sievietēm automātiski būs tiesības uz bēgļa statusu. Tajā ir tikai atzīts, ka sievietes var saskarties ar noteiktiem vajāšanas veidiem, kas viņas īpaši ietekmē. Skaidrojošā ziņojuma 313. punktā ir skaidri noteikts, ka valstis “var, ja to vēlas”, paplašināt interpretāciju, attiecinot to uz personām, kas ir geji, lesbietes, biseksuāļi vai transpersonas un kas arī var būt pakļautas īpašām ar dzimumu saistītas vajāšanas un vardarbības formām. Tomēr </w:t>
      </w:r>
      <w:r>
        <w:rPr>
          <w:rFonts w:ascii="Times New Roman" w:hAnsi="Times New Roman"/>
          <w:i/>
          <w:sz w:val="24"/>
        </w:rPr>
        <w:t>“(..) šā punkta</w:t>
      </w:r>
      <w:r>
        <w:rPr>
          <w:rFonts w:ascii="Times New Roman" w:hAnsi="Times New Roman"/>
          <w:sz w:val="24"/>
        </w:rPr>
        <w:t xml:space="preserve"> [311. punkts] </w:t>
      </w:r>
      <w:r>
        <w:rPr>
          <w:rFonts w:ascii="Times New Roman" w:hAnsi="Times New Roman"/>
          <w:i/>
          <w:sz w:val="24"/>
        </w:rPr>
        <w:t>mērķis nav atcelt 1951. gada konvencijas</w:t>
      </w:r>
      <w:r>
        <w:rPr>
          <w:rFonts w:ascii="Times New Roman" w:hAnsi="Times New Roman"/>
          <w:sz w:val="24"/>
        </w:rPr>
        <w:t xml:space="preserve"> [Ženēvas konvencija </w:t>
      </w:r>
      <w:r>
        <w:rPr>
          <w:rFonts w:ascii="Times New Roman" w:hAnsi="Times New Roman"/>
          <w:color w:val="212121"/>
          <w:sz w:val="24"/>
        </w:rPr>
        <w:t>par bēgļu</w:t>
      </w:r>
      <w:r>
        <w:rPr>
          <w:rFonts w:ascii="Times New Roman" w:hAnsi="Times New Roman"/>
          <w:sz w:val="24"/>
        </w:rPr>
        <w:t xml:space="preserve"> statusu] </w:t>
      </w:r>
      <w:r>
        <w:rPr>
          <w:rFonts w:ascii="Times New Roman" w:hAnsi="Times New Roman"/>
          <w:i/>
          <w:sz w:val="24"/>
        </w:rPr>
        <w:t>noteikumus, jo īpaši attiecībā uz minētās konvencijas 1. pantā paredzētajiem bēgļa statusa piešķiršanas nosacījumiem”</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Tāpēc Stambulas konvencija negroza 1951. gada Ženēvas </w:t>
      </w:r>
      <w:r>
        <w:rPr>
          <w:rFonts w:ascii="Times New Roman" w:hAnsi="Times New Roman"/>
          <w:color w:val="212121"/>
          <w:sz w:val="24"/>
        </w:rPr>
        <w:t>konvenciju par bēgļu statusu</w:t>
      </w:r>
      <w:r>
        <w:rPr>
          <w:rFonts w:ascii="Times New Roman" w:hAnsi="Times New Roman"/>
          <w:sz w:val="24"/>
        </w:rPr>
        <w:t>.</w:t>
      </w:r>
    </w:p>
    <w:p w14:paraId="2F2EAE23" w14:textId="77777777" w:rsidR="008E3B77" w:rsidRPr="0087409D" w:rsidRDefault="008E3B77" w:rsidP="0087409D">
      <w:pPr>
        <w:jc w:val="both"/>
        <w:rPr>
          <w:rFonts w:ascii="Times New Roman" w:eastAsia="Arial" w:hAnsi="Times New Roman" w:cs="Arial"/>
          <w:noProof/>
          <w:sz w:val="24"/>
        </w:rPr>
      </w:pPr>
    </w:p>
    <w:p w14:paraId="2CDB2EF0" w14:textId="43ED0DF5" w:rsidR="008E3B77" w:rsidRPr="0087409D" w:rsidRDefault="00C74FA4" w:rsidP="00C74FA4">
      <w:pPr>
        <w:pStyle w:val="BodyText"/>
        <w:tabs>
          <w:tab w:val="left" w:pos="533"/>
        </w:tabs>
        <w:ind w:left="0"/>
        <w:jc w:val="both"/>
        <w:rPr>
          <w:rFonts w:ascii="Times New Roman" w:hAnsi="Times New Roman"/>
          <w:noProof/>
          <w:sz w:val="24"/>
        </w:rPr>
      </w:pPr>
      <w:r>
        <w:rPr>
          <w:rFonts w:ascii="Times New Roman" w:hAnsi="Times New Roman"/>
          <w:sz w:val="24"/>
        </w:rPr>
        <w:t>94. Tāpēc Stambulas konvencijā noteiktās saistības nepārsniedz tās saistības, kas izriet no ECK un ECT judikatūras. Bažas par to, ka, ratificējot Stambulas konvenciju, tiktu ieviestas jaunas saistības patvēruma tiesību jomā, nešķiet pamatotas.</w:t>
      </w:r>
    </w:p>
    <w:p w14:paraId="6FA465D5" w14:textId="77777777" w:rsidR="008E3B77" w:rsidRPr="0087409D" w:rsidRDefault="008E3B77" w:rsidP="0087409D">
      <w:pPr>
        <w:jc w:val="both"/>
        <w:rPr>
          <w:rFonts w:ascii="Times New Roman" w:eastAsia="Arial" w:hAnsi="Times New Roman" w:cs="Arial"/>
          <w:noProof/>
          <w:sz w:val="24"/>
        </w:rPr>
      </w:pPr>
    </w:p>
    <w:p w14:paraId="10E38282" w14:textId="3750A1EE" w:rsidR="008E3B77" w:rsidRPr="0087409D" w:rsidRDefault="00C74FA4" w:rsidP="00C74FA4">
      <w:pPr>
        <w:pStyle w:val="BodyText"/>
        <w:tabs>
          <w:tab w:val="left" w:pos="578"/>
        </w:tabs>
        <w:ind w:left="0"/>
        <w:jc w:val="both"/>
        <w:rPr>
          <w:rFonts w:ascii="Times New Roman" w:hAnsi="Times New Roman"/>
          <w:noProof/>
          <w:sz w:val="24"/>
        </w:rPr>
      </w:pPr>
      <w:r>
        <w:rPr>
          <w:rFonts w:ascii="Times New Roman" w:hAnsi="Times New Roman"/>
          <w:sz w:val="24"/>
        </w:rPr>
        <w:t xml:space="preserve">95. Tādējādi šķiet, ka izpratnes radīšana par dzimumu līdztiesības aspektiem, kas saistīti ar vardarbību pret migrantēm un patvēruma meklētājām sievietēm un meitenēm ir saskaņā ar Armēnijas Konstitūciju – divu pret vardarbību saistībā ar dzimumu un vardarbību ģimenē īpaši neaizsargātu cilvēku apakškategoriju, kurām nepieciešama valsts aizsardzība, izveide, </w:t>
      </w:r>
      <w:r>
        <w:rPr>
          <w:rFonts w:ascii="Times New Roman" w:hAnsi="Times New Roman"/>
          <w:sz w:val="24"/>
        </w:rPr>
        <w:lastRenderedPageBreak/>
        <w:t>iedvesmojoties no pamattiesību aizsardzības, jo īpaši tiesību uz dzīvību, tiesību uz veselību un tiesību uz cilvēka cieņu aizsardzības, atbilst Armēnijas Konstitūcijas 30. pantam un 86. panta 4. punktam.</w:t>
      </w:r>
    </w:p>
    <w:p w14:paraId="03127EE3" w14:textId="77777777" w:rsidR="008E3B77" w:rsidRPr="0087409D" w:rsidRDefault="008E3B77" w:rsidP="0087409D">
      <w:pPr>
        <w:jc w:val="both"/>
        <w:rPr>
          <w:rFonts w:ascii="Times New Roman" w:eastAsia="Arial" w:hAnsi="Times New Roman" w:cs="Arial"/>
          <w:noProof/>
          <w:sz w:val="24"/>
        </w:rPr>
      </w:pPr>
    </w:p>
    <w:p w14:paraId="779A6CC7" w14:textId="4E934B68" w:rsidR="008E3B77" w:rsidRPr="0087409D" w:rsidRDefault="00C74FA4" w:rsidP="00C74FA4">
      <w:pPr>
        <w:pStyle w:val="Heading1"/>
        <w:tabs>
          <w:tab w:val="left" w:pos="814"/>
        </w:tabs>
        <w:ind w:left="0" w:firstLine="0"/>
        <w:jc w:val="both"/>
        <w:rPr>
          <w:rFonts w:ascii="Times New Roman" w:hAnsi="Times New Roman"/>
          <w:noProof/>
          <w:sz w:val="24"/>
        </w:rPr>
      </w:pPr>
      <w:bookmarkStart w:id="10" w:name="_Toc39749333"/>
      <w:r>
        <w:rPr>
          <w:rFonts w:ascii="Times New Roman" w:hAnsi="Times New Roman"/>
          <w:sz w:val="24"/>
        </w:rPr>
        <w:t>VI. Secinājumi</w:t>
      </w:r>
      <w:bookmarkStart w:id="11" w:name="_bookmark6"/>
      <w:bookmarkEnd w:id="11"/>
      <w:bookmarkEnd w:id="10"/>
    </w:p>
    <w:p w14:paraId="7A4C15D6" w14:textId="77777777" w:rsidR="008E3B77" w:rsidRPr="0087409D" w:rsidRDefault="008E3B77" w:rsidP="0087409D">
      <w:pPr>
        <w:jc w:val="both"/>
        <w:rPr>
          <w:rFonts w:ascii="Times New Roman" w:eastAsia="Arial" w:hAnsi="Times New Roman" w:cs="Arial"/>
          <w:b/>
          <w:bCs/>
          <w:noProof/>
          <w:sz w:val="24"/>
        </w:rPr>
      </w:pPr>
    </w:p>
    <w:p w14:paraId="53EEBA23" w14:textId="270FCBA6" w:rsidR="008E3B77" w:rsidRPr="0087409D" w:rsidRDefault="00C74FA4" w:rsidP="00C74FA4">
      <w:pPr>
        <w:pStyle w:val="BodyText"/>
        <w:tabs>
          <w:tab w:val="left" w:pos="542"/>
        </w:tabs>
        <w:ind w:left="0"/>
        <w:jc w:val="both"/>
        <w:rPr>
          <w:rFonts w:ascii="Times New Roman" w:hAnsi="Times New Roman"/>
          <w:noProof/>
          <w:sz w:val="24"/>
        </w:rPr>
      </w:pPr>
      <w:r>
        <w:rPr>
          <w:rFonts w:ascii="Times New Roman" w:hAnsi="Times New Roman"/>
          <w:sz w:val="24"/>
        </w:rPr>
        <w:t>96. Venēcijas komisija atkārtoti uzsver, ka līguma ratifikācija ir valsts suverēns akts, kas nozīmē, ka valsts ir pilnīgi brīva savā izvēlē ratificēt vai neratificēt līgumu un tā rezultātā uzņemties tajā noteiktās saistības. Valsts suverēns akts ir arī tās saiknes veida izvēle, kuru tā vēlas izveidot starp savu valsts un starptautisko tiesisko regulējumu, t. i., kāds pēc līguma ratifikācijas būs tā statuss valsts tiesiskajā regulējumā.</w:t>
      </w:r>
    </w:p>
    <w:p w14:paraId="0867B340" w14:textId="77777777" w:rsidR="008E3B77" w:rsidRPr="0087409D" w:rsidRDefault="008E3B77" w:rsidP="0087409D">
      <w:pPr>
        <w:jc w:val="both"/>
        <w:rPr>
          <w:rFonts w:ascii="Times New Roman" w:eastAsia="Arial" w:hAnsi="Times New Roman" w:cs="Arial"/>
          <w:noProof/>
          <w:sz w:val="24"/>
        </w:rPr>
      </w:pPr>
    </w:p>
    <w:p w14:paraId="0D544C42" w14:textId="342CF84E" w:rsidR="008E3B77" w:rsidRPr="0087409D" w:rsidRDefault="00C74FA4" w:rsidP="00C74FA4">
      <w:pPr>
        <w:pStyle w:val="BodyText"/>
        <w:tabs>
          <w:tab w:val="left" w:pos="547"/>
        </w:tabs>
        <w:ind w:left="0"/>
        <w:jc w:val="both"/>
        <w:rPr>
          <w:rFonts w:ascii="Times New Roman" w:hAnsi="Times New Roman"/>
          <w:noProof/>
          <w:sz w:val="24"/>
        </w:rPr>
      </w:pPr>
      <w:r>
        <w:rPr>
          <w:rFonts w:ascii="Times New Roman" w:hAnsi="Times New Roman"/>
          <w:sz w:val="24"/>
        </w:rPr>
        <w:t>97. Saskaņā ar Armēnijas Konstitūciju līguma, t. i., Eiropas Padomes Konvencijas par vardarbības pret sievietēm un vardarbības ģimenē novēršanu un apkarošanu (Stambulas konvencija), atbilstību Armēnijas Konstitūcijai novērtē Armēnijas Konstitucionālā tiesa pēc Armēnijas valdības lūguma pirms šā līguma ratificēšanas. Tādējādi Venēcijas komisijas paustie viedokļi var būt lietderīgi šai tiesai tās uzdevuma veikšanā, jo tā ir ārēja Stambulas konvencijas juridiskā analīze. Tie var arī būt vērtīgi sabiedriskajās diskusijās par šīs Konvencijas ratificēšanu.</w:t>
      </w:r>
    </w:p>
    <w:p w14:paraId="75FE47AE" w14:textId="77777777" w:rsidR="008E3B77" w:rsidRPr="0087409D" w:rsidRDefault="008E3B77" w:rsidP="0087409D">
      <w:pPr>
        <w:jc w:val="both"/>
        <w:rPr>
          <w:rFonts w:ascii="Times New Roman" w:eastAsia="Arial" w:hAnsi="Times New Roman" w:cs="Arial"/>
          <w:noProof/>
          <w:sz w:val="24"/>
        </w:rPr>
      </w:pPr>
    </w:p>
    <w:p w14:paraId="3710D7E5" w14:textId="282FA41D" w:rsidR="008E3B77" w:rsidRPr="0087409D" w:rsidRDefault="00C74FA4" w:rsidP="00C74FA4">
      <w:pPr>
        <w:pStyle w:val="BodyText"/>
        <w:tabs>
          <w:tab w:val="left" w:pos="528"/>
        </w:tabs>
        <w:ind w:left="0"/>
        <w:jc w:val="both"/>
        <w:rPr>
          <w:rFonts w:ascii="Times New Roman" w:hAnsi="Times New Roman"/>
          <w:noProof/>
          <w:sz w:val="24"/>
        </w:rPr>
      </w:pPr>
      <w:r>
        <w:rPr>
          <w:rFonts w:ascii="Times New Roman" w:hAnsi="Times New Roman"/>
          <w:sz w:val="24"/>
        </w:rPr>
        <w:t>98. Turpmāk tekstā ir minēti secinājumi par galvenajiem jautājumiem, kas radušies saistībā ar šo atzinumu.</w:t>
      </w:r>
    </w:p>
    <w:p w14:paraId="2ED3FEC7" w14:textId="77777777" w:rsidR="0087409D" w:rsidRPr="0087409D" w:rsidRDefault="0087409D" w:rsidP="0087409D">
      <w:pPr>
        <w:jc w:val="both"/>
        <w:rPr>
          <w:rFonts w:ascii="Times New Roman" w:hAnsi="Times New Roman"/>
          <w:noProof/>
          <w:sz w:val="24"/>
        </w:rPr>
      </w:pPr>
    </w:p>
    <w:p w14:paraId="102D5823" w14:textId="60EF4E72" w:rsidR="008E3B77" w:rsidRPr="0087409D" w:rsidRDefault="00C74FA4" w:rsidP="00C74FA4">
      <w:pPr>
        <w:tabs>
          <w:tab w:val="left" w:pos="528"/>
        </w:tabs>
        <w:jc w:val="both"/>
        <w:rPr>
          <w:rFonts w:ascii="Times New Roman" w:hAnsi="Times New Roman"/>
          <w:i/>
          <w:noProof/>
          <w:sz w:val="24"/>
        </w:rPr>
      </w:pPr>
      <w:r>
        <w:rPr>
          <w:rFonts w:ascii="Times New Roman" w:hAnsi="Times New Roman"/>
          <w:sz w:val="24"/>
          <w:szCs w:val="20"/>
        </w:rPr>
        <w:t>A.</w:t>
      </w:r>
      <w:r>
        <w:rPr>
          <w:rFonts w:ascii="Times New Roman" w:hAnsi="Times New Roman"/>
          <w:i/>
          <w:sz w:val="24"/>
        </w:rPr>
        <w:t> Attiecībā uz apgalvojumu, ka Stambulas konvencija nav vajadzīga</w:t>
      </w:r>
    </w:p>
    <w:p w14:paraId="369AF847" w14:textId="77777777" w:rsidR="008E3B77" w:rsidRPr="0087409D" w:rsidRDefault="008E3B77" w:rsidP="0087409D">
      <w:pPr>
        <w:jc w:val="both"/>
        <w:rPr>
          <w:rFonts w:ascii="Times New Roman" w:eastAsia="Arial" w:hAnsi="Times New Roman" w:cs="Arial"/>
          <w:i/>
          <w:noProof/>
          <w:sz w:val="24"/>
        </w:rPr>
      </w:pPr>
    </w:p>
    <w:p w14:paraId="72339328" w14:textId="28E6CBA3" w:rsidR="008E3B77" w:rsidRPr="0087409D" w:rsidRDefault="00C74FA4" w:rsidP="00C74FA4">
      <w:pPr>
        <w:pStyle w:val="BodyText"/>
        <w:tabs>
          <w:tab w:val="left" w:pos="586"/>
        </w:tabs>
        <w:ind w:left="0"/>
        <w:jc w:val="both"/>
        <w:rPr>
          <w:rFonts w:ascii="Times New Roman" w:hAnsi="Times New Roman"/>
          <w:noProof/>
          <w:sz w:val="24"/>
        </w:rPr>
      </w:pPr>
      <w:r>
        <w:rPr>
          <w:rFonts w:ascii="Times New Roman" w:hAnsi="Times New Roman"/>
          <w:sz w:val="24"/>
        </w:rPr>
        <w:t xml:space="preserve">99. Ir jāņem vērā trīs apgalvojumi. </w:t>
      </w:r>
      <w:r>
        <w:rPr>
          <w:rFonts w:ascii="Times New Roman" w:hAnsi="Times New Roman"/>
          <w:i/>
          <w:sz w:val="24"/>
        </w:rPr>
        <w:t>Pirmajam apgalvojumam</w:t>
      </w:r>
      <w:r>
        <w:rPr>
          <w:rFonts w:ascii="Times New Roman" w:hAnsi="Times New Roman"/>
          <w:sz w:val="24"/>
        </w:rPr>
        <w:t xml:space="preserve"> ir faktisks raksturs. Tā kā vardarbība ģimenē ir plaši izplatīta un plašu sabiedrību aptveroša parādība Eiropā un skar visas Eiropas Padomes dalībvalstis, tostarp Armēniju, šīs Konvencijas ratificēšana būtu liels ieguvums personām, kas ir šo parādību upuri.</w:t>
      </w:r>
    </w:p>
    <w:p w14:paraId="3FA15DCB" w14:textId="77777777" w:rsidR="008E3B77" w:rsidRPr="0087409D" w:rsidRDefault="008E3B77" w:rsidP="0087409D">
      <w:pPr>
        <w:jc w:val="both"/>
        <w:rPr>
          <w:rFonts w:ascii="Times New Roman" w:hAnsi="Times New Roman"/>
          <w:noProof/>
          <w:sz w:val="24"/>
        </w:rPr>
      </w:pPr>
    </w:p>
    <w:p w14:paraId="2C97FCC1" w14:textId="3AAE4D09" w:rsidR="008E3B77" w:rsidRPr="0087409D" w:rsidRDefault="00C74FA4" w:rsidP="00C74FA4">
      <w:pPr>
        <w:pStyle w:val="BodyText"/>
        <w:tabs>
          <w:tab w:val="left" w:pos="722"/>
        </w:tabs>
        <w:ind w:left="0"/>
        <w:jc w:val="both"/>
        <w:rPr>
          <w:rFonts w:ascii="Times New Roman" w:hAnsi="Times New Roman"/>
          <w:noProof/>
          <w:sz w:val="24"/>
        </w:rPr>
      </w:pPr>
      <w:r>
        <w:rPr>
          <w:rFonts w:ascii="Times New Roman" w:hAnsi="Times New Roman"/>
          <w:sz w:val="24"/>
        </w:rPr>
        <w:t xml:space="preserve">100. </w:t>
      </w:r>
      <w:r>
        <w:rPr>
          <w:rFonts w:ascii="Times New Roman" w:hAnsi="Times New Roman"/>
          <w:i/>
          <w:sz w:val="24"/>
        </w:rPr>
        <w:t>Otrais apgalvojums</w:t>
      </w:r>
      <w:r>
        <w:rPr>
          <w:rFonts w:ascii="Times New Roman" w:hAnsi="Times New Roman"/>
          <w:sz w:val="24"/>
        </w:rPr>
        <w:t xml:space="preserve"> attiecas uz viedokli, ka Stambulas konvencija neievieš nekādus jaunus elementus, jo šis priekšmets jau ir pienācīgi risināts citos starptautiskajos tiesību instrumentos. Gan pasaules, gan reģionālā līmenī pastāv dažādi cilvēktiesību instrumenti, ko Armēnija ir ratificējusi un kas attiecas uz dažiem no jautājumiem, kurus risina Stambulas konvencija. Tomēr šie instrumenti ir Stambulas konvencijas pamatā, bet uzmanība tajā ir pievērsta tieši vardarbībai pret sievietēm un vardarbībai ģimenē, kas vecākos instrumentos nav skaidri iztirzāta – Konvencijā ir ieviesti jauni noteikumi un noteikta vispusīga pieeja šīs parādības apkarošanai, kā arī paredzēts īpašs uzraudzības mehānisms. Tāpēc Stambulas konvencija sniedz īpašu pievienoto vērtību salīdzinājumā ar iepriekš ratificētajiem starptautiskajiem līgumiem šajā jomā.</w:t>
      </w:r>
    </w:p>
    <w:p w14:paraId="5DC840F1" w14:textId="77777777" w:rsidR="008E3B77" w:rsidRPr="0087409D" w:rsidRDefault="008E3B77" w:rsidP="0087409D">
      <w:pPr>
        <w:jc w:val="both"/>
        <w:rPr>
          <w:rFonts w:ascii="Times New Roman" w:hAnsi="Times New Roman"/>
          <w:noProof/>
          <w:sz w:val="24"/>
        </w:rPr>
      </w:pPr>
    </w:p>
    <w:p w14:paraId="66704CAB" w14:textId="2A867B78" w:rsidR="008E3B77" w:rsidRPr="0087409D" w:rsidRDefault="00C74FA4" w:rsidP="00C74FA4">
      <w:pPr>
        <w:pStyle w:val="BodyText"/>
        <w:tabs>
          <w:tab w:val="left" w:pos="643"/>
        </w:tabs>
        <w:ind w:left="0"/>
        <w:jc w:val="both"/>
        <w:rPr>
          <w:rFonts w:ascii="Times New Roman" w:hAnsi="Times New Roman"/>
          <w:noProof/>
          <w:sz w:val="24"/>
        </w:rPr>
      </w:pPr>
      <w:r>
        <w:rPr>
          <w:rFonts w:ascii="Times New Roman" w:hAnsi="Times New Roman"/>
          <w:sz w:val="24"/>
        </w:rPr>
        <w:t xml:space="preserve">101. </w:t>
      </w:r>
      <w:r>
        <w:rPr>
          <w:rFonts w:ascii="Times New Roman" w:hAnsi="Times New Roman"/>
          <w:i/>
          <w:sz w:val="24"/>
        </w:rPr>
        <w:t>Trešais apgalvojums</w:t>
      </w:r>
      <w:r>
        <w:rPr>
          <w:rFonts w:ascii="Times New Roman" w:hAnsi="Times New Roman"/>
          <w:sz w:val="24"/>
        </w:rPr>
        <w:t xml:space="preserve"> ir tāds, ka Stambulas konvencija nav vajadzīga, jo Armēnijā jau ir pietiekama valsts (likumdošanas) sistēma, lai apkarotu visa veida vardarbību pret sievietēm. Lai gan katras atsevišķas valsts ziņā ir novērtējuma veikšana (īpaši ņemot vērā faktiskos datus) attiecībā uz to, kādi ir labākie līdzekļi, lai valsts līmenī novērstu parādības, uz kurām attiecas Stambulas konvencija, stabila iekšējā cilvēktiesību aizsardzības infrastruktūra nemazina ārējās pārbaudes vēlamību un vērtību. Šie abi ir savstarpēji papildinoši, nevis pretrunīgi elementi. Papildu ārējā uzraudzība, izmantojot starptautiskos instrumentus, nodrošina šādus pozitīvos aspektus: a) starptautiska instrumenta ratifikācijai ir simboliska nozīme (valsts iestādes sūta spēcīgu signālu, ka tās ir nopietni apņēmušās aizsargāt pilsoņu pamattiesības/cīnīties pret konkrētu sabiedrības parādību); b) starptautiskais līmenis ir forums, </w:t>
      </w:r>
      <w:r>
        <w:rPr>
          <w:rFonts w:ascii="Times New Roman" w:hAnsi="Times New Roman"/>
          <w:sz w:val="24"/>
        </w:rPr>
        <w:lastRenderedPageBreak/>
        <w:t>kurā iespējams apspriest iespējamos trūkumus valsts līmenī, dalīties ar labu praksi un valsts iestāžu pieejām vardarbības pret sievietēm un vardarbības ģimenē izskaušanai; c) starptautiskajā līmenī šis instruments var nodrošināt papildu aizsardzības pasākumus salīdzinājumā ar valsts regulējumu.</w:t>
      </w:r>
    </w:p>
    <w:p w14:paraId="7D3A2445" w14:textId="77777777" w:rsidR="008E3B77" w:rsidRPr="0087409D" w:rsidRDefault="008E3B77" w:rsidP="0087409D">
      <w:pPr>
        <w:jc w:val="both"/>
        <w:rPr>
          <w:rFonts w:ascii="Times New Roman" w:hAnsi="Times New Roman"/>
          <w:noProof/>
          <w:sz w:val="24"/>
        </w:rPr>
      </w:pPr>
    </w:p>
    <w:p w14:paraId="3A8E5757" w14:textId="167599C9" w:rsidR="008E3B77" w:rsidRPr="0087409D" w:rsidRDefault="00C74FA4" w:rsidP="00C74FA4">
      <w:pPr>
        <w:tabs>
          <w:tab w:val="left" w:pos="528"/>
        </w:tabs>
        <w:jc w:val="both"/>
        <w:rPr>
          <w:rFonts w:ascii="Times New Roman" w:hAnsi="Times New Roman"/>
          <w:i/>
          <w:noProof/>
          <w:sz w:val="24"/>
        </w:rPr>
      </w:pPr>
      <w:r>
        <w:rPr>
          <w:rFonts w:ascii="Times New Roman" w:hAnsi="Times New Roman"/>
          <w:i/>
          <w:sz w:val="24"/>
        </w:rPr>
        <w:t>B. Attiecībā uz apgalvojumu, ka Stambulas konvencijā ir iekļauti daži termini un jēdzieni, kas ir pretrunā ar attiecīgās valsts konstitūcijā iekļautajiem terminiem un jēdzieniem</w:t>
      </w:r>
    </w:p>
    <w:p w14:paraId="01B96A38" w14:textId="77777777" w:rsidR="008E3B77" w:rsidRPr="0087409D" w:rsidRDefault="008E3B77" w:rsidP="0087409D">
      <w:pPr>
        <w:jc w:val="both"/>
        <w:rPr>
          <w:rFonts w:ascii="Times New Roman" w:eastAsia="Arial" w:hAnsi="Times New Roman" w:cs="Arial"/>
          <w:i/>
          <w:noProof/>
          <w:sz w:val="24"/>
        </w:rPr>
      </w:pPr>
    </w:p>
    <w:p w14:paraId="412C9001" w14:textId="4A1424D1" w:rsidR="008E3B77" w:rsidRPr="0087409D" w:rsidRDefault="00C74FA4" w:rsidP="00C74FA4">
      <w:pPr>
        <w:tabs>
          <w:tab w:val="left" w:pos="682"/>
        </w:tabs>
        <w:jc w:val="both"/>
        <w:rPr>
          <w:rFonts w:ascii="Times New Roman" w:eastAsia="Arial" w:hAnsi="Times New Roman" w:cs="Arial"/>
          <w:noProof/>
          <w:sz w:val="24"/>
        </w:rPr>
      </w:pPr>
      <w:r>
        <w:rPr>
          <w:rFonts w:ascii="Times New Roman" w:hAnsi="Times New Roman"/>
          <w:sz w:val="24"/>
        </w:rPr>
        <w:t xml:space="preserve">102. Tas galvenokārt attiecas uz </w:t>
      </w:r>
      <w:r>
        <w:rPr>
          <w:rFonts w:ascii="Times New Roman" w:hAnsi="Times New Roman"/>
          <w:i/>
          <w:sz w:val="24"/>
        </w:rPr>
        <w:t>sociālo dzimumu</w:t>
      </w:r>
      <w:r>
        <w:rPr>
          <w:rFonts w:ascii="Times New Roman" w:hAnsi="Times New Roman"/>
          <w:sz w:val="24"/>
        </w:rPr>
        <w:t xml:space="preserve">, </w:t>
      </w:r>
      <w:r>
        <w:rPr>
          <w:rFonts w:ascii="Times New Roman" w:hAnsi="Times New Roman"/>
          <w:i/>
          <w:sz w:val="24"/>
        </w:rPr>
        <w:t>dzimuma identitāti</w:t>
      </w:r>
      <w:r>
        <w:rPr>
          <w:rFonts w:ascii="Times New Roman" w:hAnsi="Times New Roman"/>
          <w:sz w:val="24"/>
        </w:rPr>
        <w:t xml:space="preserve">, </w:t>
      </w:r>
      <w:r>
        <w:rPr>
          <w:rFonts w:ascii="Times New Roman" w:hAnsi="Times New Roman"/>
          <w:i/>
          <w:sz w:val="24"/>
        </w:rPr>
        <w:t>ģimeni</w:t>
      </w:r>
      <w:r>
        <w:rPr>
          <w:rFonts w:ascii="Times New Roman" w:hAnsi="Times New Roman"/>
          <w:sz w:val="24"/>
        </w:rPr>
        <w:t xml:space="preserve">, </w:t>
      </w:r>
      <w:r>
        <w:rPr>
          <w:rFonts w:ascii="Times New Roman" w:hAnsi="Times New Roman"/>
          <w:i/>
          <w:sz w:val="24"/>
        </w:rPr>
        <w:t>laulībām</w:t>
      </w:r>
      <w:r>
        <w:rPr>
          <w:rFonts w:ascii="Times New Roman" w:hAnsi="Times New Roman"/>
          <w:sz w:val="24"/>
        </w:rPr>
        <w:t xml:space="preserve"> </w:t>
      </w:r>
    </w:p>
    <w:p w14:paraId="659D4FE7" w14:textId="77777777" w:rsidR="008E3B77" w:rsidRPr="0087409D" w:rsidRDefault="008E3B77" w:rsidP="0087409D">
      <w:pPr>
        <w:jc w:val="both"/>
        <w:rPr>
          <w:rFonts w:ascii="Times New Roman" w:eastAsia="Arial" w:hAnsi="Times New Roman" w:cs="Arial"/>
          <w:noProof/>
          <w:sz w:val="24"/>
        </w:rPr>
      </w:pPr>
      <w:r>
        <w:rPr>
          <w:rFonts w:ascii="Times New Roman" w:hAnsi="Times New Roman"/>
          <w:sz w:val="24"/>
        </w:rPr>
        <w:t xml:space="preserve">un </w:t>
      </w:r>
      <w:r>
        <w:rPr>
          <w:rFonts w:ascii="Times New Roman" w:hAnsi="Times New Roman"/>
          <w:i/>
          <w:sz w:val="24"/>
        </w:rPr>
        <w:t>dzimumorientāciju</w:t>
      </w:r>
      <w:r>
        <w:rPr>
          <w:rFonts w:ascii="Times New Roman" w:hAnsi="Times New Roman"/>
          <w:sz w:val="24"/>
        </w:rPr>
        <w:t>.</w:t>
      </w:r>
    </w:p>
    <w:p w14:paraId="5F0F4415" w14:textId="77777777" w:rsidR="008E3B77" w:rsidRPr="0087409D" w:rsidRDefault="008E3B77" w:rsidP="0087409D">
      <w:pPr>
        <w:jc w:val="both"/>
        <w:rPr>
          <w:rFonts w:ascii="Times New Roman" w:eastAsia="Arial" w:hAnsi="Times New Roman" w:cs="Arial"/>
          <w:noProof/>
          <w:sz w:val="24"/>
        </w:rPr>
      </w:pPr>
    </w:p>
    <w:p w14:paraId="67B3BA6F" w14:textId="0B0776A7" w:rsidR="008E3B77" w:rsidRPr="0087409D" w:rsidRDefault="00C74FA4" w:rsidP="00C74FA4">
      <w:pPr>
        <w:pStyle w:val="BodyText"/>
        <w:tabs>
          <w:tab w:val="left" w:pos="746"/>
        </w:tabs>
        <w:ind w:left="0"/>
        <w:jc w:val="both"/>
        <w:rPr>
          <w:rFonts w:ascii="Times New Roman" w:hAnsi="Times New Roman"/>
          <w:noProof/>
          <w:sz w:val="24"/>
        </w:rPr>
      </w:pPr>
      <w:r>
        <w:rPr>
          <w:rFonts w:ascii="Times New Roman" w:hAnsi="Times New Roman"/>
          <w:iCs/>
          <w:sz w:val="24"/>
        </w:rPr>
        <w:t xml:space="preserve">103. </w:t>
      </w:r>
      <w:r>
        <w:rPr>
          <w:rFonts w:ascii="Times New Roman" w:hAnsi="Times New Roman"/>
          <w:i/>
          <w:sz w:val="24"/>
        </w:rPr>
        <w:t>Sociālais dzimums</w:t>
      </w:r>
      <w:r>
        <w:rPr>
          <w:rFonts w:ascii="Times New Roman" w:hAnsi="Times New Roman"/>
          <w:sz w:val="24"/>
        </w:rPr>
        <w:t xml:space="preserve">. Armēnijas Konstitūcijā nav minēts sociālais dzimums, bet tā garantē vīriešu un sieviešu līdztiesību (30. pants) un tajā ir noteikts, ka viens no valsts politikas mērķiem ir </w:t>
      </w:r>
      <w:r>
        <w:rPr>
          <w:rFonts w:ascii="Times New Roman" w:hAnsi="Times New Roman"/>
          <w:i/>
          <w:sz w:val="24"/>
        </w:rPr>
        <w:t>“faktiskas sieviešu un vīriešu līdztiesības veicināšana”</w:t>
      </w:r>
      <w:r>
        <w:rPr>
          <w:rFonts w:ascii="Times New Roman" w:hAnsi="Times New Roman"/>
          <w:sz w:val="24"/>
        </w:rPr>
        <w:t xml:space="preserve"> (86. panta 4. punkts). Šai Konstitūcijas normai pilnībā atbilst vardarbības pret sievietēm, tostarp ar dzimumu saistītas vardarbības, izskaušana un šā mērķa sasniegšanai paredzētu pasākumu veicināšana, tostarp tādu pasākumu veicināšana, kuru nolūks ir mainīt kaitējumu radošus dzimumu stereotipus.</w:t>
      </w:r>
    </w:p>
    <w:p w14:paraId="7504283C" w14:textId="77777777" w:rsidR="008E3B77" w:rsidRPr="0087409D" w:rsidRDefault="008E3B77" w:rsidP="0087409D">
      <w:pPr>
        <w:jc w:val="both"/>
        <w:rPr>
          <w:rFonts w:ascii="Times New Roman" w:hAnsi="Times New Roman"/>
          <w:noProof/>
          <w:sz w:val="24"/>
        </w:rPr>
      </w:pPr>
    </w:p>
    <w:p w14:paraId="3B8885ED" w14:textId="695DDA6D" w:rsidR="008E3B77" w:rsidRPr="0087409D" w:rsidRDefault="00C74FA4" w:rsidP="00C74FA4">
      <w:pPr>
        <w:pStyle w:val="BodyText"/>
        <w:tabs>
          <w:tab w:val="left" w:pos="708"/>
        </w:tabs>
        <w:ind w:left="0"/>
        <w:jc w:val="both"/>
        <w:rPr>
          <w:rFonts w:ascii="Times New Roman" w:hAnsi="Times New Roman"/>
          <w:noProof/>
          <w:sz w:val="24"/>
        </w:rPr>
      </w:pPr>
      <w:r>
        <w:rPr>
          <w:rFonts w:ascii="Times New Roman" w:hAnsi="Times New Roman"/>
          <w:iCs/>
          <w:sz w:val="24"/>
        </w:rPr>
        <w:t xml:space="preserve">104. </w:t>
      </w:r>
      <w:r>
        <w:rPr>
          <w:rFonts w:ascii="Times New Roman" w:hAnsi="Times New Roman"/>
          <w:i/>
          <w:sz w:val="24"/>
        </w:rPr>
        <w:t>Dzimuma identitāte</w:t>
      </w:r>
      <w:r>
        <w:rPr>
          <w:rFonts w:ascii="Times New Roman" w:hAnsi="Times New Roman"/>
          <w:sz w:val="24"/>
        </w:rPr>
        <w:t xml:space="preserve">. Stambulas konvencija nepieprasa dalībvalstīm veikt pasākumus, lai atzītu šīs dažādās personu kategorijas vai piešķirtu tām īpašu juridisko statusu, bet vienkārši apstiprina, ka dzimumidentitāte ir viens no aizliegtajiem diskriminācijas pamatiem. Šķiet, ka šis noteikums ir pilnībā saderīgs ar Armēnijas Konstitūcijas 28. pantu (vispārēja </w:t>
      </w:r>
      <w:r w:rsidR="00524819">
        <w:rPr>
          <w:rFonts w:ascii="Times New Roman" w:hAnsi="Times New Roman"/>
          <w:sz w:val="24"/>
        </w:rPr>
        <w:t>līdzties</w:t>
      </w:r>
      <w:r>
        <w:rPr>
          <w:rFonts w:ascii="Times New Roman" w:hAnsi="Times New Roman"/>
          <w:sz w:val="24"/>
        </w:rPr>
        <w:t>ība likuma priekšā) un 29. pantu (diskriminācijas aizliegums).</w:t>
      </w:r>
    </w:p>
    <w:p w14:paraId="7F869FF3" w14:textId="77777777" w:rsidR="008E3B77" w:rsidRPr="0087409D" w:rsidRDefault="008E3B77" w:rsidP="0087409D">
      <w:pPr>
        <w:jc w:val="both"/>
        <w:rPr>
          <w:rFonts w:ascii="Times New Roman" w:hAnsi="Times New Roman"/>
          <w:noProof/>
          <w:sz w:val="24"/>
        </w:rPr>
      </w:pPr>
    </w:p>
    <w:p w14:paraId="235E440E" w14:textId="4FE2381D" w:rsidR="008E3B77" w:rsidRPr="0087409D" w:rsidRDefault="00C74FA4" w:rsidP="00C74FA4">
      <w:pPr>
        <w:pStyle w:val="BodyText"/>
        <w:tabs>
          <w:tab w:val="left" w:pos="636"/>
        </w:tabs>
        <w:ind w:left="0"/>
        <w:jc w:val="both"/>
        <w:rPr>
          <w:rFonts w:ascii="Times New Roman" w:hAnsi="Times New Roman"/>
          <w:noProof/>
          <w:sz w:val="24"/>
        </w:rPr>
      </w:pPr>
      <w:r>
        <w:rPr>
          <w:rFonts w:ascii="Times New Roman" w:hAnsi="Times New Roman"/>
          <w:iCs/>
          <w:sz w:val="24"/>
        </w:rPr>
        <w:t xml:space="preserve">105. </w:t>
      </w:r>
      <w:r>
        <w:rPr>
          <w:rFonts w:ascii="Times New Roman" w:hAnsi="Times New Roman"/>
          <w:i/>
          <w:sz w:val="24"/>
        </w:rPr>
        <w:t xml:space="preserve">Ģimene. </w:t>
      </w:r>
      <w:r>
        <w:rPr>
          <w:rFonts w:ascii="Times New Roman" w:hAnsi="Times New Roman"/>
          <w:sz w:val="24"/>
        </w:rPr>
        <w:t>Dažreiz tiek apgalvots, ka Stambulas konvencijā ir sniegtas tādas partnerattiecību definīcijas, kas varētu būt nesaderīgas ar definīcijām, kuras ir ietvertas dažu valstu konstitūcijās, it īpaši ar ģimenes definīciju. Tomēr Stambulas konvencijā nav ietverta ģimenes vai partneru, vai viendzimuma attiecību definīcija, un tā nepopularizē nevienu konkrētu šādu attiecību formu. Tāpēc Stambulas konvencija nav pretrunā valstu konstitūcijās noteiktajai ģimenes definīcijai.</w:t>
      </w:r>
    </w:p>
    <w:p w14:paraId="72658175" w14:textId="77777777" w:rsidR="008E3B77" w:rsidRPr="0087409D" w:rsidRDefault="008E3B77" w:rsidP="0087409D">
      <w:pPr>
        <w:jc w:val="both"/>
        <w:rPr>
          <w:rFonts w:ascii="Times New Roman" w:eastAsia="Arial" w:hAnsi="Times New Roman" w:cs="Arial"/>
          <w:noProof/>
          <w:sz w:val="24"/>
        </w:rPr>
      </w:pPr>
    </w:p>
    <w:p w14:paraId="3B24646F" w14:textId="535437CB" w:rsidR="008E3B77" w:rsidRPr="0087409D" w:rsidRDefault="00C74FA4" w:rsidP="00C74FA4">
      <w:pPr>
        <w:pStyle w:val="BodyText"/>
        <w:tabs>
          <w:tab w:val="left" w:pos="746"/>
        </w:tabs>
        <w:ind w:left="0"/>
        <w:jc w:val="both"/>
        <w:rPr>
          <w:rFonts w:ascii="Times New Roman" w:hAnsi="Times New Roman"/>
          <w:noProof/>
          <w:sz w:val="24"/>
        </w:rPr>
      </w:pPr>
      <w:r>
        <w:rPr>
          <w:rFonts w:ascii="Times New Roman" w:hAnsi="Times New Roman"/>
          <w:iCs/>
          <w:sz w:val="24"/>
        </w:rPr>
        <w:t xml:space="preserve">106. </w:t>
      </w:r>
      <w:r>
        <w:rPr>
          <w:rFonts w:ascii="Times New Roman" w:hAnsi="Times New Roman"/>
          <w:i/>
          <w:sz w:val="24"/>
        </w:rPr>
        <w:t>Laulība</w:t>
      </w:r>
      <w:r>
        <w:rPr>
          <w:rFonts w:ascii="Times New Roman" w:hAnsi="Times New Roman"/>
          <w:sz w:val="24"/>
        </w:rPr>
        <w:t>. Stambulas konvencijā laulības ir pieminētas tikai saistībā ar piespiedu laulībām (37. pants), tāpēc tā nav pretrunā tām valstu konstitūcijām, kurās laulība definēta kā sievietes un vīrieša savienība, piemēram, Armēnijas Konstitūcijai.</w:t>
      </w:r>
    </w:p>
    <w:p w14:paraId="7E2DC4C5" w14:textId="77777777" w:rsidR="008E3B77" w:rsidRPr="0087409D" w:rsidRDefault="008E3B77" w:rsidP="0087409D">
      <w:pPr>
        <w:jc w:val="both"/>
        <w:rPr>
          <w:rFonts w:ascii="Times New Roman" w:eastAsia="Arial" w:hAnsi="Times New Roman" w:cs="Arial"/>
          <w:noProof/>
          <w:sz w:val="24"/>
        </w:rPr>
      </w:pPr>
    </w:p>
    <w:p w14:paraId="3CE2C096" w14:textId="0CD1F926" w:rsidR="008E3B77" w:rsidRPr="0087409D" w:rsidRDefault="00C74FA4" w:rsidP="00C74FA4">
      <w:pPr>
        <w:pStyle w:val="BodyText"/>
        <w:tabs>
          <w:tab w:val="left" w:pos="651"/>
        </w:tabs>
        <w:ind w:left="0"/>
        <w:jc w:val="both"/>
        <w:rPr>
          <w:rFonts w:ascii="Times New Roman" w:hAnsi="Times New Roman"/>
          <w:noProof/>
          <w:sz w:val="24"/>
        </w:rPr>
      </w:pPr>
      <w:r>
        <w:rPr>
          <w:rFonts w:ascii="Times New Roman" w:hAnsi="Times New Roman"/>
          <w:iCs/>
          <w:sz w:val="24"/>
        </w:rPr>
        <w:t xml:space="preserve">107. </w:t>
      </w:r>
      <w:r>
        <w:rPr>
          <w:rFonts w:ascii="Times New Roman" w:hAnsi="Times New Roman"/>
          <w:i/>
          <w:sz w:val="24"/>
        </w:rPr>
        <w:t xml:space="preserve">Dzimumorientācija. </w:t>
      </w:r>
      <w:r>
        <w:rPr>
          <w:rFonts w:ascii="Times New Roman" w:hAnsi="Times New Roman"/>
          <w:sz w:val="24"/>
        </w:rPr>
        <w:t>Šis termins attiecas gan uz personām, kuras pieder pie kādas seksuālās minoritātes, piemēram, uz lesbietēm, gejiem, biseksuāļiem un transseksuāļiem (</w:t>
      </w:r>
      <w:r>
        <w:rPr>
          <w:rFonts w:ascii="Times New Roman" w:hAnsi="Times New Roman"/>
          <w:i/>
          <w:sz w:val="24"/>
        </w:rPr>
        <w:t>LGBT</w:t>
      </w:r>
      <w:r>
        <w:rPr>
          <w:rFonts w:ascii="Times New Roman" w:hAnsi="Times New Roman"/>
          <w:sz w:val="24"/>
        </w:rPr>
        <w:t xml:space="preserve">), gan arī uz personām, kuras sevi uzskata par heteroseksuālām. Stambulas konvencijā dzimumorientācija ir minēta tikai diskriminācijas aizlieguma noteikumā (4. panta 3. punkts). Tā neiebilst pret to, ka saskaņā ar valsts tiesību aktiem dažās valstīs pastāv noteiktas likumīgās tiesības vai prasījums attiecībā uz šo kategoriju; tas </w:t>
      </w:r>
      <w:r>
        <w:rPr>
          <w:rFonts w:ascii="Times New Roman" w:hAnsi="Times New Roman"/>
          <w:i/>
          <w:sz w:val="24"/>
        </w:rPr>
        <w:t>pats par sevi</w:t>
      </w:r>
      <w:r>
        <w:rPr>
          <w:rFonts w:ascii="Times New Roman" w:hAnsi="Times New Roman"/>
          <w:sz w:val="24"/>
        </w:rPr>
        <w:t xml:space="preserve"> nenozīmē, ka Konvencija tām valstīm, kuras neatzīst šo likumīgo tiesību esamību, uzliek pozitīvu pienākumu aktīvi ieviest šādu jēdzienu savas valsts tiesiskajā regulējumā.</w:t>
      </w:r>
    </w:p>
    <w:p w14:paraId="6203209E" w14:textId="77777777" w:rsidR="008E3B77" w:rsidRPr="0087409D" w:rsidRDefault="008E3B77" w:rsidP="0087409D">
      <w:pPr>
        <w:jc w:val="both"/>
        <w:rPr>
          <w:rFonts w:ascii="Times New Roman" w:eastAsia="Arial" w:hAnsi="Times New Roman" w:cs="Arial"/>
          <w:noProof/>
          <w:sz w:val="24"/>
        </w:rPr>
      </w:pPr>
    </w:p>
    <w:p w14:paraId="2D073D58" w14:textId="1A99C98A" w:rsidR="008E3B77" w:rsidRPr="0087409D" w:rsidRDefault="00C74FA4" w:rsidP="00C74FA4">
      <w:pPr>
        <w:tabs>
          <w:tab w:val="left" w:pos="528"/>
        </w:tabs>
        <w:jc w:val="both"/>
        <w:rPr>
          <w:rFonts w:ascii="Times New Roman" w:hAnsi="Times New Roman"/>
          <w:i/>
          <w:noProof/>
          <w:sz w:val="24"/>
        </w:rPr>
      </w:pPr>
      <w:r>
        <w:rPr>
          <w:rFonts w:ascii="Times New Roman" w:hAnsi="Times New Roman"/>
          <w:i/>
          <w:sz w:val="24"/>
        </w:rPr>
        <w:t>C.</w:t>
      </w:r>
      <w:r>
        <w:rPr>
          <w:rFonts w:ascii="Times New Roman" w:hAnsi="Times New Roman"/>
          <w:iCs/>
          <w:sz w:val="24"/>
        </w:rPr>
        <w:t xml:space="preserve"> </w:t>
      </w:r>
      <w:r>
        <w:rPr>
          <w:rFonts w:ascii="Times New Roman" w:hAnsi="Times New Roman"/>
          <w:i/>
          <w:sz w:val="24"/>
        </w:rPr>
        <w:t>Attiecībā uz apgalvojumu, ka Stambulas konvencijas rezultātā būtu jāveic tādas izmaiņas likumos, kas būtu pretrunā ar attiecīgās valsts konstitūciju</w:t>
      </w:r>
    </w:p>
    <w:p w14:paraId="09C91AAF" w14:textId="77777777" w:rsidR="008E3B77" w:rsidRPr="0087409D" w:rsidRDefault="008E3B77" w:rsidP="0087409D">
      <w:pPr>
        <w:jc w:val="both"/>
        <w:rPr>
          <w:rFonts w:ascii="Times New Roman" w:eastAsia="Arial" w:hAnsi="Times New Roman" w:cs="Arial"/>
          <w:i/>
          <w:noProof/>
          <w:sz w:val="24"/>
        </w:rPr>
      </w:pPr>
    </w:p>
    <w:p w14:paraId="03116A85" w14:textId="33F60A29" w:rsidR="008E3B77" w:rsidRPr="0087409D" w:rsidRDefault="00C74FA4" w:rsidP="00C74FA4">
      <w:pPr>
        <w:tabs>
          <w:tab w:val="left" w:pos="677"/>
        </w:tabs>
        <w:jc w:val="both"/>
        <w:rPr>
          <w:rFonts w:ascii="Times New Roman" w:eastAsia="Arial" w:hAnsi="Times New Roman" w:cs="Arial"/>
          <w:noProof/>
          <w:sz w:val="24"/>
        </w:rPr>
      </w:pPr>
      <w:r>
        <w:rPr>
          <w:rFonts w:ascii="Times New Roman" w:hAnsi="Times New Roman"/>
          <w:sz w:val="24"/>
        </w:rPr>
        <w:t xml:space="preserve">108. Galvenās šajā saistībā paredzētās izmaiņas attiecas uz </w:t>
      </w:r>
      <w:r>
        <w:rPr>
          <w:rFonts w:ascii="Times New Roman" w:hAnsi="Times New Roman"/>
          <w:i/>
          <w:sz w:val="24"/>
        </w:rPr>
        <w:t>viendzimuma laulībām</w:t>
      </w:r>
      <w:r>
        <w:rPr>
          <w:rFonts w:ascii="Times New Roman" w:hAnsi="Times New Roman"/>
          <w:sz w:val="24"/>
        </w:rPr>
        <w:t xml:space="preserve">, </w:t>
      </w:r>
      <w:r>
        <w:rPr>
          <w:rFonts w:ascii="Times New Roman" w:hAnsi="Times New Roman"/>
          <w:i/>
          <w:sz w:val="24"/>
        </w:rPr>
        <w:t>izglītību</w:t>
      </w:r>
      <w:r>
        <w:rPr>
          <w:rFonts w:ascii="Times New Roman" w:hAnsi="Times New Roman"/>
          <w:sz w:val="24"/>
        </w:rPr>
        <w:t xml:space="preserve"> un</w:t>
      </w:r>
    </w:p>
    <w:p w14:paraId="4E30139B" w14:textId="4DDCB553" w:rsidR="008E3B77" w:rsidRPr="0087409D" w:rsidRDefault="00524819" w:rsidP="0087409D">
      <w:pPr>
        <w:jc w:val="both"/>
        <w:rPr>
          <w:rFonts w:ascii="Times New Roman" w:eastAsia="Arial" w:hAnsi="Times New Roman" w:cs="Arial"/>
          <w:noProof/>
          <w:sz w:val="24"/>
        </w:rPr>
      </w:pPr>
      <w:r>
        <w:rPr>
          <w:rFonts w:ascii="Times New Roman" w:hAnsi="Times New Roman"/>
          <w:i/>
          <w:sz w:val="24"/>
        </w:rPr>
        <w:t>attiecīgo profesiju pārstāvju</w:t>
      </w:r>
      <w:r w:rsidR="008E3B77">
        <w:rPr>
          <w:rFonts w:ascii="Times New Roman" w:hAnsi="Times New Roman"/>
          <w:i/>
          <w:sz w:val="24"/>
        </w:rPr>
        <w:t xml:space="preserve"> ziņojumiem</w:t>
      </w:r>
      <w:r w:rsidR="008E3B77">
        <w:rPr>
          <w:rFonts w:ascii="Times New Roman" w:hAnsi="Times New Roman"/>
          <w:sz w:val="24"/>
        </w:rPr>
        <w:t>.</w:t>
      </w:r>
    </w:p>
    <w:p w14:paraId="256D105B" w14:textId="77777777" w:rsidR="008E3B77" w:rsidRPr="0087409D" w:rsidRDefault="008E3B77" w:rsidP="0087409D">
      <w:pPr>
        <w:jc w:val="both"/>
        <w:rPr>
          <w:rFonts w:ascii="Times New Roman" w:eastAsia="Arial" w:hAnsi="Times New Roman" w:cs="Arial"/>
          <w:noProof/>
          <w:sz w:val="24"/>
          <w:szCs w:val="21"/>
        </w:rPr>
      </w:pPr>
    </w:p>
    <w:p w14:paraId="641944E1" w14:textId="211406CB" w:rsidR="008E3B77" w:rsidRPr="0087409D" w:rsidRDefault="00C74FA4" w:rsidP="00C74FA4">
      <w:pPr>
        <w:pStyle w:val="BodyText"/>
        <w:tabs>
          <w:tab w:val="left" w:pos="691"/>
        </w:tabs>
        <w:ind w:left="0"/>
        <w:jc w:val="both"/>
        <w:rPr>
          <w:rFonts w:ascii="Times New Roman" w:hAnsi="Times New Roman"/>
          <w:noProof/>
          <w:sz w:val="24"/>
        </w:rPr>
      </w:pPr>
      <w:r>
        <w:rPr>
          <w:rFonts w:ascii="Times New Roman" w:hAnsi="Times New Roman"/>
          <w:iCs/>
          <w:sz w:val="24"/>
        </w:rPr>
        <w:lastRenderedPageBreak/>
        <w:t xml:space="preserve">109. </w:t>
      </w:r>
      <w:r>
        <w:rPr>
          <w:rFonts w:ascii="Times New Roman" w:hAnsi="Times New Roman"/>
          <w:i/>
          <w:sz w:val="24"/>
        </w:rPr>
        <w:t xml:space="preserve">Viendzimuma laulības. </w:t>
      </w:r>
      <w:r>
        <w:rPr>
          <w:rFonts w:ascii="Times New Roman" w:hAnsi="Times New Roman"/>
          <w:sz w:val="24"/>
        </w:rPr>
        <w:t>Stambulas konvencija vispār neattiecas ne uz homoseksuāļiem, ne uz laulībām, izņemot saistībā ar piespiedu laulībām (37. pants). Tāpēc Stambulas konvencijas dalībvalstīm nav pienākuma legalizēt viendzimuma laulības. Tādējādi nerodas pretruna Armēnijas Konstitūcijai</w:t>
      </w:r>
    </w:p>
    <w:p w14:paraId="38745311" w14:textId="77777777" w:rsidR="008E3B77" w:rsidRPr="0087409D" w:rsidRDefault="008E3B77" w:rsidP="0087409D">
      <w:pPr>
        <w:jc w:val="both"/>
        <w:rPr>
          <w:rFonts w:ascii="Times New Roman" w:hAnsi="Times New Roman"/>
          <w:noProof/>
          <w:sz w:val="24"/>
        </w:rPr>
      </w:pPr>
    </w:p>
    <w:p w14:paraId="61A37928" w14:textId="381075AF" w:rsidR="008E3B77" w:rsidRPr="0087409D" w:rsidRDefault="00C74FA4" w:rsidP="00C74FA4">
      <w:pPr>
        <w:pStyle w:val="BodyText"/>
        <w:tabs>
          <w:tab w:val="left" w:pos="646"/>
        </w:tabs>
        <w:ind w:left="0"/>
        <w:jc w:val="both"/>
        <w:rPr>
          <w:rFonts w:ascii="Times New Roman" w:hAnsi="Times New Roman"/>
          <w:noProof/>
          <w:sz w:val="24"/>
        </w:rPr>
      </w:pPr>
      <w:r>
        <w:rPr>
          <w:rFonts w:ascii="Times New Roman" w:hAnsi="Times New Roman"/>
          <w:iCs/>
          <w:sz w:val="24"/>
        </w:rPr>
        <w:t xml:space="preserve">110. </w:t>
      </w:r>
      <w:r>
        <w:rPr>
          <w:rFonts w:ascii="Times New Roman" w:hAnsi="Times New Roman"/>
          <w:i/>
          <w:sz w:val="24"/>
        </w:rPr>
        <w:t>Izglītība</w:t>
      </w:r>
      <w:r>
        <w:rPr>
          <w:rFonts w:ascii="Times New Roman" w:hAnsi="Times New Roman"/>
          <w:sz w:val="24"/>
        </w:rPr>
        <w:t>. Stambulas konvencija neierobežo vecāku tiesības izglītot bērnus atbilstoši savām vēlmēm. Šis jautājums faktiski ir ārpus Stambulas konvencijas piemērošanas jomas, jo šī Konvencija tikai mudina valstis skolu mācību programmās iekļaut mācību vielu par šajā noteikumā minētajiem jautājumiem. Šajā saistībā Stambulas konvencija piešķir dalībvalstīm lielu rīcības brīvību attiecībā uz to, kā (cik lielā mērā un kādā veidā) tās izglītos savus iedzīvotājus par Stambulas konvencijas aptvertajiem jautājumiem. Tāpēc, šķiet, nav pretrunas starp Stambulas konvencijas 14. pantu un Armēnijas Konstitūciju.</w:t>
      </w:r>
    </w:p>
    <w:p w14:paraId="576BE665" w14:textId="77777777" w:rsidR="008E3B77" w:rsidRPr="0087409D" w:rsidRDefault="008E3B77" w:rsidP="0087409D">
      <w:pPr>
        <w:jc w:val="both"/>
        <w:rPr>
          <w:rFonts w:ascii="Times New Roman" w:hAnsi="Times New Roman"/>
          <w:noProof/>
          <w:sz w:val="24"/>
        </w:rPr>
      </w:pPr>
    </w:p>
    <w:p w14:paraId="61729BFD" w14:textId="37745141" w:rsidR="008E3B77" w:rsidRPr="0087409D" w:rsidRDefault="00C74FA4" w:rsidP="00C74FA4">
      <w:pPr>
        <w:pStyle w:val="BodyText"/>
        <w:tabs>
          <w:tab w:val="left" w:pos="722"/>
        </w:tabs>
        <w:ind w:left="0"/>
        <w:jc w:val="both"/>
        <w:rPr>
          <w:rFonts w:ascii="Times New Roman" w:hAnsi="Times New Roman"/>
          <w:noProof/>
          <w:sz w:val="24"/>
        </w:rPr>
      </w:pPr>
      <w:r>
        <w:rPr>
          <w:rFonts w:ascii="Times New Roman" w:hAnsi="Times New Roman"/>
          <w:iCs/>
          <w:sz w:val="24"/>
        </w:rPr>
        <w:t xml:space="preserve">111. </w:t>
      </w:r>
      <w:r w:rsidR="00FD1A4E">
        <w:rPr>
          <w:rFonts w:ascii="Times New Roman" w:hAnsi="Times New Roman"/>
          <w:i/>
          <w:sz w:val="24"/>
        </w:rPr>
        <w:t>Attiecīgo profesiju pārstāvju</w:t>
      </w:r>
      <w:r>
        <w:rPr>
          <w:rFonts w:ascii="Times New Roman" w:hAnsi="Times New Roman"/>
          <w:i/>
          <w:sz w:val="24"/>
        </w:rPr>
        <w:t xml:space="preserve"> ziņojumi. </w:t>
      </w:r>
      <w:r>
        <w:rPr>
          <w:rFonts w:ascii="Times New Roman" w:hAnsi="Times New Roman"/>
          <w:sz w:val="24"/>
        </w:rPr>
        <w:t>Stambulas konvencija neatceļ profesionālo konfidencialitāti, bet gan mudina dalībvalstis dot iespēju noteiktiem</w:t>
      </w:r>
      <w:r w:rsidR="00FD1A4E">
        <w:rPr>
          <w:rFonts w:ascii="Times New Roman" w:hAnsi="Times New Roman"/>
          <w:sz w:val="24"/>
        </w:rPr>
        <w:t xml:space="preserve"> attiecīgo profesiju pārstāvjiem</w:t>
      </w:r>
      <w:r>
        <w:rPr>
          <w:rFonts w:ascii="Times New Roman" w:hAnsi="Times New Roman"/>
          <w:sz w:val="24"/>
        </w:rPr>
        <w:t xml:space="preserve">, galvenokārt veselības aprūpes nozarē strādājošajiem, ziņot, ja viņiem ir radušās aizdomas par smagas vardarbības pret sievietēm vai vardarbību ģimenē gadījumiem, neriskējot, ka viņiem varētu tikt piemērotas sankcijas par konfidencialitātes pārkāpšanu. Stambulas konvencija atstāj dalībvalstīm rīcības brīvību izlemt, kādus pasākumus tās veiks un kādos </w:t>
      </w:r>
      <w:r>
        <w:rPr>
          <w:rFonts w:ascii="Times New Roman" w:hAnsi="Times New Roman"/>
          <w:i/>
          <w:sz w:val="24"/>
        </w:rPr>
        <w:t>“atbilstošos apstākļos”</w:t>
      </w:r>
      <w:r>
        <w:rPr>
          <w:rFonts w:ascii="Times New Roman" w:hAnsi="Times New Roman"/>
          <w:sz w:val="24"/>
        </w:rPr>
        <w:t xml:space="preserve"> tās dos </w:t>
      </w:r>
      <w:r w:rsidR="00FD1A4E">
        <w:rPr>
          <w:rFonts w:ascii="Times New Roman" w:hAnsi="Times New Roman"/>
          <w:sz w:val="24"/>
        </w:rPr>
        <w:t>attiecīgo profesiju pārstāvjiem</w:t>
      </w:r>
      <w:r>
        <w:rPr>
          <w:rFonts w:ascii="Times New Roman" w:hAnsi="Times New Roman"/>
          <w:sz w:val="24"/>
        </w:rPr>
        <w:t xml:space="preserve"> iespēju ziņot, un tajā nav paredzēta obligātā ziņošana. Tāpēc Stambulas konvencija nepieprasa dalībvalstīm pieņemt tiesību aktus tādā veidā, kas varētu tikt uzskatīts par nesaderīgu ar konstitucionālajiem noteikumiem par saziņas konfidencialitāti.</w:t>
      </w:r>
    </w:p>
    <w:p w14:paraId="04D716F3" w14:textId="77777777" w:rsidR="008E3B77" w:rsidRPr="0087409D" w:rsidRDefault="008E3B77" w:rsidP="0087409D">
      <w:pPr>
        <w:jc w:val="both"/>
        <w:rPr>
          <w:rFonts w:ascii="Times New Roman" w:hAnsi="Times New Roman"/>
          <w:noProof/>
          <w:sz w:val="24"/>
        </w:rPr>
      </w:pPr>
    </w:p>
    <w:p w14:paraId="4A981A2E" w14:textId="3AED1BF9" w:rsidR="008E3B77" w:rsidRPr="0087409D" w:rsidRDefault="00C74FA4" w:rsidP="00C74FA4">
      <w:pPr>
        <w:tabs>
          <w:tab w:val="left" w:pos="528"/>
        </w:tabs>
        <w:jc w:val="both"/>
        <w:rPr>
          <w:rFonts w:ascii="Times New Roman" w:hAnsi="Times New Roman"/>
          <w:i/>
          <w:noProof/>
          <w:sz w:val="24"/>
        </w:rPr>
      </w:pPr>
      <w:r>
        <w:rPr>
          <w:rFonts w:ascii="Times New Roman" w:hAnsi="Times New Roman"/>
          <w:i/>
          <w:sz w:val="24"/>
        </w:rPr>
        <w:t>D. Attiecībā uz apgalvojumu, ka ar Stambulas konvenciju tiek izveidota struktūra, kurai ir pārmērīgas pilnvaras</w:t>
      </w:r>
    </w:p>
    <w:p w14:paraId="48312F80" w14:textId="77777777" w:rsidR="008E3B77" w:rsidRPr="0087409D" w:rsidRDefault="008E3B77" w:rsidP="0087409D">
      <w:pPr>
        <w:jc w:val="both"/>
        <w:rPr>
          <w:rFonts w:ascii="Times New Roman" w:eastAsia="Arial" w:hAnsi="Times New Roman" w:cs="Arial"/>
          <w:i/>
          <w:noProof/>
          <w:sz w:val="24"/>
          <w:szCs w:val="21"/>
        </w:rPr>
      </w:pPr>
    </w:p>
    <w:p w14:paraId="21F824B5" w14:textId="4FE7C67B" w:rsidR="008E3B77" w:rsidRPr="0087409D" w:rsidRDefault="00C74FA4" w:rsidP="00C74FA4">
      <w:pPr>
        <w:pStyle w:val="BodyText"/>
        <w:tabs>
          <w:tab w:val="left" w:pos="679"/>
        </w:tabs>
        <w:ind w:left="0"/>
        <w:jc w:val="both"/>
        <w:rPr>
          <w:rFonts w:ascii="Times New Roman" w:hAnsi="Times New Roman"/>
          <w:noProof/>
          <w:sz w:val="24"/>
        </w:rPr>
      </w:pPr>
      <w:r>
        <w:rPr>
          <w:rFonts w:ascii="Times New Roman" w:hAnsi="Times New Roman"/>
          <w:sz w:val="24"/>
        </w:rPr>
        <w:t>112. Ar Stambulas konvenciju tiek izveidota jauna starptautiska struktūra Konvencijas īstenošanas stāvokļa uzraudzībai – Ekspertu grupa cīņai ar vardarbību pret sievietēm un vardarbību ģimenē (</w:t>
      </w:r>
      <w:r>
        <w:rPr>
          <w:rFonts w:ascii="Times New Roman" w:hAnsi="Times New Roman"/>
          <w:i/>
          <w:sz w:val="24"/>
        </w:rPr>
        <w:t>GREVIO</w:t>
      </w:r>
      <w:r>
        <w:rPr>
          <w:rFonts w:ascii="Times New Roman" w:hAnsi="Times New Roman"/>
          <w:sz w:val="24"/>
        </w:rPr>
        <w:t>).</w:t>
      </w:r>
    </w:p>
    <w:p w14:paraId="14A33B9A" w14:textId="77777777" w:rsidR="0087409D" w:rsidRPr="0087409D" w:rsidRDefault="0087409D" w:rsidP="0087409D">
      <w:pPr>
        <w:jc w:val="both"/>
        <w:rPr>
          <w:rFonts w:ascii="Times New Roman" w:hAnsi="Times New Roman"/>
          <w:noProof/>
          <w:sz w:val="24"/>
        </w:rPr>
      </w:pPr>
    </w:p>
    <w:p w14:paraId="29CBCADA" w14:textId="252AC9E6" w:rsidR="008E3B77" w:rsidRPr="0087409D" w:rsidRDefault="00C74FA4" w:rsidP="00C74FA4">
      <w:pPr>
        <w:pStyle w:val="BodyText"/>
        <w:tabs>
          <w:tab w:val="left" w:pos="730"/>
        </w:tabs>
        <w:ind w:left="0"/>
        <w:jc w:val="both"/>
        <w:rPr>
          <w:rFonts w:ascii="Times New Roman" w:hAnsi="Times New Roman"/>
          <w:noProof/>
          <w:sz w:val="24"/>
        </w:rPr>
      </w:pPr>
      <w:r>
        <w:rPr>
          <w:rFonts w:ascii="Times New Roman" w:hAnsi="Times New Roman"/>
          <w:sz w:val="24"/>
        </w:rPr>
        <w:t xml:space="preserve">113. </w:t>
      </w:r>
      <w:r>
        <w:rPr>
          <w:rFonts w:ascii="Times New Roman" w:hAnsi="Times New Roman"/>
          <w:i/>
          <w:sz w:val="24"/>
        </w:rPr>
        <w:t>GREVIO</w:t>
      </w:r>
      <w:r>
        <w:rPr>
          <w:rFonts w:ascii="Times New Roman" w:hAnsi="Times New Roman"/>
          <w:sz w:val="24"/>
        </w:rPr>
        <w:t xml:space="preserve"> nav starptautiskai struktūrai neparastu kompetenču, un tās kompetences ir diezgan ierobežotas. Piemēram, tai nav tiesību saņemt starpvalstu vai individuālas sūdzības, tā nedrīkst izdot saistošus secinājumus, un ieteikumi, kas pamatojas uz tās ziņojumiem, ir jāizdod Pušu komitejai, nevis pašai </w:t>
      </w:r>
      <w:r>
        <w:rPr>
          <w:rFonts w:ascii="Times New Roman" w:hAnsi="Times New Roman"/>
          <w:i/>
          <w:sz w:val="24"/>
        </w:rPr>
        <w:t>GREVIO</w:t>
      </w:r>
      <w:r>
        <w:rPr>
          <w:rFonts w:ascii="Times New Roman" w:hAnsi="Times New Roman"/>
          <w:sz w:val="24"/>
        </w:rPr>
        <w:t xml:space="preserve">. Tādējādi Stambulas konvencijas ratifikācija nav saistīta ne ar kādu </w:t>
      </w:r>
      <w:r>
        <w:rPr>
          <w:rFonts w:ascii="Times New Roman" w:hAnsi="Times New Roman"/>
          <w:i/>
          <w:sz w:val="24"/>
        </w:rPr>
        <w:t>de facto</w:t>
      </w:r>
      <w:r>
        <w:rPr>
          <w:rFonts w:ascii="Times New Roman" w:hAnsi="Times New Roman"/>
          <w:sz w:val="24"/>
        </w:rPr>
        <w:t xml:space="preserve">, nemaz nerunājot par </w:t>
      </w:r>
      <w:r>
        <w:rPr>
          <w:rFonts w:ascii="Times New Roman" w:hAnsi="Times New Roman"/>
          <w:i/>
          <w:sz w:val="24"/>
        </w:rPr>
        <w:t>de jure</w:t>
      </w:r>
      <w:r>
        <w:rPr>
          <w:rFonts w:ascii="Times New Roman" w:hAnsi="Times New Roman"/>
          <w:sz w:val="24"/>
        </w:rPr>
        <w:t>, valsts suverenitātes nodošanu ārējai iestādei.</w:t>
      </w:r>
    </w:p>
    <w:p w14:paraId="0A31D3DB" w14:textId="77777777" w:rsidR="008E3B77" w:rsidRPr="0087409D" w:rsidRDefault="008E3B77" w:rsidP="0087409D">
      <w:pPr>
        <w:jc w:val="both"/>
        <w:rPr>
          <w:rFonts w:ascii="Times New Roman" w:eastAsia="Arial" w:hAnsi="Times New Roman" w:cs="Arial"/>
          <w:noProof/>
          <w:sz w:val="24"/>
        </w:rPr>
      </w:pPr>
    </w:p>
    <w:p w14:paraId="3499370D" w14:textId="36771179" w:rsidR="008E3B77" w:rsidRPr="0087409D" w:rsidRDefault="00C74FA4" w:rsidP="00C74FA4">
      <w:pPr>
        <w:tabs>
          <w:tab w:val="left" w:pos="528"/>
        </w:tabs>
        <w:jc w:val="both"/>
        <w:rPr>
          <w:rFonts w:ascii="Times New Roman" w:hAnsi="Times New Roman"/>
          <w:i/>
          <w:noProof/>
          <w:sz w:val="24"/>
        </w:rPr>
      </w:pPr>
      <w:r>
        <w:rPr>
          <w:rFonts w:ascii="Times New Roman" w:hAnsi="Times New Roman"/>
          <w:i/>
          <w:sz w:val="24"/>
        </w:rPr>
        <w:t>E. Attiecībā uz apgalvojumu, ka ar Stambulas konvenciju tiek ieviestas jaunas saistības patvēruma tiesību jomā</w:t>
      </w:r>
    </w:p>
    <w:p w14:paraId="74E1B3ED" w14:textId="77777777" w:rsidR="008E3B77" w:rsidRPr="0087409D" w:rsidRDefault="008E3B77" w:rsidP="0087409D">
      <w:pPr>
        <w:jc w:val="both"/>
        <w:rPr>
          <w:rFonts w:ascii="Times New Roman" w:eastAsia="Arial" w:hAnsi="Times New Roman" w:cs="Arial"/>
          <w:i/>
          <w:noProof/>
          <w:sz w:val="24"/>
        </w:rPr>
      </w:pPr>
    </w:p>
    <w:p w14:paraId="11C092DF" w14:textId="369C0200" w:rsidR="008E3B77" w:rsidRPr="0087409D" w:rsidRDefault="00C74FA4" w:rsidP="00C74FA4">
      <w:pPr>
        <w:pStyle w:val="BodyText"/>
        <w:tabs>
          <w:tab w:val="left" w:pos="646"/>
        </w:tabs>
        <w:ind w:left="0"/>
        <w:jc w:val="both"/>
        <w:rPr>
          <w:rFonts w:ascii="Times New Roman" w:hAnsi="Times New Roman"/>
          <w:noProof/>
          <w:sz w:val="24"/>
        </w:rPr>
      </w:pPr>
      <w:r>
        <w:rPr>
          <w:rFonts w:ascii="Times New Roman" w:hAnsi="Times New Roman"/>
          <w:sz w:val="24"/>
        </w:rPr>
        <w:t>114. Attiecībā uz patvēruma tiesībām Stambulas konvencijas ratifikācija nenozīmē, ka visa ar dzimumu saistīta vardarbība automātiski tiek uzskatīta par “nopietnu kaitējumu” vai ka, pieņemot dzimumu līdztiesības principam atbilstošu pieeju, visām sievietēm automātiski būs tiesības uz bēgļa statusu. Tajā ir tikai atzīts, ka sievietes var saskarties ar noteiktiem vajāšanas veidiem, kas viņas īpaši ietekmē.</w:t>
      </w:r>
    </w:p>
    <w:p w14:paraId="23CF2D96" w14:textId="77777777" w:rsidR="008E3B77" w:rsidRPr="0087409D" w:rsidRDefault="008E3B77" w:rsidP="0087409D">
      <w:pPr>
        <w:jc w:val="both"/>
        <w:rPr>
          <w:rFonts w:ascii="Times New Roman" w:eastAsia="Arial" w:hAnsi="Times New Roman" w:cs="Arial"/>
          <w:noProof/>
          <w:sz w:val="24"/>
        </w:rPr>
      </w:pPr>
    </w:p>
    <w:p w14:paraId="5E148C49" w14:textId="2A48F413" w:rsidR="008E3B77" w:rsidRPr="0087409D" w:rsidRDefault="00C74FA4" w:rsidP="00C74FA4">
      <w:pPr>
        <w:pStyle w:val="BodyText"/>
        <w:tabs>
          <w:tab w:val="left" w:pos="718"/>
        </w:tabs>
        <w:ind w:left="0"/>
        <w:jc w:val="both"/>
        <w:rPr>
          <w:rFonts w:ascii="Times New Roman" w:hAnsi="Times New Roman"/>
          <w:noProof/>
          <w:sz w:val="24"/>
        </w:rPr>
      </w:pPr>
      <w:r>
        <w:rPr>
          <w:rFonts w:ascii="Times New Roman" w:hAnsi="Times New Roman"/>
          <w:sz w:val="24"/>
        </w:rPr>
        <w:t xml:space="preserve">115. Šķiet, ka izpratnes radīšana par dzimumu līdztiesības aspektiem, kas saistīti ar vardarbību pret migrantēm un patvēruma meklētājām sievietēm un meitenēm ir saskaņā ar Armēnijas Konstitūciju – divu pret vardarbību saistībā ar dzimumu un vardarbību ģimenē īpaši neaizsargātu cilvēku apakškategoriju, kurām nepieciešama valsts aizsardzība, izveide, </w:t>
      </w:r>
      <w:r>
        <w:rPr>
          <w:rFonts w:ascii="Times New Roman" w:hAnsi="Times New Roman"/>
          <w:sz w:val="24"/>
        </w:rPr>
        <w:lastRenderedPageBreak/>
        <w:t>iedvesmojoties no pamattiesību aizsardzības, jo īpaši tiesību uz dzīvību, tiesību uz veselību un tiesību uz cilvēka cieņu aizsardzības, atbilst Armēnijas Konstitūcijas 30. pantam un 86. panta 4. punktam.</w:t>
      </w:r>
    </w:p>
    <w:p w14:paraId="5556C095" w14:textId="77777777" w:rsidR="008E3B77" w:rsidRPr="0087409D" w:rsidRDefault="008E3B77" w:rsidP="0087409D">
      <w:pPr>
        <w:jc w:val="both"/>
        <w:rPr>
          <w:rFonts w:ascii="Times New Roman" w:eastAsia="Arial" w:hAnsi="Times New Roman" w:cs="Arial"/>
          <w:noProof/>
          <w:sz w:val="24"/>
          <w:szCs w:val="21"/>
        </w:rPr>
      </w:pPr>
    </w:p>
    <w:p w14:paraId="7C26FBD4" w14:textId="137584C0" w:rsidR="008E3B77" w:rsidRPr="0087409D" w:rsidRDefault="00C74FA4" w:rsidP="00C74FA4">
      <w:pPr>
        <w:pStyle w:val="BodyText"/>
        <w:tabs>
          <w:tab w:val="left" w:pos="730"/>
        </w:tabs>
        <w:ind w:left="0"/>
        <w:jc w:val="both"/>
        <w:rPr>
          <w:rFonts w:ascii="Times New Roman" w:hAnsi="Times New Roman"/>
          <w:noProof/>
          <w:sz w:val="24"/>
        </w:rPr>
      </w:pPr>
      <w:r>
        <w:rPr>
          <w:rFonts w:ascii="Times New Roman" w:hAnsi="Times New Roman"/>
          <w:sz w:val="24"/>
        </w:rPr>
        <w:t>116. Noslēgumā jāsaka, ka, lai gan par Stambulas konvencijas saderību ar Armēnijas konstitūciju jālemj Armēnijas Konstitucionālajai tiesai, Venēcijas komisija uzskata, ka šajā Konvencijā nav noteikumu, kurus varētu uzskatīt par “esošiem pretrunā” ar Armēnijas Konstitūciju. Gluži pretēji, Stambulas konvencijas galvenais pienākums, proti, novērst un apkarot jebkādu vardarbību pret sievietēm un vardarbību ģimenē, jau izriet no Konstitūcijas un citiem cilvēktiesību līgumiem, kuru dalībvalsts ir Armēnija.</w:t>
      </w:r>
    </w:p>
    <w:sectPr w:rsidR="008E3B77" w:rsidRPr="0087409D" w:rsidSect="0087409D">
      <w:headerReference w:type="even" r:id="rId10"/>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C3058" w14:textId="77777777" w:rsidR="00BB548D" w:rsidRPr="008E3B77" w:rsidRDefault="00BB548D">
      <w:pPr>
        <w:rPr>
          <w:noProof/>
        </w:rPr>
      </w:pPr>
      <w:r w:rsidRPr="008E3B77">
        <w:rPr>
          <w:noProof/>
        </w:rPr>
        <w:separator/>
      </w:r>
    </w:p>
  </w:endnote>
  <w:endnote w:type="continuationSeparator" w:id="0">
    <w:p w14:paraId="24EDA7A9" w14:textId="77777777" w:rsidR="00BB548D" w:rsidRPr="008E3B77" w:rsidRDefault="00BB548D">
      <w:pPr>
        <w:rPr>
          <w:noProof/>
        </w:rPr>
      </w:pPr>
      <w:r w:rsidRPr="008E3B7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3A15" w14:textId="77777777" w:rsidR="00BB548D" w:rsidRPr="00310979" w:rsidRDefault="00BB548D" w:rsidP="00310979">
    <w:pPr>
      <w:pStyle w:val="Header"/>
      <w:tabs>
        <w:tab w:val="left" w:pos="9072"/>
      </w:tabs>
      <w:rPr>
        <w:rStyle w:val="PageNumber"/>
        <w:rFonts w:ascii="Times New Roman" w:hAnsi="Times New Roman" w:cs="Times New Roman"/>
        <w:sz w:val="20"/>
        <w:szCs w:val="18"/>
      </w:rPr>
    </w:pPr>
  </w:p>
  <w:p w14:paraId="0511FA65" w14:textId="487831BF" w:rsidR="00BB548D" w:rsidRPr="00310979" w:rsidRDefault="00BB548D" w:rsidP="00310979">
    <w:pPr>
      <w:pStyle w:val="Header"/>
      <w:tabs>
        <w:tab w:val="clear" w:pos="4513"/>
        <w:tab w:val="clear" w:pos="9026"/>
        <w:tab w:val="right" w:leader="underscore" w:pos="9072"/>
      </w:tabs>
      <w:rPr>
        <w:rStyle w:val="PageNumber"/>
        <w:rFonts w:ascii="Times New Roman" w:hAnsi="Times New Roman" w:cs="Times New Roman"/>
        <w:sz w:val="20"/>
        <w:szCs w:val="18"/>
      </w:rPr>
    </w:pPr>
    <w:r w:rsidRPr="00310979">
      <w:rPr>
        <w:rStyle w:val="PageNumber"/>
        <w:rFonts w:ascii="Times New Roman" w:hAnsi="Times New Roman" w:cs="Times New Roman"/>
        <w:sz w:val="20"/>
        <w:szCs w:val="18"/>
      </w:rPr>
      <w:tab/>
    </w:r>
  </w:p>
  <w:p w14:paraId="1DBFA21A" w14:textId="77777777" w:rsidR="00BB548D" w:rsidRPr="00310979" w:rsidRDefault="00BB548D" w:rsidP="00310979">
    <w:pPr>
      <w:pStyle w:val="Header"/>
      <w:tabs>
        <w:tab w:val="right" w:pos="9072"/>
      </w:tabs>
      <w:rPr>
        <w:rStyle w:val="PageNumber"/>
        <w:rFonts w:ascii="Times New Roman" w:hAnsi="Times New Roman" w:cs="Times New Roman"/>
        <w:sz w:val="20"/>
        <w:szCs w:val="18"/>
      </w:rPr>
    </w:pPr>
  </w:p>
  <w:p w14:paraId="5BBA75C4" w14:textId="77777777" w:rsidR="00BB548D" w:rsidRPr="00310979" w:rsidRDefault="00BB548D" w:rsidP="00310979">
    <w:pPr>
      <w:pStyle w:val="Footer"/>
      <w:tabs>
        <w:tab w:val="clear" w:pos="4513"/>
        <w:tab w:val="clear" w:pos="9026"/>
        <w:tab w:val="right" w:pos="9072"/>
      </w:tabs>
      <w:rPr>
        <w:rFonts w:ascii="Times New Roman" w:hAnsi="Times New Roman" w:cs="Times New Roman"/>
        <w:sz w:val="20"/>
        <w:szCs w:val="18"/>
      </w:rPr>
    </w:pPr>
    <w:r w:rsidRPr="00310979">
      <w:rPr>
        <w:rFonts w:ascii="Times New Roman" w:hAnsi="Times New Roman" w:cs="Times New Roman"/>
        <w:noProof/>
        <w:sz w:val="20"/>
        <w:szCs w:val="18"/>
      </w:rPr>
      <w:t xml:space="preserve">Tulkojums </w:t>
    </w:r>
    <w:r w:rsidRPr="00310979">
      <w:rPr>
        <w:rFonts w:ascii="Times New Roman" w:hAnsi="Times New Roman" w:cs="Times New Roman"/>
        <w:noProof/>
        <w:sz w:val="20"/>
        <w:szCs w:val="18"/>
      </w:rPr>
      <w:fldChar w:fldCharType="begin"/>
    </w:r>
    <w:r w:rsidRPr="00310979">
      <w:rPr>
        <w:rFonts w:ascii="Times New Roman" w:hAnsi="Times New Roman" w:cs="Times New Roman"/>
        <w:noProof/>
        <w:sz w:val="20"/>
        <w:szCs w:val="18"/>
      </w:rPr>
      <w:instrText>symbol 211 \f "Symbol" \s 9</w:instrText>
    </w:r>
    <w:r w:rsidRPr="00310979">
      <w:rPr>
        <w:rFonts w:ascii="Times New Roman" w:hAnsi="Times New Roman" w:cs="Times New Roman"/>
        <w:noProof/>
        <w:sz w:val="20"/>
        <w:szCs w:val="18"/>
      </w:rPr>
      <w:fldChar w:fldCharType="separate"/>
    </w:r>
    <w:r w:rsidRPr="00310979">
      <w:rPr>
        <w:rFonts w:ascii="Times New Roman" w:hAnsi="Times New Roman" w:cs="Times New Roman"/>
        <w:noProof/>
        <w:sz w:val="20"/>
        <w:szCs w:val="18"/>
      </w:rPr>
      <w:t>Ó</w:t>
    </w:r>
    <w:r w:rsidRPr="00310979">
      <w:rPr>
        <w:rFonts w:ascii="Times New Roman" w:hAnsi="Times New Roman" w:cs="Times New Roman"/>
        <w:noProof/>
        <w:sz w:val="20"/>
        <w:szCs w:val="18"/>
      </w:rPr>
      <w:fldChar w:fldCharType="end"/>
    </w:r>
    <w:r w:rsidRPr="00310979">
      <w:rPr>
        <w:rFonts w:ascii="Times New Roman" w:hAnsi="Times New Roman" w:cs="Times New Roman"/>
        <w:noProof/>
        <w:sz w:val="20"/>
        <w:szCs w:val="18"/>
      </w:rPr>
      <w:t xml:space="preserve"> Valsts valodas centrs, 2020</w:t>
    </w:r>
    <w:r w:rsidRPr="00310979">
      <w:rPr>
        <w:rFonts w:ascii="Times New Roman" w:hAnsi="Times New Roman" w:cs="Times New Roman"/>
        <w:sz w:val="20"/>
        <w:szCs w:val="18"/>
      </w:rPr>
      <w:tab/>
    </w:r>
    <w:r w:rsidRPr="00310979">
      <w:rPr>
        <w:rStyle w:val="PageNumber"/>
        <w:rFonts w:ascii="Times New Roman" w:hAnsi="Times New Roman" w:cs="Times New Roman"/>
        <w:sz w:val="20"/>
        <w:szCs w:val="18"/>
      </w:rPr>
      <w:fldChar w:fldCharType="begin"/>
    </w:r>
    <w:r w:rsidRPr="00310979">
      <w:rPr>
        <w:rStyle w:val="PageNumber"/>
        <w:rFonts w:ascii="Times New Roman" w:hAnsi="Times New Roman" w:cs="Times New Roman"/>
        <w:sz w:val="20"/>
        <w:szCs w:val="18"/>
      </w:rPr>
      <w:instrText xml:space="preserve">page </w:instrText>
    </w:r>
    <w:r w:rsidRPr="00310979">
      <w:rPr>
        <w:rStyle w:val="PageNumber"/>
        <w:rFonts w:ascii="Times New Roman" w:hAnsi="Times New Roman" w:cs="Times New Roman"/>
        <w:sz w:val="20"/>
        <w:szCs w:val="18"/>
      </w:rPr>
      <w:fldChar w:fldCharType="separate"/>
    </w:r>
    <w:r w:rsidRPr="00310979">
      <w:rPr>
        <w:rStyle w:val="PageNumber"/>
        <w:rFonts w:ascii="Times New Roman" w:hAnsi="Times New Roman" w:cs="Times New Roman"/>
        <w:sz w:val="20"/>
        <w:szCs w:val="18"/>
      </w:rPr>
      <w:t>2</w:t>
    </w:r>
    <w:r w:rsidRPr="00310979">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E8E7" w14:textId="77777777" w:rsidR="00BB548D" w:rsidRPr="00310979" w:rsidRDefault="00BB548D" w:rsidP="00310979">
    <w:pPr>
      <w:pStyle w:val="Header"/>
      <w:tabs>
        <w:tab w:val="left" w:pos="9072"/>
      </w:tabs>
      <w:rPr>
        <w:rStyle w:val="PageNumber"/>
        <w:rFonts w:ascii="Times New Roman" w:hAnsi="Times New Roman" w:cs="Times New Roman"/>
        <w:sz w:val="20"/>
        <w:szCs w:val="18"/>
      </w:rPr>
    </w:pPr>
    <w:bookmarkStart w:id="26" w:name="_Hlk496261764"/>
    <w:bookmarkStart w:id="27" w:name="_Hlk496261765"/>
    <w:bookmarkStart w:id="28" w:name="_Hlk496261766"/>
    <w:bookmarkStart w:id="29" w:name="_Hlk30491075"/>
    <w:bookmarkStart w:id="30" w:name="_Hlk30491076"/>
  </w:p>
  <w:p w14:paraId="2ACFB6C4" w14:textId="0E20CBC0" w:rsidR="00BB548D" w:rsidRPr="00310979" w:rsidRDefault="00BB548D" w:rsidP="00310979">
    <w:pPr>
      <w:pStyle w:val="Header"/>
      <w:tabs>
        <w:tab w:val="clear" w:pos="4513"/>
        <w:tab w:val="clear" w:pos="9026"/>
        <w:tab w:val="left" w:leader="underscore" w:pos="9072"/>
      </w:tabs>
      <w:rPr>
        <w:rStyle w:val="PageNumber"/>
        <w:rFonts w:ascii="Times New Roman" w:hAnsi="Times New Roman" w:cs="Times New Roman"/>
        <w:sz w:val="20"/>
        <w:szCs w:val="18"/>
      </w:rPr>
    </w:pPr>
    <w:r w:rsidRPr="00310979">
      <w:rPr>
        <w:rStyle w:val="PageNumber"/>
        <w:rFonts w:ascii="Times New Roman" w:hAnsi="Times New Roman" w:cs="Times New Roman"/>
        <w:sz w:val="20"/>
        <w:szCs w:val="18"/>
      </w:rPr>
      <w:tab/>
    </w:r>
  </w:p>
  <w:p w14:paraId="7DA356AA" w14:textId="77777777" w:rsidR="00BB548D" w:rsidRPr="00310979" w:rsidRDefault="00BB548D" w:rsidP="00310979">
    <w:pPr>
      <w:pStyle w:val="Header"/>
      <w:tabs>
        <w:tab w:val="left" w:pos="9072"/>
      </w:tabs>
      <w:rPr>
        <w:rStyle w:val="PageNumber"/>
        <w:rFonts w:ascii="Times New Roman" w:hAnsi="Times New Roman" w:cs="Times New Roman"/>
        <w:sz w:val="20"/>
        <w:szCs w:val="18"/>
      </w:rPr>
    </w:pPr>
  </w:p>
  <w:p w14:paraId="7E40B350" w14:textId="77777777" w:rsidR="00BB548D" w:rsidRPr="00310979" w:rsidRDefault="00BB548D" w:rsidP="00310979">
    <w:pPr>
      <w:pStyle w:val="Footer"/>
      <w:rPr>
        <w:rFonts w:ascii="Times New Roman" w:hAnsi="Times New Roman" w:cs="Times New Roman"/>
        <w:sz w:val="20"/>
        <w:szCs w:val="18"/>
      </w:rPr>
    </w:pPr>
    <w:r w:rsidRPr="00310979">
      <w:rPr>
        <w:rFonts w:ascii="Times New Roman" w:hAnsi="Times New Roman" w:cs="Times New Roman"/>
        <w:noProof/>
        <w:sz w:val="20"/>
        <w:szCs w:val="18"/>
      </w:rPr>
      <w:t xml:space="preserve">Tulkojums </w:t>
    </w:r>
    <w:r w:rsidRPr="00310979">
      <w:rPr>
        <w:rFonts w:ascii="Times New Roman" w:hAnsi="Times New Roman" w:cs="Times New Roman"/>
        <w:noProof/>
        <w:sz w:val="20"/>
        <w:szCs w:val="18"/>
      </w:rPr>
      <w:fldChar w:fldCharType="begin"/>
    </w:r>
    <w:r w:rsidRPr="00310979">
      <w:rPr>
        <w:rFonts w:ascii="Times New Roman" w:hAnsi="Times New Roman" w:cs="Times New Roman"/>
        <w:noProof/>
        <w:sz w:val="20"/>
        <w:szCs w:val="18"/>
      </w:rPr>
      <w:instrText>symbol 211 \f "Symbol" \s 9</w:instrText>
    </w:r>
    <w:r w:rsidRPr="00310979">
      <w:rPr>
        <w:rFonts w:ascii="Times New Roman" w:hAnsi="Times New Roman" w:cs="Times New Roman"/>
        <w:noProof/>
        <w:sz w:val="20"/>
        <w:szCs w:val="18"/>
      </w:rPr>
      <w:fldChar w:fldCharType="separate"/>
    </w:r>
    <w:r w:rsidRPr="00310979">
      <w:rPr>
        <w:rFonts w:ascii="Times New Roman" w:hAnsi="Times New Roman" w:cs="Times New Roman"/>
        <w:noProof/>
        <w:sz w:val="20"/>
        <w:szCs w:val="18"/>
      </w:rPr>
      <w:t>Ó</w:t>
    </w:r>
    <w:r w:rsidRPr="00310979">
      <w:rPr>
        <w:rFonts w:ascii="Times New Roman" w:hAnsi="Times New Roman" w:cs="Times New Roman"/>
        <w:noProof/>
        <w:sz w:val="20"/>
        <w:szCs w:val="18"/>
      </w:rPr>
      <w:fldChar w:fldCharType="end"/>
    </w:r>
    <w:r w:rsidRPr="00310979">
      <w:rPr>
        <w:rFonts w:ascii="Times New Roman" w:hAnsi="Times New Roman" w:cs="Times New Roman"/>
        <w:noProof/>
        <w:sz w:val="20"/>
        <w:szCs w:val="18"/>
      </w:rPr>
      <w:t xml:space="preserve"> Valsts valodas centrs, 20</w:t>
    </w:r>
    <w:bookmarkEnd w:id="26"/>
    <w:bookmarkEnd w:id="27"/>
    <w:bookmarkEnd w:id="28"/>
    <w:r w:rsidRPr="00310979">
      <w:rPr>
        <w:rFonts w:ascii="Times New Roman" w:hAnsi="Times New Roman" w:cs="Times New Roman"/>
        <w:noProof/>
        <w:sz w:val="20"/>
        <w:szCs w:val="18"/>
      </w:rPr>
      <w:t>20</w:t>
    </w:r>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1E8D2" w14:textId="77777777" w:rsidR="00BB548D" w:rsidRPr="008E3B77" w:rsidRDefault="00BB548D">
      <w:pPr>
        <w:rPr>
          <w:noProof/>
        </w:rPr>
      </w:pPr>
      <w:r w:rsidRPr="008E3B77">
        <w:rPr>
          <w:noProof/>
        </w:rPr>
        <w:separator/>
      </w:r>
    </w:p>
  </w:footnote>
  <w:footnote w:type="continuationSeparator" w:id="0">
    <w:p w14:paraId="512843A0" w14:textId="77777777" w:rsidR="00BB548D" w:rsidRPr="008E3B77" w:rsidRDefault="00BB548D">
      <w:pPr>
        <w:rPr>
          <w:noProof/>
        </w:rPr>
      </w:pPr>
      <w:r w:rsidRPr="008E3B77">
        <w:rPr>
          <w:noProof/>
        </w:rPr>
        <w:continuationSeparator/>
      </w:r>
    </w:p>
  </w:footnote>
  <w:footnote w:id="1">
    <w:p w14:paraId="74206993" w14:textId="54100C18" w:rsidR="00BB548D" w:rsidRPr="00803830" w:rsidRDefault="00BB548D" w:rsidP="00803830">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Skat. 1969. gada </w:t>
      </w:r>
      <w:r>
        <w:rPr>
          <w:rFonts w:ascii="Times New Roman" w:hAnsi="Times New Roman"/>
          <w:i/>
          <w:sz w:val="20"/>
          <w:szCs w:val="20"/>
        </w:rPr>
        <w:t>Vīnes konvencijas par starptautisko līgumu tiesībām</w:t>
      </w:r>
      <w:r>
        <w:rPr>
          <w:rFonts w:ascii="Times New Roman" w:hAnsi="Times New Roman"/>
          <w:sz w:val="20"/>
          <w:szCs w:val="20"/>
        </w:rPr>
        <w:t xml:space="preserve"> 12. un 14. pantu.</w:t>
      </w:r>
    </w:p>
  </w:footnote>
  <w:footnote w:id="2">
    <w:p w14:paraId="5C4E52C7" w14:textId="7F407445"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1969. gada </w:t>
      </w:r>
      <w:r>
        <w:rPr>
          <w:rFonts w:ascii="Times New Roman" w:hAnsi="Times New Roman"/>
          <w:i/>
        </w:rPr>
        <w:t>Vīnes konvencijas par starptautisko līgumu tiesībām</w:t>
      </w:r>
      <w:r>
        <w:rPr>
          <w:rFonts w:ascii="Times New Roman" w:hAnsi="Times New Roman"/>
        </w:rPr>
        <w:t xml:space="preserve"> 18. pants.</w:t>
      </w:r>
    </w:p>
  </w:footnote>
  <w:footnote w:id="3">
    <w:p w14:paraId="2C7AFF97" w14:textId="2DA6D232"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Skat.: Venēcijas komisijas </w:t>
      </w:r>
      <w:r>
        <w:rPr>
          <w:rFonts w:ascii="Times New Roman" w:hAnsi="Times New Roman"/>
          <w:i/>
        </w:rPr>
        <w:t>Ziņojums par starptautisko cilvēktiesību līgumu īstenošanu valsts tiesību aktos un tiesu lomu</w:t>
      </w:r>
      <w:r>
        <w:rPr>
          <w:rFonts w:ascii="Times New Roman" w:hAnsi="Times New Roman"/>
        </w:rPr>
        <w:t xml:space="preserve"> (CDL-AD(2014)036) un Venēcijas komisijas dokuments “</w:t>
      </w:r>
      <w:r>
        <w:rPr>
          <w:rFonts w:ascii="Times New Roman" w:hAnsi="Times New Roman"/>
          <w:i/>
        </w:rPr>
        <w:t>Starptautisko cilvēktiesību līgumu statuss</w:t>
      </w:r>
      <w:r>
        <w:rPr>
          <w:rFonts w:ascii="Times New Roman" w:hAnsi="Times New Roman"/>
        </w:rPr>
        <w:t>” (CDL-STD (2005)042).</w:t>
      </w:r>
    </w:p>
  </w:footnote>
  <w:footnote w:id="4">
    <w:p w14:paraId="0180F0B1" w14:textId="15908754"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CDL-AD (2016)005, CDL-AD(2016)016 papildinājums, 81. punkts </w:t>
      </w:r>
      <w:r>
        <w:rPr>
          <w:rFonts w:ascii="Times New Roman" w:hAnsi="Times New Roman"/>
          <w:i/>
        </w:rPr>
        <w:t>et seq.</w:t>
      </w:r>
    </w:p>
  </w:footnote>
  <w:footnote w:id="5">
    <w:p w14:paraId="597998B8" w14:textId="1AF99840"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skat.: André Nollkaemper, </w:t>
      </w:r>
      <w:r>
        <w:rPr>
          <w:rFonts w:ascii="Times New Roman" w:hAnsi="Times New Roman"/>
          <w:i/>
        </w:rPr>
        <w:t>National Courts and the International Rule of Law</w:t>
      </w:r>
      <w:r>
        <w:rPr>
          <w:rFonts w:ascii="Times New Roman" w:hAnsi="Times New Roman"/>
        </w:rPr>
        <w:t xml:space="preserve">, </w:t>
      </w:r>
      <w:r>
        <w:rPr>
          <w:rFonts w:ascii="Times New Roman" w:hAnsi="Times New Roman"/>
          <w:i/>
        </w:rPr>
        <w:t>Oxford University Press</w:t>
      </w:r>
      <w:r>
        <w:rPr>
          <w:rFonts w:ascii="Times New Roman" w:hAnsi="Times New Roman"/>
        </w:rPr>
        <w:t>, 2012, 68.–70. lpp. Interesanti, ka saskaņā ar pētījumiem tās konstitucionālās sistēmas raksturs, kas izveidots starptautisko tiesību īstenošanai, izmantojot judikatūru, starptautisko tiesību ietekmes skaidrošanā ir daudz mazāk svarīgs, nekā tas bieži tiek pieņemts: J. Gerards &amp; J. Fleuren (eds.), Implementation of the European Convention on Human Rights and of the Judgments of the ECtHR in national case-law, Intersentia 2014, 371. lpp.</w:t>
      </w:r>
    </w:p>
  </w:footnote>
  <w:footnote w:id="6">
    <w:p w14:paraId="7E769C73" w14:textId="7D766475"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Treatment of Polish nationals, PCIJ Rep. 1932, Ser A/B, Nr. 44, 4. lpp.</w:t>
      </w:r>
    </w:p>
  </w:footnote>
  <w:footnote w:id="7">
    <w:p w14:paraId="5D6AC3EA" w14:textId="1D79391A"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“1. Pirms Nacionālā asambleja ratificē kādu starptautisku nolīgumu, Armēnijas Republikas prezidents iesniedz Konstitucionālajai tiesai jautājumu par attiecīgā nolīguma saistību atbilstību Konstitūcijai.” </w:t>
      </w:r>
      <w:r>
        <w:rPr>
          <w:rFonts w:ascii="Times New Roman" w:hAnsi="Times New Roman"/>
          <w:color w:val="0000FF"/>
          <w:u w:val="single" w:color="0000FF"/>
        </w:rPr>
        <w:t>http://www.concourt.am/english/law_cc/index.htm</w:t>
      </w:r>
    </w:p>
  </w:footnote>
  <w:footnote w:id="8">
    <w:p w14:paraId="1F05CAD7" w14:textId="136A60C6"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 xml:space="preserve">Atzinums par konstitucionālajiem jautājumiem, kas saistīti ar Igaunijas pievienošanos Eiropas Savienībai </w:t>
      </w:r>
      <w:r>
        <w:rPr>
          <w:rFonts w:ascii="Times New Roman" w:hAnsi="Times New Roman"/>
        </w:rPr>
        <w:t>(CDL-INF(98)10)</w:t>
      </w:r>
      <w:r>
        <w:rPr>
          <w:rFonts w:ascii="Times New Roman" w:hAnsi="Times New Roman"/>
          <w:i/>
        </w:rPr>
        <w:t>.</w:t>
      </w:r>
    </w:p>
  </w:footnote>
  <w:footnote w:id="9">
    <w:p w14:paraId="1D397AB2" w14:textId="3F262625"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Ziņojums par konstitucionālajiem jautājumiem, kas radušies, ratificējot Starptautiskās krimināltiesas Romas statūtus</w:t>
      </w:r>
      <w:r>
        <w:rPr>
          <w:rFonts w:ascii="Times New Roman" w:hAnsi="Times New Roman"/>
        </w:rPr>
        <w:t xml:space="preserve"> (CDL(2000)104); </w:t>
      </w:r>
      <w:r>
        <w:rPr>
          <w:rFonts w:ascii="Times New Roman" w:hAnsi="Times New Roman"/>
          <w:i/>
        </w:rPr>
        <w:t>Otrais ziņojums par konstitucionālajiem jautājumiem, kas radušies, ratificējot Starptautiskās krimināltiesas Romas statūtus – papildinājums ziņojumam par konstitucionālajiem jautājumiem, kas radušies, ratificējot Starptautiskās krimināltiesas Romas statūtus</w:t>
      </w:r>
      <w:r>
        <w:rPr>
          <w:rFonts w:ascii="Times New Roman" w:hAnsi="Times New Roman"/>
        </w:rPr>
        <w:t xml:space="preserve"> (CDL-AD(2008)031).</w:t>
      </w:r>
    </w:p>
  </w:footnote>
  <w:footnote w:id="10">
    <w:p w14:paraId="316A73DC" w14:textId="2E72E89C" w:rsidR="00BB548D" w:rsidRPr="00803830" w:rsidRDefault="00BB548D" w:rsidP="00803830">
      <w:pPr>
        <w:pStyle w:val="FootnoteText"/>
        <w:jc w:val="both"/>
      </w:pPr>
      <w:r>
        <w:rPr>
          <w:rStyle w:val="FootnoteReference"/>
          <w:rFonts w:ascii="Times New Roman" w:hAnsi="Times New Roman" w:cs="Times New Roman"/>
        </w:rPr>
        <w:footnoteRef/>
      </w:r>
      <w:r>
        <w:rPr>
          <w:rFonts w:ascii="Times New Roman" w:hAnsi="Times New Roman"/>
          <w:i/>
        </w:rPr>
        <w:t xml:space="preserve">Atzinums par Eiropas Cilvēktiesību un pamatbrīvību aizsardzības konvencijas ratifikāciju saskaņā ar Armēnijas Republikas 1995. gada Konstitūciju </w:t>
      </w:r>
      <w:r>
        <w:rPr>
          <w:rFonts w:ascii="Times New Roman" w:hAnsi="Times New Roman"/>
        </w:rPr>
        <w:t>(CDL-INF(2001)25).</w:t>
      </w:r>
    </w:p>
  </w:footnote>
  <w:footnote w:id="11">
    <w:p w14:paraId="107BBE42" w14:textId="67192A50"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Šī deklarācija ir šāda: </w:t>
      </w:r>
      <w:r>
        <w:rPr>
          <w:rFonts w:ascii="Times New Roman" w:hAnsi="Times New Roman"/>
          <w:i/>
        </w:rPr>
        <w:t xml:space="preserve">“Polijas Republika paziņo, ka piemēros Konvenciju saskaņā ar Polijas Republikas Konstitūcijas principiem un noteikumiem.” </w:t>
      </w:r>
      <w:r>
        <w:rPr>
          <w:rFonts w:ascii="Times New Roman" w:hAnsi="Times New Roman"/>
        </w:rPr>
        <w:t>Latvija un Lietuva ir pieņēmušas ļoti līdzīgas deklarācijas (frāze “saskaņā ar” ir aizstāta ar vārdu “atbilstoši”), pret kurām tomēr nav iebildusi neviena dalībvalsts.</w:t>
      </w:r>
    </w:p>
  </w:footnote>
  <w:footnote w:id="12">
    <w:p w14:paraId="4B5CCC68" w14:textId="37A8DFCB"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Bulgārija, Konstitucionālā tiesa, </w:t>
      </w:r>
      <w:r>
        <w:rPr>
          <w:rFonts w:ascii="Times New Roman" w:hAnsi="Times New Roman"/>
          <w:i/>
        </w:rPr>
        <w:t>Решение № 13</w:t>
      </w:r>
      <w:r>
        <w:rPr>
          <w:rFonts w:ascii="Times New Roman" w:hAnsi="Times New Roman"/>
        </w:rPr>
        <w:t>, 2018. gada 27. jūlijs.</w:t>
      </w:r>
    </w:p>
  </w:footnote>
  <w:footnote w:id="13">
    <w:p w14:paraId="6ABDE855" w14:textId="7F9424E9"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Slovākija, Valsts padome, </w:t>
      </w:r>
      <w:r>
        <w:rPr>
          <w:rFonts w:ascii="Times New Roman" w:hAnsi="Times New Roman"/>
          <w:i/>
        </w:rPr>
        <w:t>Uznesenie Národnej rady Slovenskej republiky k procesu ratifikácie Dohovoru Rady Európy o predchádzaní násiliu na ženách a domácemu násiliu a o boji proti nemu Slovenskou republikou (tlač 1409)</w:t>
      </w:r>
      <w:r>
        <w:rPr>
          <w:rFonts w:ascii="Times New Roman" w:hAnsi="Times New Roman"/>
        </w:rPr>
        <w:t>, 2019. gada 29. marts.</w:t>
      </w:r>
    </w:p>
  </w:footnote>
  <w:footnote w:id="14">
    <w:p w14:paraId="4CF3A962" w14:textId="0FB2EA57"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1. panta 1. punkta c) apakšpunkts un 12. panta 2. punkts.</w:t>
      </w:r>
    </w:p>
  </w:footnote>
  <w:footnote w:id="15">
    <w:p w14:paraId="64EE38D7" w14:textId="52C49971"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preambula, 1. panta b) punkts un 12. pants; </w:t>
      </w:r>
      <w:r>
        <w:rPr>
          <w:rFonts w:ascii="Times New Roman" w:hAnsi="Times New Roman"/>
          <w:i/>
        </w:rPr>
        <w:t>Skaidrojošais ziņojums par Eiropas Padomes konvenciju par vardarbības pret sievietēm un vardarbības ģimenē novēršanu un apkarošanu</w:t>
      </w:r>
      <w:r>
        <w:rPr>
          <w:rFonts w:ascii="Times New Roman" w:hAnsi="Times New Roman"/>
        </w:rPr>
        <w:t xml:space="preserve"> (turpmāk tekstā – “</w:t>
      </w:r>
      <w:r>
        <w:rPr>
          <w:rFonts w:ascii="Times New Roman" w:hAnsi="Times New Roman"/>
          <w:i/>
        </w:rPr>
        <w:t>Stambulas konvencijas skaidrojošais ziņojums</w:t>
      </w:r>
      <w:r>
        <w:rPr>
          <w:rFonts w:ascii="Times New Roman" w:hAnsi="Times New Roman"/>
        </w:rPr>
        <w:t>”), 25. un 31. punkts.</w:t>
      </w:r>
    </w:p>
  </w:footnote>
  <w:footnote w:id="16">
    <w:p w14:paraId="5BAF9BF7" w14:textId="7F30A99E"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preambula; </w:t>
      </w:r>
      <w:r>
        <w:rPr>
          <w:rFonts w:ascii="Times New Roman" w:hAnsi="Times New Roman"/>
          <w:i/>
        </w:rPr>
        <w:t>Stambulas konvencijas skaidrojošais ziņojums</w:t>
      </w:r>
      <w:r>
        <w:rPr>
          <w:rFonts w:ascii="Times New Roman" w:hAnsi="Times New Roman"/>
        </w:rPr>
        <w:t xml:space="preserve">, 40., 44., 50. un 52. punkts; </w:t>
      </w:r>
      <w:r>
        <w:rPr>
          <w:rFonts w:ascii="Times New Roman" w:hAnsi="Times New Roman"/>
          <w:i/>
        </w:rPr>
        <w:t>Grans</w:t>
      </w:r>
      <w:r>
        <w:rPr>
          <w:rFonts w:ascii="Times New Roman" w:hAnsi="Times New Roman"/>
        </w:rPr>
        <w:t xml:space="preserve">, </w:t>
      </w:r>
      <w:r>
        <w:rPr>
          <w:rFonts w:ascii="Times New Roman" w:hAnsi="Times New Roman"/>
          <w:i/>
        </w:rPr>
        <w:t>The Istanbul Convention and the Positive Obligation to Prevent Violence</w:t>
      </w:r>
      <w:r>
        <w:rPr>
          <w:rFonts w:ascii="Times New Roman" w:hAnsi="Times New Roman"/>
        </w:rPr>
        <w:t xml:space="preserve"> [Stambulas konvencija un pozitīvais pienākums novērst vardarbību], 18 Human Rights Law Review (2018), 136. lpp.</w:t>
      </w:r>
    </w:p>
  </w:footnote>
  <w:footnote w:id="17">
    <w:p w14:paraId="7A6F11F3" w14:textId="12FD8FC5" w:rsidR="00BB548D" w:rsidRPr="00803830" w:rsidRDefault="00BB548D" w:rsidP="00803830">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Skat. šādus ANO dokumentus: ANO dok. Nr. A/47/38, </w:t>
      </w:r>
      <w:r>
        <w:rPr>
          <w:rFonts w:ascii="Times New Roman" w:hAnsi="Times New Roman"/>
          <w:i/>
          <w:sz w:val="20"/>
          <w:szCs w:val="20"/>
        </w:rPr>
        <w:t>CEDAW General Recommendation No. 19, Violence Against Women</w:t>
      </w:r>
      <w:r>
        <w:rPr>
          <w:rFonts w:ascii="Times New Roman" w:hAnsi="Times New Roman"/>
          <w:sz w:val="20"/>
          <w:szCs w:val="20"/>
        </w:rPr>
        <w:t xml:space="preserve"> [</w:t>
      </w:r>
      <w:r>
        <w:rPr>
          <w:rFonts w:ascii="Times New Roman" w:hAnsi="Times New Roman"/>
          <w:i/>
          <w:sz w:val="20"/>
          <w:szCs w:val="20"/>
        </w:rPr>
        <w:t>CEDAW</w:t>
      </w:r>
      <w:r>
        <w:rPr>
          <w:rFonts w:ascii="Times New Roman" w:hAnsi="Times New Roman"/>
          <w:sz w:val="20"/>
          <w:szCs w:val="20"/>
        </w:rPr>
        <w:t xml:space="preserve"> Vispārējais ieteikums Nr. 19 par vardarbības pret sievietēm novēršanu], 1992; ANO dok. Nr. A/RES/48/104, </w:t>
      </w:r>
      <w:r>
        <w:rPr>
          <w:rFonts w:ascii="Times New Roman" w:hAnsi="Times New Roman"/>
          <w:i/>
          <w:sz w:val="20"/>
          <w:szCs w:val="20"/>
        </w:rPr>
        <w:t>Declaration on the Elimination of Violence against Women</w:t>
      </w:r>
      <w:r>
        <w:rPr>
          <w:rFonts w:ascii="Times New Roman" w:hAnsi="Times New Roman"/>
          <w:sz w:val="20"/>
          <w:szCs w:val="20"/>
        </w:rPr>
        <w:t xml:space="preserve"> [Deklarācija par vardarbības pret sievietēm izskaušanu], 1994. gada 23. februāris; ANO dok. Nr. A/61/122/Add.1, </w:t>
      </w:r>
      <w:r>
        <w:rPr>
          <w:rFonts w:ascii="Times New Roman" w:hAnsi="Times New Roman"/>
          <w:i/>
          <w:sz w:val="20"/>
          <w:szCs w:val="20"/>
        </w:rPr>
        <w:t>In-depth study on all forms of violence against women</w:t>
      </w:r>
      <w:r>
        <w:rPr>
          <w:rFonts w:ascii="Times New Roman" w:hAnsi="Times New Roman"/>
          <w:sz w:val="20"/>
          <w:szCs w:val="20"/>
        </w:rPr>
        <w:t xml:space="preserve"> [Padziļināts pētījums par jebkādu vardarbību pret sievietēm], ģenerālsekretāra ziņojums, 2006. gada 7. jūlijs; ANO dok. Nr. CEDAW/C/CG/35, </w:t>
      </w:r>
      <w:r>
        <w:rPr>
          <w:rFonts w:ascii="Times New Roman" w:hAnsi="Times New Roman"/>
          <w:i/>
          <w:sz w:val="20"/>
          <w:szCs w:val="20"/>
        </w:rPr>
        <w:t>General recommendation No. 35 on gender-based violence against women, updating general recommendation No. 19</w:t>
      </w:r>
      <w:r>
        <w:rPr>
          <w:rFonts w:ascii="Times New Roman" w:hAnsi="Times New Roman"/>
          <w:sz w:val="20"/>
          <w:szCs w:val="20"/>
        </w:rPr>
        <w:t xml:space="preserve"> [Vispārējais ieteikums Nr. 35 par vardarbību pret sievietēm saistībā ar dzimumu, ar ko atjaunina Vispārējo ieteikumu Nr. 19], 2017. gada 14. jūlijs, u. c. Skat. šādus Eiropas Padomes dokumentus: </w:t>
      </w:r>
      <w:r>
        <w:rPr>
          <w:rFonts w:ascii="Times New Roman" w:hAnsi="Times New Roman"/>
          <w:i/>
          <w:sz w:val="20"/>
          <w:szCs w:val="20"/>
        </w:rPr>
        <w:t>Ministru komitejas Ieteikums Nr. R(2002)5 dalībvalstīm par sieviešu aizsardzību pret vardarbību</w:t>
      </w:r>
      <w:r>
        <w:rPr>
          <w:rFonts w:ascii="Times New Roman" w:hAnsi="Times New Roman"/>
          <w:sz w:val="20"/>
          <w:szCs w:val="20"/>
        </w:rPr>
        <w:t>, 2002. gada 30. aprīlis.</w:t>
      </w:r>
    </w:p>
  </w:footnote>
  <w:footnote w:id="18">
    <w:p w14:paraId="4A8256C8" w14:textId="1D0E9A66" w:rsidR="00BB548D" w:rsidRPr="00803830" w:rsidRDefault="00BB548D" w:rsidP="0080383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0000FF"/>
          <w:u w:val="single" w:color="0000FF"/>
        </w:rPr>
        <w:t>https://www.oas.org/juridico/english/treaties/a-61.html</w:t>
      </w:r>
    </w:p>
  </w:footnote>
  <w:footnote w:id="19">
    <w:p w14:paraId="423CFEFC" w14:textId="2C462E76" w:rsidR="00BB548D" w:rsidRPr="00803830" w:rsidRDefault="00BB548D" w:rsidP="00803830">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color w:val="0000FF"/>
          <w:sz w:val="20"/>
          <w:szCs w:val="20"/>
          <w:u w:val="single" w:color="0000FF"/>
        </w:rPr>
        <w:t>https://www.un.org/en/africa/osaa/pdf/au/protocol_rights_women_africa_2003.pdf</w:t>
      </w:r>
    </w:p>
  </w:footnote>
  <w:footnote w:id="20">
    <w:p w14:paraId="1D4322DD" w14:textId="77777777" w:rsidR="00BB548D" w:rsidRPr="00803830" w:rsidRDefault="00BB548D" w:rsidP="00803830">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w:t>
      </w:r>
      <w:r>
        <w:rPr>
          <w:rFonts w:ascii="Times New Roman" w:hAnsi="Times New Roman"/>
          <w:i/>
          <w:sz w:val="20"/>
          <w:szCs w:val="20"/>
        </w:rPr>
        <w:t>3. pants. Definīcijas</w:t>
      </w:r>
    </w:p>
    <w:p w14:paraId="339D270B" w14:textId="77777777" w:rsidR="00BB548D" w:rsidRPr="00803830" w:rsidRDefault="00BB548D" w:rsidP="00803830">
      <w:pPr>
        <w:jc w:val="both"/>
        <w:rPr>
          <w:rFonts w:ascii="Times New Roman" w:hAnsi="Times New Roman" w:cs="Times New Roman"/>
          <w:i/>
          <w:noProof/>
          <w:sz w:val="20"/>
          <w:szCs w:val="20"/>
        </w:rPr>
      </w:pPr>
      <w:r>
        <w:rPr>
          <w:rFonts w:ascii="Times New Roman" w:hAnsi="Times New Roman"/>
          <w:i/>
          <w:sz w:val="20"/>
          <w:szCs w:val="20"/>
        </w:rPr>
        <w:t>Šajā Konvencijā:</w:t>
      </w:r>
    </w:p>
    <w:p w14:paraId="2EEF91A9" w14:textId="77777777" w:rsidR="00BB548D" w:rsidRPr="00803830" w:rsidRDefault="00BB548D" w:rsidP="00803830">
      <w:pPr>
        <w:jc w:val="both"/>
        <w:rPr>
          <w:rFonts w:ascii="Times New Roman" w:eastAsia="Arial" w:hAnsi="Times New Roman" w:cs="Times New Roman"/>
          <w:i/>
          <w:noProof/>
          <w:sz w:val="20"/>
          <w:szCs w:val="20"/>
        </w:rPr>
      </w:pPr>
      <w:r>
        <w:rPr>
          <w:rFonts w:ascii="Times New Roman" w:hAnsi="Times New Roman"/>
          <w:i/>
          <w:sz w:val="20"/>
          <w:szCs w:val="20"/>
        </w:rPr>
        <w:t>“a) ar terminu “vardarbība pret sievietēm” tiek saprasts cilvēktiesību pārkāpums un sieviešu diskriminācija, un ar to apzīmē visus ar dzimumu saistītus vardarbības aktus, kas sievietēm rada vai var radīt fizisku, seksuālu, psiholoģisku vai ekonomisku kaitējumu vai ciešanas, kā arī šādu vardarbības aktu draudus, piespiešanu vai patvaļīgu brīvības atņemšanu neatkarīgi no tā, vai šāda vardarbība notiek sabiedriskajā vai privātajā dzīvē;</w:t>
      </w:r>
    </w:p>
    <w:p w14:paraId="355F0181" w14:textId="008B7DA8" w:rsidR="00BB548D" w:rsidRPr="00803830" w:rsidRDefault="00BB548D" w:rsidP="00803830">
      <w:pPr>
        <w:jc w:val="both"/>
        <w:rPr>
          <w:rFonts w:ascii="Times New Roman" w:eastAsia="Arial" w:hAnsi="Times New Roman" w:cs="Arial"/>
          <w:i/>
          <w:noProof/>
          <w:sz w:val="24"/>
          <w:szCs w:val="18"/>
        </w:rPr>
      </w:pPr>
      <w:r>
        <w:rPr>
          <w:rFonts w:ascii="Times New Roman" w:hAnsi="Times New Roman"/>
          <w:i/>
          <w:sz w:val="20"/>
          <w:szCs w:val="20"/>
        </w:rPr>
        <w:t>b) ar terminu “vardarbība ģimenē” apzīmē visus fiziskas, seksuālas, psiholoģiskas vai ekonomiskas vardarbības aktus, kas notiek ģimenē vai mājsaimniecībā, vai starp bijušajiem vai esošajiem laulātajiem vai partneriem neatkarīgi no tā, vai vardarbības izdarītājs dzīvo vai ir dzīvojis vienā dzīvesvietā ar vardarbības upuri;”</w:t>
      </w:r>
    </w:p>
  </w:footnote>
  <w:footnote w:id="21">
    <w:p w14:paraId="6448B4D4" w14:textId="46615D0C"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Stambulas konvencijas 3. panta a) punkts: </w:t>
      </w:r>
      <w:r>
        <w:rPr>
          <w:rFonts w:ascii="Times New Roman" w:hAnsi="Times New Roman"/>
          <w:i/>
        </w:rPr>
        <w:t>“ar terminu “vardarbība pret sievietēm” tiek saprasts cilvēktiesību pārkāpums un sieviešu diskriminācija, un ar to apzīmē visus ar dzimumu saistītus vardarbības aktus, kas sievietēm rada vai var radīt fizisku, seksuālu, psiholoģisku vai ekonomisku kaitējumu vai ciešanas, kā arī šādu vardarbības aktu draudus, piespiešanu vai patvaļīgu brīvības atņemšanu neatkarīgi no tā, vai šāda vardarbība notiek sabiedriskajā vai privātajā dzīvē”</w:t>
      </w:r>
      <w:r>
        <w:rPr>
          <w:rFonts w:ascii="Times New Roman" w:hAnsi="Times New Roman"/>
        </w:rPr>
        <w:t>.</w:t>
      </w:r>
    </w:p>
  </w:footnote>
  <w:footnote w:id="22">
    <w:p w14:paraId="21EC8212" w14:textId="5CAD3500"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3. panta d) punkts; </w:t>
      </w:r>
      <w:r>
        <w:rPr>
          <w:rFonts w:ascii="Times New Roman" w:hAnsi="Times New Roman"/>
          <w:i/>
        </w:rPr>
        <w:t>Stambulas konvencijas skaidrojošais ziņojums</w:t>
      </w:r>
      <w:r>
        <w:rPr>
          <w:rFonts w:ascii="Times New Roman" w:hAnsi="Times New Roman"/>
        </w:rPr>
        <w:t>, 44. punkts.</w:t>
      </w:r>
    </w:p>
  </w:footnote>
  <w:footnote w:id="23">
    <w:p w14:paraId="1BF5FB2A" w14:textId="65C7BC54"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preambula.</w:t>
      </w:r>
    </w:p>
  </w:footnote>
  <w:footnote w:id="24">
    <w:p w14:paraId="5B6D54E6" w14:textId="1A18C3B4"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CEDAW</w:t>
      </w:r>
      <w:r>
        <w:rPr>
          <w:rFonts w:ascii="Times New Roman" w:hAnsi="Times New Roman"/>
        </w:rPr>
        <w:t xml:space="preserve"> komiteja, Vispārējais ieteikums Nr. 35 “Ar dzimumu saistīta vardarbība pret sievietēm”, ar ko atjaunina 19. ieteikumu, 2017. gada 26. jūlijs, 21. punkts; </w:t>
      </w:r>
      <w:r>
        <w:rPr>
          <w:rFonts w:ascii="Times New Roman" w:hAnsi="Times New Roman"/>
          <w:i/>
        </w:rPr>
        <w:t>CEDAW</w:t>
      </w:r>
      <w:r>
        <w:rPr>
          <w:rFonts w:ascii="Times New Roman" w:hAnsi="Times New Roman"/>
        </w:rPr>
        <w:t> komitejas Vispārējais ieteikums Nr. 19 “Vardarbība pret sievietēm” (1992), 1. un 6. punkts.</w:t>
      </w:r>
    </w:p>
  </w:footnote>
  <w:footnote w:id="25">
    <w:p w14:paraId="612FB611" w14:textId="6E911964"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 skaidrojošais ziņojums</w:t>
      </w:r>
      <w:r>
        <w:rPr>
          <w:rFonts w:ascii="Times New Roman" w:hAnsi="Times New Roman"/>
        </w:rPr>
        <w:t>, 44. punkts.</w:t>
      </w:r>
    </w:p>
  </w:footnote>
  <w:footnote w:id="26">
    <w:p w14:paraId="65D2763E" w14:textId="74F0508B"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“c) ar terminu “sociālais dzimums” tiek saprastas sociālās lomas, uzvedība, nodarbošanās un īpašības, ko konkrēta sabiedrība uzskata par atbilstošām sievietēm un vīriešiem;”</w:t>
      </w:r>
    </w:p>
  </w:footnote>
  <w:footnote w:id="27">
    <w:p w14:paraId="6934D87C" w14:textId="19B0F7AD"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3. panta c) punkts; Istanbul Convention, Questions and Answers [Jautājumu un atbilžu dokuments par Stambulas konvenciju] (turpmāk tekstā – “Eiropas Padome, Jautājumi un atbildes”), 6. jautājums.</w:t>
      </w:r>
    </w:p>
  </w:footnote>
  <w:footnote w:id="28">
    <w:p w14:paraId="29175D04" w14:textId="4318A753"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w:t>
      </w:r>
    </w:p>
  </w:footnote>
  <w:footnote w:id="29">
    <w:p w14:paraId="06E8535E" w14:textId="105DAF7C" w:rsidR="00BB548D" w:rsidRPr="00A05A8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Eiropas Savienības Pamattiesību aģentūra un Eiropas Padome, </w:t>
      </w:r>
      <w:r>
        <w:rPr>
          <w:rFonts w:ascii="Times New Roman" w:hAnsi="Times New Roman"/>
          <w:i/>
        </w:rPr>
        <w:t>Handbook on European non-discriminatory law</w:t>
      </w:r>
      <w:r>
        <w:rPr>
          <w:rFonts w:ascii="Times New Roman" w:hAnsi="Times New Roman"/>
        </w:rPr>
        <w:t xml:space="preserve"> [Rokasgrāmata par Eiropas nediskriminējošajiem tiesību aktiem] (2018), 170.–171. lpp.</w:t>
      </w:r>
    </w:p>
  </w:footnote>
  <w:footnote w:id="30">
    <w:p w14:paraId="604B655D" w14:textId="5B4231C3"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CEDAW komiteja, Vispārējais ieteikums Nr. 28 “Dalībvalstu galvenās saistības saskaņā ar </w:t>
      </w:r>
      <w:r>
        <w:rPr>
          <w:rFonts w:ascii="Times New Roman" w:hAnsi="Times New Roman"/>
          <w:i/>
        </w:rPr>
        <w:t>CEDAW</w:t>
      </w:r>
      <w:r>
        <w:rPr>
          <w:rFonts w:ascii="Times New Roman" w:hAnsi="Times New Roman"/>
        </w:rPr>
        <w:t> konvencijas 2. pantu”, 2010. gada 16. decembris, 5. punkts.</w:t>
      </w:r>
    </w:p>
  </w:footnote>
  <w:footnote w:id="31">
    <w:p w14:paraId="2B8692FA" w14:textId="0FC4556B"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Pēc ANO Augstā komisāra cilvēktiesību jautājumos biroja pasūtījuma sagatavots ziņojums (2013), </w:t>
      </w:r>
      <w:r>
        <w:rPr>
          <w:rFonts w:ascii="Times New Roman" w:hAnsi="Times New Roman"/>
          <w:i/>
        </w:rPr>
        <w:t>Gender Stereotyping as a Human Rights Violation</w:t>
      </w:r>
      <w:r>
        <w:rPr>
          <w:rFonts w:ascii="Times New Roman" w:hAnsi="Times New Roman"/>
        </w:rPr>
        <w:t xml:space="preserve"> [Dzimumu stereotipizēšana – cilvēktiesību pārkāpums], 21.–22. punkts.</w:t>
      </w:r>
    </w:p>
  </w:footnote>
  <w:footnote w:id="32">
    <w:p w14:paraId="6C02E74A" w14:textId="4D0EE738"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Ekonomisko, sociālo un kultūras tiesību komiteja, Vispārējais komentārs Nr. 16 “3. pants (Vīriešu un sieviešu vienlīdzīgas tiesības uz visu ekonomisko, sociālo un kultūras tiesību izmantošanu)”, 2005. gada 11. augusts, 14. punkts.</w:t>
      </w:r>
    </w:p>
  </w:footnote>
  <w:footnote w:id="33">
    <w:p w14:paraId="40AB01B9" w14:textId="65B800C5"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p>
  </w:footnote>
  <w:footnote w:id="34">
    <w:p w14:paraId="689C0542" w14:textId="66B0EA61"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Ekonomisko, sociālo un kultūras tiesību komiteja, Vispārējais komentārs Nr. 28 “3. pants (Vīriešu un sieviešu līdztiesība)”, 2000. gada 29. marts, 5. punkts.</w:t>
      </w:r>
    </w:p>
  </w:footnote>
  <w:footnote w:id="35">
    <w:p w14:paraId="2CC934A9" w14:textId="2056C143"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2017. gada 24. janvāra spriedums lietā “</w:t>
      </w:r>
      <w:r>
        <w:rPr>
          <w:rFonts w:ascii="Times New Roman" w:hAnsi="Times New Roman"/>
          <w:i/>
        </w:rPr>
        <w:t>Khamtokhu [Khamtokhu] un Aksenčiks [Aksenchik] pret Krieviju</w:t>
      </w:r>
      <w:r>
        <w:rPr>
          <w:rFonts w:ascii="Times New Roman" w:hAnsi="Times New Roman"/>
        </w:rPr>
        <w:t>” [LP], pieteikums Nr. 60367/08 un Nr. 961/11, 141.–143. punkts.</w:t>
      </w:r>
    </w:p>
  </w:footnote>
  <w:footnote w:id="36">
    <w:p w14:paraId="235C0E92" w14:textId="201F066A"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w:t>
      </w:r>
      <w:r>
        <w:rPr>
          <w:rFonts w:ascii="Times New Roman" w:hAnsi="Times New Roman"/>
        </w:rPr>
        <w:t xml:space="preserve"> 3. panta b) punkts.</w:t>
      </w:r>
    </w:p>
  </w:footnote>
  <w:footnote w:id="37">
    <w:p w14:paraId="11A2F6D8" w14:textId="109EE0AA"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 skaidrojošais ziņojums</w:t>
      </w:r>
      <w:r>
        <w:rPr>
          <w:rFonts w:ascii="Times New Roman" w:hAnsi="Times New Roman"/>
        </w:rPr>
        <w:t>, 41. punkts.</w:t>
      </w:r>
    </w:p>
  </w:footnote>
  <w:footnote w:id="38">
    <w:p w14:paraId="450AFE24" w14:textId="6F0E0E91"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2009. gada 9. jūnija spriedums lietā “</w:t>
      </w:r>
      <w:r>
        <w:rPr>
          <w:rFonts w:ascii="Times New Roman" w:hAnsi="Times New Roman"/>
          <w:i/>
        </w:rPr>
        <w:t>Opuza [Opuz] pret Turciju</w:t>
      </w:r>
      <w:r>
        <w:rPr>
          <w:rFonts w:ascii="Times New Roman" w:hAnsi="Times New Roman"/>
        </w:rPr>
        <w:t>”, pieteikums Nr. 33401/02.</w:t>
      </w:r>
    </w:p>
  </w:footnote>
  <w:footnote w:id="39">
    <w:p w14:paraId="4372C5DE" w14:textId="4FA1B26F" w:rsidR="00BB548D" w:rsidRPr="00A05A84" w:rsidRDefault="00BB548D" w:rsidP="00A05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 skaidrojošais ziņojums</w:t>
      </w:r>
      <w:r>
        <w:rPr>
          <w:rFonts w:ascii="Times New Roman" w:hAnsi="Times New Roman"/>
        </w:rPr>
        <w:t>, 42. punkts.</w:t>
      </w:r>
    </w:p>
  </w:footnote>
  <w:footnote w:id="40">
    <w:p w14:paraId="7D8FD90E" w14:textId="0D59FA8C"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41.–42. punkts.</w:t>
      </w:r>
    </w:p>
  </w:footnote>
  <w:footnote w:id="41">
    <w:p w14:paraId="1D79EB9F" w14:textId="525A0812"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Eiropas Padome, Jautājumi un atbildes, 7. jautājums.</w:t>
      </w:r>
    </w:p>
  </w:footnote>
  <w:footnote w:id="42">
    <w:p w14:paraId="4F88B2D2" w14:textId="01641822"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Stambulas konvencijas</w:t>
      </w:r>
      <w:r>
        <w:rPr>
          <w:rFonts w:ascii="Times New Roman" w:hAnsi="Times New Roman"/>
        </w:rPr>
        <w:t xml:space="preserve"> 3. panta d) punktu. Jēdziena “ar dzimumu saistīta vardarbība pret sievietēm” definīcija; </w:t>
      </w:r>
      <w:r>
        <w:rPr>
          <w:rFonts w:ascii="Times New Roman" w:hAnsi="Times New Roman"/>
          <w:i/>
        </w:rPr>
        <w:t>Stambulas konvencijas</w:t>
      </w:r>
      <w:r>
        <w:rPr>
          <w:rFonts w:ascii="Times New Roman" w:hAnsi="Times New Roman"/>
        </w:rPr>
        <w:t xml:space="preserve"> 32.–40. pants; Eiropas Padome, Jautājumi un atbildes, 5. jautājums.</w:t>
      </w:r>
    </w:p>
  </w:footnote>
  <w:footnote w:id="43">
    <w:p w14:paraId="733A1BCE" w14:textId="3E1DF980"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Eiropas Padome, Jautājumi un atbildes, 5. jautājums; </w:t>
      </w:r>
      <w:r>
        <w:rPr>
          <w:rFonts w:ascii="Times New Roman" w:hAnsi="Times New Roman"/>
          <w:i/>
        </w:rPr>
        <w:t>Stambulas konvencijas skaidrojošais ziņojums</w:t>
      </w:r>
      <w:r>
        <w:rPr>
          <w:rFonts w:ascii="Times New Roman" w:hAnsi="Times New Roman"/>
        </w:rPr>
        <w:t>, 41. un 45. punkts.</w:t>
      </w:r>
    </w:p>
  </w:footnote>
  <w:footnote w:id="44">
    <w:p w14:paraId="3EEE161E" w14:textId="713E66FF" w:rsidR="00BB548D" w:rsidRPr="009E085F" w:rsidRDefault="00BB548D" w:rsidP="009E085F">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szCs w:val="20"/>
        </w:rPr>
        <w:t>Idem.</w:t>
      </w:r>
    </w:p>
  </w:footnote>
  <w:footnote w:id="45">
    <w:p w14:paraId="1ACCCAEF" w14:textId="77777777" w:rsidR="00BB548D" w:rsidRPr="009E085F" w:rsidRDefault="00BB548D" w:rsidP="009E085F">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szCs w:val="20"/>
        </w:rPr>
        <w:t>“4. pants. Pamattiesības, līdztiesība un diskriminācijas aizliegums</w:t>
      </w:r>
    </w:p>
    <w:p w14:paraId="07179356" w14:textId="326CDD80" w:rsidR="00BB548D" w:rsidRPr="009E085F" w:rsidRDefault="00BB548D" w:rsidP="009E085F">
      <w:pPr>
        <w:jc w:val="both"/>
        <w:rPr>
          <w:rFonts w:ascii="Times New Roman" w:eastAsia="Arial" w:hAnsi="Times New Roman" w:cs="Times New Roman"/>
          <w:i/>
          <w:noProof/>
          <w:sz w:val="20"/>
          <w:szCs w:val="20"/>
        </w:rPr>
      </w:pPr>
      <w:r>
        <w:rPr>
          <w:rFonts w:ascii="Times New Roman" w:hAnsi="Times New Roman"/>
          <w:i/>
          <w:sz w:val="20"/>
          <w:szCs w:val="20"/>
        </w:rPr>
        <w:t>3. Konvencijas dalībvalstis garantē to, ka, īstenojot šīs Konvencijas noteikumus, it īpaši veicot vardarbības upuru tiesību aizsardzības pasākumus, nenotiek nekāda diskriminācija neatkarīgi no tā, vai šādas diskriminācijas pamatā ir dzimums, sociālais dzimums, rase, ādas krāsa, valoda, reliģiskā pārliecība, politiskie vai citi uzskati, nacionālā piederība, sociālā izcelsme, piederība mazākumtautībai, īpašums, izcelšanās, dzimumorientācija, dzimuma identitāte, vecums, veselības stāvoklis, invaliditāte, ģimenes stāvoklis, migranta vai bēgļa statuss vai cits statuss.”</w:t>
      </w:r>
    </w:p>
  </w:footnote>
  <w:footnote w:id="46">
    <w:p w14:paraId="510DC152" w14:textId="125DE327"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Moeckli, Equality and Non-Discrimination. Moeckli/Shah/Sivakumaran, International Human Rights Law (2018), 148. un 152. lpp.</w:t>
      </w:r>
    </w:p>
  </w:footnote>
  <w:footnote w:id="47">
    <w:p w14:paraId="526617C6" w14:textId="23DC0069"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Vispārējā cilvēktiesību deklarācija</w:t>
      </w:r>
      <w:r>
        <w:rPr>
          <w:rFonts w:ascii="Times New Roman" w:hAnsi="Times New Roman"/>
        </w:rPr>
        <w:t>, 1. pants.</w:t>
      </w:r>
    </w:p>
  </w:footnote>
  <w:footnote w:id="48">
    <w:p w14:paraId="652B69DF" w14:textId="0752C56C"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 skaidrojošais ziņojums</w:t>
      </w:r>
      <w:r>
        <w:rPr>
          <w:rFonts w:ascii="Times New Roman" w:hAnsi="Times New Roman"/>
        </w:rPr>
        <w:t>, 53. punkts.</w:t>
      </w:r>
    </w:p>
  </w:footnote>
  <w:footnote w:id="49">
    <w:p w14:paraId="53AA874C" w14:textId="722668D0"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Eiropas Padome, Jautājumi un atbildes, 9. jautājums.</w:t>
      </w:r>
    </w:p>
  </w:footnote>
  <w:footnote w:id="50">
    <w:p w14:paraId="688916A6" w14:textId="571B0BF3" w:rsidR="00BB548D" w:rsidRPr="009E085F" w:rsidRDefault="00BB548D" w:rsidP="009E085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2013. gada 19. februāra spriedums lietā “</w:t>
      </w:r>
      <w:r>
        <w:rPr>
          <w:rFonts w:ascii="Times New Roman" w:hAnsi="Times New Roman"/>
          <w:i/>
        </w:rPr>
        <w:t>X un citi pret Austriju”</w:t>
      </w:r>
      <w:r>
        <w:rPr>
          <w:rFonts w:ascii="Times New Roman" w:hAnsi="Times New Roman"/>
        </w:rPr>
        <w:t xml:space="preserve"> [LP], pieteikums Nr. 19010/07; ECT, 2016. gada 30. jūnija spriedums lietā “</w:t>
      </w:r>
      <w:r>
        <w:rPr>
          <w:rFonts w:ascii="Times New Roman" w:hAnsi="Times New Roman"/>
          <w:i/>
        </w:rPr>
        <w:t>Tadeuči [Taddeucci] un Makkels [McCall] pret Itāliju</w:t>
      </w:r>
      <w:r>
        <w:rPr>
          <w:rFonts w:ascii="Times New Roman" w:hAnsi="Times New Roman"/>
        </w:rPr>
        <w:t>”, pieteikums Nr. 51362/09; ECT, 2016. gada 22. marta spriedums lietā “</w:t>
      </w:r>
      <w:r>
        <w:rPr>
          <w:rFonts w:ascii="Times New Roman" w:hAnsi="Times New Roman"/>
          <w:i/>
        </w:rPr>
        <w:t>Souza Gouča [Sousa Goucha] pret Portugāli</w:t>
      </w:r>
      <w:r>
        <w:rPr>
          <w:rFonts w:ascii="Times New Roman" w:hAnsi="Times New Roman"/>
        </w:rPr>
        <w:t>”, pieteikums Nr. 70434/12, 27. punkts.</w:t>
      </w:r>
    </w:p>
  </w:footnote>
  <w:footnote w:id="51">
    <w:p w14:paraId="01282E45" w14:textId="7513B25E"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CEDAW komiteja, Vispārējais ieteikums Nr. 27 “Vecāka gadagājuma sievietes un viņu cilvēktiesību aizsardzība”, 2010. gada 16. decembris, 13. punkts; </w:t>
      </w:r>
      <w:r>
        <w:rPr>
          <w:rFonts w:ascii="Times New Roman" w:hAnsi="Times New Roman"/>
          <w:i/>
        </w:rPr>
        <w:t>CEDAW</w:t>
      </w:r>
      <w:r>
        <w:rPr>
          <w:rFonts w:ascii="Times New Roman" w:hAnsi="Times New Roman"/>
        </w:rPr>
        <w:t xml:space="preserve"> komiteja, Vispārējais ieteikums Nr. 28 “Dalībvalstu galvenās saistības saskaņā ar </w:t>
      </w:r>
      <w:r>
        <w:rPr>
          <w:rFonts w:ascii="Times New Roman" w:hAnsi="Times New Roman"/>
          <w:i/>
        </w:rPr>
        <w:t>CEDAW</w:t>
      </w:r>
      <w:r>
        <w:rPr>
          <w:rFonts w:ascii="Times New Roman" w:hAnsi="Times New Roman"/>
        </w:rPr>
        <w:t> konvencijas 2. pantu”, 2010. gada 16. decembris, 18. punkts.</w:t>
      </w:r>
    </w:p>
  </w:footnote>
  <w:footnote w:id="52">
    <w:p w14:paraId="19B64F3E" w14:textId="34CA9A3F"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Cilvēktiesību komiteja, 1994. gada 31. marta spriedums lietā “</w:t>
      </w:r>
      <w:r>
        <w:rPr>
          <w:rFonts w:ascii="Times New Roman" w:hAnsi="Times New Roman"/>
          <w:i/>
        </w:rPr>
        <w:t>Tūnens [Toonen] pret Austrāliju</w:t>
      </w:r>
      <w:r>
        <w:rPr>
          <w:rFonts w:ascii="Times New Roman" w:hAnsi="Times New Roman"/>
        </w:rPr>
        <w:t>”, Nr. 488/1992, 8. punkta 7. apakšpunkts.</w:t>
      </w:r>
    </w:p>
  </w:footnote>
  <w:footnote w:id="53">
    <w:p w14:paraId="560B864B" w14:textId="6446104D"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Cilvēktiesību komiteja, 2001. gada 13. janvāra spriedums lietā “</w:t>
      </w:r>
      <w:r>
        <w:rPr>
          <w:rFonts w:ascii="Times New Roman" w:hAnsi="Times New Roman"/>
          <w:i/>
        </w:rPr>
        <w:t>X pret Kolumbiju</w:t>
      </w:r>
      <w:r>
        <w:rPr>
          <w:rFonts w:ascii="Times New Roman" w:hAnsi="Times New Roman"/>
        </w:rPr>
        <w:t>”, Nr. 1361/2005, 7. punkta 2. apakšpunkts; Cilvēktiesību komiteja, 1999. gada 29. jūnija spriedums lietā “</w:t>
      </w:r>
      <w:r>
        <w:rPr>
          <w:rFonts w:ascii="Times New Roman" w:hAnsi="Times New Roman"/>
          <w:i/>
        </w:rPr>
        <w:t>Jangs [Young] pret Austrāliju</w:t>
      </w:r>
      <w:r>
        <w:rPr>
          <w:rFonts w:ascii="Times New Roman" w:hAnsi="Times New Roman"/>
        </w:rPr>
        <w:t>”, Nr. 941/2000, 10. punkta 2. apakšpunkts.</w:t>
      </w:r>
    </w:p>
  </w:footnote>
  <w:footnote w:id="54">
    <w:p w14:paraId="0C98199E" w14:textId="35C7B64B"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Ekonomisko, sociālo un kultūras tiesību komiteja, Vispārējais komentārs Nr. 20 “2. panta 2. punkts (Diskriminācijas aizliegums ekonomisko, sociālo un kultūras tiesību jomā)”, 2009. gada 2. jūlijs, 32. punkts.</w:t>
      </w:r>
    </w:p>
  </w:footnote>
  <w:footnote w:id="55">
    <w:p w14:paraId="5C192E8F" w14:textId="1DF3E7C3"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Komitejas pret spīdzināšanu Vispārējais komentārs Nr. 2 “2. panta īstenošana dalībvalstīs”, 2008. gada 24. janvāris, 21. punkts.</w:t>
      </w:r>
    </w:p>
  </w:footnote>
  <w:footnote w:id="56">
    <w:p w14:paraId="34328C1B" w14:textId="5B43D73D"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SEL – spēkā esošs līgums.</w:t>
      </w:r>
    </w:p>
  </w:footnote>
  <w:footnote w:id="57">
    <w:p w14:paraId="7BE1DDF1" w14:textId="375ECC8F"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Gads, kad dokumentu ratificēja Armēnija – 2002.</w:t>
      </w:r>
    </w:p>
  </w:footnote>
  <w:footnote w:id="58">
    <w:p w14:paraId="78E593A1" w14:textId="55D9A1A4"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Gads, kad dokumentu ratificēja Armēnija – 1993.</w:t>
      </w:r>
    </w:p>
  </w:footnote>
  <w:footnote w:id="59">
    <w:p w14:paraId="03EA9EC6" w14:textId="3200DA7C"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Gads, kad dokumentu ratificēja Armēnija – 1993.</w:t>
      </w:r>
    </w:p>
  </w:footnote>
  <w:footnote w:id="60">
    <w:p w14:paraId="54271FB3" w14:textId="47287719"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Gads, kad dokumentu ratificēja Armēnija – 1993.</w:t>
      </w:r>
    </w:p>
  </w:footnote>
  <w:footnote w:id="61">
    <w:p w14:paraId="3493B736" w14:textId="5ED41222"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Gads, kad dokumentu ratificēja Armēnija – 1993.</w:t>
      </w:r>
    </w:p>
  </w:footnote>
  <w:footnote w:id="62">
    <w:p w14:paraId="41E5C688" w14:textId="0B71804A" w:rsidR="00BB548D" w:rsidRPr="0013528C" w:rsidRDefault="00BB548D" w:rsidP="0013528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Joseph/Dipnall, Scope of Application. Moeckli/Shah/Sivakumaran, International Human Rights Law (2018), 115. lpp.; ECT, 2009. gada 9. jūnija spriedums lietā “</w:t>
      </w:r>
      <w:r>
        <w:rPr>
          <w:rFonts w:ascii="Times New Roman" w:hAnsi="Times New Roman"/>
          <w:i/>
        </w:rPr>
        <w:t>Opuza pret Turciju</w:t>
      </w:r>
      <w:r>
        <w:rPr>
          <w:rFonts w:ascii="Times New Roman" w:hAnsi="Times New Roman"/>
        </w:rPr>
        <w:t>”, pieteikums Nr. 33401/02; Ekonomisko, sociālo un kultūras tiesību komiteja, Vispārējais komentārs Nr. 28 “3. pants (Vīriešu un sieviešu līdztiesība)”, 2000. gada 29. marts, 10. un 11. punkts.</w:t>
      </w:r>
    </w:p>
  </w:footnote>
  <w:footnote w:id="63">
    <w:p w14:paraId="360CE204" w14:textId="3B35C980" w:rsidR="00BB548D" w:rsidRPr="0013528C" w:rsidRDefault="00BB548D" w:rsidP="0013528C">
      <w:pPr>
        <w:pStyle w:val="FootnoteText"/>
        <w:jc w:val="both"/>
      </w:pPr>
      <w:r>
        <w:rPr>
          <w:rStyle w:val="FootnoteReference"/>
          <w:rFonts w:ascii="Times New Roman" w:hAnsi="Times New Roman" w:cs="Times New Roman"/>
        </w:rPr>
        <w:footnoteRef/>
      </w:r>
      <w:r>
        <w:rPr>
          <w:rFonts w:ascii="Times New Roman" w:hAnsi="Times New Roman"/>
        </w:rPr>
        <w:t>ECT, 1998. gada 28. oktobra spriedums lietā “</w:t>
      </w:r>
      <w:r>
        <w:rPr>
          <w:rFonts w:ascii="Times New Roman" w:hAnsi="Times New Roman"/>
          <w:i/>
        </w:rPr>
        <w:t>Osmena [Osman] pret Apvienoto Karalisti</w:t>
      </w:r>
      <w:r>
        <w:rPr>
          <w:rFonts w:ascii="Times New Roman" w:hAnsi="Times New Roman"/>
        </w:rPr>
        <w:t>”, pieteikums Nr. 23452/94, 115. punkts; ECT, 2001. gada 10. maija spriedums lietā “</w:t>
      </w:r>
      <w:r>
        <w:rPr>
          <w:rFonts w:ascii="Times New Roman" w:hAnsi="Times New Roman"/>
          <w:i/>
        </w:rPr>
        <w:t>Z un citi pret Apvienoto Karalisti</w:t>
      </w:r>
      <w:r>
        <w:rPr>
          <w:rFonts w:ascii="Times New Roman" w:hAnsi="Times New Roman"/>
        </w:rPr>
        <w:t>”, pieteikums Nr. 29392/95, 73. punkts.</w:t>
      </w:r>
    </w:p>
  </w:footnote>
  <w:footnote w:id="64">
    <w:p w14:paraId="75B22964" w14:textId="3D385AF0"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Grabenwarter, European Convention on Human Rights: Commentary (2014), Article 3 ECHR, 18. punkts.</w:t>
      </w:r>
    </w:p>
  </w:footnote>
  <w:footnote w:id="65">
    <w:p w14:paraId="4E255FDC" w14:textId="1614AE9A"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Grabenwarter, European Convention on Human Rights: Commentary (2014), Article 8 ECHR, 74. punkts.</w:t>
      </w:r>
    </w:p>
  </w:footnote>
  <w:footnote w:id="66">
    <w:p w14:paraId="74AC7F64" w14:textId="041E3F43"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2010. gada 14. oktobra spriedums lietā “</w:t>
      </w:r>
      <w:r>
        <w:rPr>
          <w:rFonts w:ascii="Times New Roman" w:hAnsi="Times New Roman"/>
          <w:i/>
        </w:rPr>
        <w:t>A pret Horvātiju</w:t>
      </w:r>
      <w:r>
        <w:rPr>
          <w:rFonts w:ascii="Times New Roman" w:hAnsi="Times New Roman"/>
        </w:rPr>
        <w:t>”, pieteikums Nr. 55164/08, 57. punkts.</w:t>
      </w:r>
    </w:p>
  </w:footnote>
  <w:footnote w:id="67">
    <w:p w14:paraId="58E9C820" w14:textId="1B65DF85"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2009. gada 9. jūnija spriedums lietā “</w:t>
      </w:r>
      <w:r>
        <w:rPr>
          <w:rFonts w:ascii="Times New Roman" w:hAnsi="Times New Roman"/>
          <w:i/>
        </w:rPr>
        <w:t>Opuza pret Turciju</w:t>
      </w:r>
      <w:r>
        <w:rPr>
          <w:rFonts w:ascii="Times New Roman" w:hAnsi="Times New Roman"/>
        </w:rPr>
        <w:t xml:space="preserve">”, pieteikums Nr. 33401/02, 198. punkts </w:t>
      </w:r>
      <w:r>
        <w:rPr>
          <w:rFonts w:ascii="Times New Roman" w:hAnsi="Times New Roman"/>
          <w:i/>
        </w:rPr>
        <w:t>et seq</w:t>
      </w:r>
      <w:r>
        <w:rPr>
          <w:rFonts w:ascii="Times New Roman" w:hAnsi="Times New Roman"/>
        </w:rPr>
        <w:t>.</w:t>
      </w:r>
    </w:p>
  </w:footnote>
  <w:footnote w:id="68">
    <w:p w14:paraId="6DDCC1EC" w14:textId="31D07F18" w:rsidR="00BB548D" w:rsidRPr="0013528C" w:rsidRDefault="00BB548D" w:rsidP="0013528C">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Ekonomisko, sociālo un kultūras tiesību komiteja, Vispārējais komentārs Nr. 28 “3. pants (Vīriešu un sieviešu līdztiesība)”, 2000. gada 29. marts, 8., 10. un 11. punkts; Ekonomisko, sociālo un kultūras tiesību komitejas Vispārējais komentārs Nr. 20 “7. pants (Spīdzināšanas vai citu nežēlīgas, necilvēcīgas vai pazemojošas izturēšanās vai sodīšanas veidu aizliegums)”, 1992. gada 10. marts, 13. punkts.</w:t>
      </w:r>
    </w:p>
  </w:footnote>
  <w:footnote w:id="69">
    <w:p w14:paraId="129EF534" w14:textId="13DB9614"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Ekonomisko, sociālo un kultūras tiesību komiteja, Vispārējais komentārs Nr. 28 “3. pants (Vīriešu un sieviešu līdztiesība)”, 2000. gada 29. marts, 3. punkts.</w:t>
      </w:r>
    </w:p>
  </w:footnote>
  <w:footnote w:id="70">
    <w:p w14:paraId="330776DF" w14:textId="70819077"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CEDAW komiteja, Vispārējais ieteikums Nr. 19 “Vardarbība pret sievietēm” (1992), 7. punkts; </w:t>
      </w:r>
      <w:r>
        <w:rPr>
          <w:rFonts w:ascii="Times New Roman" w:hAnsi="Times New Roman"/>
          <w:i/>
        </w:rPr>
        <w:t>CEDAW</w:t>
      </w:r>
      <w:r>
        <w:rPr>
          <w:rFonts w:ascii="Times New Roman" w:hAnsi="Times New Roman"/>
        </w:rPr>
        <w:t> komitejas Vispārējais ieteikums Nr. 35 “Ar dzimumu saistīta vardarbība pret sievietēm”, ar ko atjaunina 19. ieteikumu, 2017. gada 26. jūlijs, 1. punkts.</w:t>
      </w:r>
    </w:p>
  </w:footnote>
  <w:footnote w:id="71">
    <w:p w14:paraId="40CDADD3" w14:textId="60CCDCD4" w:rsidR="00BB548D" w:rsidRPr="0013528C"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CEDAW komiteja, Vispārējais ieteikums Nr. 19 “Vardarbība pret sievietēm” (1992), 7. punkts.</w:t>
      </w:r>
    </w:p>
  </w:footnote>
  <w:footnote w:id="72">
    <w:p w14:paraId="278F45F0" w14:textId="04AFC76F" w:rsidR="00BB548D" w:rsidRPr="0013528C" w:rsidRDefault="00BB548D" w:rsidP="0013528C">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CEDAW komiteja, Vispārējais ieteikums Nr. 35 “Ar dzimumu saistīta vardarbība pret sievietēm”, ar ko atjaunina 19. ieteikumu, 2017. gada 26. jūlijs, 16. punkts; Otto, Women’s Rights, Moeckli/Shah/Sivakumaran, International Human Rights Law (2018), 319. lpp.</w:t>
      </w:r>
    </w:p>
  </w:footnote>
  <w:footnote w:id="73">
    <w:p w14:paraId="6C17B505" w14:textId="69C459E3"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CEDAW komiteja, Vispārējais ieteikums Nr. 35 “Ar dzimumu saistīta vardarbība pret sievietēm”, ar ko atjaunina 19. ieteikumu, 2017. gada 26. jūlijs, 21. punkts.</w:t>
      </w:r>
    </w:p>
  </w:footnote>
  <w:footnote w:id="74">
    <w:p w14:paraId="11BC5F35" w14:textId="4E6642FE"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26., 29. un 30. punkts.</w:t>
      </w:r>
    </w:p>
  </w:footnote>
  <w:footnote w:id="75">
    <w:p w14:paraId="702D0179" w14:textId="1D6AB3BE"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Ekonomisko, sociālo un kultūras tiesību komiteja, Vispārējais komentārs Nr. 16 “3. pants (Vīriešu un sieviešu vienlīdzīgas tiesības uz visu ekonomisko, sociālo un kultūras tiesību izmantošanu)”, 2005. gada 11. augusts, 27. punkts.</w:t>
      </w:r>
    </w:p>
  </w:footnote>
  <w:footnote w:id="76">
    <w:p w14:paraId="5A3311B1" w14:textId="3DA3583C"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w:t>
      </w:r>
    </w:p>
  </w:footnote>
  <w:footnote w:id="77">
    <w:p w14:paraId="361D489B" w14:textId="2010BEF3"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Saul/Kinley/Mowbray, The International Covenant on Economic, Social and Cultural Rights: Commentary, Cases and Materials (2014), Article 10 ICESCR, 733.–734. punkts.</w:t>
      </w:r>
    </w:p>
  </w:footnote>
  <w:footnote w:id="78">
    <w:p w14:paraId="09B8D60F" w14:textId="0BA0C0C0"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Saul/Kinley/Mowbray, The International Covenant on Economic, Social and Cultural Rights: Commentary, Cases and Materials (2014), Article 10 ICESCR, 734.–735. punkts.</w:t>
      </w:r>
    </w:p>
  </w:footnote>
  <w:footnote w:id="79">
    <w:p w14:paraId="048AF91C" w14:textId="3E4F167B"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Komitejas pret spīdzināšanu Vispārējais komentārs Nr. 2 “2. panta īstenošana dalībvalstīs”, 2008. gada 24. janvāris, 21. punkts.</w:t>
      </w:r>
    </w:p>
  </w:footnote>
  <w:footnote w:id="80">
    <w:p w14:paraId="25E6C273" w14:textId="0B6B4459"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22. punkts.</w:t>
      </w:r>
    </w:p>
  </w:footnote>
  <w:footnote w:id="81">
    <w:p w14:paraId="1A145A1A" w14:textId="0FC1A2DA"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18. punkts.</w:t>
      </w:r>
    </w:p>
  </w:footnote>
  <w:footnote w:id="82">
    <w:p w14:paraId="0F9B97D0" w14:textId="6C2F393F" w:rsidR="00BB548D" w:rsidRPr="009C7C0B" w:rsidRDefault="00BB548D" w:rsidP="009A07C3">
      <w:pPr>
        <w:pStyle w:val="FootnoteText"/>
        <w:jc w:val="both"/>
      </w:pPr>
      <w:r>
        <w:rPr>
          <w:rStyle w:val="FootnoteReference"/>
          <w:rFonts w:ascii="Times New Roman" w:hAnsi="Times New Roman" w:cs="Times New Roman"/>
        </w:rPr>
        <w:footnoteRef/>
      </w:r>
      <w:r>
        <w:rPr>
          <w:rFonts w:ascii="Times New Roman" w:hAnsi="Times New Roman"/>
        </w:rPr>
        <w:t>Skat. arī dokumentu “</w:t>
      </w:r>
      <w:r>
        <w:rPr>
          <w:rFonts w:ascii="Times New Roman" w:hAnsi="Times New Roman"/>
          <w:i/>
        </w:rPr>
        <w:t>Juridiskais atzinums par Eiropas Padomes Stambulas Konvenciju par vardarbības pret sievietēm un vardarbības ģimenē novēršanu un apkarošanu (EPLS Nr. 210). Saistību joma</w:t>
      </w:r>
      <w:r>
        <w:rPr>
          <w:rFonts w:ascii="Times New Roman" w:hAnsi="Times New Roman"/>
        </w:rPr>
        <w:t xml:space="preserve">”, </w:t>
      </w:r>
      <w:r>
        <w:rPr>
          <w:rFonts w:ascii="Times New Roman" w:hAnsi="Times New Roman"/>
          <w:color w:val="0000FF"/>
          <w:u w:val="single" w:color="0000FF"/>
        </w:rPr>
        <w:t>https://www.coe.int/en/web/dlapil/-/legal-opinion-on-istanbul-convention</w:t>
      </w:r>
      <w:r>
        <w:rPr>
          <w:rFonts w:ascii="Times New Roman" w:hAnsi="Times New Roman"/>
        </w:rPr>
        <w:t xml:space="preserve">. Stambulas konvencija ir minēta arī </w:t>
      </w:r>
      <w:r>
        <w:rPr>
          <w:rFonts w:ascii="Times New Roman" w:hAnsi="Times New Roman"/>
          <w:i/>
        </w:rPr>
        <w:t>ANO publikācijā “Progress of the World’s Women 2019–2020”</w:t>
      </w:r>
      <w:r>
        <w:rPr>
          <w:rFonts w:ascii="Times New Roman" w:hAnsi="Times New Roman"/>
        </w:rPr>
        <w:t xml:space="preserve">, 185. lpp: </w:t>
      </w:r>
      <w:r>
        <w:rPr>
          <w:rFonts w:ascii="Times New Roman" w:hAnsi="Times New Roman"/>
          <w:i/>
        </w:rPr>
        <w:t>“</w:t>
      </w:r>
      <w:r>
        <w:rPr>
          <w:rFonts w:ascii="Times New Roman" w:hAnsi="Times New Roman"/>
          <w:i/>
          <w:color w:val="282827"/>
        </w:rPr>
        <w:t xml:space="preserve">Jaunākais un visprogresīvākais juridiski saistošais tiesību akts ir Eiropas Padomes Konvencija par vardarbības pret sievietēm un vardarbības ģimenē novēršanu un apkarošanu (“Stambulas konvencija”), kas stājās spēkā 2014. gadā. Tā uzliek valstīm pienākumu rīkoties, lai novērstu jebkura veida vardarbību pret sievietēm un aizsargātu pret to, sauktu pie atbildības personas, kas apsūdzētas vardarbības pret sievietēm izdarīšanā, un ieviestu integrētu politiku vardarbības pret sievietēm novēršanai un reaģēšanai uz to.” </w:t>
      </w:r>
      <w:r>
        <w:rPr>
          <w:rFonts w:ascii="Times New Roman" w:hAnsi="Times New Roman"/>
          <w:color w:val="0000FF"/>
          <w:u w:val="single" w:color="0000FF"/>
        </w:rPr>
        <w:t>https://www.unwomen.org/en/digital-library/progress-of-the-worlds-women</w:t>
      </w:r>
    </w:p>
  </w:footnote>
  <w:footnote w:id="83">
    <w:p w14:paraId="699A5125" w14:textId="08B87942"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Piemēram, skat.: Global Database on Violence against Women [Pasaules datubāze par vardarbību pret sievietēm] (</w:t>
      </w:r>
      <w:r>
        <w:rPr>
          <w:rFonts w:ascii="Times New Roman" w:hAnsi="Times New Roman"/>
          <w:color w:val="0000FF"/>
          <w:u w:val="single" w:color="0000FF"/>
        </w:rPr>
        <w:t>http://evaw-global-database.unwomen.org/en/countries/asia/armenia</w:t>
      </w:r>
      <w:r>
        <w:rPr>
          <w:rFonts w:ascii="Times New Roman" w:hAnsi="Times New Roman"/>
        </w:rPr>
        <w:t>) un ziņojums “Human Rights Watch 2018” (</w:t>
      </w:r>
      <w:r>
        <w:rPr>
          <w:rFonts w:ascii="Times New Roman" w:hAnsi="Times New Roman"/>
          <w:color w:val="0000FF"/>
          <w:u w:val="single" w:color="0000FF"/>
        </w:rPr>
        <w:t>https://www.hrw.org/news/2018/01/12/armenia-little-protection-aid-domestic-violence-survivors</w:t>
      </w:r>
      <w:r>
        <w:rPr>
          <w:rFonts w:ascii="Times New Roman" w:hAnsi="Times New Roman"/>
        </w:rPr>
        <w:t xml:space="preserve">); 2016. gada </w:t>
      </w:r>
      <w:r>
        <w:rPr>
          <w:rFonts w:ascii="Times New Roman" w:hAnsi="Times New Roman"/>
          <w:i/>
        </w:rPr>
        <w:t>CEDAW Concluding observations on the combined fifth and sixth periodic reports of Armenia</w:t>
      </w:r>
      <w:r>
        <w:rPr>
          <w:rFonts w:ascii="Times New Roman" w:hAnsi="Times New Roman"/>
        </w:rPr>
        <w:t xml:space="preserve"> [</w:t>
      </w:r>
      <w:r>
        <w:rPr>
          <w:rFonts w:ascii="Times New Roman" w:hAnsi="Times New Roman"/>
          <w:i/>
        </w:rPr>
        <w:t>CEDAW</w:t>
      </w:r>
      <w:r>
        <w:rPr>
          <w:rFonts w:ascii="Times New Roman" w:hAnsi="Times New Roman"/>
        </w:rPr>
        <w:t> komisijas Noslēguma apsvērumi par Armēnijas apvienoto piekto un sesto periodisko ziņojumu] (</w:t>
      </w:r>
      <w:r>
        <w:rPr>
          <w:rFonts w:ascii="Times New Roman" w:hAnsi="Times New Roman"/>
          <w:color w:val="0000FF"/>
          <w:u w:val="single" w:color="0000FF"/>
        </w:rPr>
        <w:t>https://www.refworld.org/docid/583863b34.html)</w:t>
      </w:r>
      <w:r>
        <w:rPr>
          <w:rFonts w:ascii="Times New Roman" w:hAnsi="Times New Roman"/>
        </w:rPr>
        <w:t>; publikācija “</w:t>
      </w:r>
      <w:r>
        <w:rPr>
          <w:rFonts w:ascii="Times New Roman" w:hAnsi="Times New Roman"/>
          <w:i/>
        </w:rPr>
        <w:t>Gap analysis of Armenian criminal law in light of the standards established by the Council of Europe Convention on Preventing and Combating Violence against Women and Domestic Violence</w:t>
      </w:r>
      <w:r>
        <w:rPr>
          <w:rFonts w:ascii="Times New Roman" w:hAnsi="Times New Roman"/>
        </w:rPr>
        <w:t>” [Armēnijas krimināltiesību nepilnību analīze, ņemot vērā tiesību normas, kas noteiktas Eiropas Padomes Konvencijā par vardarbības pret sievietēm un vardarbības ģimenē novēršanu un apkarošanu](</w:t>
      </w:r>
      <w:r>
        <w:rPr>
          <w:rFonts w:ascii="Times New Roman" w:hAnsi="Times New Roman"/>
          <w:color w:val="0000FF"/>
          <w:u w:val="single" w:color="0000FF"/>
        </w:rPr>
        <w:t>https://rm.coe.int/gap-analysis-armenian-law-eng/168075bac2)</w:t>
      </w:r>
      <w:r>
        <w:rPr>
          <w:rFonts w:ascii="Times New Roman" w:hAnsi="Times New Roman"/>
          <w:color w:val="0000FF"/>
        </w:rPr>
        <w:t>.</w:t>
      </w:r>
    </w:p>
  </w:footnote>
  <w:footnote w:id="84">
    <w:p w14:paraId="5CB9FB1E" w14:textId="6E84076B" w:rsidR="00BB548D" w:rsidRPr="009A07C3" w:rsidRDefault="00BB548D" w:rsidP="009A07C3">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color w:val="0000FF"/>
          <w:sz w:val="20"/>
          <w:szCs w:val="20"/>
          <w:u w:val="single" w:color="0000FF"/>
        </w:rPr>
        <w:t>https://www.osce.org/secretariat/413237</w:t>
      </w:r>
    </w:p>
  </w:footnote>
  <w:footnote w:id="85">
    <w:p w14:paraId="2765482D" w14:textId="3EA1BCC2" w:rsidR="00BB548D" w:rsidRPr="009A07C3" w:rsidRDefault="00BB548D" w:rsidP="009A07C3">
      <w:pPr>
        <w:pStyle w:val="FootnoteText"/>
        <w:jc w:val="both"/>
      </w:pPr>
      <w:r>
        <w:rPr>
          <w:rStyle w:val="FootnoteReference"/>
          <w:rFonts w:ascii="Times New Roman" w:hAnsi="Times New Roman" w:cs="Times New Roman"/>
        </w:rPr>
        <w:footnoteRef/>
      </w:r>
      <w:r>
        <w:rPr>
          <w:rFonts w:ascii="Times New Roman" w:hAnsi="Times New Roman"/>
        </w:rPr>
        <w:t>ECT, 2009. gada 9. jūnija spriedums lietā “</w:t>
      </w:r>
      <w:r>
        <w:rPr>
          <w:rFonts w:ascii="Times New Roman" w:hAnsi="Times New Roman"/>
          <w:i/>
        </w:rPr>
        <w:t>Opuza pret Turciju</w:t>
      </w:r>
      <w:r>
        <w:rPr>
          <w:rFonts w:ascii="Times New Roman" w:hAnsi="Times New Roman"/>
        </w:rPr>
        <w:t>”, pieteikums Nr. 33401/02, 132. punkts.</w:t>
      </w:r>
    </w:p>
  </w:footnote>
  <w:footnote w:id="86">
    <w:p w14:paraId="459E627A" w14:textId="0DE9F49B"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Piemēram, skat.: </w:t>
      </w:r>
      <w:r>
        <w:rPr>
          <w:rFonts w:ascii="Times New Roman" w:hAnsi="Times New Roman"/>
          <w:i/>
        </w:rPr>
        <w:t>European Observatory on Femicide</w:t>
      </w:r>
      <w:r>
        <w:rPr>
          <w:rFonts w:ascii="Times New Roman" w:hAnsi="Times New Roman"/>
        </w:rPr>
        <w:t xml:space="preserve"> [Eiropas Femicīdu novērošanas centrs], kuru Maltas Universitāte dibināja 2018. gadā (tiešsaistē pieejams tīmekļa vietnē </w:t>
      </w:r>
      <w:r>
        <w:rPr>
          <w:rFonts w:ascii="Times New Roman" w:hAnsi="Times New Roman"/>
          <w:color w:val="0000FF"/>
          <w:u w:val="single" w:color="0000FF"/>
        </w:rPr>
        <w:t>https://www.um.edu.mt/research/femicide</w:t>
      </w:r>
      <w:r>
        <w:rPr>
          <w:rFonts w:ascii="Times New Roman" w:hAnsi="Times New Roman"/>
        </w:rPr>
        <w:t>).</w:t>
      </w:r>
    </w:p>
  </w:footnote>
  <w:footnote w:id="87">
    <w:p w14:paraId="5EC1D54D" w14:textId="5D9DBDC2"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0000FF"/>
          <w:u w:val="single" w:color="0000FF"/>
        </w:rPr>
        <w:t>https://www.refworld.org/docid/583863b34.html</w:t>
      </w:r>
    </w:p>
  </w:footnote>
  <w:footnote w:id="88">
    <w:p w14:paraId="10F552B8" w14:textId="4F1C1AC5" w:rsidR="00BB548D" w:rsidRPr="009A07C3" w:rsidRDefault="00BB548D" w:rsidP="009A07C3">
      <w:pPr>
        <w:pStyle w:val="FootnoteText"/>
        <w:jc w:val="both"/>
      </w:pPr>
      <w:r>
        <w:rPr>
          <w:rStyle w:val="FootnoteReference"/>
          <w:rFonts w:ascii="Times New Roman" w:hAnsi="Times New Roman" w:cs="Times New Roman"/>
        </w:rPr>
        <w:footnoteRef/>
      </w:r>
      <w:r>
        <w:rPr>
          <w:rFonts w:ascii="Times New Roman" w:hAnsi="Times New Roman"/>
          <w:color w:val="0000FF"/>
          <w:u w:val="single" w:color="0000FF"/>
        </w:rPr>
        <w:t>https://rm.coe.int/gap-analysis-armenian-law-eng/168075bac2</w:t>
      </w:r>
    </w:p>
  </w:footnote>
  <w:footnote w:id="89">
    <w:p w14:paraId="504C3CDF" w14:textId="309B3499"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Piemēram, skat.: </w:t>
      </w:r>
      <w:r>
        <w:rPr>
          <w:rFonts w:ascii="Times New Roman" w:hAnsi="Times New Roman"/>
          <w:i/>
        </w:rPr>
        <w:t>Roxana Stanciu, Gender is not a social construct construct, even if the Istanbul Convention says so</w:t>
      </w:r>
      <w:r>
        <w:rPr>
          <w:rFonts w:ascii="Times New Roman" w:hAnsi="Times New Roman"/>
        </w:rPr>
        <w:t xml:space="preserve">, </w:t>
      </w:r>
      <w:r>
        <w:rPr>
          <w:rFonts w:ascii="Times New Roman" w:hAnsi="Times New Roman"/>
          <w:i/>
        </w:rPr>
        <w:t>European Dignity Watch</w:t>
      </w:r>
      <w:r>
        <w:rPr>
          <w:rFonts w:ascii="Times New Roman" w:hAnsi="Times New Roman"/>
        </w:rPr>
        <w:t>, 2018. gada 8. jūnijs.</w:t>
      </w:r>
    </w:p>
  </w:footnote>
  <w:footnote w:id="90">
    <w:p w14:paraId="51E04415" w14:textId="02539BA2" w:rsidR="00BB548D" w:rsidRPr="009A07C3" w:rsidRDefault="00BB548D" w:rsidP="009A07C3">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szCs w:val="20"/>
        </w:rPr>
        <w:t>Stambulas konvencijas skaidrojošais ziņojums</w:t>
      </w:r>
      <w:r>
        <w:rPr>
          <w:rFonts w:ascii="Times New Roman" w:hAnsi="Times New Roman"/>
          <w:sz w:val="20"/>
          <w:szCs w:val="20"/>
        </w:rPr>
        <w:t>, 85. punkts.</w:t>
      </w:r>
    </w:p>
  </w:footnote>
  <w:footnote w:id="91">
    <w:p w14:paraId="0561C76B" w14:textId="5A26639D" w:rsidR="00BB548D" w:rsidRPr="009A07C3" w:rsidRDefault="00BB548D" w:rsidP="009A07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J. C. Campbell, Beating of wives: a cross-cultural perspective, </w:t>
      </w:r>
      <w:r>
        <w:rPr>
          <w:rFonts w:ascii="Times New Roman" w:hAnsi="Times New Roman"/>
          <w:i/>
        </w:rPr>
        <w:t>Victimology</w:t>
      </w:r>
      <w:r>
        <w:rPr>
          <w:rFonts w:ascii="Times New Roman" w:hAnsi="Times New Roman"/>
        </w:rPr>
        <w:t xml:space="preserve">, Vol. 10, 1985, 174.–185. lpp.; David Peterson, Wife Beating: An American Tradition, </w:t>
      </w:r>
      <w:r>
        <w:rPr>
          <w:rFonts w:ascii="Times New Roman" w:hAnsi="Times New Roman"/>
          <w:i/>
        </w:rPr>
        <w:t>The Journal of Interdisciplinary History</w:t>
      </w:r>
      <w:r>
        <w:rPr>
          <w:rFonts w:ascii="Times New Roman" w:hAnsi="Times New Roman"/>
        </w:rPr>
        <w:t xml:space="preserve">, Vol. 23, 1992, 97.–118. lpp.; Lorna McLean, Deserving Wives and Drunken Husbands: Wife Beating, Marital Conduct, and the Law in Ontario, 1850–1910, </w:t>
      </w:r>
      <w:r>
        <w:rPr>
          <w:rFonts w:ascii="Times New Roman" w:hAnsi="Times New Roman"/>
          <w:i/>
        </w:rPr>
        <w:t>Histoire sociale/Social History</w:t>
      </w:r>
      <w:r>
        <w:rPr>
          <w:rFonts w:ascii="Times New Roman" w:hAnsi="Times New Roman"/>
        </w:rPr>
        <w:t>, Vol. 35, 2002, 59.–81. lpp.</w:t>
      </w:r>
    </w:p>
  </w:footnote>
  <w:footnote w:id="92">
    <w:p w14:paraId="10AA432E" w14:textId="1E83EED2" w:rsidR="00BB548D" w:rsidRPr="009A07C3" w:rsidRDefault="00BB548D" w:rsidP="009A07C3">
      <w:pPr>
        <w:pStyle w:val="FootnoteText"/>
        <w:jc w:val="both"/>
      </w:pPr>
      <w:r>
        <w:rPr>
          <w:rStyle w:val="FootnoteReference"/>
          <w:rFonts w:ascii="Times New Roman" w:hAnsi="Times New Roman" w:cs="Times New Roman"/>
        </w:rPr>
        <w:footnoteRef/>
      </w:r>
      <w:r>
        <w:rPr>
          <w:rFonts w:ascii="Times New Roman" w:hAnsi="Times New Roman"/>
        </w:rPr>
        <w:t xml:space="preserve"> Skat.: Hossein, Sara, Welchman, Lynn (eds.), </w:t>
      </w:r>
      <w:r>
        <w:rPr>
          <w:rFonts w:ascii="Times New Roman" w:hAnsi="Times New Roman"/>
          <w:i/>
        </w:rPr>
        <w:t>'Honour': Crimes, Paradigms and Violence Against Women</w:t>
      </w:r>
      <w:r>
        <w:rPr>
          <w:rFonts w:ascii="Times New Roman" w:hAnsi="Times New Roman"/>
        </w:rPr>
        <w:t xml:space="preserve">, </w:t>
      </w:r>
      <w:r>
        <w:rPr>
          <w:rFonts w:ascii="Times New Roman" w:hAnsi="Times New Roman"/>
          <w:i/>
        </w:rPr>
        <w:t>Zed Books</w:t>
      </w:r>
      <w:r>
        <w:rPr>
          <w:rFonts w:ascii="Times New Roman" w:hAnsi="Times New Roman"/>
        </w:rPr>
        <w:t>, 2005.</w:t>
      </w:r>
    </w:p>
  </w:footnote>
  <w:footnote w:id="93">
    <w:p w14:paraId="5ABF9549" w14:textId="6747B884" w:rsidR="00BB548D" w:rsidRPr="00FF3E7F" w:rsidRDefault="00BB548D" w:rsidP="00FF3E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Eiropas Savienības Pamattiesību aģentūra un Eiropas Padome, Handbook on European non- discriminatory law [Rokasgrāmata par Eiropas nediskriminējošajiem tiesību aktiem] (2018), 171. punkts.</w:t>
      </w:r>
    </w:p>
  </w:footnote>
  <w:footnote w:id="94">
    <w:p w14:paraId="6651C3FE" w14:textId="062AC7C2" w:rsidR="00BB548D" w:rsidRPr="00FF3E7F" w:rsidRDefault="00BB548D" w:rsidP="00FF3E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Idem</w:t>
      </w:r>
      <w:r>
        <w:rPr>
          <w:rFonts w:ascii="Times New Roman" w:hAnsi="Times New Roman"/>
        </w:rPr>
        <w:t xml:space="preserve">.; </w:t>
      </w:r>
      <w:r>
        <w:rPr>
          <w:rFonts w:ascii="Times New Roman" w:hAnsi="Times New Roman"/>
          <w:i/>
        </w:rPr>
        <w:t>Stambulas konvencijas skaidrojošais ziņojums</w:t>
      </w:r>
      <w:r>
        <w:rPr>
          <w:rFonts w:ascii="Times New Roman" w:hAnsi="Times New Roman"/>
        </w:rPr>
        <w:t>, 53. punkts.</w:t>
      </w:r>
    </w:p>
  </w:footnote>
  <w:footnote w:id="95">
    <w:p w14:paraId="42182038" w14:textId="0265E85E" w:rsidR="00BB548D" w:rsidRPr="00FF3E7F" w:rsidRDefault="00BB548D" w:rsidP="00FF3E7F">
      <w:pPr>
        <w:pStyle w:val="FootnoteText"/>
        <w:jc w:val="both"/>
      </w:pPr>
      <w:r>
        <w:rPr>
          <w:rStyle w:val="FootnoteReference"/>
          <w:rFonts w:ascii="Times New Roman" w:hAnsi="Times New Roman" w:cs="Times New Roman"/>
        </w:rPr>
        <w:footnoteRef/>
      </w:r>
      <w:r>
        <w:rPr>
          <w:rFonts w:ascii="Times New Roman" w:hAnsi="Times New Roman"/>
        </w:rPr>
        <w:t>Turpat.</w:t>
      </w:r>
    </w:p>
  </w:footnote>
  <w:footnote w:id="96">
    <w:p w14:paraId="599A77E0" w14:textId="6D6380D0" w:rsidR="00BB548D" w:rsidRPr="00FF3E7F"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Šis bija viens no argumentiem, kas tika izmantots, lai apturētu Stambulas konvencijas ratifikācijas procesu Slovākijā (skat.: Istanbulský dohovor rozpútal v parlamente diskusiu, poslanci sa v názoroch rozchádzajú, </w:t>
      </w:r>
      <w:r>
        <w:rPr>
          <w:rFonts w:ascii="Times New Roman" w:hAnsi="Times New Roman"/>
          <w:i/>
        </w:rPr>
        <w:t>WebNoviny</w:t>
      </w:r>
      <w:r>
        <w:rPr>
          <w:rFonts w:ascii="Times New Roman" w:hAnsi="Times New Roman"/>
        </w:rPr>
        <w:t>, 2019. gada 28. marts).</w:t>
      </w:r>
    </w:p>
  </w:footnote>
  <w:footnote w:id="97">
    <w:p w14:paraId="40355DE3" w14:textId="4A162AC8" w:rsidR="00BB548D" w:rsidRPr="00FF3E7F" w:rsidRDefault="00BB548D" w:rsidP="00FF3E7F">
      <w:pPr>
        <w:jc w:val="both"/>
        <w:rPr>
          <w:rFonts w:ascii="Times New Roman" w:eastAsia="Arial" w:hAnsi="Times New Roman" w:cs="Arial"/>
          <w:noProof/>
          <w:sz w:val="24"/>
          <w:szCs w:val="18"/>
        </w:rPr>
      </w:pPr>
      <w:r>
        <w:rPr>
          <w:rStyle w:val="FootnoteReference"/>
          <w:rFonts w:ascii="Times New Roman" w:hAnsi="Times New Roman" w:cs="Times New Roman"/>
          <w:sz w:val="20"/>
          <w:szCs w:val="20"/>
        </w:rPr>
        <w:footnoteRef/>
      </w:r>
      <w:r>
        <w:rPr>
          <w:rFonts w:ascii="Times New Roman" w:hAnsi="Times New Roman"/>
          <w:color w:val="0000FF"/>
          <w:sz w:val="20"/>
          <w:szCs w:val="20"/>
          <w:u w:val="single" w:color="0000FF"/>
        </w:rPr>
        <w:t>https://www.president.am/en/constitution-2015/</w:t>
      </w:r>
    </w:p>
  </w:footnote>
  <w:footnote w:id="98">
    <w:p w14:paraId="69699127" w14:textId="11D62D4F" w:rsidR="00BB548D" w:rsidRPr="00FF3E7F"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O’Flaherty, </w:t>
      </w:r>
      <w:r>
        <w:rPr>
          <w:rFonts w:ascii="Times New Roman" w:hAnsi="Times New Roman"/>
          <w:i/>
        </w:rPr>
        <w:t>Sexual Orientation and Gender Identity</w:t>
      </w:r>
      <w:r>
        <w:rPr>
          <w:rFonts w:ascii="Times New Roman" w:hAnsi="Times New Roman"/>
        </w:rPr>
        <w:t xml:space="preserve">, Moeckli/Shah/Sivakumaran, </w:t>
      </w:r>
      <w:r>
        <w:rPr>
          <w:rFonts w:ascii="Times New Roman" w:hAnsi="Times New Roman"/>
          <w:i/>
        </w:rPr>
        <w:t>International Human Rights Law</w:t>
      </w:r>
      <w:r>
        <w:rPr>
          <w:rFonts w:ascii="Times New Roman" w:hAnsi="Times New Roman"/>
        </w:rPr>
        <w:t xml:space="preserve"> (2018), 298. punkts; Eiropas Savienības Pamattiesību aģentūra, </w:t>
      </w:r>
      <w:r>
        <w:rPr>
          <w:rFonts w:ascii="Times New Roman" w:hAnsi="Times New Roman"/>
          <w:i/>
        </w:rPr>
        <w:t>Handbook on European non-discriminatory law</w:t>
      </w:r>
      <w:r>
        <w:rPr>
          <w:rFonts w:ascii="Times New Roman" w:hAnsi="Times New Roman"/>
        </w:rPr>
        <w:t xml:space="preserve"> [Rokasgrāmata par Eiropas nediskriminējošajiem tiesību aktiem] (2018), 176. punkts.</w:t>
      </w:r>
    </w:p>
  </w:footnote>
  <w:footnote w:id="99">
    <w:p w14:paraId="31EEB09F" w14:textId="5F412087" w:rsidR="00BB548D" w:rsidRPr="00FF3E7F"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pieteikums Nr. 2346/02, 2002. gada 29. aprīlis.</w:t>
      </w:r>
    </w:p>
  </w:footnote>
  <w:footnote w:id="100">
    <w:p w14:paraId="6FECCB35" w14:textId="386D21D4" w:rsidR="00BB548D" w:rsidRPr="00FF3E7F" w:rsidRDefault="00BB548D">
      <w:pPr>
        <w:pStyle w:val="FootnoteText"/>
      </w:pPr>
      <w:r>
        <w:rPr>
          <w:rStyle w:val="FootnoteReference"/>
          <w:rFonts w:ascii="Times New Roman" w:hAnsi="Times New Roman" w:cs="Times New Roman"/>
        </w:rPr>
        <w:footnoteRef/>
      </w:r>
      <w:r>
        <w:rPr>
          <w:rFonts w:ascii="Times New Roman" w:hAnsi="Times New Roman"/>
        </w:rPr>
        <w:t xml:space="preserve">Jan Čulík, Top official of the Catholic Church in Czechia rails against a convention guaranteeing women’s human rights, </w:t>
      </w:r>
      <w:r>
        <w:rPr>
          <w:rFonts w:ascii="Times New Roman" w:hAnsi="Times New Roman"/>
          <w:i/>
        </w:rPr>
        <w:t>Britské listy</w:t>
      </w:r>
      <w:r>
        <w:rPr>
          <w:rFonts w:ascii="Times New Roman" w:hAnsi="Times New Roman"/>
        </w:rPr>
        <w:t>, 2018. gada 6. oktobris.</w:t>
      </w:r>
    </w:p>
  </w:footnote>
  <w:footnote w:id="101">
    <w:p w14:paraId="2296A1AF" w14:textId="0454D701" w:rsidR="00BB548D" w:rsidRPr="00035E05" w:rsidRDefault="00BB548D" w:rsidP="00035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2010. gada 24. jūnija spriedums lietā “</w:t>
      </w:r>
      <w:r>
        <w:rPr>
          <w:rFonts w:ascii="Times New Roman" w:hAnsi="Times New Roman"/>
          <w:i/>
        </w:rPr>
        <w:t>Šalks [Schalk] un Kopfs [Kopf] pret Austriju</w:t>
      </w:r>
      <w:r>
        <w:rPr>
          <w:rFonts w:ascii="Times New Roman" w:hAnsi="Times New Roman"/>
        </w:rPr>
        <w:t>”, pieteikums Nr. 30141/04, 58. punkts.</w:t>
      </w:r>
    </w:p>
  </w:footnote>
  <w:footnote w:id="102">
    <w:p w14:paraId="4231ED8A" w14:textId="2BCC6A1E" w:rsidR="00BB548D" w:rsidRPr="00035E05" w:rsidRDefault="00BB548D" w:rsidP="00035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ECT, 2016. gada 9. jūnija spriedums lietā “</w:t>
      </w:r>
      <w:r>
        <w:rPr>
          <w:rFonts w:ascii="Times New Roman" w:hAnsi="Times New Roman"/>
          <w:i/>
        </w:rPr>
        <w:t>Šapēns [Chapin] un Šarpentjē [Charpentier] pret Franciju</w:t>
      </w:r>
      <w:r>
        <w:rPr>
          <w:rFonts w:ascii="Times New Roman" w:hAnsi="Times New Roman"/>
        </w:rPr>
        <w:t>”, pieteikums Nr. 40183/07, 36. punkts.</w:t>
      </w:r>
    </w:p>
  </w:footnote>
  <w:footnote w:id="103">
    <w:p w14:paraId="24A410EB" w14:textId="4A92F50F" w:rsidR="00BB548D" w:rsidRPr="00035E05" w:rsidRDefault="00BB548D" w:rsidP="00035E05">
      <w:pPr>
        <w:pStyle w:val="FootnoteText"/>
        <w:jc w:val="both"/>
      </w:pPr>
      <w:r>
        <w:rPr>
          <w:rStyle w:val="FootnoteReference"/>
          <w:rFonts w:ascii="Times New Roman" w:hAnsi="Times New Roman" w:cs="Times New Roman"/>
        </w:rPr>
        <w:footnoteRef/>
      </w:r>
      <w:r>
        <w:rPr>
          <w:rFonts w:ascii="Times New Roman" w:hAnsi="Times New Roman"/>
        </w:rPr>
        <w:t>Armēnijas Republikas Konstitucionālās tiesas 2002. gada 22. februāra Lēmums CCD–350 lietā par to saistību atbilstību Armēnijas Republikas Konstitūcijai, kas noteiktas 1950. gada 4. novembrī Romā parakstītajā Cilvēktiesību un pamatbrīvību aizsardzības konvencijā, 1952. gada 20. martā Parīzē parakstītajā Cilvēktiesību un pamatbrīvību aizsardzības konvencijas protokolā, 1963. gada 16. septembrī Strasbūrā parakstītajā 4. protokolā, kurš nodrošina zināmas tiesības un brīvības, kuras nav iekļautas Konvencijā un tās Pirmajā protokolā, ar 11. protokola izdarītajiem grozījumiem, un 1984. gada 22. novembrī parakstītajā Cilvēktiesību un pamatbrīvību aizsardzības konvencijas 7. protokolā.</w:t>
      </w:r>
    </w:p>
  </w:footnote>
  <w:footnote w:id="104">
    <w:p w14:paraId="2D17FDBB" w14:textId="77777777" w:rsidR="00BB548D" w:rsidRPr="00A64274" w:rsidRDefault="00BB548D" w:rsidP="00A64274">
      <w:pPr>
        <w:jc w:val="both"/>
        <w:rPr>
          <w:rFonts w:ascii="Times New Roman" w:eastAsia="Arial"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sz w:val="20"/>
          <w:szCs w:val="20"/>
        </w:rPr>
        <w:t>“36. pants. Vecāku tiesības un pienākumi</w:t>
      </w:r>
    </w:p>
    <w:p w14:paraId="00555778" w14:textId="69688AA9" w:rsidR="00BB548D" w:rsidRPr="00A64274" w:rsidRDefault="00BB548D" w:rsidP="00A64274">
      <w:pPr>
        <w:jc w:val="both"/>
        <w:rPr>
          <w:rFonts w:ascii="Times New Roman" w:eastAsia="Arial" w:hAnsi="Times New Roman" w:cs="Times New Roman"/>
          <w:i/>
          <w:noProof/>
          <w:sz w:val="20"/>
          <w:szCs w:val="20"/>
        </w:rPr>
      </w:pPr>
      <w:r>
        <w:rPr>
          <w:rFonts w:ascii="Times New Roman" w:hAnsi="Times New Roman"/>
          <w:i/>
          <w:sz w:val="20"/>
          <w:szCs w:val="20"/>
        </w:rPr>
        <w:t>1. Vecākiem ir tiesības un pienākums rūpēties par savu bērnu audzināšanu, izglītību, veselību un vispusīgu un līdzsvarotu attīstību.</w:t>
      </w:r>
    </w:p>
  </w:footnote>
  <w:footnote w:id="105">
    <w:p w14:paraId="5BFC594B" w14:textId="77777777" w:rsidR="00BB548D" w:rsidRPr="00A64274" w:rsidRDefault="00BB548D" w:rsidP="00A64274">
      <w:pPr>
        <w:tabs>
          <w:tab w:val="left" w:pos="356"/>
        </w:tabs>
        <w:jc w:val="both"/>
        <w:rPr>
          <w:rFonts w:ascii="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sz w:val="20"/>
          <w:szCs w:val="20"/>
        </w:rPr>
        <w:t>Ikvienam ir tiesības uz izglītību. Obligātās izglītības programmas un ilgumu nosaka tiesību aktos. Vidējā izglītība valsts izglītības iestādēs ir bez maksas.</w:t>
      </w:r>
    </w:p>
    <w:p w14:paraId="7AFA7A8C" w14:textId="77777777" w:rsidR="00BB548D" w:rsidRPr="00A64274" w:rsidRDefault="00BB548D" w:rsidP="00A64274">
      <w:pPr>
        <w:tabs>
          <w:tab w:val="left" w:pos="341"/>
        </w:tabs>
        <w:jc w:val="both"/>
        <w:rPr>
          <w:rFonts w:ascii="Times New Roman" w:hAnsi="Times New Roman" w:cs="Times New Roman"/>
          <w:i/>
          <w:noProof/>
          <w:sz w:val="20"/>
          <w:szCs w:val="20"/>
        </w:rPr>
      </w:pPr>
      <w:r>
        <w:rPr>
          <w:rFonts w:ascii="Times New Roman" w:hAnsi="Times New Roman"/>
          <w:i/>
          <w:sz w:val="20"/>
          <w:szCs w:val="20"/>
        </w:rPr>
        <w:t>2. Ikvienam ir tiesības tiesību aktos noteiktajos gadījumos un kārtībā saskaņā ar konkurences principiem saņemt bezmaksas izglītību valsts augstākajās un citās profesionālās izglītības iestādēs.</w:t>
      </w:r>
    </w:p>
    <w:p w14:paraId="054261FA" w14:textId="3AA3BB6A" w:rsidR="00BB548D" w:rsidRPr="00A64274" w:rsidRDefault="00BB548D" w:rsidP="00A64274">
      <w:pPr>
        <w:tabs>
          <w:tab w:val="left" w:pos="318"/>
        </w:tabs>
        <w:jc w:val="both"/>
        <w:rPr>
          <w:rFonts w:ascii="Times New Roman" w:eastAsia="Arial" w:hAnsi="Times New Roman" w:cs="Times New Roman"/>
          <w:i/>
          <w:noProof/>
          <w:sz w:val="20"/>
          <w:szCs w:val="20"/>
        </w:rPr>
      </w:pPr>
      <w:r>
        <w:rPr>
          <w:rFonts w:ascii="Times New Roman" w:hAnsi="Times New Roman"/>
          <w:i/>
          <w:sz w:val="20"/>
          <w:szCs w:val="20"/>
        </w:rPr>
        <w:t>3. Augstākās izglītības iestādēm tiesību aktos noteiktajā kārtībā ir tiesības uz pašpārvaldi, tostarp uz akadēmisko un pētniecības brīvību.”</w:t>
      </w:r>
    </w:p>
  </w:footnote>
  <w:footnote w:id="106">
    <w:p w14:paraId="75678737" w14:textId="44BA9775" w:rsidR="00BB548D" w:rsidRPr="00A64274" w:rsidRDefault="00BB548D" w:rsidP="00A64274">
      <w:pPr>
        <w:pStyle w:val="FootnoteText"/>
        <w:jc w:val="both"/>
      </w:pPr>
      <w:r>
        <w:rPr>
          <w:rStyle w:val="FootnoteReference"/>
          <w:rFonts w:ascii="Times New Roman" w:hAnsi="Times New Roman" w:cs="Times New Roman"/>
        </w:rPr>
        <w:footnoteRef/>
      </w:r>
      <w:r>
        <w:rPr>
          <w:rFonts w:ascii="Times New Roman" w:hAnsi="Times New Roman"/>
        </w:rPr>
        <w:t xml:space="preserve">Kelly, James P., “Human Rights Education, Religion, and Parental Choice in Education”, </w:t>
      </w:r>
      <w:r>
        <w:rPr>
          <w:rFonts w:ascii="Times New Roman" w:hAnsi="Times New Roman"/>
          <w:i/>
        </w:rPr>
        <w:t>Engage</w:t>
      </w:r>
      <w:r>
        <w:rPr>
          <w:rFonts w:ascii="Times New Roman" w:hAnsi="Times New Roman"/>
        </w:rPr>
        <w:t xml:space="preserve"> (2005. gada 1. maijs).</w:t>
      </w:r>
    </w:p>
  </w:footnote>
  <w:footnote w:id="107">
    <w:p w14:paraId="233B4967" w14:textId="499D3647" w:rsidR="00BB548D" w:rsidRPr="00A64274" w:rsidRDefault="00BB548D" w:rsidP="00A64274">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sz w:val="20"/>
          <w:szCs w:val="20"/>
        </w:rPr>
        <w:t>Stambulas konvencijas skaidrojošais ziņojums</w:t>
      </w:r>
      <w:r>
        <w:rPr>
          <w:rFonts w:ascii="Times New Roman" w:hAnsi="Times New Roman"/>
          <w:sz w:val="20"/>
          <w:szCs w:val="20"/>
        </w:rPr>
        <w:t>, 94. punkts.</w:t>
      </w:r>
    </w:p>
  </w:footnote>
  <w:footnote w:id="108">
    <w:p w14:paraId="0DE58405" w14:textId="45B0EAB3" w:rsidR="00BB548D" w:rsidRPr="00A64274" w:rsidRDefault="00BB548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Armēnijas Republikas Izglītības likums</w:t>
      </w:r>
      <w:r>
        <w:rPr>
          <w:rFonts w:ascii="Times New Roman" w:hAnsi="Times New Roman"/>
        </w:rPr>
        <w:t>, ko Nacionālā asambleja pieņēma 1999. gada 14. aprīlī.</w:t>
      </w:r>
    </w:p>
  </w:footnote>
  <w:footnote w:id="109">
    <w:p w14:paraId="73A48555" w14:textId="26D1322A" w:rsidR="00BB548D" w:rsidRPr="00C74FA4" w:rsidRDefault="00BB548D" w:rsidP="00C74F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Stambulas konvencijas skaidrojošais ziņojums</w:t>
      </w:r>
      <w:r>
        <w:rPr>
          <w:rFonts w:ascii="Times New Roman" w:hAnsi="Times New Roman"/>
        </w:rPr>
        <w:t>, 95. punkts.</w:t>
      </w:r>
    </w:p>
  </w:footnote>
  <w:footnote w:id="110">
    <w:p w14:paraId="5724C4EA" w14:textId="42400A64" w:rsidR="00BB548D" w:rsidRPr="00C74FA4" w:rsidRDefault="00BB548D" w:rsidP="00C74F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Istanbulská úmluva vadí nejen církvi, ale i advokátům. Bojí se prolomení mlčenlivosti, </w:t>
      </w:r>
      <w:r>
        <w:rPr>
          <w:rFonts w:ascii="Times New Roman" w:hAnsi="Times New Roman"/>
          <w:i/>
        </w:rPr>
        <w:t>Aktuálně.cz</w:t>
      </w:r>
      <w:r>
        <w:rPr>
          <w:rFonts w:ascii="Times New Roman" w:hAnsi="Times New Roman"/>
        </w:rPr>
        <w:t>, 2018. gada 24. oktobris.</w:t>
      </w:r>
    </w:p>
  </w:footnote>
  <w:footnote w:id="111">
    <w:p w14:paraId="10EE0057" w14:textId="7F33C20E" w:rsidR="00BB548D" w:rsidRPr="00C74FA4" w:rsidRDefault="00BB548D" w:rsidP="00C74F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Dažas valstis, piemēram, Armēnija, savā tiesiskajā regulējumā ievieš obligātu ziņošanu. Saskaņā ar Armēnijas Kriminālkodeksa 335. pantu neziņošana par kādu zināmu smagu vai sevišķi smagu noziegumu ir uzskatāma par kriminālsodāmu nodarījumu, par ko ir paredzēts brīvības atņemšanas sods uz laiku līdz diviem gadiem.</w:t>
      </w:r>
    </w:p>
  </w:footnote>
  <w:footnote w:id="112">
    <w:p w14:paraId="23EF7438" w14:textId="706D0C6B" w:rsidR="00BB548D" w:rsidRPr="00C74FA4" w:rsidRDefault="00BB548D" w:rsidP="00C74FA4">
      <w:pPr>
        <w:jc w:val="both"/>
        <w:rPr>
          <w:rFonts w:ascii="Times New Roman" w:eastAsia="Arial" w:hAnsi="Times New Roman" w:cs="Arial"/>
          <w:noProof/>
          <w:sz w:val="24"/>
          <w:szCs w:val="18"/>
        </w:rPr>
      </w:pPr>
      <w:r>
        <w:rPr>
          <w:rStyle w:val="FootnoteReference"/>
          <w:rFonts w:ascii="Times New Roman" w:hAnsi="Times New Roman" w:cs="Times New Roman"/>
          <w:sz w:val="20"/>
          <w:szCs w:val="20"/>
        </w:rPr>
        <w:footnoteRef/>
      </w:r>
      <w:r>
        <w:rPr>
          <w:rFonts w:ascii="Times New Roman" w:hAnsi="Times New Roman"/>
          <w:i/>
          <w:sz w:val="20"/>
          <w:szCs w:val="20"/>
        </w:rPr>
        <w:t>Stambulas konvencijas skaidrojošais ziņojums</w:t>
      </w:r>
      <w:r>
        <w:rPr>
          <w:rFonts w:ascii="Times New Roman" w:hAnsi="Times New Roman"/>
          <w:sz w:val="20"/>
          <w:szCs w:val="20"/>
        </w:rPr>
        <w:t>, 147. punkts.</w:t>
      </w:r>
    </w:p>
  </w:footnote>
  <w:footnote w:id="113">
    <w:p w14:paraId="43458710" w14:textId="6154FCE0" w:rsidR="00BB548D" w:rsidRPr="00C74FA4" w:rsidRDefault="00BB548D" w:rsidP="00C74FA4">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113 Tomáš Zdechovský, Proč Istanbulskou úmluvu kritizují právníci po celé Evropě a v ČR se o tom mlčí? </w:t>
      </w:r>
      <w:r>
        <w:rPr>
          <w:rFonts w:ascii="Times New Roman" w:hAnsi="Times New Roman"/>
          <w:i/>
          <w:sz w:val="20"/>
          <w:szCs w:val="20"/>
        </w:rPr>
        <w:t>iDnes.cz</w:t>
      </w:r>
      <w:r>
        <w:rPr>
          <w:rFonts w:ascii="Times New Roman" w:hAnsi="Times New Roman"/>
          <w:sz w:val="20"/>
          <w:szCs w:val="20"/>
        </w:rPr>
        <w:t>, 2018. gada 19. oktobris.</w:t>
      </w:r>
    </w:p>
  </w:footnote>
  <w:footnote w:id="114">
    <w:p w14:paraId="6B2A2FBA" w14:textId="729D7E44" w:rsidR="00BB548D" w:rsidRPr="00C74FA4" w:rsidRDefault="00BB548D" w:rsidP="00C74FA4">
      <w:pPr>
        <w:pStyle w:val="FootnoteText"/>
        <w:jc w:val="both"/>
      </w:pPr>
      <w:r>
        <w:rPr>
          <w:rStyle w:val="FootnoteReference"/>
          <w:rFonts w:ascii="Times New Roman" w:hAnsi="Times New Roman" w:cs="Times New Roman"/>
        </w:rPr>
        <w:footnoteRef/>
      </w:r>
      <w:r>
        <w:rPr>
          <w:rFonts w:ascii="Times New Roman" w:hAnsi="Times New Roman"/>
        </w:rPr>
        <w:t xml:space="preserve"> ECT, 2010. gada 20. jūlija spriedums lietā “</w:t>
      </w:r>
      <w:r>
        <w:rPr>
          <w:rFonts w:ascii="Times New Roman" w:hAnsi="Times New Roman"/>
          <w:i/>
        </w:rPr>
        <w:t>N. pret Zviedriju</w:t>
      </w:r>
      <w:r>
        <w:rPr>
          <w:rFonts w:ascii="Times New Roman" w:hAnsi="Times New Roman"/>
        </w:rPr>
        <w:t>”, pieteikums Nr. 23505/09. Daudzu citu attiecīgu precedentu vidū skat. arī ECT 2015. gada 10. septembra spriedumu lietā “</w:t>
      </w:r>
      <w:r>
        <w:rPr>
          <w:rFonts w:ascii="Times New Roman" w:hAnsi="Times New Roman"/>
          <w:i/>
        </w:rPr>
        <w:t>R. H. pret Zviedriju</w:t>
      </w:r>
      <w:r>
        <w:rPr>
          <w:rFonts w:ascii="Times New Roman" w:hAnsi="Times New Roman"/>
        </w:rPr>
        <w:t>”, pieteikums Nr. 4601/14, 70. punktu par sieviešu sarežģīto stāvokli Somālijā.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0D6B" w14:textId="3E657DD0" w:rsidR="00BB548D" w:rsidRPr="008E3B77" w:rsidRDefault="00BB548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3768" w14:textId="77777777" w:rsidR="00BB548D" w:rsidRPr="00310979" w:rsidRDefault="00BB548D" w:rsidP="00310979">
    <w:pPr>
      <w:pStyle w:val="Header"/>
      <w:rPr>
        <w:rStyle w:val="PageNumber"/>
        <w:rFonts w:ascii="Times New Roman" w:hAnsi="Times New Roman" w:cs="Times New Roman"/>
        <w:sz w:val="20"/>
        <w:szCs w:val="20"/>
      </w:rPr>
    </w:pPr>
    <w:bookmarkStart w:id="12" w:name="_Hlk496261784"/>
    <w:bookmarkStart w:id="13" w:name="_Hlk496261785"/>
    <w:bookmarkStart w:id="14" w:name="_Hlk496261786"/>
    <w:bookmarkStart w:id="15" w:name="_Hlk502757728"/>
    <w:bookmarkStart w:id="16" w:name="_Hlk502757729"/>
    <w:bookmarkStart w:id="17" w:name="_Hlk502757738"/>
    <w:bookmarkStart w:id="18" w:name="_Hlk502757739"/>
    <w:bookmarkStart w:id="19" w:name="_Hlk30491084"/>
    <w:bookmarkStart w:id="20" w:name="_Hlk30491085"/>
  </w:p>
  <w:p w14:paraId="42166826" w14:textId="7CBE7C0C" w:rsidR="00BB548D" w:rsidRPr="00310979" w:rsidRDefault="00BB548D" w:rsidP="00310979">
    <w:pPr>
      <w:pStyle w:val="Header"/>
      <w:tabs>
        <w:tab w:val="clear" w:pos="4513"/>
        <w:tab w:val="clear" w:pos="9026"/>
        <w:tab w:val="right" w:leader="underscore" w:pos="9072"/>
      </w:tabs>
      <w:rPr>
        <w:rStyle w:val="PageNumber"/>
        <w:rFonts w:ascii="Times New Roman" w:hAnsi="Times New Roman" w:cs="Times New Roman"/>
        <w:sz w:val="20"/>
        <w:szCs w:val="20"/>
      </w:rPr>
    </w:pPr>
    <w:r w:rsidRPr="00310979">
      <w:rPr>
        <w:rStyle w:val="PageNumber"/>
        <w:rFonts w:ascii="Times New Roman" w:hAnsi="Times New Roman" w:cs="Times New Roman"/>
        <w:sz w:val="20"/>
        <w:szCs w:val="20"/>
      </w:rPr>
      <w:tab/>
    </w:r>
  </w:p>
  <w:bookmarkEnd w:id="12"/>
  <w:bookmarkEnd w:id="13"/>
  <w:bookmarkEnd w:id="14"/>
  <w:bookmarkEnd w:id="15"/>
  <w:bookmarkEnd w:id="16"/>
  <w:bookmarkEnd w:id="17"/>
  <w:bookmarkEnd w:id="18"/>
  <w:bookmarkEnd w:id="19"/>
  <w:bookmarkEnd w:id="20"/>
  <w:p w14:paraId="70A64BB3" w14:textId="77777777" w:rsidR="00BB548D" w:rsidRPr="00310979" w:rsidRDefault="00BB548D" w:rsidP="0031097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9816" w14:textId="77777777" w:rsidR="00BB548D" w:rsidRPr="00310979" w:rsidRDefault="00BB548D" w:rsidP="00310979">
    <w:pPr>
      <w:pBdr>
        <w:bottom w:val="single" w:sz="12" w:space="5" w:color="auto"/>
      </w:pBdr>
      <w:rPr>
        <w:rFonts w:ascii="Times New Roman" w:hAnsi="Times New Roman" w:cs="Times New Roman"/>
        <w:spacing w:val="-2"/>
        <w:sz w:val="20"/>
        <w:szCs w:val="20"/>
      </w:rPr>
    </w:pPr>
    <w:bookmarkStart w:id="21" w:name="_Hlk496261745"/>
    <w:bookmarkStart w:id="22" w:name="_Hlk496261746"/>
    <w:bookmarkStart w:id="23" w:name="_Hlk496261747"/>
    <w:bookmarkStart w:id="24" w:name="_Hlk30491063"/>
    <w:bookmarkStart w:id="25" w:name="_Hlk30491064"/>
  </w:p>
  <w:bookmarkEnd w:id="21"/>
  <w:bookmarkEnd w:id="22"/>
  <w:bookmarkEnd w:id="23"/>
  <w:bookmarkEnd w:id="24"/>
  <w:bookmarkEnd w:id="25"/>
  <w:p w14:paraId="79A9355E" w14:textId="77777777" w:rsidR="00BB548D" w:rsidRPr="00310979" w:rsidRDefault="00BB548D" w:rsidP="0031097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B2388"/>
    <w:multiLevelType w:val="hybridMultilevel"/>
    <w:tmpl w:val="AFB09138"/>
    <w:lvl w:ilvl="0" w:tplc="93FE0CC2">
      <w:start w:val="2"/>
      <w:numFmt w:val="decimal"/>
      <w:lvlText w:val="%1."/>
      <w:lvlJc w:val="left"/>
      <w:pPr>
        <w:ind w:left="120" w:hanging="442"/>
      </w:pPr>
      <w:rPr>
        <w:rFonts w:ascii="Arial" w:eastAsia="Arial" w:hAnsi="Arial" w:hint="default"/>
        <w:spacing w:val="-1"/>
        <w:sz w:val="22"/>
        <w:szCs w:val="22"/>
      </w:rPr>
    </w:lvl>
    <w:lvl w:ilvl="1" w:tplc="BAD2C1B2">
      <w:start w:val="1"/>
      <w:numFmt w:val="decimal"/>
      <w:lvlText w:val="%2."/>
      <w:lvlJc w:val="left"/>
      <w:pPr>
        <w:ind w:left="840" w:hanging="360"/>
      </w:pPr>
      <w:rPr>
        <w:rFonts w:ascii="Arial" w:eastAsia="Arial" w:hAnsi="Arial" w:hint="default"/>
        <w:spacing w:val="-3"/>
        <w:sz w:val="22"/>
        <w:szCs w:val="22"/>
      </w:rPr>
    </w:lvl>
    <w:lvl w:ilvl="2" w:tplc="7FE8595A">
      <w:start w:val="1"/>
      <w:numFmt w:val="bullet"/>
      <w:lvlText w:val="•"/>
      <w:lvlJc w:val="left"/>
      <w:pPr>
        <w:ind w:left="1776" w:hanging="360"/>
      </w:pPr>
      <w:rPr>
        <w:rFonts w:hint="default"/>
      </w:rPr>
    </w:lvl>
    <w:lvl w:ilvl="3" w:tplc="5D3AE5F2">
      <w:start w:val="1"/>
      <w:numFmt w:val="bullet"/>
      <w:lvlText w:val="•"/>
      <w:lvlJc w:val="left"/>
      <w:pPr>
        <w:ind w:left="2712" w:hanging="360"/>
      </w:pPr>
      <w:rPr>
        <w:rFonts w:hint="default"/>
      </w:rPr>
    </w:lvl>
    <w:lvl w:ilvl="4" w:tplc="F9362898">
      <w:start w:val="1"/>
      <w:numFmt w:val="bullet"/>
      <w:lvlText w:val="•"/>
      <w:lvlJc w:val="left"/>
      <w:pPr>
        <w:ind w:left="3649" w:hanging="360"/>
      </w:pPr>
      <w:rPr>
        <w:rFonts w:hint="default"/>
      </w:rPr>
    </w:lvl>
    <w:lvl w:ilvl="5" w:tplc="CEEE019E">
      <w:start w:val="1"/>
      <w:numFmt w:val="bullet"/>
      <w:lvlText w:val="•"/>
      <w:lvlJc w:val="left"/>
      <w:pPr>
        <w:ind w:left="4585" w:hanging="360"/>
      </w:pPr>
      <w:rPr>
        <w:rFonts w:hint="default"/>
      </w:rPr>
    </w:lvl>
    <w:lvl w:ilvl="6" w:tplc="47E80D0C">
      <w:start w:val="1"/>
      <w:numFmt w:val="bullet"/>
      <w:lvlText w:val="•"/>
      <w:lvlJc w:val="left"/>
      <w:pPr>
        <w:ind w:left="5521" w:hanging="360"/>
      </w:pPr>
      <w:rPr>
        <w:rFonts w:hint="default"/>
      </w:rPr>
    </w:lvl>
    <w:lvl w:ilvl="7" w:tplc="08BA100E">
      <w:start w:val="1"/>
      <w:numFmt w:val="bullet"/>
      <w:lvlText w:val="•"/>
      <w:lvlJc w:val="left"/>
      <w:pPr>
        <w:ind w:left="6457" w:hanging="360"/>
      </w:pPr>
      <w:rPr>
        <w:rFonts w:hint="default"/>
      </w:rPr>
    </w:lvl>
    <w:lvl w:ilvl="8" w:tplc="3F4461B8">
      <w:start w:val="1"/>
      <w:numFmt w:val="bullet"/>
      <w:lvlText w:val="•"/>
      <w:lvlJc w:val="left"/>
      <w:pPr>
        <w:ind w:left="7393" w:hanging="360"/>
      </w:pPr>
      <w:rPr>
        <w:rFonts w:hint="default"/>
      </w:rPr>
    </w:lvl>
  </w:abstractNum>
  <w:abstractNum w:abstractNumId="1" w15:restartNumberingAfterBreak="0">
    <w:nsid w:val="1DD82B8D"/>
    <w:multiLevelType w:val="hybridMultilevel"/>
    <w:tmpl w:val="D9A4F75C"/>
    <w:lvl w:ilvl="0" w:tplc="2E526980">
      <w:start w:val="1"/>
      <w:numFmt w:val="upperRoman"/>
      <w:lvlText w:val="%1."/>
      <w:lvlJc w:val="left"/>
      <w:pPr>
        <w:ind w:left="527" w:hanging="428"/>
      </w:pPr>
      <w:rPr>
        <w:rFonts w:ascii="Arial" w:eastAsia="Arial" w:hAnsi="Arial" w:hint="default"/>
        <w:spacing w:val="1"/>
        <w:sz w:val="22"/>
        <w:szCs w:val="22"/>
      </w:rPr>
    </w:lvl>
    <w:lvl w:ilvl="1" w:tplc="AFEC795C">
      <w:start w:val="1"/>
      <w:numFmt w:val="upperRoman"/>
      <w:lvlText w:val="%2."/>
      <w:lvlJc w:val="left"/>
      <w:pPr>
        <w:ind w:left="840" w:hanging="360"/>
        <w:jc w:val="right"/>
      </w:pPr>
      <w:rPr>
        <w:rFonts w:ascii="Arial" w:eastAsia="Arial" w:hAnsi="Arial" w:hint="default"/>
        <w:b/>
        <w:bCs/>
        <w:spacing w:val="1"/>
        <w:sz w:val="22"/>
        <w:szCs w:val="22"/>
      </w:rPr>
    </w:lvl>
    <w:lvl w:ilvl="2" w:tplc="246CBA4A">
      <w:start w:val="1"/>
      <w:numFmt w:val="upperLetter"/>
      <w:lvlText w:val="%3."/>
      <w:lvlJc w:val="left"/>
      <w:pPr>
        <w:ind w:left="1253" w:hanging="425"/>
      </w:pPr>
      <w:rPr>
        <w:rFonts w:ascii="Arial" w:eastAsia="Arial" w:hAnsi="Arial" w:hint="default"/>
        <w:b/>
        <w:bCs/>
        <w:spacing w:val="-9"/>
        <w:sz w:val="22"/>
        <w:szCs w:val="22"/>
      </w:rPr>
    </w:lvl>
    <w:lvl w:ilvl="3" w:tplc="615A168C">
      <w:start w:val="1"/>
      <w:numFmt w:val="bullet"/>
      <w:lvlText w:val="•"/>
      <w:lvlJc w:val="left"/>
      <w:pPr>
        <w:ind w:left="2249" w:hanging="425"/>
      </w:pPr>
      <w:rPr>
        <w:rFonts w:hint="default"/>
      </w:rPr>
    </w:lvl>
    <w:lvl w:ilvl="4" w:tplc="502032B6">
      <w:start w:val="1"/>
      <w:numFmt w:val="bullet"/>
      <w:lvlText w:val="•"/>
      <w:lvlJc w:val="left"/>
      <w:pPr>
        <w:ind w:left="3246" w:hanging="425"/>
      </w:pPr>
      <w:rPr>
        <w:rFonts w:hint="default"/>
      </w:rPr>
    </w:lvl>
    <w:lvl w:ilvl="5" w:tplc="FE1AE688">
      <w:start w:val="1"/>
      <w:numFmt w:val="bullet"/>
      <w:lvlText w:val="•"/>
      <w:lvlJc w:val="left"/>
      <w:pPr>
        <w:ind w:left="4243" w:hanging="425"/>
      </w:pPr>
      <w:rPr>
        <w:rFonts w:hint="default"/>
      </w:rPr>
    </w:lvl>
    <w:lvl w:ilvl="6" w:tplc="ADAA080C">
      <w:start w:val="1"/>
      <w:numFmt w:val="bullet"/>
      <w:lvlText w:val="•"/>
      <w:lvlJc w:val="left"/>
      <w:pPr>
        <w:ind w:left="5239" w:hanging="425"/>
      </w:pPr>
      <w:rPr>
        <w:rFonts w:hint="default"/>
      </w:rPr>
    </w:lvl>
    <w:lvl w:ilvl="7" w:tplc="18EC67C0">
      <w:start w:val="1"/>
      <w:numFmt w:val="bullet"/>
      <w:lvlText w:val="•"/>
      <w:lvlJc w:val="left"/>
      <w:pPr>
        <w:ind w:left="6236" w:hanging="425"/>
      </w:pPr>
      <w:rPr>
        <w:rFonts w:hint="default"/>
      </w:rPr>
    </w:lvl>
    <w:lvl w:ilvl="8" w:tplc="BC70BA80">
      <w:start w:val="1"/>
      <w:numFmt w:val="bullet"/>
      <w:lvlText w:val="•"/>
      <w:lvlJc w:val="left"/>
      <w:pPr>
        <w:ind w:left="7233" w:hanging="425"/>
      </w:pPr>
      <w:rPr>
        <w:rFonts w:hint="default"/>
      </w:rPr>
    </w:lvl>
  </w:abstractNum>
  <w:abstractNum w:abstractNumId="2" w15:restartNumberingAfterBreak="0">
    <w:nsid w:val="21C239BF"/>
    <w:multiLevelType w:val="hybridMultilevel"/>
    <w:tmpl w:val="1D7A18D2"/>
    <w:lvl w:ilvl="0" w:tplc="AEF46B20">
      <w:start w:val="71"/>
      <w:numFmt w:val="decimal"/>
      <w:lvlText w:val="%1."/>
      <w:lvlJc w:val="left"/>
      <w:pPr>
        <w:ind w:left="120" w:hanging="442"/>
      </w:pPr>
      <w:rPr>
        <w:rFonts w:ascii="Arial" w:eastAsia="Arial" w:hAnsi="Arial" w:hint="default"/>
        <w:spacing w:val="-3"/>
        <w:sz w:val="22"/>
        <w:szCs w:val="22"/>
      </w:rPr>
    </w:lvl>
    <w:lvl w:ilvl="1" w:tplc="2A6490A6">
      <w:start w:val="1"/>
      <w:numFmt w:val="bullet"/>
      <w:lvlText w:val="•"/>
      <w:lvlJc w:val="left"/>
      <w:pPr>
        <w:ind w:left="403" w:hanging="442"/>
      </w:pPr>
      <w:rPr>
        <w:rFonts w:hint="default"/>
      </w:rPr>
    </w:lvl>
    <w:lvl w:ilvl="2" w:tplc="C1F097AA">
      <w:start w:val="1"/>
      <w:numFmt w:val="bullet"/>
      <w:lvlText w:val="•"/>
      <w:lvlJc w:val="left"/>
      <w:pPr>
        <w:ind w:left="1388" w:hanging="442"/>
      </w:pPr>
      <w:rPr>
        <w:rFonts w:hint="default"/>
      </w:rPr>
    </w:lvl>
    <w:lvl w:ilvl="3" w:tplc="FCDC1D0A">
      <w:start w:val="1"/>
      <w:numFmt w:val="bullet"/>
      <w:lvlText w:val="•"/>
      <w:lvlJc w:val="left"/>
      <w:pPr>
        <w:ind w:left="2373" w:hanging="442"/>
      </w:pPr>
      <w:rPr>
        <w:rFonts w:hint="default"/>
      </w:rPr>
    </w:lvl>
    <w:lvl w:ilvl="4" w:tplc="7B169048">
      <w:start w:val="1"/>
      <w:numFmt w:val="bullet"/>
      <w:lvlText w:val="•"/>
      <w:lvlJc w:val="left"/>
      <w:pPr>
        <w:ind w:left="3357" w:hanging="442"/>
      </w:pPr>
      <w:rPr>
        <w:rFonts w:hint="default"/>
      </w:rPr>
    </w:lvl>
    <w:lvl w:ilvl="5" w:tplc="95E4C68A">
      <w:start w:val="1"/>
      <w:numFmt w:val="bullet"/>
      <w:lvlText w:val="•"/>
      <w:lvlJc w:val="left"/>
      <w:pPr>
        <w:ind w:left="4342" w:hanging="442"/>
      </w:pPr>
      <w:rPr>
        <w:rFonts w:hint="default"/>
      </w:rPr>
    </w:lvl>
    <w:lvl w:ilvl="6" w:tplc="5A4217CC">
      <w:start w:val="1"/>
      <w:numFmt w:val="bullet"/>
      <w:lvlText w:val="•"/>
      <w:lvlJc w:val="left"/>
      <w:pPr>
        <w:ind w:left="5327" w:hanging="442"/>
      </w:pPr>
      <w:rPr>
        <w:rFonts w:hint="default"/>
      </w:rPr>
    </w:lvl>
    <w:lvl w:ilvl="7" w:tplc="64CE9C00">
      <w:start w:val="1"/>
      <w:numFmt w:val="bullet"/>
      <w:lvlText w:val="•"/>
      <w:lvlJc w:val="left"/>
      <w:pPr>
        <w:ind w:left="6312" w:hanging="442"/>
      </w:pPr>
      <w:rPr>
        <w:rFonts w:hint="default"/>
      </w:rPr>
    </w:lvl>
    <w:lvl w:ilvl="8" w:tplc="2F6463A4">
      <w:start w:val="1"/>
      <w:numFmt w:val="bullet"/>
      <w:lvlText w:val="•"/>
      <w:lvlJc w:val="left"/>
      <w:pPr>
        <w:ind w:left="7296" w:hanging="442"/>
      </w:pPr>
      <w:rPr>
        <w:rFonts w:hint="default"/>
      </w:rPr>
    </w:lvl>
  </w:abstractNum>
  <w:abstractNum w:abstractNumId="3" w15:restartNumberingAfterBreak="0">
    <w:nsid w:val="42556ACB"/>
    <w:multiLevelType w:val="hybridMultilevel"/>
    <w:tmpl w:val="70C0D320"/>
    <w:lvl w:ilvl="0" w:tplc="2D98802A">
      <w:start w:val="81"/>
      <w:numFmt w:val="decimal"/>
      <w:lvlText w:val="%1."/>
      <w:lvlJc w:val="left"/>
      <w:pPr>
        <w:ind w:left="120" w:hanging="509"/>
      </w:pPr>
      <w:rPr>
        <w:rFonts w:ascii="Arial" w:eastAsia="Arial" w:hAnsi="Arial" w:hint="default"/>
        <w:spacing w:val="-3"/>
        <w:sz w:val="22"/>
        <w:szCs w:val="22"/>
      </w:rPr>
    </w:lvl>
    <w:lvl w:ilvl="1" w:tplc="3E48D7AE">
      <w:start w:val="1"/>
      <w:numFmt w:val="bullet"/>
      <w:lvlText w:val=""/>
      <w:lvlJc w:val="left"/>
      <w:pPr>
        <w:ind w:left="840" w:hanging="360"/>
      </w:pPr>
      <w:rPr>
        <w:rFonts w:ascii="Symbol" w:eastAsia="Symbol" w:hAnsi="Symbol" w:hint="default"/>
        <w:sz w:val="22"/>
        <w:szCs w:val="22"/>
      </w:rPr>
    </w:lvl>
    <w:lvl w:ilvl="2" w:tplc="CB783B0A">
      <w:start w:val="1"/>
      <w:numFmt w:val="bullet"/>
      <w:lvlText w:val="•"/>
      <w:lvlJc w:val="left"/>
      <w:pPr>
        <w:ind w:left="1776" w:hanging="360"/>
      </w:pPr>
      <w:rPr>
        <w:rFonts w:hint="default"/>
      </w:rPr>
    </w:lvl>
    <w:lvl w:ilvl="3" w:tplc="4CEC60BA">
      <w:start w:val="1"/>
      <w:numFmt w:val="bullet"/>
      <w:lvlText w:val="•"/>
      <w:lvlJc w:val="left"/>
      <w:pPr>
        <w:ind w:left="2712" w:hanging="360"/>
      </w:pPr>
      <w:rPr>
        <w:rFonts w:hint="default"/>
      </w:rPr>
    </w:lvl>
    <w:lvl w:ilvl="4" w:tplc="4B72BCBA">
      <w:start w:val="1"/>
      <w:numFmt w:val="bullet"/>
      <w:lvlText w:val="•"/>
      <w:lvlJc w:val="left"/>
      <w:pPr>
        <w:ind w:left="3649" w:hanging="360"/>
      </w:pPr>
      <w:rPr>
        <w:rFonts w:hint="default"/>
      </w:rPr>
    </w:lvl>
    <w:lvl w:ilvl="5" w:tplc="E0AE3228">
      <w:start w:val="1"/>
      <w:numFmt w:val="bullet"/>
      <w:lvlText w:val="•"/>
      <w:lvlJc w:val="left"/>
      <w:pPr>
        <w:ind w:left="4585" w:hanging="360"/>
      </w:pPr>
      <w:rPr>
        <w:rFonts w:hint="default"/>
      </w:rPr>
    </w:lvl>
    <w:lvl w:ilvl="6" w:tplc="90C667D2">
      <w:start w:val="1"/>
      <w:numFmt w:val="bullet"/>
      <w:lvlText w:val="•"/>
      <w:lvlJc w:val="left"/>
      <w:pPr>
        <w:ind w:left="5521" w:hanging="360"/>
      </w:pPr>
      <w:rPr>
        <w:rFonts w:hint="default"/>
      </w:rPr>
    </w:lvl>
    <w:lvl w:ilvl="7" w:tplc="7696D4AC">
      <w:start w:val="1"/>
      <w:numFmt w:val="bullet"/>
      <w:lvlText w:val="•"/>
      <w:lvlJc w:val="left"/>
      <w:pPr>
        <w:ind w:left="6457" w:hanging="360"/>
      </w:pPr>
      <w:rPr>
        <w:rFonts w:hint="default"/>
      </w:rPr>
    </w:lvl>
    <w:lvl w:ilvl="8" w:tplc="7E423EA6">
      <w:start w:val="1"/>
      <w:numFmt w:val="bullet"/>
      <w:lvlText w:val="•"/>
      <w:lvlJc w:val="left"/>
      <w:pPr>
        <w:ind w:left="7393" w:hanging="360"/>
      </w:pPr>
      <w:rPr>
        <w:rFonts w:hint="default"/>
      </w:rPr>
    </w:lvl>
  </w:abstractNum>
  <w:abstractNum w:abstractNumId="4" w15:restartNumberingAfterBreak="0">
    <w:nsid w:val="4E211117"/>
    <w:multiLevelType w:val="hybridMultilevel"/>
    <w:tmpl w:val="9B6AA00A"/>
    <w:lvl w:ilvl="0" w:tplc="4E9AC8AE">
      <w:start w:val="1"/>
      <w:numFmt w:val="decimal"/>
      <w:lvlText w:val="%1."/>
      <w:lvlJc w:val="left"/>
      <w:pPr>
        <w:ind w:left="686" w:hanging="284"/>
      </w:pPr>
      <w:rPr>
        <w:rFonts w:ascii="Arial" w:eastAsia="Arial" w:hAnsi="Arial" w:hint="default"/>
        <w:i/>
        <w:spacing w:val="-1"/>
        <w:sz w:val="22"/>
        <w:szCs w:val="22"/>
      </w:rPr>
    </w:lvl>
    <w:lvl w:ilvl="1" w:tplc="3A36785E">
      <w:start w:val="1"/>
      <w:numFmt w:val="bullet"/>
      <w:lvlText w:val="•"/>
      <w:lvlJc w:val="left"/>
      <w:pPr>
        <w:ind w:left="1544" w:hanging="284"/>
      </w:pPr>
      <w:rPr>
        <w:rFonts w:hint="default"/>
      </w:rPr>
    </w:lvl>
    <w:lvl w:ilvl="2" w:tplc="17BAB8C0">
      <w:start w:val="1"/>
      <w:numFmt w:val="bullet"/>
      <w:lvlText w:val="•"/>
      <w:lvlJc w:val="left"/>
      <w:pPr>
        <w:ind w:left="2402" w:hanging="284"/>
      </w:pPr>
      <w:rPr>
        <w:rFonts w:hint="default"/>
      </w:rPr>
    </w:lvl>
    <w:lvl w:ilvl="3" w:tplc="231E95F4">
      <w:start w:val="1"/>
      <w:numFmt w:val="bullet"/>
      <w:lvlText w:val="•"/>
      <w:lvlJc w:val="left"/>
      <w:pPr>
        <w:ind w:left="3260" w:hanging="284"/>
      </w:pPr>
      <w:rPr>
        <w:rFonts w:hint="default"/>
      </w:rPr>
    </w:lvl>
    <w:lvl w:ilvl="4" w:tplc="3BCA1A9C">
      <w:start w:val="1"/>
      <w:numFmt w:val="bullet"/>
      <w:lvlText w:val="•"/>
      <w:lvlJc w:val="left"/>
      <w:pPr>
        <w:ind w:left="4118" w:hanging="284"/>
      </w:pPr>
      <w:rPr>
        <w:rFonts w:hint="default"/>
      </w:rPr>
    </w:lvl>
    <w:lvl w:ilvl="5" w:tplc="27462EBE">
      <w:start w:val="1"/>
      <w:numFmt w:val="bullet"/>
      <w:lvlText w:val="•"/>
      <w:lvlJc w:val="left"/>
      <w:pPr>
        <w:ind w:left="4976" w:hanging="284"/>
      </w:pPr>
      <w:rPr>
        <w:rFonts w:hint="default"/>
      </w:rPr>
    </w:lvl>
    <w:lvl w:ilvl="6" w:tplc="83A26AD6">
      <w:start w:val="1"/>
      <w:numFmt w:val="bullet"/>
      <w:lvlText w:val="•"/>
      <w:lvlJc w:val="left"/>
      <w:pPr>
        <w:ind w:left="5834" w:hanging="284"/>
      </w:pPr>
      <w:rPr>
        <w:rFonts w:hint="default"/>
      </w:rPr>
    </w:lvl>
    <w:lvl w:ilvl="7" w:tplc="2B663AE0">
      <w:start w:val="1"/>
      <w:numFmt w:val="bullet"/>
      <w:lvlText w:val="•"/>
      <w:lvlJc w:val="left"/>
      <w:pPr>
        <w:ind w:left="6692" w:hanging="284"/>
      </w:pPr>
      <w:rPr>
        <w:rFonts w:hint="default"/>
      </w:rPr>
    </w:lvl>
    <w:lvl w:ilvl="8" w:tplc="19C8895E">
      <w:start w:val="1"/>
      <w:numFmt w:val="bullet"/>
      <w:lvlText w:val="•"/>
      <w:lvlJc w:val="left"/>
      <w:pPr>
        <w:ind w:left="7550" w:hanging="284"/>
      </w:pPr>
      <w:rPr>
        <w:rFonts w:hint="default"/>
      </w:rPr>
    </w:lvl>
  </w:abstractNum>
  <w:abstractNum w:abstractNumId="5" w15:restartNumberingAfterBreak="0">
    <w:nsid w:val="53383FE3"/>
    <w:multiLevelType w:val="hybridMultilevel"/>
    <w:tmpl w:val="5E38046C"/>
    <w:lvl w:ilvl="0" w:tplc="F5CE5FC0">
      <w:start w:val="1"/>
      <w:numFmt w:val="upperLetter"/>
      <w:lvlText w:val="%1."/>
      <w:lvlJc w:val="left"/>
      <w:pPr>
        <w:ind w:left="527" w:hanging="286"/>
      </w:pPr>
      <w:rPr>
        <w:rFonts w:ascii="Arial" w:eastAsia="Arial" w:hAnsi="Arial" w:hint="default"/>
        <w:i/>
        <w:spacing w:val="-4"/>
        <w:sz w:val="22"/>
        <w:szCs w:val="22"/>
      </w:rPr>
    </w:lvl>
    <w:lvl w:ilvl="1" w:tplc="9F7CF8CA">
      <w:start w:val="1"/>
      <w:numFmt w:val="bullet"/>
      <w:lvlText w:val="•"/>
      <w:lvlJc w:val="left"/>
      <w:pPr>
        <w:ind w:left="1399" w:hanging="286"/>
      </w:pPr>
      <w:rPr>
        <w:rFonts w:hint="default"/>
      </w:rPr>
    </w:lvl>
    <w:lvl w:ilvl="2" w:tplc="DEC6D186">
      <w:start w:val="1"/>
      <w:numFmt w:val="bullet"/>
      <w:lvlText w:val="•"/>
      <w:lvlJc w:val="left"/>
      <w:pPr>
        <w:ind w:left="2271" w:hanging="286"/>
      </w:pPr>
      <w:rPr>
        <w:rFonts w:hint="default"/>
      </w:rPr>
    </w:lvl>
    <w:lvl w:ilvl="3" w:tplc="AE266B92">
      <w:start w:val="1"/>
      <w:numFmt w:val="bullet"/>
      <w:lvlText w:val="•"/>
      <w:lvlJc w:val="left"/>
      <w:pPr>
        <w:ind w:left="3143" w:hanging="286"/>
      </w:pPr>
      <w:rPr>
        <w:rFonts w:hint="default"/>
      </w:rPr>
    </w:lvl>
    <w:lvl w:ilvl="4" w:tplc="5AB089BE">
      <w:start w:val="1"/>
      <w:numFmt w:val="bullet"/>
      <w:lvlText w:val="•"/>
      <w:lvlJc w:val="left"/>
      <w:pPr>
        <w:ind w:left="4015" w:hanging="286"/>
      </w:pPr>
      <w:rPr>
        <w:rFonts w:hint="default"/>
      </w:rPr>
    </w:lvl>
    <w:lvl w:ilvl="5" w:tplc="D9C609EE">
      <w:start w:val="1"/>
      <w:numFmt w:val="bullet"/>
      <w:lvlText w:val="•"/>
      <w:lvlJc w:val="left"/>
      <w:pPr>
        <w:ind w:left="4887" w:hanging="286"/>
      </w:pPr>
      <w:rPr>
        <w:rFonts w:hint="default"/>
      </w:rPr>
    </w:lvl>
    <w:lvl w:ilvl="6" w:tplc="3E56D0CE">
      <w:start w:val="1"/>
      <w:numFmt w:val="bullet"/>
      <w:lvlText w:val="•"/>
      <w:lvlJc w:val="left"/>
      <w:pPr>
        <w:ind w:left="5758" w:hanging="286"/>
      </w:pPr>
      <w:rPr>
        <w:rFonts w:hint="default"/>
      </w:rPr>
    </w:lvl>
    <w:lvl w:ilvl="7" w:tplc="0DF6FA68">
      <w:start w:val="1"/>
      <w:numFmt w:val="bullet"/>
      <w:lvlText w:val="•"/>
      <w:lvlJc w:val="left"/>
      <w:pPr>
        <w:ind w:left="6630" w:hanging="286"/>
      </w:pPr>
      <w:rPr>
        <w:rFonts w:hint="default"/>
      </w:rPr>
    </w:lvl>
    <w:lvl w:ilvl="8" w:tplc="26005670">
      <w:start w:val="1"/>
      <w:numFmt w:val="bullet"/>
      <w:lvlText w:val="•"/>
      <w:lvlJc w:val="left"/>
      <w:pPr>
        <w:ind w:left="7502" w:hanging="286"/>
      </w:pPr>
      <w:rPr>
        <w:rFonts w:hint="default"/>
      </w:rPr>
    </w:lvl>
  </w:abstractNum>
  <w:abstractNum w:abstractNumId="6" w15:restartNumberingAfterBreak="0">
    <w:nsid w:val="6C802FCD"/>
    <w:multiLevelType w:val="hybridMultilevel"/>
    <w:tmpl w:val="0F3AA794"/>
    <w:lvl w:ilvl="0" w:tplc="45BCA0CE">
      <w:start w:val="1"/>
      <w:numFmt w:val="lowerLetter"/>
      <w:lvlText w:val="%1."/>
      <w:lvlJc w:val="left"/>
      <w:pPr>
        <w:ind w:left="828" w:hanging="425"/>
      </w:pPr>
      <w:rPr>
        <w:rFonts w:ascii="Arial" w:eastAsia="Arial" w:hAnsi="Arial" w:hint="default"/>
        <w:spacing w:val="-3"/>
        <w:sz w:val="22"/>
        <w:szCs w:val="22"/>
      </w:rPr>
    </w:lvl>
    <w:lvl w:ilvl="1" w:tplc="A25AC988">
      <w:start w:val="1"/>
      <w:numFmt w:val="bullet"/>
      <w:lvlText w:val="•"/>
      <w:lvlJc w:val="left"/>
      <w:pPr>
        <w:ind w:left="1672" w:hanging="425"/>
      </w:pPr>
      <w:rPr>
        <w:rFonts w:hint="default"/>
      </w:rPr>
    </w:lvl>
    <w:lvl w:ilvl="2" w:tplc="E404EF9E">
      <w:start w:val="1"/>
      <w:numFmt w:val="bullet"/>
      <w:lvlText w:val="•"/>
      <w:lvlJc w:val="left"/>
      <w:pPr>
        <w:ind w:left="2516" w:hanging="425"/>
      </w:pPr>
      <w:rPr>
        <w:rFonts w:hint="default"/>
      </w:rPr>
    </w:lvl>
    <w:lvl w:ilvl="3" w:tplc="45B22B84">
      <w:start w:val="1"/>
      <w:numFmt w:val="bullet"/>
      <w:lvlText w:val="•"/>
      <w:lvlJc w:val="left"/>
      <w:pPr>
        <w:ind w:left="3359" w:hanging="425"/>
      </w:pPr>
      <w:rPr>
        <w:rFonts w:hint="default"/>
      </w:rPr>
    </w:lvl>
    <w:lvl w:ilvl="4" w:tplc="F0BCE13E">
      <w:start w:val="1"/>
      <w:numFmt w:val="bullet"/>
      <w:lvlText w:val="•"/>
      <w:lvlJc w:val="left"/>
      <w:pPr>
        <w:ind w:left="4203" w:hanging="425"/>
      </w:pPr>
      <w:rPr>
        <w:rFonts w:hint="default"/>
      </w:rPr>
    </w:lvl>
    <w:lvl w:ilvl="5" w:tplc="A386E782">
      <w:start w:val="1"/>
      <w:numFmt w:val="bullet"/>
      <w:lvlText w:val="•"/>
      <w:lvlJc w:val="left"/>
      <w:pPr>
        <w:ind w:left="5047" w:hanging="425"/>
      </w:pPr>
      <w:rPr>
        <w:rFonts w:hint="default"/>
      </w:rPr>
    </w:lvl>
    <w:lvl w:ilvl="6" w:tplc="09184BE8">
      <w:start w:val="1"/>
      <w:numFmt w:val="bullet"/>
      <w:lvlText w:val="•"/>
      <w:lvlJc w:val="left"/>
      <w:pPr>
        <w:ind w:left="5891" w:hanging="425"/>
      </w:pPr>
      <w:rPr>
        <w:rFonts w:hint="default"/>
      </w:rPr>
    </w:lvl>
    <w:lvl w:ilvl="7" w:tplc="598EF6A4">
      <w:start w:val="1"/>
      <w:numFmt w:val="bullet"/>
      <w:lvlText w:val="•"/>
      <w:lvlJc w:val="left"/>
      <w:pPr>
        <w:ind w:left="6735" w:hanging="425"/>
      </w:pPr>
      <w:rPr>
        <w:rFonts w:hint="default"/>
      </w:rPr>
    </w:lvl>
    <w:lvl w:ilvl="8" w:tplc="89E6A270">
      <w:start w:val="1"/>
      <w:numFmt w:val="bullet"/>
      <w:lvlText w:val="•"/>
      <w:lvlJc w:val="left"/>
      <w:pPr>
        <w:ind w:left="7578" w:hanging="425"/>
      </w:pPr>
      <w:rPr>
        <w:rFonts w:hint="default"/>
      </w:rPr>
    </w:lvl>
  </w:abstractNum>
  <w:abstractNum w:abstractNumId="7" w15:restartNumberingAfterBreak="0">
    <w:nsid w:val="6FC10C39"/>
    <w:multiLevelType w:val="hybridMultilevel"/>
    <w:tmpl w:val="19868ED4"/>
    <w:lvl w:ilvl="0" w:tplc="FE7A511C">
      <w:start w:val="1"/>
      <w:numFmt w:val="decimal"/>
      <w:lvlText w:val="%1."/>
      <w:lvlJc w:val="left"/>
      <w:pPr>
        <w:ind w:left="120" w:hanging="235"/>
      </w:pPr>
      <w:rPr>
        <w:rFonts w:ascii="Arial" w:eastAsia="Arial" w:hAnsi="Arial" w:hint="default"/>
        <w:i/>
        <w:sz w:val="18"/>
        <w:szCs w:val="18"/>
      </w:rPr>
    </w:lvl>
    <w:lvl w:ilvl="1" w:tplc="0C2A2C54">
      <w:start w:val="1"/>
      <w:numFmt w:val="bullet"/>
      <w:lvlText w:val="•"/>
      <w:lvlJc w:val="left"/>
      <w:pPr>
        <w:ind w:left="1035" w:hanging="235"/>
      </w:pPr>
      <w:rPr>
        <w:rFonts w:hint="default"/>
      </w:rPr>
    </w:lvl>
    <w:lvl w:ilvl="2" w:tplc="EE74834E">
      <w:start w:val="1"/>
      <w:numFmt w:val="bullet"/>
      <w:lvlText w:val="•"/>
      <w:lvlJc w:val="left"/>
      <w:pPr>
        <w:ind w:left="1949" w:hanging="235"/>
      </w:pPr>
      <w:rPr>
        <w:rFonts w:hint="default"/>
      </w:rPr>
    </w:lvl>
    <w:lvl w:ilvl="3" w:tplc="DC1CA462">
      <w:start w:val="1"/>
      <w:numFmt w:val="bullet"/>
      <w:lvlText w:val="•"/>
      <w:lvlJc w:val="left"/>
      <w:pPr>
        <w:ind w:left="2864" w:hanging="235"/>
      </w:pPr>
      <w:rPr>
        <w:rFonts w:hint="default"/>
      </w:rPr>
    </w:lvl>
    <w:lvl w:ilvl="4" w:tplc="D5B66846">
      <w:start w:val="1"/>
      <w:numFmt w:val="bullet"/>
      <w:lvlText w:val="•"/>
      <w:lvlJc w:val="left"/>
      <w:pPr>
        <w:ind w:left="3778" w:hanging="235"/>
      </w:pPr>
      <w:rPr>
        <w:rFonts w:hint="default"/>
      </w:rPr>
    </w:lvl>
    <w:lvl w:ilvl="5" w:tplc="C37AAC0E">
      <w:start w:val="1"/>
      <w:numFmt w:val="bullet"/>
      <w:lvlText w:val="•"/>
      <w:lvlJc w:val="left"/>
      <w:pPr>
        <w:ind w:left="4693" w:hanging="235"/>
      </w:pPr>
      <w:rPr>
        <w:rFonts w:hint="default"/>
      </w:rPr>
    </w:lvl>
    <w:lvl w:ilvl="6" w:tplc="15D6354A">
      <w:start w:val="1"/>
      <w:numFmt w:val="bullet"/>
      <w:lvlText w:val="•"/>
      <w:lvlJc w:val="left"/>
      <w:pPr>
        <w:ind w:left="5608" w:hanging="235"/>
      </w:pPr>
      <w:rPr>
        <w:rFonts w:hint="default"/>
      </w:rPr>
    </w:lvl>
    <w:lvl w:ilvl="7" w:tplc="C820E84C">
      <w:start w:val="1"/>
      <w:numFmt w:val="bullet"/>
      <w:lvlText w:val="•"/>
      <w:lvlJc w:val="left"/>
      <w:pPr>
        <w:ind w:left="6522" w:hanging="235"/>
      </w:pPr>
      <w:rPr>
        <w:rFonts w:hint="default"/>
      </w:rPr>
    </w:lvl>
    <w:lvl w:ilvl="8" w:tplc="6F7C6EDA">
      <w:start w:val="1"/>
      <w:numFmt w:val="bullet"/>
      <w:lvlText w:val="•"/>
      <w:lvlJc w:val="left"/>
      <w:pPr>
        <w:ind w:left="7437" w:hanging="235"/>
      </w:pPr>
      <w:rPr>
        <w:rFonts w:hint="default"/>
      </w:rPr>
    </w:lvl>
  </w:abstractNum>
  <w:abstractNum w:abstractNumId="8" w15:restartNumberingAfterBreak="0">
    <w:nsid w:val="701F376C"/>
    <w:multiLevelType w:val="hybridMultilevel"/>
    <w:tmpl w:val="CF08F67E"/>
    <w:lvl w:ilvl="0" w:tplc="F6C6CEC0">
      <w:start w:val="2"/>
      <w:numFmt w:val="decimal"/>
      <w:lvlText w:val="%1."/>
      <w:lvlJc w:val="left"/>
      <w:pPr>
        <w:ind w:left="403" w:hanging="242"/>
      </w:pPr>
      <w:rPr>
        <w:rFonts w:ascii="Arial" w:eastAsia="Arial" w:hAnsi="Arial" w:hint="default"/>
        <w:i/>
        <w:spacing w:val="-3"/>
        <w:sz w:val="22"/>
        <w:szCs w:val="22"/>
      </w:rPr>
    </w:lvl>
    <w:lvl w:ilvl="1" w:tplc="1B2E21E6">
      <w:start w:val="1"/>
      <w:numFmt w:val="bullet"/>
      <w:lvlText w:val="•"/>
      <w:lvlJc w:val="left"/>
      <w:pPr>
        <w:ind w:left="1289" w:hanging="242"/>
      </w:pPr>
      <w:rPr>
        <w:rFonts w:hint="default"/>
      </w:rPr>
    </w:lvl>
    <w:lvl w:ilvl="2" w:tplc="F064D566">
      <w:start w:val="1"/>
      <w:numFmt w:val="bullet"/>
      <w:lvlText w:val="•"/>
      <w:lvlJc w:val="left"/>
      <w:pPr>
        <w:ind w:left="2176" w:hanging="242"/>
      </w:pPr>
      <w:rPr>
        <w:rFonts w:hint="default"/>
      </w:rPr>
    </w:lvl>
    <w:lvl w:ilvl="3" w:tplc="434C2B1A">
      <w:start w:val="1"/>
      <w:numFmt w:val="bullet"/>
      <w:lvlText w:val="•"/>
      <w:lvlJc w:val="left"/>
      <w:pPr>
        <w:ind w:left="3062" w:hanging="242"/>
      </w:pPr>
      <w:rPr>
        <w:rFonts w:hint="default"/>
      </w:rPr>
    </w:lvl>
    <w:lvl w:ilvl="4" w:tplc="DAAA4F48">
      <w:start w:val="1"/>
      <w:numFmt w:val="bullet"/>
      <w:lvlText w:val="•"/>
      <w:lvlJc w:val="left"/>
      <w:pPr>
        <w:ind w:left="3948" w:hanging="242"/>
      </w:pPr>
      <w:rPr>
        <w:rFonts w:hint="default"/>
      </w:rPr>
    </w:lvl>
    <w:lvl w:ilvl="5" w:tplc="CCEC05C4">
      <w:start w:val="1"/>
      <w:numFmt w:val="bullet"/>
      <w:lvlText w:val="•"/>
      <w:lvlJc w:val="left"/>
      <w:pPr>
        <w:ind w:left="4835" w:hanging="242"/>
      </w:pPr>
      <w:rPr>
        <w:rFonts w:hint="default"/>
      </w:rPr>
    </w:lvl>
    <w:lvl w:ilvl="6" w:tplc="7C2E754E">
      <w:start w:val="1"/>
      <w:numFmt w:val="bullet"/>
      <w:lvlText w:val="•"/>
      <w:lvlJc w:val="left"/>
      <w:pPr>
        <w:ind w:left="5721" w:hanging="242"/>
      </w:pPr>
      <w:rPr>
        <w:rFonts w:hint="default"/>
      </w:rPr>
    </w:lvl>
    <w:lvl w:ilvl="7" w:tplc="CBF29846">
      <w:start w:val="1"/>
      <w:numFmt w:val="bullet"/>
      <w:lvlText w:val="•"/>
      <w:lvlJc w:val="left"/>
      <w:pPr>
        <w:ind w:left="6607" w:hanging="242"/>
      </w:pPr>
      <w:rPr>
        <w:rFonts w:hint="default"/>
      </w:rPr>
    </w:lvl>
    <w:lvl w:ilvl="8" w:tplc="44EC5E2A">
      <w:start w:val="1"/>
      <w:numFmt w:val="bullet"/>
      <w:lvlText w:val="•"/>
      <w:lvlJc w:val="left"/>
      <w:pPr>
        <w:ind w:left="7493" w:hanging="242"/>
      </w:pPr>
      <w:rPr>
        <w:rFonts w:hint="default"/>
      </w:rPr>
    </w:lvl>
  </w:abstractNum>
  <w:num w:numId="1">
    <w:abstractNumId w:val="5"/>
  </w:num>
  <w:num w:numId="2">
    <w:abstractNumId w:val="4"/>
  </w:num>
  <w:num w:numId="3">
    <w:abstractNumId w:val="3"/>
  </w:num>
  <w:num w:numId="4">
    <w:abstractNumId w:val="7"/>
  </w:num>
  <w:num w:numId="5">
    <w:abstractNumId w:val="2"/>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0CB8"/>
    <w:rsid w:val="00035E05"/>
    <w:rsid w:val="0013528C"/>
    <w:rsid w:val="001E3039"/>
    <w:rsid w:val="002E0CB8"/>
    <w:rsid w:val="00310979"/>
    <w:rsid w:val="00524819"/>
    <w:rsid w:val="006878B6"/>
    <w:rsid w:val="006D29FD"/>
    <w:rsid w:val="00803830"/>
    <w:rsid w:val="0087409D"/>
    <w:rsid w:val="008E3B77"/>
    <w:rsid w:val="009A07C3"/>
    <w:rsid w:val="009C7C0B"/>
    <w:rsid w:val="009E085F"/>
    <w:rsid w:val="00A05A84"/>
    <w:rsid w:val="00A64274"/>
    <w:rsid w:val="00BB548D"/>
    <w:rsid w:val="00C74FA4"/>
    <w:rsid w:val="00FD1A4E"/>
    <w:rsid w:val="00FF3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3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8" w:hanging="425"/>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27" w:hanging="427"/>
    </w:pPr>
    <w:rPr>
      <w:rFonts w:ascii="Arial" w:eastAsia="Arial" w:hAnsi="Arial"/>
    </w:rPr>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E3B77"/>
    <w:pPr>
      <w:tabs>
        <w:tab w:val="center" w:pos="4513"/>
        <w:tab w:val="right" w:pos="9026"/>
      </w:tabs>
    </w:pPr>
  </w:style>
  <w:style w:type="character" w:customStyle="1" w:styleId="HeaderChar">
    <w:name w:val="Header Char"/>
    <w:basedOn w:val="DefaultParagraphFont"/>
    <w:link w:val="Header"/>
    <w:uiPriority w:val="99"/>
    <w:rsid w:val="008E3B77"/>
  </w:style>
  <w:style w:type="paragraph" w:styleId="Footer">
    <w:name w:val="footer"/>
    <w:basedOn w:val="Normal"/>
    <w:link w:val="FooterChar"/>
    <w:unhideWhenUsed/>
    <w:rsid w:val="008E3B77"/>
    <w:pPr>
      <w:tabs>
        <w:tab w:val="center" w:pos="4513"/>
        <w:tab w:val="right" w:pos="9026"/>
      </w:tabs>
    </w:pPr>
  </w:style>
  <w:style w:type="character" w:customStyle="1" w:styleId="FooterChar">
    <w:name w:val="Footer Char"/>
    <w:basedOn w:val="DefaultParagraphFont"/>
    <w:link w:val="Footer"/>
    <w:uiPriority w:val="99"/>
    <w:rsid w:val="008E3B77"/>
  </w:style>
  <w:style w:type="table" w:styleId="TableGrid">
    <w:name w:val="Table Grid"/>
    <w:basedOn w:val="TableNormal"/>
    <w:uiPriority w:val="39"/>
    <w:rsid w:val="0087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3830"/>
    <w:rPr>
      <w:sz w:val="20"/>
      <w:szCs w:val="20"/>
    </w:rPr>
  </w:style>
  <w:style w:type="character" w:customStyle="1" w:styleId="FootnoteTextChar">
    <w:name w:val="Footnote Text Char"/>
    <w:basedOn w:val="DefaultParagraphFont"/>
    <w:link w:val="FootnoteText"/>
    <w:uiPriority w:val="99"/>
    <w:semiHidden/>
    <w:rsid w:val="00803830"/>
    <w:rPr>
      <w:sz w:val="20"/>
      <w:szCs w:val="20"/>
    </w:rPr>
  </w:style>
  <w:style w:type="character" w:styleId="FootnoteReference">
    <w:name w:val="footnote reference"/>
    <w:basedOn w:val="DefaultParagraphFont"/>
    <w:uiPriority w:val="99"/>
    <w:semiHidden/>
    <w:unhideWhenUsed/>
    <w:rsid w:val="00803830"/>
    <w:rPr>
      <w:vertAlign w:val="superscript"/>
    </w:rPr>
  </w:style>
  <w:style w:type="character" w:styleId="PageNumber">
    <w:name w:val="page number"/>
    <w:basedOn w:val="DefaultParagraphFont"/>
    <w:semiHidden/>
    <w:rsid w:val="00310979"/>
  </w:style>
  <w:style w:type="paragraph" w:styleId="TOCHeading">
    <w:name w:val="TOC Heading"/>
    <w:basedOn w:val="Heading1"/>
    <w:next w:val="Normal"/>
    <w:uiPriority w:val="39"/>
    <w:unhideWhenUsed/>
    <w:qFormat/>
    <w:rsid w:val="00310979"/>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310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8FDE-0F46-49C8-ACC3-971B3DC5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50637</Words>
  <Characters>28864</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2020-02-03T12:43:00Z</dcterms:created>
  <dcterms:modified xsi:type="dcterms:W3CDTF">2020-07-08T13:59:00Z</dcterms:modified>
</cp:coreProperties>
</file>