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17" w:rsidRPr="004172BE" w:rsidRDefault="00A05317" w:rsidP="004172BE">
      <w:pPr>
        <w:jc w:val="both"/>
        <w:rPr>
          <w:rFonts w:ascii="Times New Roman" w:eastAsia="Times New Roman" w:hAnsi="Times New Roman" w:cs="Times New Roman"/>
          <w:noProof/>
          <w:sz w:val="24"/>
          <w:szCs w:val="20"/>
        </w:rPr>
      </w:pPr>
    </w:p>
    <w:p w:rsidR="00A05317" w:rsidRPr="004172BE" w:rsidRDefault="004172BE" w:rsidP="004172BE">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extent cx="2200910" cy="92519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925195"/>
                    </a:xfrm>
                    <a:prstGeom prst="rect">
                      <a:avLst/>
                    </a:prstGeom>
                    <a:noFill/>
                    <a:ln>
                      <a:noFill/>
                    </a:ln>
                  </pic:spPr>
                </pic:pic>
              </a:graphicData>
            </a:graphic>
          </wp:inline>
        </w:drawing>
      </w:r>
    </w:p>
    <w:p w:rsidR="00A05317" w:rsidRDefault="004172BE" w:rsidP="004172BE">
      <w:pPr>
        <w:jc w:val="both"/>
        <w:rPr>
          <w:rFonts w:ascii="Times New Roman" w:eastAsia="Times New Roman" w:hAnsi="Times New Roman" w:cs="Times New Roman"/>
          <w:noProof/>
          <w:sz w:val="24"/>
          <w:szCs w:val="20"/>
        </w:rPr>
      </w:pPr>
      <w:r>
        <w:rPr>
          <w:rFonts w:ascii="Times New Roman" w:hAnsi="Times New Roman"/>
          <w:sz w:val="24"/>
          <w:szCs w:val="20"/>
        </w:rPr>
        <w:t>Eiropas Elektronisko komunikāciju regulatoru iestāde</w:t>
      </w:r>
    </w:p>
    <w:p w:rsidR="004172BE" w:rsidRPr="004172BE" w:rsidRDefault="004172BE" w:rsidP="004172BE">
      <w:pPr>
        <w:jc w:val="both"/>
        <w:rPr>
          <w:rFonts w:ascii="Times New Roman" w:eastAsia="Times New Roman" w:hAnsi="Times New Roman" w:cs="Times New Roman"/>
          <w:noProof/>
          <w:sz w:val="24"/>
          <w:szCs w:val="20"/>
        </w:rPr>
      </w:pPr>
      <w:r>
        <w:rPr>
          <w:rFonts w:ascii="Times New Roman" w:hAnsi="Times New Roman"/>
          <w:i/>
          <w:iCs/>
          <w:sz w:val="24"/>
          <w:szCs w:val="20"/>
        </w:rPr>
        <w:t>BEREC</w:t>
      </w:r>
    </w:p>
    <w:p w:rsidR="00A05317" w:rsidRPr="004172BE" w:rsidRDefault="00A05317" w:rsidP="004172BE">
      <w:pPr>
        <w:jc w:val="both"/>
        <w:rPr>
          <w:rFonts w:ascii="Times New Roman" w:eastAsia="Times New Roman" w:hAnsi="Times New Roman" w:cs="Times New Roman"/>
          <w:noProof/>
          <w:sz w:val="24"/>
          <w:szCs w:val="20"/>
        </w:rPr>
      </w:pPr>
    </w:p>
    <w:p w:rsidR="00A05317" w:rsidRPr="004172BE" w:rsidRDefault="00A05317" w:rsidP="004172BE">
      <w:pPr>
        <w:jc w:val="right"/>
        <w:rPr>
          <w:rFonts w:ascii="Times New Roman" w:hAnsi="Times New Roman"/>
          <w:noProof/>
          <w:sz w:val="24"/>
        </w:rPr>
      </w:pPr>
      <w:r>
        <w:rPr>
          <w:rFonts w:ascii="Times New Roman" w:hAnsi="Times New Roman"/>
          <w:i/>
          <w:iCs/>
          <w:sz w:val="24"/>
        </w:rPr>
        <w:t>BoR</w:t>
      </w:r>
      <w:r>
        <w:rPr>
          <w:rFonts w:ascii="Times New Roman" w:hAnsi="Times New Roman"/>
          <w:sz w:val="24"/>
        </w:rPr>
        <w:t> (19) 35</w:t>
      </w:r>
    </w:p>
    <w:p w:rsidR="00A05317" w:rsidRPr="004172BE" w:rsidRDefault="00A05317" w:rsidP="004172BE">
      <w:pPr>
        <w:jc w:val="both"/>
        <w:rPr>
          <w:rFonts w:ascii="Times New Roman" w:eastAsia="Arial" w:hAnsi="Times New Roman" w:cs="Arial"/>
          <w:noProof/>
          <w:sz w:val="24"/>
          <w:szCs w:val="20"/>
        </w:rPr>
      </w:pPr>
    </w:p>
    <w:p w:rsidR="00A05317" w:rsidRDefault="00A05317" w:rsidP="004172BE">
      <w:pPr>
        <w:jc w:val="both"/>
        <w:rPr>
          <w:rFonts w:ascii="Times New Roman" w:eastAsia="Arial" w:hAnsi="Times New Roman" w:cs="Arial"/>
          <w:noProof/>
          <w:sz w:val="24"/>
          <w:szCs w:val="20"/>
        </w:rPr>
      </w:pPr>
    </w:p>
    <w:p w:rsidR="00A411EA" w:rsidRDefault="00A411EA" w:rsidP="004172BE">
      <w:pPr>
        <w:jc w:val="both"/>
        <w:rPr>
          <w:rFonts w:ascii="Times New Roman" w:eastAsia="Arial" w:hAnsi="Times New Roman" w:cs="Arial"/>
          <w:noProof/>
          <w:sz w:val="24"/>
          <w:szCs w:val="20"/>
        </w:rPr>
      </w:pPr>
    </w:p>
    <w:p w:rsidR="00A411EA" w:rsidRDefault="00A411EA" w:rsidP="004172BE">
      <w:pPr>
        <w:jc w:val="both"/>
        <w:rPr>
          <w:rFonts w:ascii="Times New Roman" w:eastAsia="Arial" w:hAnsi="Times New Roman" w:cs="Arial"/>
          <w:noProof/>
          <w:sz w:val="24"/>
          <w:szCs w:val="20"/>
        </w:rPr>
      </w:pPr>
    </w:p>
    <w:p w:rsidR="00A411EA" w:rsidRPr="004172BE" w:rsidRDefault="00A411EA" w:rsidP="004172BE">
      <w:pPr>
        <w:jc w:val="both"/>
        <w:rPr>
          <w:rFonts w:ascii="Times New Roman" w:eastAsia="Arial" w:hAnsi="Times New Roman" w:cs="Arial"/>
          <w:noProof/>
          <w:sz w:val="24"/>
          <w:szCs w:val="20"/>
        </w:rPr>
      </w:pPr>
    </w:p>
    <w:p w:rsidR="00A05317" w:rsidRPr="004172BE" w:rsidRDefault="00A05317" w:rsidP="004172BE">
      <w:pPr>
        <w:jc w:val="both"/>
        <w:rPr>
          <w:rFonts w:ascii="Times New Roman" w:eastAsia="Arial" w:hAnsi="Times New Roman" w:cs="Arial"/>
          <w:noProof/>
          <w:sz w:val="24"/>
          <w:szCs w:val="23"/>
        </w:rPr>
      </w:pPr>
    </w:p>
    <w:p w:rsidR="00A05317" w:rsidRPr="00A411EA" w:rsidRDefault="00A05317" w:rsidP="004172BE">
      <w:pPr>
        <w:jc w:val="center"/>
        <w:rPr>
          <w:rFonts w:ascii="Times New Roman" w:hAnsi="Times New Roman"/>
          <w:b/>
          <w:noProof/>
          <w:sz w:val="32"/>
          <w:szCs w:val="28"/>
        </w:rPr>
      </w:pPr>
      <w:r w:rsidRPr="00A411EA">
        <w:rPr>
          <w:rFonts w:ascii="Times New Roman" w:hAnsi="Times New Roman"/>
          <w:b/>
          <w:i/>
          <w:iCs/>
          <w:sz w:val="32"/>
          <w:szCs w:val="28"/>
        </w:rPr>
        <w:t>BEREC</w:t>
      </w:r>
      <w:r w:rsidRPr="00A411EA">
        <w:rPr>
          <w:rFonts w:ascii="Times New Roman" w:hAnsi="Times New Roman"/>
          <w:b/>
          <w:sz w:val="32"/>
          <w:szCs w:val="28"/>
        </w:rPr>
        <w:t xml:space="preserve"> PAMATNOSTĀDNES par ES iekšzemes sakariem</w:t>
      </w:r>
    </w:p>
    <w:p w:rsidR="00A05317" w:rsidRDefault="00A05317"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Default="00A411EA" w:rsidP="004172BE">
      <w:pPr>
        <w:jc w:val="both"/>
        <w:rPr>
          <w:rFonts w:ascii="Times New Roman" w:eastAsia="Arial" w:hAnsi="Times New Roman" w:cs="Arial"/>
          <w:b/>
          <w:bCs/>
          <w:noProof/>
          <w:sz w:val="24"/>
          <w:szCs w:val="20"/>
        </w:rPr>
      </w:pPr>
    </w:p>
    <w:p w:rsidR="00A411EA" w:rsidRPr="004172BE" w:rsidRDefault="00A411EA" w:rsidP="004172BE">
      <w:pPr>
        <w:jc w:val="both"/>
        <w:rPr>
          <w:rFonts w:ascii="Times New Roman" w:eastAsia="Arial" w:hAnsi="Times New Roman" w:cs="Arial"/>
          <w:b/>
          <w:bCs/>
          <w:noProof/>
          <w:sz w:val="24"/>
          <w:szCs w:val="20"/>
        </w:rPr>
      </w:pPr>
    </w:p>
    <w:p w:rsidR="00A05317" w:rsidRPr="004172BE" w:rsidRDefault="00A05317" w:rsidP="004172BE">
      <w:pPr>
        <w:jc w:val="center"/>
        <w:rPr>
          <w:rFonts w:ascii="Times New Roman" w:hAnsi="Times New Roman"/>
          <w:noProof/>
          <w:sz w:val="24"/>
        </w:rPr>
      </w:pPr>
      <w:r>
        <w:rPr>
          <w:rFonts w:ascii="Times New Roman" w:hAnsi="Times New Roman"/>
          <w:sz w:val="24"/>
        </w:rPr>
        <w:t>2019. gada 7. marts</w:t>
      </w:r>
    </w:p>
    <w:p w:rsidR="004172BE" w:rsidRDefault="004172BE">
      <w:pPr>
        <w:rPr>
          <w:rFonts w:ascii="Times New Roman" w:eastAsia="Arial" w:hAnsi="Times New Roman" w:cs="Arial"/>
          <w:noProof/>
          <w:sz w:val="24"/>
          <w:szCs w:val="20"/>
        </w:rPr>
      </w:pPr>
      <w:r>
        <w:br w:type="page"/>
      </w:r>
    </w:p>
    <w:p w:rsidR="00A05317" w:rsidRPr="004172BE" w:rsidRDefault="00A05317" w:rsidP="004172BE">
      <w:pPr>
        <w:jc w:val="both"/>
        <w:rPr>
          <w:rFonts w:ascii="Times New Roman" w:eastAsia="Arial" w:hAnsi="Times New Roman" w:cs="Arial"/>
          <w:noProof/>
          <w:sz w:val="24"/>
          <w:szCs w:val="20"/>
        </w:rPr>
      </w:pPr>
    </w:p>
    <w:p w:rsidR="00A05317" w:rsidRPr="00A411EA" w:rsidRDefault="00A05317" w:rsidP="004172BE">
      <w:pPr>
        <w:rPr>
          <w:rFonts w:ascii="Times New Roman" w:hAnsi="Times New Roman"/>
          <w:b/>
          <w:noProof/>
          <w:sz w:val="28"/>
          <w:szCs w:val="24"/>
        </w:rPr>
      </w:pPr>
      <w:r w:rsidRPr="00A411EA">
        <w:rPr>
          <w:rFonts w:ascii="Times New Roman" w:hAnsi="Times New Roman"/>
          <w:b/>
          <w:sz w:val="28"/>
          <w:szCs w:val="24"/>
        </w:rPr>
        <w:t>Saturs</w:t>
      </w:r>
    </w:p>
    <w:p w:rsidR="00A411EA" w:rsidRPr="00A411EA" w:rsidRDefault="00A411EA" w:rsidP="00A411EA">
      <w:pPr>
        <w:rPr>
          <w:rFonts w:ascii="Times New Roman" w:hAnsi="Times New Roman" w:cs="Times New Roman"/>
          <w:sz w:val="24"/>
          <w:szCs w:val="24"/>
        </w:rPr>
      </w:pPr>
      <w:bookmarkStart w:id="0" w:name="TOCPosition"/>
    </w:p>
    <w:sdt>
      <w:sdtPr>
        <w:rPr>
          <w:rFonts w:ascii="Times New Roman" w:hAnsi="Times New Roman" w:cs="Times New Roman"/>
          <w:color w:val="auto"/>
          <w:sz w:val="24"/>
          <w:szCs w:val="24"/>
        </w:rPr>
        <w:id w:val="-1108429850"/>
        <w:docPartObj>
          <w:docPartGallery w:val="Table of Contents"/>
          <w:docPartUnique/>
        </w:docPartObj>
      </w:sdtPr>
      <w:sdtEndPr>
        <w:rPr>
          <w:rFonts w:eastAsiaTheme="minorHAnsi"/>
          <w:b/>
          <w:bCs/>
          <w:lang w:eastAsia="en-US"/>
        </w:rPr>
      </w:sdtEndPr>
      <w:sdtContent>
        <w:p w:rsidR="00A411EA" w:rsidRPr="00A411EA" w:rsidRDefault="00A411EA" w:rsidP="00A411EA">
          <w:pPr>
            <w:pStyle w:val="Saturardtjavirsraksts"/>
            <w:keepNext w:val="0"/>
            <w:keepLines w:val="0"/>
            <w:widowControl w:val="0"/>
            <w:spacing w:before="0" w:line="240" w:lineRule="auto"/>
            <w:rPr>
              <w:rFonts w:ascii="Times New Roman" w:hAnsi="Times New Roman" w:cs="Times New Roman"/>
              <w:color w:val="auto"/>
              <w:sz w:val="24"/>
              <w:szCs w:val="24"/>
            </w:rPr>
          </w:pPr>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r w:rsidRPr="00A411EA">
            <w:rPr>
              <w:rFonts w:ascii="Times New Roman" w:hAnsi="Times New Roman" w:cs="Times New Roman"/>
              <w:sz w:val="24"/>
              <w:szCs w:val="24"/>
            </w:rPr>
            <w:fldChar w:fldCharType="begin"/>
          </w:r>
          <w:r w:rsidRPr="00A411EA">
            <w:rPr>
              <w:rFonts w:ascii="Times New Roman" w:hAnsi="Times New Roman" w:cs="Times New Roman"/>
              <w:sz w:val="24"/>
              <w:szCs w:val="24"/>
            </w:rPr>
            <w:instrText xml:space="preserve"> TOC \o "1-3" \h \z \u </w:instrText>
          </w:r>
          <w:r w:rsidRPr="00A411EA">
            <w:rPr>
              <w:rFonts w:ascii="Times New Roman" w:hAnsi="Times New Roman" w:cs="Times New Roman"/>
              <w:sz w:val="24"/>
              <w:szCs w:val="24"/>
            </w:rPr>
            <w:fldChar w:fldCharType="separate"/>
          </w:r>
          <w:hyperlink w:anchor="_Toc19626745" w:history="1">
            <w:r w:rsidRPr="00A411EA">
              <w:rPr>
                <w:rStyle w:val="Hipersaite"/>
                <w:rFonts w:ascii="Times New Roman" w:hAnsi="Times New Roman" w:cs="Times New Roman"/>
                <w:noProof/>
                <w:color w:val="auto"/>
                <w:sz w:val="24"/>
                <w:szCs w:val="24"/>
              </w:rPr>
              <w:t>Ievads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_Toc19626745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3</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46" w:history="1">
            <w:r w:rsidRPr="00A411EA">
              <w:rPr>
                <w:rStyle w:val="Hipersaite"/>
                <w:rFonts w:ascii="Times New Roman" w:hAnsi="Times New Roman" w:cs="Times New Roman"/>
                <w:noProof/>
                <w:color w:val="auto"/>
                <w:sz w:val="24"/>
                <w:szCs w:val="24"/>
              </w:rPr>
              <w:t>A. ES iekšzemes sakaru regulas darbības joma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_Toc19626746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3</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47" w:history="1">
            <w:r w:rsidRPr="00A411EA">
              <w:rPr>
                <w:rStyle w:val="Hipersaite"/>
                <w:rFonts w:ascii="Times New Roman" w:hAnsi="Times New Roman" w:cs="Times New Roman"/>
                <w:noProof/>
                <w:color w:val="auto"/>
                <w:sz w:val="24"/>
                <w:szCs w:val="24"/>
              </w:rPr>
              <w:t>Regulēti ES iekšzemes sakaru pakalpojumi</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_Toc19626747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3</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48" w:history="1">
            <w:r w:rsidRPr="00A411EA">
              <w:rPr>
                <w:rStyle w:val="Hipersaite"/>
                <w:rFonts w:ascii="Times New Roman" w:hAnsi="Times New Roman" w:cs="Times New Roman"/>
                <w:noProof/>
                <w:color w:val="auto"/>
                <w:sz w:val="24"/>
                <w:szCs w:val="24"/>
              </w:rPr>
              <w:t>ES iekšzemes sakaru regulas ģeogrāfiskās robežas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_Toc19626748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5</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49" w:history="1">
            <w:r w:rsidRPr="00A411EA">
              <w:rPr>
                <w:rStyle w:val="Hipersaite"/>
                <w:rFonts w:ascii="Times New Roman" w:hAnsi="Times New Roman" w:cs="Times New Roman"/>
                <w:noProof/>
                <w:color w:val="auto"/>
                <w:sz w:val="24"/>
                <w:szCs w:val="24"/>
              </w:rPr>
              <w:t>B. ES iekšzemes sakaru pakalpojumu cenu griesti</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_Toc19626749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5</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50" w:history="1">
            <w:r w:rsidRPr="00A411EA">
              <w:rPr>
                <w:rStyle w:val="Hipersaite"/>
                <w:rFonts w:ascii="Times New Roman" w:hAnsi="Times New Roman" w:cs="Times New Roman"/>
                <w:noProof/>
                <w:color w:val="auto"/>
                <w:sz w:val="24"/>
                <w:szCs w:val="24"/>
              </w:rPr>
              <w:t>C. Alternatīvie tarifi</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_Toc19626750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5</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51" w:history="1">
            <w:r w:rsidRPr="00A411EA">
              <w:rPr>
                <w:rStyle w:val="Hipersaite"/>
                <w:rFonts w:ascii="Times New Roman" w:hAnsi="Times New Roman" w:cs="Times New Roman"/>
                <w:noProof/>
                <w:color w:val="auto"/>
                <w:sz w:val="24"/>
                <w:szCs w:val="24"/>
              </w:rPr>
              <w:t>D. Maksas citās valūtās, kas nav eiro valūta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_Toc19626751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6</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52" w:history="1">
            <w:r w:rsidRPr="00A411EA">
              <w:rPr>
                <w:rStyle w:val="Hipersaite"/>
                <w:rFonts w:ascii="Times New Roman" w:hAnsi="Times New Roman" w:cs="Times New Roman"/>
                <w:noProof/>
                <w:color w:val="auto"/>
                <w:sz w:val="24"/>
                <w:szCs w:val="24"/>
              </w:rPr>
              <w:t>E. Pievienotās vērtības pakalpojumi / zvani uz bezmaksas numuriem / ļaunprātīga izmantošana un krāpšana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_Toc19626752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7</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53" w:history="1">
            <w:r w:rsidRPr="00A411EA">
              <w:rPr>
                <w:rStyle w:val="Hipersaite"/>
                <w:rFonts w:ascii="Times New Roman" w:hAnsi="Times New Roman" w:cs="Times New Roman"/>
                <w:noProof/>
                <w:color w:val="auto"/>
                <w:sz w:val="24"/>
                <w:szCs w:val="24"/>
              </w:rPr>
              <w:t>F. Ilgtspējība</w:t>
            </w:r>
            <w:bookmarkStart w:id="1" w:name="_GoBack"/>
            <w:bookmarkEnd w:id="1"/>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_Toc19626753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7</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4" w:history="1">
            <w:r w:rsidRPr="00A411EA">
              <w:rPr>
                <w:rStyle w:val="Hipersaite"/>
                <w:rFonts w:ascii="Times New Roman" w:hAnsi="Times New Roman" w:cs="Times New Roman"/>
                <w:i/>
                <w:iCs/>
                <w:noProof/>
                <w:color w:val="auto"/>
                <w:sz w:val="24"/>
                <w:szCs w:val="24"/>
              </w:rPr>
              <w:t>BEREC</w:t>
            </w:r>
            <w:r w:rsidRPr="00A411EA">
              <w:rPr>
                <w:rStyle w:val="Hipersaite"/>
                <w:rFonts w:ascii="Times New Roman" w:hAnsi="Times New Roman" w:cs="Times New Roman"/>
                <w:noProof/>
                <w:color w:val="auto"/>
                <w:sz w:val="24"/>
                <w:szCs w:val="24"/>
              </w:rPr>
              <w:t xml:space="preserve"> robež</w:t>
            </w:r>
            <w:r w:rsidRPr="00A411EA">
              <w:rPr>
                <w:rStyle w:val="Hipersaite"/>
                <w:rFonts w:ascii="Times New Roman" w:hAnsi="Times New Roman" w:cs="Times New Roman"/>
                <w:noProof/>
                <w:color w:val="auto"/>
                <w:sz w:val="24"/>
                <w:szCs w:val="24"/>
              </w:rPr>
              <w:t>v</w:t>
            </w:r>
            <w:r w:rsidRPr="00A411EA">
              <w:rPr>
                <w:rStyle w:val="Hipersaite"/>
                <w:rFonts w:ascii="Times New Roman" w:hAnsi="Times New Roman" w:cs="Times New Roman"/>
                <w:noProof/>
                <w:color w:val="auto"/>
                <w:sz w:val="24"/>
                <w:szCs w:val="24"/>
              </w:rPr>
              <w:t>ērtīb</w:t>
            </w:r>
            <w:r w:rsidRPr="00A411EA">
              <w:rPr>
                <w:rStyle w:val="Hipersaite"/>
                <w:rFonts w:ascii="Times New Roman" w:hAnsi="Times New Roman" w:cs="Times New Roman"/>
                <w:noProof/>
                <w:color w:val="auto"/>
                <w:sz w:val="24"/>
                <w:szCs w:val="24"/>
              </w:rPr>
              <w:t>a</w:t>
            </w:r>
            <w:r w:rsidRPr="00A411EA">
              <w:rPr>
                <w:rStyle w:val="Hipersaite"/>
                <w:rFonts w:ascii="Times New Roman" w:hAnsi="Times New Roman" w:cs="Times New Roman"/>
                <w:noProof/>
                <w:color w:val="auto"/>
                <w:sz w:val="24"/>
                <w:szCs w:val="24"/>
              </w:rPr>
              <w:t xml:space="preserve"> ES iekšzemes sakariem</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_Toc19626754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8</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5" w:history="1">
            <w:r w:rsidRPr="00A411EA">
              <w:rPr>
                <w:rStyle w:val="Hipersaite"/>
                <w:rFonts w:ascii="Times New Roman" w:hAnsi="Times New Roman" w:cs="Times New Roman"/>
                <w:noProof/>
                <w:color w:val="auto"/>
                <w:sz w:val="24"/>
                <w:szCs w:val="24"/>
              </w:rPr>
              <w:t>Ietekme uz iekšzemes pakalpojumu cenu modeli</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_Toc19626755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9</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6" w:history="1">
            <w:r w:rsidRPr="00A411EA">
              <w:rPr>
                <w:rStyle w:val="Hipersaite"/>
                <w:rFonts w:ascii="Times New Roman" w:hAnsi="Times New Roman" w:cs="Times New Roman"/>
                <w:noProof/>
                <w:color w:val="auto"/>
                <w:sz w:val="24"/>
                <w:szCs w:val="24"/>
              </w:rPr>
              <w:t>Pieprasījuma saturs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_Toc19626756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10</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7" w:history="1">
            <w:r w:rsidRPr="00A411EA">
              <w:rPr>
                <w:rStyle w:val="Hipersaite"/>
                <w:rFonts w:ascii="Times New Roman" w:hAnsi="Times New Roman" w:cs="Times New Roman"/>
                <w:noProof/>
                <w:color w:val="auto"/>
                <w:sz w:val="24"/>
                <w:szCs w:val="24"/>
              </w:rPr>
              <w:t>Termiņi</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_Toc19626757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13</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8" w:history="1">
            <w:r w:rsidRPr="00A411EA">
              <w:rPr>
                <w:rStyle w:val="Hipersaite"/>
                <w:rFonts w:ascii="Times New Roman" w:hAnsi="Times New Roman" w:cs="Times New Roman"/>
                <w:noProof/>
                <w:color w:val="auto"/>
                <w:sz w:val="24"/>
                <w:szCs w:val="24"/>
              </w:rPr>
              <w:t>Pieprasījuma novērtēšana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_Toc19626758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14</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59" w:history="1">
            <w:r w:rsidRPr="00A411EA">
              <w:rPr>
                <w:rStyle w:val="Hipersaite"/>
                <w:rFonts w:ascii="Times New Roman" w:hAnsi="Times New Roman" w:cs="Times New Roman"/>
                <w:noProof/>
                <w:color w:val="auto"/>
                <w:sz w:val="24"/>
                <w:szCs w:val="24"/>
              </w:rPr>
              <w:t>Maksimālais cenu līmenis, kas pārsniedz cenu griestus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_Toc19626759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14</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60" w:history="1">
            <w:r w:rsidRPr="00A411EA">
              <w:rPr>
                <w:rStyle w:val="Hipersaite"/>
                <w:rFonts w:ascii="Times New Roman" w:hAnsi="Times New Roman" w:cs="Times New Roman"/>
                <w:noProof/>
                <w:color w:val="auto"/>
                <w:sz w:val="24"/>
                <w:szCs w:val="24"/>
              </w:rPr>
              <w:t>G. Uzraudzība, ko veic valstu regulatīvās iestādes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_Toc19626760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15</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1"/>
            <w:tabs>
              <w:tab w:val="right" w:leader="dot" w:pos="9065"/>
            </w:tabs>
            <w:spacing w:before="0"/>
            <w:ind w:left="0" w:firstLine="0"/>
            <w:rPr>
              <w:rFonts w:ascii="Times New Roman" w:eastAsiaTheme="minorEastAsia" w:hAnsi="Times New Roman" w:cs="Times New Roman"/>
              <w:b w:val="0"/>
              <w:bCs w:val="0"/>
              <w:noProof/>
              <w:sz w:val="24"/>
              <w:szCs w:val="24"/>
              <w:lang w:eastAsia="lv-LV"/>
            </w:rPr>
          </w:pPr>
          <w:hyperlink w:anchor="_Toc19626761" w:history="1">
            <w:r w:rsidRPr="00A411EA">
              <w:rPr>
                <w:rStyle w:val="Hipersaite"/>
                <w:rFonts w:ascii="Times New Roman" w:hAnsi="Times New Roman" w:cs="Times New Roman"/>
                <w:noProof/>
                <w:color w:val="auto"/>
                <w:sz w:val="24"/>
                <w:szCs w:val="24"/>
              </w:rPr>
              <w:t>H. PIELIKUMS</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_Toc19626761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16</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62" w:history="1">
            <w:r w:rsidRPr="00A411EA">
              <w:rPr>
                <w:rStyle w:val="Hipersaite"/>
                <w:rFonts w:ascii="Times New Roman" w:hAnsi="Times New Roman" w:cs="Times New Roman"/>
                <w:noProof/>
                <w:color w:val="auto"/>
                <w:sz w:val="24"/>
                <w:szCs w:val="24"/>
              </w:rPr>
              <w:t xml:space="preserve">1. pielikums. </w:t>
            </w:r>
            <w:r w:rsidRPr="00A411EA">
              <w:rPr>
                <w:rStyle w:val="Hipersaite"/>
                <w:rFonts w:ascii="Times New Roman" w:hAnsi="Times New Roman" w:cs="Times New Roman"/>
                <w:i/>
                <w:iCs/>
                <w:noProof/>
                <w:color w:val="auto"/>
                <w:sz w:val="24"/>
                <w:szCs w:val="24"/>
              </w:rPr>
              <w:t>BEREC</w:t>
            </w:r>
            <w:r w:rsidRPr="00A411EA">
              <w:rPr>
                <w:rStyle w:val="Hipersaite"/>
                <w:rFonts w:ascii="Times New Roman" w:hAnsi="Times New Roman" w:cs="Times New Roman"/>
                <w:noProof/>
                <w:color w:val="auto"/>
                <w:sz w:val="24"/>
                <w:szCs w:val="24"/>
              </w:rPr>
              <w:t xml:space="preserve"> robežvērtība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_Toc19626762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16</w:t>
            </w:r>
            <w:r w:rsidRPr="00A411EA">
              <w:rPr>
                <w:rFonts w:ascii="Times New Roman" w:hAnsi="Times New Roman" w:cs="Times New Roman"/>
                <w:noProof/>
                <w:webHidden/>
                <w:sz w:val="24"/>
                <w:szCs w:val="24"/>
              </w:rPr>
              <w:fldChar w:fldCharType="end"/>
            </w:r>
          </w:hyperlink>
        </w:p>
        <w:p w:rsidR="00A411EA" w:rsidRPr="00A411EA" w:rsidRDefault="00A411EA" w:rsidP="00A411EA">
          <w:pPr>
            <w:pStyle w:val="Saturs2"/>
            <w:tabs>
              <w:tab w:val="right" w:leader="dot" w:pos="9065"/>
            </w:tabs>
            <w:ind w:left="284"/>
            <w:rPr>
              <w:rFonts w:ascii="Times New Roman" w:eastAsiaTheme="minorEastAsia" w:hAnsi="Times New Roman" w:cs="Times New Roman"/>
              <w:noProof/>
              <w:sz w:val="24"/>
              <w:szCs w:val="24"/>
              <w:lang w:eastAsia="lv-LV"/>
            </w:rPr>
          </w:pPr>
          <w:hyperlink w:anchor="_Toc19626763" w:history="1">
            <w:r w:rsidRPr="00A411EA">
              <w:rPr>
                <w:rStyle w:val="Hipersaite"/>
                <w:rFonts w:ascii="Times New Roman" w:hAnsi="Times New Roman" w:cs="Times New Roman"/>
                <w:noProof/>
                <w:color w:val="auto"/>
                <w:sz w:val="24"/>
                <w:szCs w:val="24"/>
              </w:rPr>
              <w:t>2. pielikums. Atkāpes veidlapa</w:t>
            </w:r>
            <w:r w:rsidRPr="00A411EA">
              <w:rPr>
                <w:rFonts w:ascii="Times New Roman" w:hAnsi="Times New Roman" w:cs="Times New Roman"/>
                <w:noProof/>
                <w:webHidden/>
                <w:sz w:val="24"/>
                <w:szCs w:val="24"/>
              </w:rPr>
              <w:tab/>
            </w:r>
            <w:r w:rsidRPr="00A411EA">
              <w:rPr>
                <w:rFonts w:ascii="Times New Roman" w:hAnsi="Times New Roman" w:cs="Times New Roman"/>
                <w:noProof/>
                <w:webHidden/>
                <w:sz w:val="24"/>
                <w:szCs w:val="24"/>
              </w:rPr>
              <w:fldChar w:fldCharType="begin"/>
            </w:r>
            <w:r w:rsidRPr="00A411EA">
              <w:rPr>
                <w:rFonts w:ascii="Times New Roman" w:hAnsi="Times New Roman" w:cs="Times New Roman"/>
                <w:noProof/>
                <w:webHidden/>
                <w:sz w:val="24"/>
                <w:szCs w:val="24"/>
              </w:rPr>
              <w:instrText xml:space="preserve"> PAGEREF _Toc19626763 \h </w:instrText>
            </w:r>
            <w:r w:rsidRPr="00A411EA">
              <w:rPr>
                <w:rFonts w:ascii="Times New Roman" w:hAnsi="Times New Roman" w:cs="Times New Roman"/>
                <w:noProof/>
                <w:webHidden/>
                <w:sz w:val="24"/>
                <w:szCs w:val="24"/>
              </w:rPr>
            </w:r>
            <w:r w:rsidRPr="00A411EA">
              <w:rPr>
                <w:rFonts w:ascii="Times New Roman" w:hAnsi="Times New Roman" w:cs="Times New Roman"/>
                <w:noProof/>
                <w:webHidden/>
                <w:sz w:val="24"/>
                <w:szCs w:val="24"/>
              </w:rPr>
              <w:fldChar w:fldCharType="separate"/>
            </w:r>
            <w:r w:rsidR="0052747B">
              <w:rPr>
                <w:rFonts w:ascii="Times New Roman" w:hAnsi="Times New Roman" w:cs="Times New Roman"/>
                <w:noProof/>
                <w:webHidden/>
                <w:sz w:val="24"/>
                <w:szCs w:val="24"/>
              </w:rPr>
              <w:t>16</w:t>
            </w:r>
            <w:r w:rsidRPr="00A411EA">
              <w:rPr>
                <w:rFonts w:ascii="Times New Roman" w:hAnsi="Times New Roman" w:cs="Times New Roman"/>
                <w:noProof/>
                <w:webHidden/>
                <w:sz w:val="24"/>
                <w:szCs w:val="24"/>
              </w:rPr>
              <w:fldChar w:fldCharType="end"/>
            </w:r>
          </w:hyperlink>
        </w:p>
        <w:p w:rsidR="00A411EA" w:rsidRPr="00A411EA" w:rsidRDefault="00A411EA" w:rsidP="00A411EA">
          <w:pPr>
            <w:rPr>
              <w:rFonts w:ascii="Times New Roman" w:hAnsi="Times New Roman" w:cs="Times New Roman"/>
              <w:sz w:val="24"/>
              <w:szCs w:val="24"/>
            </w:rPr>
          </w:pPr>
          <w:r w:rsidRPr="00A411EA">
            <w:rPr>
              <w:rFonts w:ascii="Times New Roman" w:hAnsi="Times New Roman" w:cs="Times New Roman"/>
              <w:b/>
              <w:bCs/>
              <w:sz w:val="24"/>
              <w:szCs w:val="24"/>
            </w:rPr>
            <w:fldChar w:fldCharType="end"/>
          </w:r>
        </w:p>
      </w:sdtContent>
    </w:sdt>
    <w:p w:rsidR="00A411EA" w:rsidRPr="00A411EA" w:rsidRDefault="00A411EA" w:rsidP="00A411EA">
      <w:pPr>
        <w:rPr>
          <w:rFonts w:ascii="Times New Roman" w:hAnsi="Times New Roman" w:cs="Times New Roman"/>
          <w:sz w:val="24"/>
          <w:szCs w:val="24"/>
        </w:rPr>
      </w:pPr>
    </w:p>
    <w:p w:rsidR="00A411EA" w:rsidRPr="00A411EA" w:rsidRDefault="00A411EA">
      <w:pPr>
        <w:rPr>
          <w:rFonts w:ascii="Times New Roman" w:hAnsi="Times New Roman" w:cs="Times New Roman"/>
          <w:sz w:val="24"/>
          <w:szCs w:val="24"/>
        </w:rPr>
      </w:pPr>
    </w:p>
    <w:p w:rsidR="004172BE" w:rsidRDefault="004172BE">
      <w:pPr>
        <w:rPr>
          <w:rFonts w:ascii="Times New Roman" w:eastAsia="Times New Roman" w:hAnsi="Times New Roman" w:cstheme="minorHAnsi"/>
          <w:sz w:val="24"/>
          <w:szCs w:val="20"/>
        </w:rPr>
      </w:pPr>
      <w:r>
        <w:br w:type="page"/>
      </w:r>
    </w:p>
    <w:bookmarkEnd w:id="0"/>
    <w:p w:rsidR="00A05317" w:rsidRPr="004172BE" w:rsidRDefault="00A05317" w:rsidP="004172BE">
      <w:pPr>
        <w:jc w:val="both"/>
        <w:rPr>
          <w:rFonts w:ascii="Times New Roman" w:eastAsia="Arial" w:hAnsi="Times New Roman" w:cs="Arial"/>
          <w:noProof/>
          <w:sz w:val="24"/>
          <w:szCs w:val="30"/>
        </w:rPr>
      </w:pPr>
    </w:p>
    <w:p w:rsidR="00A05317" w:rsidRPr="004172BE" w:rsidRDefault="00A05317" w:rsidP="004172BE">
      <w:pPr>
        <w:pStyle w:val="Virsraksts1"/>
        <w:spacing w:before="0"/>
        <w:ind w:left="0" w:firstLine="0"/>
        <w:jc w:val="both"/>
        <w:rPr>
          <w:rFonts w:ascii="Times New Roman" w:hAnsi="Times New Roman"/>
          <w:noProof/>
          <w:sz w:val="24"/>
        </w:rPr>
      </w:pPr>
      <w:bookmarkStart w:id="2" w:name="Introduction"/>
      <w:bookmarkStart w:id="3" w:name="_bookmark0"/>
      <w:bookmarkStart w:id="4" w:name="_Toc17269993"/>
      <w:bookmarkStart w:id="5" w:name="_Toc17271243"/>
      <w:bookmarkStart w:id="6" w:name="_Toc19626745"/>
      <w:bookmarkEnd w:id="2"/>
      <w:bookmarkEnd w:id="3"/>
      <w:r>
        <w:rPr>
          <w:rFonts w:ascii="Times New Roman" w:hAnsi="Times New Roman"/>
          <w:sz w:val="24"/>
        </w:rPr>
        <w:t>Ievads</w:t>
      </w:r>
      <w:bookmarkEnd w:id="4"/>
      <w:bookmarkEnd w:id="5"/>
      <w:bookmarkEnd w:id="6"/>
    </w:p>
    <w:p w:rsidR="004172BE" w:rsidRDefault="004172BE" w:rsidP="004172BE">
      <w:pPr>
        <w:pStyle w:val="Pamatteksts"/>
        <w:spacing w:before="0"/>
        <w:ind w:left="0"/>
        <w:jc w:val="both"/>
        <w:rPr>
          <w:rFonts w:ascii="Times New Roman" w:hAnsi="Times New Roman"/>
          <w:noProof/>
          <w:sz w:val="24"/>
        </w:rPr>
      </w:pPr>
    </w:p>
    <w:p w:rsidR="00A05317" w:rsidRDefault="00A05317" w:rsidP="004172BE">
      <w:pPr>
        <w:pStyle w:val="Pamatteksts"/>
        <w:spacing w:before="0"/>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pamatnostādnes par ES iekšzemes sakariem ir paredzētas, lai izskaidrotu noteikumus, kas regulē ES iekšzemes sakaru pakalpojumus, saskaņā ar 50. pantu </w:t>
      </w:r>
      <w:r>
        <w:rPr>
          <w:rFonts w:ascii="Times New Roman" w:hAnsi="Times New Roman"/>
          <w:i/>
          <w:iCs/>
          <w:sz w:val="24"/>
        </w:rPr>
        <w:t>BEREC</w:t>
      </w:r>
      <w:r>
        <w:rPr>
          <w:rFonts w:ascii="Times New Roman" w:hAnsi="Times New Roman"/>
          <w:sz w:val="24"/>
        </w:rPr>
        <w:t xml:space="preserve"> Regulā 2018/1971</w:t>
      </w:r>
      <w:r w:rsidR="004172BE">
        <w:rPr>
          <w:rStyle w:val="Vresatsauce"/>
          <w:rFonts w:ascii="Times New Roman" w:hAnsi="Times New Roman"/>
          <w:noProof/>
          <w:sz w:val="24"/>
        </w:rPr>
        <w:footnoteReference w:id="1"/>
      </w:r>
      <w:r>
        <w:rPr>
          <w:rFonts w:ascii="Times New Roman" w:hAnsi="Times New Roman"/>
          <w:sz w:val="24"/>
        </w:rPr>
        <w:t>, ar ko groza Eiropas Parlamenta un Padomes 2015. gada 25. novembra Regulu (ES) 2015/2120 (turpmāk tekstā – TVT regula), nolūkā nodrošināt kopīgu regulatīvo pieeju un palīdzēt tos konsekventi īstenot.</w:t>
      </w:r>
    </w:p>
    <w:p w:rsidR="004172BE" w:rsidRPr="004172BE" w:rsidRDefault="004172BE" w:rsidP="004172BE">
      <w:pPr>
        <w:pStyle w:val="Pamatteksts"/>
        <w:spacing w:before="0"/>
        <w:ind w:left="0"/>
        <w:jc w:val="both"/>
        <w:rPr>
          <w:rFonts w:ascii="Times New Roman" w:hAnsi="Times New Roman"/>
          <w:noProof/>
          <w:sz w:val="24"/>
        </w:rPr>
      </w:pPr>
    </w:p>
    <w:p w:rsidR="00A05317" w:rsidRPr="004172BE" w:rsidRDefault="00A05317" w:rsidP="004172BE">
      <w:pPr>
        <w:pStyle w:val="Pamatteksts"/>
        <w:spacing w:before="0"/>
        <w:ind w:left="0"/>
        <w:jc w:val="both"/>
        <w:rPr>
          <w:rFonts w:ascii="Times New Roman" w:hAnsi="Times New Roman"/>
          <w:noProof/>
          <w:sz w:val="24"/>
        </w:rPr>
      </w:pPr>
      <w:r>
        <w:rPr>
          <w:rFonts w:ascii="Times New Roman" w:hAnsi="Times New Roman"/>
          <w:sz w:val="24"/>
        </w:rPr>
        <w:t>Šīs pamatnostādnes papildina šajā regulā izklāstītos noteikumus, un tās netiek pasniegtas kā minēto noteikumu oficiāla juridiska interpretācija. Valstu regulatīvajām iestādēm šīs pamatnostādnes ir maksimāli jāņem vērā, īstenojot Regulas 2015/2120 5.a panta noteikumus (ar tajā izdarītajiem grozījumiem).</w:t>
      </w:r>
    </w:p>
    <w:p w:rsidR="00A05317" w:rsidRPr="004172BE" w:rsidRDefault="00A05317" w:rsidP="004172BE">
      <w:pPr>
        <w:jc w:val="both"/>
        <w:rPr>
          <w:rFonts w:ascii="Times New Roman" w:eastAsia="Arial" w:hAnsi="Times New Roman" w:cs="Arial"/>
          <w:noProof/>
          <w:sz w:val="24"/>
        </w:rPr>
      </w:pPr>
    </w:p>
    <w:p w:rsidR="00A05317" w:rsidRPr="004172BE" w:rsidRDefault="00A05317" w:rsidP="004172BE">
      <w:pPr>
        <w:jc w:val="both"/>
        <w:rPr>
          <w:rFonts w:ascii="Times New Roman" w:eastAsia="Arial" w:hAnsi="Times New Roman" w:cs="Arial"/>
          <w:noProof/>
          <w:sz w:val="24"/>
        </w:rPr>
      </w:pPr>
    </w:p>
    <w:p w:rsidR="00A05317" w:rsidRPr="004172BE" w:rsidRDefault="004172BE" w:rsidP="004172BE">
      <w:pPr>
        <w:pStyle w:val="Virsraksts1"/>
        <w:tabs>
          <w:tab w:val="left" w:pos="480"/>
        </w:tabs>
        <w:spacing w:before="0"/>
        <w:ind w:left="0" w:firstLine="0"/>
        <w:jc w:val="both"/>
        <w:rPr>
          <w:rFonts w:ascii="Times New Roman" w:hAnsi="Times New Roman"/>
          <w:noProof/>
          <w:sz w:val="24"/>
        </w:rPr>
      </w:pPr>
      <w:bookmarkStart w:id="7" w:name="A._Scope_of_the_intra-EU_communications_"/>
      <w:bookmarkStart w:id="8" w:name="_bookmark1"/>
      <w:bookmarkStart w:id="9" w:name="_Toc17269994"/>
      <w:bookmarkStart w:id="10" w:name="_Toc17271244"/>
      <w:bookmarkStart w:id="11" w:name="_Toc19626746"/>
      <w:bookmarkEnd w:id="7"/>
      <w:bookmarkEnd w:id="8"/>
      <w:r>
        <w:rPr>
          <w:rFonts w:ascii="Times New Roman" w:hAnsi="Times New Roman"/>
          <w:sz w:val="24"/>
        </w:rPr>
        <w:t>A. ES iekšzemes sakaru regulas darbības joma</w:t>
      </w:r>
      <w:bookmarkEnd w:id="9"/>
      <w:bookmarkEnd w:id="10"/>
      <w:bookmarkEnd w:id="11"/>
    </w:p>
    <w:p w:rsidR="00A05317" w:rsidRPr="004172BE" w:rsidRDefault="00A05317" w:rsidP="004172BE">
      <w:pPr>
        <w:jc w:val="both"/>
        <w:rPr>
          <w:rFonts w:ascii="Times New Roman" w:eastAsia="Arial" w:hAnsi="Times New Roman" w:cs="Arial"/>
          <w:b/>
          <w:bCs/>
          <w:i/>
          <w:noProof/>
          <w:sz w:val="24"/>
          <w:szCs w:val="25"/>
        </w:rPr>
      </w:pPr>
    </w:p>
    <w:p w:rsidR="00A05317" w:rsidRPr="004172BE" w:rsidRDefault="00A05317" w:rsidP="004172BE">
      <w:pPr>
        <w:pStyle w:val="Virsraksts2"/>
        <w:ind w:left="0"/>
        <w:jc w:val="both"/>
        <w:rPr>
          <w:rFonts w:ascii="Times New Roman" w:hAnsi="Times New Roman"/>
          <w:noProof/>
        </w:rPr>
      </w:pPr>
      <w:bookmarkStart w:id="12" w:name="Regulated_intra-EU_communications_servic"/>
      <w:bookmarkStart w:id="13" w:name="_bookmark2"/>
      <w:bookmarkStart w:id="14" w:name="_Toc17269995"/>
      <w:bookmarkStart w:id="15" w:name="_Toc17271245"/>
      <w:bookmarkStart w:id="16" w:name="_Toc19626747"/>
      <w:bookmarkEnd w:id="12"/>
      <w:bookmarkEnd w:id="13"/>
      <w:r>
        <w:rPr>
          <w:rFonts w:ascii="Times New Roman" w:hAnsi="Times New Roman"/>
        </w:rPr>
        <w:t>Regulēti ES iekšzemes sakaru pakalpojumi</w:t>
      </w:r>
      <w:bookmarkEnd w:id="14"/>
      <w:bookmarkEnd w:id="15"/>
      <w:bookmarkEnd w:id="16"/>
    </w:p>
    <w:p w:rsidR="004172BE" w:rsidRDefault="004172BE" w:rsidP="004172BE">
      <w:pPr>
        <w:pStyle w:val="Pamatteksts"/>
        <w:tabs>
          <w:tab w:val="left" w:pos="841"/>
        </w:tabs>
        <w:spacing w:before="0"/>
        <w:ind w:left="0"/>
        <w:jc w:val="both"/>
        <w:rPr>
          <w:rFonts w:ascii="Times New Roman" w:hAnsi="Times New Roman"/>
          <w:noProof/>
          <w:sz w:val="24"/>
        </w:rPr>
      </w:pP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1. Saskaņā ar TVT regulas 2. panta 2. daļas 3. punktu “regulēti ES iekšzemes sakari”</w:t>
      </w:r>
      <w:r>
        <w:rPr>
          <w:rStyle w:val="Vresatsauce"/>
          <w:rFonts w:ascii="Times New Roman" w:hAnsi="Times New Roman"/>
          <w:noProof/>
          <w:sz w:val="24"/>
        </w:rPr>
        <w:footnoteReference w:id="2"/>
      </w:r>
      <w:r>
        <w:rPr>
          <w:rFonts w:ascii="Times New Roman" w:hAnsi="Times New Roman"/>
          <w:sz w:val="24"/>
        </w:rPr>
        <w:t xml:space="preserve"> ir jebkurš numuratkarīgs starppersonu sakaru pakalpojums, kad savienojumu uzsāk patērētāja iekšzemes pakalpojumu sniedzēja dalībvalstī un pabeidz uz jebkuru fiksētā vai mobilā tīkla valsts numerācijas plāna numuru citā dalībvalstī un kam piemēro pilnu vai daļēju maksu, pamatojoties uz faktisko patēriņu. </w:t>
      </w:r>
      <w:r>
        <w:rPr>
          <w:rFonts w:ascii="Times New Roman" w:hAnsi="Times New Roman"/>
          <w:i/>
          <w:iCs/>
          <w:sz w:val="24"/>
        </w:rPr>
        <w:t>BEREC</w:t>
      </w:r>
      <w:r>
        <w:rPr>
          <w:rFonts w:ascii="Times New Roman" w:hAnsi="Times New Roman"/>
          <w:sz w:val="24"/>
        </w:rPr>
        <w:t xml:space="preserve"> atzīmē, ka šajā definīcijā netiek noteikta nekāda atšķirība starp fiksētajiem un mobilajiem sakariem. Tādēļ šī regula attiecas uz abiem sakaru veidiem</w:t>
      </w:r>
      <w:r>
        <w:rPr>
          <w:rStyle w:val="Vresatsauce"/>
          <w:rFonts w:ascii="Times New Roman" w:hAnsi="Times New Roman"/>
          <w:noProof/>
          <w:sz w:val="24"/>
        </w:rPr>
        <w:footnoteReference w:id="3"/>
      </w:r>
      <w:r>
        <w:rPr>
          <w:rFonts w:ascii="Times New Roman" w:hAnsi="Times New Roman"/>
          <w:sz w:val="24"/>
        </w:rPr>
        <w:t>.</w:t>
      </w:r>
    </w:p>
    <w:p w:rsidR="004172BE"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BEREC</w:t>
      </w:r>
      <w:r>
        <w:rPr>
          <w:rFonts w:ascii="Times New Roman" w:hAnsi="Times New Roman"/>
          <w:sz w:val="24"/>
        </w:rPr>
        <w:t xml:space="preserve"> atzīmē arī to, ka šī regula attiecas tikai uz “patērētājiem”, kas ir fiziskas personas, kuras izmanto vai lūdz sniegt elektronisko sakaru pakalpojumus elektronisko sakaru pakalpojumus vajadzībām, kas nav saistītas ar šo personu komercdarbību, uzņēmējdarbību, amatu vai profesiju</w:t>
      </w:r>
      <w:r>
        <w:rPr>
          <w:rStyle w:val="Vresatsauce"/>
          <w:rFonts w:ascii="Times New Roman" w:hAnsi="Times New Roman"/>
          <w:noProof/>
          <w:sz w:val="24"/>
        </w:rPr>
        <w:footnoteReference w:id="4"/>
      </w:r>
      <w:r>
        <w:rPr>
          <w:rFonts w:ascii="Times New Roman" w:hAnsi="Times New Roman"/>
          <w:sz w:val="24"/>
        </w:rPr>
        <w:t>. Tādēļ uz to klientu tarifiem, kuri ir juridiskas personas, cenu regulējums neattiecas.</w:t>
      </w:r>
    </w:p>
    <w:p w:rsidR="00A05317" w:rsidRDefault="004172BE" w:rsidP="004172BE">
      <w:pPr>
        <w:pStyle w:val="Pamatteksts"/>
        <w:tabs>
          <w:tab w:val="left" w:pos="841"/>
        </w:tabs>
        <w:spacing w:before="0"/>
        <w:ind w:left="0"/>
        <w:jc w:val="both"/>
        <w:rPr>
          <w:rFonts w:ascii="Times New Roman" w:hAnsi="Times New Roman"/>
          <w:noProof/>
          <w:sz w:val="24"/>
        </w:rPr>
      </w:pPr>
      <w:bookmarkStart w:id="17" w:name="_bookmark3"/>
      <w:bookmarkEnd w:id="17"/>
      <w:r>
        <w:rPr>
          <w:rFonts w:ascii="Times New Roman" w:hAnsi="Times New Roman"/>
          <w:sz w:val="24"/>
        </w:rPr>
        <w:t xml:space="preserve">3. </w:t>
      </w:r>
      <w:r>
        <w:rPr>
          <w:rFonts w:ascii="Times New Roman" w:hAnsi="Times New Roman"/>
          <w:i/>
          <w:iCs/>
          <w:sz w:val="24"/>
        </w:rPr>
        <w:t>BEREC</w:t>
      </w:r>
      <w:r>
        <w:rPr>
          <w:rFonts w:ascii="Times New Roman" w:hAnsi="Times New Roman"/>
          <w:sz w:val="24"/>
        </w:rPr>
        <w:t xml:space="preserve"> pieņem, ka šīs regulas darbības joma aptver pakalpojumus, kuriem piemēro pilnu vai daļēju maksu, pamatojoties uz faktisko patēriņu (uzskaitīto), un kas ietver:</w:t>
      </w:r>
    </w:p>
    <w:p w:rsidR="004172BE" w:rsidRPr="004172BE" w:rsidRDefault="004172BE" w:rsidP="004172BE">
      <w:pPr>
        <w:pStyle w:val="Pamatteksts"/>
        <w:tabs>
          <w:tab w:val="left" w:pos="841"/>
        </w:tabs>
        <w:spacing w:before="0"/>
        <w:ind w:left="0"/>
        <w:jc w:val="both"/>
        <w:rPr>
          <w:rFonts w:ascii="Times New Roman" w:hAnsi="Times New Roman"/>
          <w:noProof/>
          <w:sz w:val="24"/>
        </w:rPr>
      </w:pP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vienas vienības cenu par zvaniem/SMS adresātiem, kas atrodas EEZ;</w:t>
      </w: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komplektā neiekļautas vienas vienības cenu par zvaniem/SMS adresātiem, kas atrodas EEZ;</w:t>
      </w: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zvanus, kas tiek nodrošināti par maksu par savienojumu;</w:t>
      </w: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tādus pakalpojumus ar uz patēriņu balstītiem atvilkumiem (piemēram, priekšapmaksas tarifiem), kuriem pakalpojumu apjoms nav iepriekš norādīts (piemēram, ikmēneša piešķīrumam), bet ir atkarīgs no pakalpojumu faktiskā patēriņa, pamatojoties uz mazumtirdzniecības cenu vienai patēriņa vienībai.</w:t>
      </w:r>
    </w:p>
    <w:p w:rsidR="00A05317" w:rsidRPr="004172BE" w:rsidRDefault="00A05317" w:rsidP="004172BE">
      <w:pPr>
        <w:jc w:val="both"/>
        <w:rPr>
          <w:rFonts w:ascii="Times New Roman" w:eastAsia="Arial" w:hAnsi="Times New Roman" w:cs="Arial"/>
          <w:noProof/>
          <w:sz w:val="24"/>
          <w:szCs w:val="20"/>
        </w:rPr>
      </w:pPr>
    </w:p>
    <w:p w:rsidR="00A05317"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BEREC</w:t>
      </w:r>
      <w:r>
        <w:rPr>
          <w:rFonts w:ascii="Times New Roman" w:hAnsi="Times New Roman"/>
          <w:sz w:val="24"/>
        </w:rPr>
        <w:t xml:space="preserve"> uzskata, ka pakalpojumi, kas tiek sniegti par turpmāk norādītajiem tarifiem, saskaņā ar TVT regulas 2. panta 3. daļu neatbilst regulētu ES iekšzemes sakaru definīcijai:</w:t>
      </w:r>
    </w:p>
    <w:p w:rsidR="004172BE" w:rsidRPr="004172BE" w:rsidRDefault="004172BE" w:rsidP="004172BE">
      <w:pPr>
        <w:pStyle w:val="Pamatteksts"/>
        <w:tabs>
          <w:tab w:val="left" w:pos="841"/>
        </w:tabs>
        <w:spacing w:before="0"/>
        <w:ind w:left="0"/>
        <w:jc w:val="both"/>
        <w:rPr>
          <w:rFonts w:ascii="Times New Roman" w:hAnsi="Times New Roman"/>
          <w:noProof/>
          <w:sz w:val="24"/>
        </w:rPr>
      </w:pP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komplekti, piemēram, neierobežoti tarifu plāni vai tarifi ar fiksēta apjoma piešķīrumu ES iekšzemes sakariem, vai pakalpojumu komplekts, kas ietver arī (dažus) ES iekšzemes sakaru pakalpojumus, kas parasti nav saistīti ar maksām, kas balstītas uz patēriņu, un kuriem nav noteiktas mazumtirdzniecības cenas vienai patēriņa vienībai;</w:t>
      </w:r>
    </w:p>
    <w:p w:rsidR="00A05317" w:rsidRPr="004172BE" w:rsidRDefault="00A05317" w:rsidP="004172BE">
      <w:pPr>
        <w:pStyle w:val="Pamatteksts"/>
        <w:numPr>
          <w:ilvl w:val="1"/>
          <w:numId w:val="10"/>
        </w:numPr>
        <w:spacing w:before="0"/>
        <w:ind w:left="709" w:hanging="283"/>
        <w:jc w:val="both"/>
        <w:rPr>
          <w:rFonts w:ascii="Times New Roman" w:hAnsi="Times New Roman"/>
          <w:noProof/>
          <w:sz w:val="24"/>
        </w:rPr>
      </w:pPr>
      <w:r>
        <w:rPr>
          <w:rFonts w:ascii="Times New Roman" w:hAnsi="Times New Roman"/>
          <w:sz w:val="24"/>
        </w:rPr>
        <w:t>papildinājumi, kas par fiksētu maksu ietver apjoma piešķīrumu un kuri ietver, piemēram, tikai EEZ izmantotas minūtes/SMS vai kas tiek apvienotas ar minūtēm/SMS, kas tiek pabeigtas ārpus EEZ.</w:t>
      </w:r>
    </w:p>
    <w:p w:rsidR="004172BE" w:rsidRDefault="004172BE" w:rsidP="004172BE">
      <w:pPr>
        <w:pStyle w:val="Pamatteksts"/>
        <w:tabs>
          <w:tab w:val="left" w:pos="841"/>
        </w:tabs>
        <w:spacing w:before="0"/>
        <w:ind w:left="0"/>
        <w:jc w:val="both"/>
        <w:rPr>
          <w:rFonts w:ascii="Times New Roman" w:hAnsi="Times New Roman"/>
          <w:noProof/>
          <w:sz w:val="24"/>
        </w:rPr>
      </w:pP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BEREC</w:t>
      </w:r>
      <w:r>
        <w:rPr>
          <w:rFonts w:ascii="Times New Roman" w:hAnsi="Times New Roman"/>
          <w:sz w:val="24"/>
        </w:rPr>
        <w:t xml:space="preserve"> uzskata, ka patērētājiem, kuri ir iegādājušies fiksēta apjoma starptautisko un/vai ES iekšzemes sakaru pakalpojumus kā papildinājumu savam esošajam abonementam, piemēram, šādu pakalpojumu fiksētu mēneša lietojumu par konkrētu cenu, arī pēc 2019. gada 15. maija ir pilnībā jāspēj pilnībā izmantot šādus papildinājumus līdz to iztērēšanas brīdim.</w:t>
      </w:r>
    </w:p>
    <w:p w:rsidR="00A05317" w:rsidRPr="004172BE" w:rsidRDefault="004172BE" w:rsidP="004172BE">
      <w:pPr>
        <w:tabs>
          <w:tab w:val="left" w:pos="841"/>
        </w:tabs>
        <w:jc w:val="both"/>
        <w:rPr>
          <w:rFonts w:ascii="Times New Roman" w:eastAsia="Arial" w:hAnsi="Times New Roman" w:cs="Arial"/>
          <w:i/>
          <w:noProof/>
          <w:sz w:val="24"/>
        </w:rPr>
      </w:pPr>
      <w:r>
        <w:rPr>
          <w:rFonts w:ascii="Times New Roman" w:hAnsi="Times New Roman"/>
          <w:sz w:val="24"/>
        </w:rPr>
        <w:t xml:space="preserve">6. Saskaņā ar TVT regulas 2. panta 2. daļas 4. punktu </w:t>
      </w:r>
      <w:r>
        <w:rPr>
          <w:rFonts w:ascii="Times New Roman" w:hAnsi="Times New Roman"/>
          <w:i/>
          <w:sz w:val="24"/>
        </w:rPr>
        <w:t xml:space="preserve">“numuratkarīgs starppersonu sakaru pakalpojums” ir starppersonu sakaru pakalpojums, kas savienojas ar publiski piešķirtiem numerācijas resursiem, proti, numuru vai numuriem valsts vai starptautiskos numerācijas plānos, vai kas iespējo sakarus ar numuru vai numuriem valsts vai starptautiskos numerācijas plānos. </w:t>
      </w:r>
      <w:r>
        <w:rPr>
          <w:rFonts w:ascii="Times New Roman" w:hAnsi="Times New Roman"/>
          <w:sz w:val="24"/>
        </w:rPr>
        <w:t>Saskaņā ar Direktīvas (ES) 2018/1972 (</w:t>
      </w:r>
      <w:r>
        <w:rPr>
          <w:rFonts w:ascii="Times New Roman" w:hAnsi="Times New Roman"/>
          <w:i/>
          <w:iCs/>
          <w:sz w:val="24"/>
        </w:rPr>
        <w:t>EECC</w:t>
      </w:r>
      <w:r>
        <w:rPr>
          <w:rFonts w:ascii="Times New Roman" w:hAnsi="Times New Roman"/>
          <w:sz w:val="24"/>
        </w:rPr>
        <w:t xml:space="preserve">) 2. panta 5. punktu </w:t>
      </w:r>
      <w:r>
        <w:rPr>
          <w:rFonts w:ascii="Times New Roman" w:hAnsi="Times New Roman"/>
          <w:i/>
          <w:sz w:val="24"/>
        </w:rPr>
        <w:t>“starppersonu sakaru pakalpojums” ir pakalpojums, ko parasti sniedz par atlīdzību, kas dod iespēju galīgam personu skaitam elektronisko sakaru tīklos tieši savā starpā interaktīvi dalīties informācijā un kur saziņas sācējas vai dalībnieces personas nosaka saņēmējus, un kurā neietilpst pakalpojumi, kuros interaktīva starppersonu saziņa ir tikai ar citu pakalpojumu saistīta sīka palīgfunkcija.</w:t>
      </w:r>
      <w:r>
        <w:rPr>
          <w:rFonts w:ascii="Times New Roman" w:hAnsi="Times New Roman"/>
          <w:sz w:val="24"/>
        </w:rPr>
        <w:t xml:space="preserve"> </w:t>
      </w:r>
      <w:r>
        <w:rPr>
          <w:rFonts w:ascii="Times New Roman" w:hAnsi="Times New Roman"/>
          <w:i/>
          <w:iCs/>
          <w:sz w:val="24"/>
        </w:rPr>
        <w:t>EECC</w:t>
      </w:r>
      <w:r>
        <w:rPr>
          <w:rFonts w:ascii="Times New Roman" w:hAnsi="Times New Roman"/>
          <w:sz w:val="24"/>
        </w:rPr>
        <w:t xml:space="preserve"> 18. apsvērumā ir arī norādīts, ka </w:t>
      </w:r>
      <w:r>
        <w:rPr>
          <w:rFonts w:ascii="Times New Roman" w:hAnsi="Times New Roman"/>
          <w:i/>
          <w:sz w:val="24"/>
        </w:rPr>
        <w:t>numura izmantošana par identifikatoru nebūtu uzskatāma par līdzvērtīgu numura izmantošanai tad, kad pieslēdzas publiski piešķirtiem numuriem, un tādēļ pati par sevi nebūtu uzskatāma par pietiekamu, lai pakalpojumu varētu kvalificēt kā numuratkarīgu starppersonu sakaru pakalpojumu. Numurneatkarīgiem starppersonu sakaru pakalpojumiem pienākumi būtu jāpiemēro tikai tad, ja vispārības interesēs ir nepieciešams, lai visu veidu starppersonu sakaru pakalpojumiem neatkarīgi no tā, vai tie sava pakalpojuma sniegšanai izmanto numurus, tiktu piemēroti īpaši regulatīvi pienākumi. Ir pamats numuratkarīgus starppersonu sakaru pakalpojumus traktēt atšķirīgi, jo tie piedalās publiski nodrošinātā sadarbspējīgā ekosistēmā un no tās arī gūst labumu.</w:t>
      </w: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7.</w:t>
      </w:r>
      <w:r>
        <w:rPr>
          <w:rFonts w:ascii="Times New Roman" w:hAnsi="Times New Roman"/>
          <w:i/>
          <w:sz w:val="24"/>
        </w:rPr>
        <w:t xml:space="preserve"> </w:t>
      </w:r>
      <w:r>
        <w:rPr>
          <w:rFonts w:ascii="Times New Roman" w:hAnsi="Times New Roman"/>
          <w:sz w:val="24"/>
        </w:rPr>
        <w:t xml:space="preserve">Tādēļ </w:t>
      </w:r>
      <w:r>
        <w:rPr>
          <w:rFonts w:ascii="Times New Roman" w:hAnsi="Times New Roman"/>
          <w:i/>
          <w:iCs/>
          <w:sz w:val="24"/>
        </w:rPr>
        <w:t>BEREC</w:t>
      </w:r>
      <w:r>
        <w:rPr>
          <w:rFonts w:ascii="Times New Roman" w:hAnsi="Times New Roman"/>
          <w:sz w:val="24"/>
        </w:rPr>
        <w:t xml:space="preserve"> atzīmē, ka šī regula attiecas uz numuratkarīgiem starppersonu sakaru pakalpojumiem, kas ir fiksētie un mobilie balss sakaru pakalpojumi, kā arī SMS pakalpojumi. Turklāt </w:t>
      </w:r>
      <w:r>
        <w:rPr>
          <w:rFonts w:ascii="Times New Roman" w:hAnsi="Times New Roman"/>
          <w:i/>
          <w:iCs/>
          <w:sz w:val="24"/>
        </w:rPr>
        <w:t>BEREC</w:t>
      </w:r>
      <w:r>
        <w:rPr>
          <w:rFonts w:ascii="Times New Roman" w:hAnsi="Times New Roman"/>
          <w:sz w:val="24"/>
        </w:rPr>
        <w:t xml:space="preserve"> uzskata, ka šīs regulas darbības jomā ir arī lietojumprogrammas, kurās izmanto citas dalībvalsts numerācijas plānu fiksēto vai mobilo sakaru numurus, lai pievienotu klientus publiskajam komutējamajam telefonu tīklam un nodrošinātu klientiem starppersonu sakaru pakalpojumu. Tiek uzskatīts, ka ārpus šīs jomas ir mašīnas-mašīnas pakalpojumi un sakaru pakalpojums, kas nav numuratkarīgs sakaru pakalpojums. Šī definīcija pati par sevi ir neitrāla tehnoloģijas aspektā, kas nozīmē to, ka tā nav atkarīga no tehniskajiem līdzekļiem, ko izmanto pakalpojumu sniedzējs, lai savienotu balss telefoniju un SMS pakalpojumus starp lietotājiem un tīkliem.</w:t>
      </w: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8. Zvani un SMS ar savienojuma uzsākšanu apmeklētajā valstī no viesabonentiem</w:t>
      </w:r>
      <w:r>
        <w:rPr>
          <w:rStyle w:val="Vresatsauce"/>
          <w:rFonts w:ascii="Times New Roman" w:hAnsi="Times New Roman"/>
          <w:noProof/>
          <w:sz w:val="24"/>
        </w:rPr>
        <w:footnoteReference w:id="5"/>
      </w:r>
      <w:r>
        <w:rPr>
          <w:rFonts w:ascii="Times New Roman" w:hAnsi="Times New Roman"/>
          <w:sz w:val="24"/>
        </w:rPr>
        <w:t xml:space="preserve"> netiek uzskatīti par ES iekšzemes zvaniem vai SMS, bet par starptautiskās viesabonēšanas pakalpojumiem. Tādēļ uz tiem šī regula neattiecas, bet uz tiem attiecas Eiropas Parlamenta un Padomes 2012. gada 13. jūnija Regula (ES) Nr. 531/2012 par viesabonēšanu publiskajos mobilo sakaru tīklos Savienībā (Viesabonēšanas regula).</w:t>
      </w:r>
    </w:p>
    <w:p w:rsidR="00A05317" w:rsidRPr="004172BE" w:rsidRDefault="00A05317" w:rsidP="004172BE">
      <w:pPr>
        <w:jc w:val="both"/>
        <w:rPr>
          <w:rFonts w:ascii="Times New Roman" w:eastAsia="Arial" w:hAnsi="Times New Roman" w:cs="Arial"/>
          <w:noProof/>
          <w:sz w:val="24"/>
          <w:szCs w:val="20"/>
        </w:rPr>
      </w:pPr>
    </w:p>
    <w:p w:rsidR="00A05317" w:rsidRPr="004172BE" w:rsidRDefault="00A05317" w:rsidP="004172BE">
      <w:pPr>
        <w:pStyle w:val="Virsraksts2"/>
        <w:ind w:left="0"/>
        <w:jc w:val="both"/>
        <w:rPr>
          <w:rFonts w:ascii="Times New Roman" w:hAnsi="Times New Roman"/>
          <w:noProof/>
        </w:rPr>
      </w:pPr>
      <w:bookmarkStart w:id="18" w:name="Geographical_scope_of_the_intra-EU_commu"/>
      <w:bookmarkStart w:id="19" w:name="_bookmark8"/>
      <w:bookmarkStart w:id="20" w:name="_Toc17269996"/>
      <w:bookmarkStart w:id="21" w:name="_Toc17271246"/>
      <w:bookmarkStart w:id="22" w:name="_Toc19626748"/>
      <w:bookmarkEnd w:id="18"/>
      <w:bookmarkEnd w:id="19"/>
      <w:r>
        <w:rPr>
          <w:rFonts w:ascii="Times New Roman" w:hAnsi="Times New Roman"/>
        </w:rPr>
        <w:t>ES iekšzemes sakaru regulas ģeogrāfiskās robežas</w:t>
      </w:r>
      <w:bookmarkEnd w:id="20"/>
      <w:bookmarkEnd w:id="21"/>
      <w:bookmarkEnd w:id="22"/>
    </w:p>
    <w:p w:rsidR="004172BE" w:rsidRDefault="004172BE" w:rsidP="004172BE">
      <w:pPr>
        <w:pStyle w:val="Pamatteksts"/>
        <w:tabs>
          <w:tab w:val="left" w:pos="841"/>
        </w:tabs>
        <w:spacing w:before="0"/>
        <w:ind w:left="0"/>
        <w:jc w:val="both"/>
        <w:rPr>
          <w:rFonts w:ascii="Times New Roman" w:hAnsi="Times New Roman"/>
          <w:noProof/>
          <w:sz w:val="24"/>
        </w:rPr>
      </w:pP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9. Šī regula attiecas uz sakariem gadījumos, kad savienojums tiek uzsākts patērētāja valstī un tiek pabeigts, izmantojot citas ES dalībvalsts numerācijas plāna fiksēto vai mobilo sakaru numuru, tostarp tās tālākos reģionos</w:t>
      </w:r>
      <w:r>
        <w:rPr>
          <w:rStyle w:val="Vresatsauce"/>
          <w:rFonts w:ascii="Times New Roman" w:hAnsi="Times New Roman"/>
          <w:noProof/>
          <w:sz w:val="24"/>
        </w:rPr>
        <w:footnoteReference w:id="6"/>
      </w:r>
      <w:r>
        <w:rPr>
          <w:rFonts w:ascii="Times New Roman" w:hAnsi="Times New Roman"/>
          <w:sz w:val="24"/>
        </w:rPr>
        <w:t>, kas ir ES vienotā tirgus daļa. Eiropas Savienības vienotā tirgus teritoriālā darbības joma ir definēta Līguma par Eiropas Savienības darbību (LESD) 349. gada un 355. pantā</w:t>
      </w:r>
      <w:r>
        <w:rPr>
          <w:rStyle w:val="Vresatsauce"/>
          <w:rFonts w:ascii="Times New Roman" w:hAnsi="Times New Roman"/>
          <w:noProof/>
          <w:sz w:val="24"/>
        </w:rPr>
        <w:footnoteReference w:id="7"/>
      </w:r>
      <w:r>
        <w:rPr>
          <w:rFonts w:ascii="Times New Roman" w:hAnsi="Times New Roman"/>
          <w:sz w:val="24"/>
        </w:rPr>
        <w:t>. Šajā ziņā ļoti ieteicams ir ielūkoties ES līgumā. Attiecībā uz zvaniem un SMS ar savienojuma uzsākšanu Norvēģijā</w:t>
      </w:r>
      <w:r>
        <w:rPr>
          <w:rStyle w:val="Vresatsauce"/>
          <w:rFonts w:ascii="Times New Roman" w:hAnsi="Times New Roman"/>
          <w:noProof/>
          <w:sz w:val="24"/>
        </w:rPr>
        <w:footnoteReference w:id="8"/>
      </w:r>
      <w:r>
        <w:rPr>
          <w:rFonts w:ascii="Times New Roman" w:hAnsi="Times New Roman"/>
          <w:sz w:val="24"/>
        </w:rPr>
        <w:t>, Islandē un Lihtenšteinā, šī regula būs piemērojama, tiklīdz tā tiks ietverta EEZ līgumā.</w:t>
      </w:r>
    </w:p>
    <w:p w:rsidR="00A05317" w:rsidRPr="004172BE" w:rsidRDefault="00A05317" w:rsidP="004172BE">
      <w:pPr>
        <w:jc w:val="both"/>
        <w:rPr>
          <w:rFonts w:ascii="Times New Roman" w:eastAsia="Arial" w:hAnsi="Times New Roman" w:cs="Arial"/>
          <w:noProof/>
          <w:sz w:val="24"/>
        </w:rPr>
      </w:pPr>
    </w:p>
    <w:p w:rsidR="00A05317" w:rsidRPr="004172BE" w:rsidRDefault="00A05317" w:rsidP="004172BE">
      <w:pPr>
        <w:jc w:val="both"/>
        <w:rPr>
          <w:rFonts w:ascii="Times New Roman" w:eastAsia="Arial" w:hAnsi="Times New Roman" w:cs="Arial"/>
          <w:noProof/>
          <w:sz w:val="24"/>
        </w:rPr>
      </w:pPr>
    </w:p>
    <w:p w:rsidR="00A05317" w:rsidRPr="004172BE" w:rsidRDefault="004172BE" w:rsidP="004172BE">
      <w:pPr>
        <w:pStyle w:val="Virsraksts1"/>
        <w:tabs>
          <w:tab w:val="left" w:pos="480"/>
        </w:tabs>
        <w:spacing w:before="0"/>
        <w:ind w:left="0" w:firstLine="0"/>
        <w:jc w:val="both"/>
        <w:rPr>
          <w:rFonts w:ascii="Times New Roman" w:hAnsi="Times New Roman"/>
          <w:noProof/>
          <w:sz w:val="24"/>
        </w:rPr>
      </w:pPr>
      <w:bookmarkStart w:id="23" w:name="B._Price_caps_on_intra-EU_communications"/>
      <w:bookmarkStart w:id="24" w:name="_bookmark9"/>
      <w:bookmarkStart w:id="25" w:name="_Toc17269997"/>
      <w:bookmarkStart w:id="26" w:name="_Toc17271247"/>
      <w:bookmarkStart w:id="27" w:name="_Toc19626749"/>
      <w:bookmarkEnd w:id="23"/>
      <w:bookmarkEnd w:id="24"/>
      <w:r>
        <w:rPr>
          <w:rFonts w:ascii="Times New Roman" w:hAnsi="Times New Roman"/>
          <w:sz w:val="24"/>
        </w:rPr>
        <w:t>B. ES iekšzemes sakaru pakalpojumu cenu griesti</w:t>
      </w:r>
      <w:bookmarkEnd w:id="25"/>
      <w:bookmarkEnd w:id="26"/>
      <w:bookmarkEnd w:id="27"/>
    </w:p>
    <w:p w:rsidR="004172BE" w:rsidRDefault="004172BE" w:rsidP="004172BE">
      <w:pPr>
        <w:pStyle w:val="Pamatteksts"/>
        <w:tabs>
          <w:tab w:val="left" w:pos="840"/>
        </w:tabs>
        <w:spacing w:before="0"/>
        <w:ind w:left="0"/>
        <w:jc w:val="both"/>
        <w:rPr>
          <w:rFonts w:ascii="Times New Roman" w:hAnsi="Times New Roman"/>
          <w:noProof/>
          <w:sz w:val="24"/>
        </w:rPr>
      </w:pPr>
      <w:bookmarkStart w:id="28" w:name="_bookmark10"/>
      <w:bookmarkEnd w:id="28"/>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10. Saskaņā ar TVT regulas 5.a pantu ir ierobežota maksimālā mazumtirdzniecības cena (bez PVN), ko no 2019. gada 15. maija piemēro patērētājiem par regulētiem ES iekšzemes sakariem, nepārsniedzot 0,19 EUR par minūti zvaniem un 0,06 EUR par SMS ziņu.</w:t>
      </w:r>
    </w:p>
    <w:p w:rsidR="00A05317" w:rsidRPr="004172BE" w:rsidRDefault="004172BE" w:rsidP="004172BE">
      <w:pPr>
        <w:pStyle w:val="Pamatteksts"/>
        <w:tabs>
          <w:tab w:val="left" w:pos="841"/>
        </w:tabs>
        <w:spacing w:before="0"/>
        <w:ind w:left="0"/>
        <w:jc w:val="both"/>
        <w:rPr>
          <w:rFonts w:ascii="Times New Roman" w:hAnsi="Times New Roman"/>
          <w:noProof/>
          <w:sz w:val="24"/>
        </w:rPr>
      </w:pPr>
      <w:r>
        <w:rPr>
          <w:rFonts w:ascii="Times New Roman" w:hAnsi="Times New Roman"/>
          <w:sz w:val="24"/>
        </w:rPr>
        <w:t>11. Operatoriem ir jāpiedāvā regulēti ES iekšzemes sakaru pakalpojumi, kuriem regulēti cenu griesti ir jāpiemēro automātiski. Saskaņā ar TVT regulas 5.a panta 4. punktu patērētājiem tiek dota iespēja atteikties no tarifiem ar regulētiem cenu griestiem vai pāriet atpakaļ uz tiem; tādēļ šādi tarifi kā variants ir jāpiedāvā starptautisko sakaru pakalpojumu sniedzējiem.</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12. </w:t>
      </w:r>
      <w:r>
        <w:rPr>
          <w:rFonts w:ascii="Times New Roman" w:hAnsi="Times New Roman"/>
          <w:sz w:val="24"/>
        </w:rPr>
        <w:t>Pakalpojumu sniedzēji var piemērot maksu noteikšanas intervālus regulētiem ES iekšzemes zvaniem, kuru ilgums ir līdz 60 sekundēm, ja vien turpmākajos valsts tiesību aktos nav noteikts citādi.</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13. Ja pakalpojuma sniedzējs ES iekšzemes zvaniem piemēro maksu par savienojumu, joprojām tiek piemēroti kopējie cenu griesti 0,19 EUR minūtē. Tas nozīmē to, ka apvienotā kopējā maksa par 60 sekundes ilgu zvanu, tostarp maksa par minūti un jebkāda maksa par savienojumu, kas tiek piemērota, nedrīkst pārsniegt EUR 0,19 (bez PVN) par minūti.</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14. Izrakstot rēķinus par SMS, uzskaite jāveic par katru ziņu. Cenu griesti ir jāpiemēro SMS ar ne vairāk kā 160 rakstzīmēm vai ekvivalentu daudzumu baitos.</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15. Tehniskās iespējas nodrošināt regulētus ES iekšzemes sakarus ir jāpiedāvā, neradot patērētājam nekādas papildu (tiešās vai netiešās) izmaksas. Tādēļ pakalpojumu sniedzējiem nav atļauts iekasēt nekādas vispārējās maksas, lai nodrošinātu regulētu ES iekšzemes sakaru iespējas.</w:t>
      </w:r>
    </w:p>
    <w:p w:rsidR="00A05317" w:rsidRPr="004172BE" w:rsidRDefault="00A05317" w:rsidP="004172BE">
      <w:pPr>
        <w:jc w:val="both"/>
        <w:rPr>
          <w:rFonts w:ascii="Times New Roman" w:eastAsia="Arial" w:hAnsi="Times New Roman" w:cs="Arial"/>
          <w:noProof/>
          <w:sz w:val="24"/>
        </w:rPr>
      </w:pPr>
    </w:p>
    <w:p w:rsidR="00A05317" w:rsidRPr="004172BE" w:rsidRDefault="004172BE" w:rsidP="004172BE">
      <w:pPr>
        <w:pStyle w:val="Virsraksts1"/>
        <w:tabs>
          <w:tab w:val="left" w:pos="480"/>
        </w:tabs>
        <w:spacing w:before="0"/>
        <w:ind w:left="0" w:firstLine="0"/>
        <w:jc w:val="both"/>
        <w:rPr>
          <w:rFonts w:ascii="Times New Roman" w:hAnsi="Times New Roman"/>
          <w:noProof/>
          <w:sz w:val="24"/>
        </w:rPr>
      </w:pPr>
      <w:bookmarkStart w:id="29" w:name="C._Alternative_tariffs"/>
      <w:bookmarkStart w:id="30" w:name="_bookmark15"/>
      <w:bookmarkStart w:id="31" w:name="_Toc17269998"/>
      <w:bookmarkStart w:id="32" w:name="_Toc17271248"/>
      <w:bookmarkStart w:id="33" w:name="_Toc19626750"/>
      <w:bookmarkEnd w:id="29"/>
      <w:bookmarkEnd w:id="30"/>
      <w:r>
        <w:rPr>
          <w:rFonts w:ascii="Times New Roman" w:hAnsi="Times New Roman"/>
          <w:bCs w:val="0"/>
          <w:sz w:val="24"/>
          <w:szCs w:val="22"/>
        </w:rPr>
        <w:t>C.</w:t>
      </w:r>
      <w:r>
        <w:rPr>
          <w:rFonts w:ascii="Times New Roman" w:hAnsi="Times New Roman"/>
          <w:b w:val="0"/>
          <w:bCs w:val="0"/>
          <w:i w:val="0"/>
          <w:sz w:val="24"/>
          <w:szCs w:val="22"/>
        </w:rPr>
        <w:t xml:space="preserve"> </w:t>
      </w:r>
      <w:r>
        <w:rPr>
          <w:rFonts w:ascii="Times New Roman" w:hAnsi="Times New Roman"/>
          <w:sz w:val="24"/>
        </w:rPr>
        <w:t>Alternatīvie tarifi</w:t>
      </w:r>
      <w:bookmarkEnd w:id="31"/>
      <w:bookmarkEnd w:id="32"/>
      <w:bookmarkEnd w:id="33"/>
    </w:p>
    <w:p w:rsidR="004172BE" w:rsidRDefault="004172BE" w:rsidP="004172BE">
      <w:pPr>
        <w:pStyle w:val="Pamatteksts"/>
        <w:tabs>
          <w:tab w:val="left" w:pos="840"/>
        </w:tabs>
        <w:spacing w:before="0"/>
        <w:ind w:left="0"/>
        <w:jc w:val="both"/>
        <w:rPr>
          <w:rFonts w:ascii="Times New Roman" w:hAnsi="Times New Roman"/>
          <w:noProof/>
          <w:sz w:val="24"/>
        </w:rPr>
      </w:pP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16. Saskaņā ar TVT regulas 5.a panta 2. punktu alternatīvie tarifi ir tādi starptautisko sakaru tarifi, kādi var tikt piedāvāti papildus regulētajiem tarifiem, kas norādīti TVT regulas 5.a panta 1. punktā. </w:t>
      </w:r>
      <w:r>
        <w:rPr>
          <w:rFonts w:ascii="Times New Roman" w:hAnsi="Times New Roman"/>
          <w:i/>
          <w:iCs/>
          <w:sz w:val="24"/>
        </w:rPr>
        <w:t>BEREC</w:t>
      </w:r>
      <w:r>
        <w:rPr>
          <w:rFonts w:ascii="Times New Roman" w:hAnsi="Times New Roman"/>
          <w:sz w:val="24"/>
        </w:rPr>
        <w:t xml:space="preserve"> uzskata, ka alternatīvajiem tarifiem ir jāattiecas uz pakalpojumiem, kuriem “piemēro pilnu vai daļēju maksu, pamatojoties uz faktisko patēriņu” (sk. </w:t>
      </w:r>
      <w:hyperlink w:anchor="_bookmark3" w:history="1">
        <w:r>
          <w:rPr>
            <w:rFonts w:ascii="Times New Roman" w:hAnsi="Times New Roman"/>
            <w:sz w:val="24"/>
          </w:rPr>
          <w:t>3</w:t>
        </w:r>
      </w:hyperlink>
      <w:r>
        <w:rPr>
          <w:rFonts w:ascii="Times New Roman" w:hAnsi="Times New Roman"/>
          <w:sz w:val="24"/>
        </w:rPr>
        <w:t>. pamatnostādni, lai saņemtu vairāk informācijas par ES iekšzemes sakaru pakalpojumiem, kuriem “piemēro pilnu vai daļēju maksu, pamatojoties uz faktisko patēriņu”).</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17. Saskaņā ar TVT regulas 5.a panta 2. punktu pakalpojumu sniedzēji var piedāvāt alternatīvus tarifus, t. i., tādus, kas attiecas uz valstīm, kas neietilpst EEZ, un ietver ES iekšzemes sakarus, kad ES iekšzemes sakaru pakalpojumu cenas var pārsniegt cenu griestus, kas norādīti TVT regulas 5.a panta 1. punktā. Patērētājiem ir jābūt iespējām izvēlēties šādus tarifus. Pakalpojumu sniedzējs var tikt atbrīvots no pienākuma nepārsniegt cenu griestus ar priekšnosacījumu, ka patērētājs apzināti izvēlas šādu tarifu. Šādu alternatīvu tarifu piemērs var būt rēķins, kurā noteikta 0,25 EUR maksa par katru minūti gan par ES iekšzemes zvaniem, gan par zvaniem ar savienojuma uzsākšanu EEZ teritorijā un tā pabeigšanu ārpus EEZ.</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18. </w:t>
      </w:r>
      <w:r>
        <w:rPr>
          <w:rFonts w:ascii="Times New Roman" w:hAnsi="Times New Roman"/>
          <w:i/>
          <w:iCs/>
          <w:sz w:val="24"/>
        </w:rPr>
        <w:t>BEREC</w:t>
      </w:r>
      <w:r>
        <w:rPr>
          <w:rFonts w:ascii="Times New Roman" w:hAnsi="Times New Roman"/>
          <w:sz w:val="24"/>
        </w:rPr>
        <w:t xml:space="preserve"> uzskata, ka alternatīvos ES iekšzemes sakaru tarifus, kas ir pilnībā vai daļēji balstīti uz šādu pakalpojumu patēriņu un ietver zvanus un/vai SMS par tādu pašu cenu valstīm, kas neietilpst EEZ, var piedāvāt, neņemot vērā cenu griestus, kas norādīti TVT regulas 5.a panta 1. punktā. Citas priekšrocības, piemēram subsidētas galiekārtas vai atlaides par citiem elektronisko sakaru pakalpojumiem, kuras pakalpojumu sniedzēji piedāvā patērētājiem, ir daļa no parastas konkurences mijiedarbības, un tām nebūtu jāietekmē regulētu ES iekšzemes sakaru cenu griestu piemērojamība.</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19. Ja patērētājs sazinās ar savu operatoru nolūkā izvēlēties alternatīvu tarifu, viņam pirms šī tarifa izvēlēšanās ir jābūt informētam par tām priekšrocībām, kuras tādējādi tiktu zaudētas.</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20. </w:t>
      </w:r>
      <w:r>
        <w:rPr>
          <w:rFonts w:ascii="Times New Roman" w:hAnsi="Times New Roman"/>
          <w:sz w:val="24"/>
        </w:rPr>
        <w:t xml:space="preserve">Saskaņā ar TVT regulas 5.a panta 3. punktu patērētājiem, kuri izmanto tarifus, kas balstās uz patēriņu, starptautiskajiem sakariem, kas ietver sakarus trešās valstīs un ES iekšzemes sakarus, ir jābūt iespējai saglabāt alternatīvos tarifus. </w:t>
      </w:r>
      <w:r>
        <w:rPr>
          <w:rFonts w:ascii="Times New Roman" w:hAnsi="Times New Roman"/>
          <w:i/>
          <w:iCs/>
          <w:sz w:val="24"/>
        </w:rPr>
        <w:t>BEREC</w:t>
      </w:r>
      <w:r>
        <w:rPr>
          <w:rFonts w:ascii="Times New Roman" w:hAnsi="Times New Roman"/>
          <w:sz w:val="24"/>
        </w:rPr>
        <w:t xml:space="preserve"> uzskata: lai patērētājiem, kuri izmanto alternatīvos tarifus, dotu iespēju pieņemt pārdomātu lēmumu, ES iekšzemes sakaru pakalpojumu sniedzējiem pirms 2019. gada 15. maija vismaz ir jādara zināmi patērētājiem jaunie noteikumi (izmantojot SMS, mēneša rēķinu vai lietotnes paziņojumu), tostarp jāievēro pienākums veikt patērētāju pārēju uz regulētajiem tarifiem 2019. gada 15. jūlijā, ja vien patērētāji īpaši nelūdz saglabāt savus esošos alternatīvos tarifus (t. i., tarifus, kas ir spēkā pirms 2019. gada 15. maija). </w:t>
      </w:r>
      <w:r>
        <w:rPr>
          <w:rFonts w:ascii="Times New Roman" w:hAnsi="Times New Roman"/>
          <w:i/>
          <w:iCs/>
          <w:sz w:val="24"/>
        </w:rPr>
        <w:t>BEREC</w:t>
      </w:r>
      <w:r>
        <w:rPr>
          <w:rFonts w:ascii="Times New Roman" w:hAnsi="Times New Roman"/>
          <w:sz w:val="24"/>
        </w:rPr>
        <w:t xml:space="preserve"> iesaka pakalpojumu sniedzējiem saprātīgā termiņā nosūtīt patērētājiem atgādinājumu par alternatīvajiem tarifiem, pirms tiek veikta automātiska to pāreja uz regulētajiem tarifiem. Šādi jārīkojas, kad patērētājiem ir alternatīvi tarifi un kad vismaz vienam no ES iekšzemes sakaru pakalpojumiem vienības cena ir augstāka par cenas griestiem. </w:t>
      </w:r>
      <w:r>
        <w:rPr>
          <w:rFonts w:ascii="Times New Roman" w:hAnsi="Times New Roman"/>
          <w:i/>
          <w:iCs/>
          <w:sz w:val="24"/>
        </w:rPr>
        <w:t>BEREC</w:t>
      </w:r>
      <w:r>
        <w:rPr>
          <w:rFonts w:ascii="Times New Roman" w:hAnsi="Times New Roman"/>
          <w:sz w:val="24"/>
        </w:rPr>
        <w:t xml:space="preserve"> atzīmē, ka uz patērētājiem, kuriem ir 4. pamatnostādnē norādītie tarifi, šī regula attiecas tādā apmērā, lai viņiem obligāti būtu iespēja lūgt veikt pārēju uz regulēto tarifu.</w:t>
      </w: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21. Saskaņā ar TVT regulas 5.a panta 1. punktu pāreja no regulētā starptautisko sakaru tarifa vai uz to ir jāveic bez maksas vienas darbdienas laikā, un šāda pāreja nav saistīta ar nosacījumiem vai ierobežojumiem attiecībā uz citiem abonēšanas elementiem. Pārejai uz regulēto tarifu nebūtu jāietekmē citi abonēšanas elementi, piemēram, iekšzemes tarifs, bet šīs pārejas rezultātā var mainīties to starptautisko sakaru pakalpojumu cenas, kuri ietverti alternatīvajā tarifā vai tarifos, kas aprakstīti 4. pamatnostādnē. </w:t>
      </w:r>
      <w:r>
        <w:rPr>
          <w:rFonts w:ascii="Times New Roman" w:hAnsi="Times New Roman"/>
          <w:i/>
          <w:iCs/>
          <w:sz w:val="24"/>
        </w:rPr>
        <w:t>BEREC</w:t>
      </w:r>
      <w:r>
        <w:rPr>
          <w:rFonts w:ascii="Times New Roman" w:hAnsi="Times New Roman"/>
          <w:sz w:val="24"/>
        </w:rPr>
        <w:t xml:space="preserve"> sagaida, ka pāreja starp alternatīvo un regulēto tarifu notiks samērīgā veidā.</w:t>
      </w:r>
    </w:p>
    <w:p w:rsidR="00A05317" w:rsidRPr="004172BE" w:rsidRDefault="004172BE" w:rsidP="004172BE">
      <w:pPr>
        <w:pStyle w:val="Pamatteksts"/>
        <w:tabs>
          <w:tab w:val="left" w:pos="839"/>
        </w:tabs>
        <w:spacing w:before="0"/>
        <w:ind w:left="0"/>
        <w:jc w:val="both"/>
        <w:rPr>
          <w:rFonts w:ascii="Times New Roman" w:hAnsi="Times New Roman"/>
          <w:noProof/>
          <w:sz w:val="24"/>
        </w:rPr>
      </w:pPr>
      <w:r>
        <w:rPr>
          <w:rFonts w:ascii="Times New Roman" w:hAnsi="Times New Roman"/>
          <w:sz w:val="24"/>
        </w:rPr>
        <w:t>22. Ja operatori savos ES iekšzemes sakaru tarifos veic tādas izmaiņas, kas nav nepieciešamas TVT regulas noteikumu izpildei, patērētājiem ir tiesības atteikties no līguma saskaņā ar valsts tiesību aktiem.</w:t>
      </w:r>
    </w:p>
    <w:p w:rsidR="00A05317" w:rsidRPr="004172BE" w:rsidRDefault="00A05317" w:rsidP="004172BE">
      <w:pPr>
        <w:jc w:val="both"/>
        <w:rPr>
          <w:rFonts w:ascii="Times New Roman" w:eastAsia="Arial" w:hAnsi="Times New Roman" w:cs="Arial"/>
          <w:noProof/>
          <w:sz w:val="24"/>
        </w:rPr>
      </w:pPr>
    </w:p>
    <w:p w:rsidR="00A05317" w:rsidRPr="004172BE" w:rsidRDefault="004172BE" w:rsidP="004172BE">
      <w:pPr>
        <w:pStyle w:val="Virsraksts1"/>
        <w:tabs>
          <w:tab w:val="left" w:pos="480"/>
        </w:tabs>
        <w:spacing w:before="0"/>
        <w:ind w:left="0" w:firstLine="0"/>
        <w:jc w:val="both"/>
        <w:rPr>
          <w:rFonts w:ascii="Times New Roman" w:hAnsi="Times New Roman"/>
          <w:noProof/>
          <w:sz w:val="24"/>
        </w:rPr>
      </w:pPr>
      <w:bookmarkStart w:id="34" w:name="D._Charges_in_currencies_other_than_the_"/>
      <w:bookmarkStart w:id="35" w:name="_bookmark16"/>
      <w:bookmarkStart w:id="36" w:name="_Toc17269999"/>
      <w:bookmarkStart w:id="37" w:name="_Toc17271249"/>
      <w:bookmarkStart w:id="38" w:name="_Toc19626751"/>
      <w:bookmarkEnd w:id="34"/>
      <w:bookmarkEnd w:id="35"/>
      <w:r>
        <w:rPr>
          <w:rFonts w:ascii="Times New Roman" w:hAnsi="Times New Roman"/>
          <w:sz w:val="24"/>
        </w:rPr>
        <w:t>D. Maksas citās valūtās, kas nav eiro valūta</w:t>
      </w:r>
      <w:bookmarkEnd w:id="36"/>
      <w:bookmarkEnd w:id="37"/>
      <w:bookmarkEnd w:id="38"/>
    </w:p>
    <w:p w:rsidR="004172BE" w:rsidRDefault="004172BE" w:rsidP="004172BE">
      <w:pPr>
        <w:pStyle w:val="Pamatteksts"/>
        <w:tabs>
          <w:tab w:val="left" w:pos="840"/>
        </w:tabs>
        <w:spacing w:before="0"/>
        <w:ind w:left="0"/>
        <w:jc w:val="both"/>
        <w:rPr>
          <w:rFonts w:ascii="Times New Roman" w:hAnsi="Times New Roman"/>
          <w:noProof/>
          <w:sz w:val="24"/>
        </w:rPr>
      </w:pPr>
    </w:p>
    <w:p w:rsidR="00A05317" w:rsidRPr="004172BE" w:rsidRDefault="004172BE" w:rsidP="004172BE">
      <w:pPr>
        <w:pStyle w:val="Pamatteksts"/>
        <w:tabs>
          <w:tab w:val="left" w:pos="840"/>
        </w:tabs>
        <w:spacing w:before="0"/>
        <w:ind w:left="0"/>
        <w:jc w:val="both"/>
        <w:rPr>
          <w:rFonts w:ascii="Times New Roman" w:hAnsi="Times New Roman"/>
          <w:noProof/>
          <w:sz w:val="24"/>
        </w:rPr>
      </w:pPr>
      <w:r>
        <w:rPr>
          <w:rFonts w:ascii="Times New Roman" w:hAnsi="Times New Roman"/>
          <w:sz w:val="24"/>
        </w:rPr>
        <w:t>23. TVT regulas 5.a panta 1. punktā norādītās maksimālās vērtības ir izteiktas eiro. Pārrēķinot šīs maksimālās vērtības citās valūtās, kas nav eiro valūta, operatoriem jāizmanto metode, kas noteikta TVT regulas 5.a panta 5. punktā. Kopumā cenu griestus piemēro no katra gada 15. maija, un likme eiro tiek konvertēta valsts valūtā, izmantojot vidējo atsauces maiņas kursu, ko Eiropas Centrālā banka publicē OV 15. janvārī, 15. februārī un 15. martā. Piemēram, par periodu no 2019. gada 15. maija līdz 2020. gada 14. maijam ir jāizmanto vidējie valūtas maiņas kursi, kas publicēti 2019. gada 15. janvārī, 15. februārī un 15. martā.</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24. </w:t>
      </w:r>
      <w:r>
        <w:rPr>
          <w:rFonts w:ascii="Times New Roman" w:hAnsi="Times New Roman"/>
          <w:sz w:val="24"/>
        </w:rPr>
        <w:t>Maksimālos cenu griestus, kas norādīti TVT regulas 5.a panta 1. punktā, var aprēķināt līdz oficiālajā valūtas maiņas kursā pieļautajam maksimālajam skaitam ciparu aiz komata. Tas nosaka maksimālo maksu, ko var prasīt valsts valūtā. Praksē pakalpojumu sniedzēji var vēlēties noteikt maksu valūtas vienību veselos skaitļos, kaut gan tas nav obligāti. Šādā situācijā skaitļi ir jānoapaļo uz leju. Šo skaitļu noapaļošana uz augšu līdz attiecīgā ierobežojuma augšējam līmenim nekādā gadījumā nav pieļaujama. Cenas, ieskaitot PVN, var aprēķināt ar decimāldaļu maksimālo skaitu aiz komata pirms kopējās maksas (ieskaitot PVN) noapaļošanas uz leju.</w:t>
      </w:r>
    </w:p>
    <w:p w:rsidR="00A05317" w:rsidRPr="004172BE" w:rsidRDefault="00A05317" w:rsidP="004172BE">
      <w:pPr>
        <w:jc w:val="both"/>
        <w:rPr>
          <w:rFonts w:ascii="Times New Roman" w:eastAsia="Arial" w:hAnsi="Times New Roman" w:cs="Arial"/>
          <w:noProof/>
          <w:sz w:val="24"/>
          <w:szCs w:val="19"/>
        </w:rPr>
      </w:pPr>
    </w:p>
    <w:p w:rsidR="00A05317" w:rsidRPr="004172BE" w:rsidRDefault="00D313FD" w:rsidP="00D313FD">
      <w:pPr>
        <w:pStyle w:val="Virsraksts1"/>
        <w:tabs>
          <w:tab w:val="left" w:pos="480"/>
        </w:tabs>
        <w:spacing w:before="0"/>
        <w:ind w:left="0" w:firstLine="0"/>
        <w:jc w:val="both"/>
        <w:rPr>
          <w:rFonts w:ascii="Times New Roman" w:hAnsi="Times New Roman"/>
          <w:noProof/>
          <w:sz w:val="24"/>
        </w:rPr>
      </w:pPr>
      <w:bookmarkStart w:id="39" w:name="E._Value-added_services/Calls_to_toll-fr"/>
      <w:bookmarkStart w:id="40" w:name="_bookmark17"/>
      <w:bookmarkStart w:id="41" w:name="_Toc17270000"/>
      <w:bookmarkStart w:id="42" w:name="_Toc17271250"/>
      <w:bookmarkStart w:id="43" w:name="_Toc19626752"/>
      <w:bookmarkEnd w:id="39"/>
      <w:bookmarkEnd w:id="40"/>
      <w:r>
        <w:rPr>
          <w:rFonts w:ascii="Times New Roman" w:hAnsi="Times New Roman"/>
          <w:sz w:val="24"/>
        </w:rPr>
        <w:t>E. Pievienotās vērtības pakalpojumi / zvani uz bezmaksas numuriem / ļaunprātīga izmantošana un krāpšana</w:t>
      </w:r>
      <w:bookmarkEnd w:id="41"/>
      <w:bookmarkEnd w:id="42"/>
      <w:bookmarkEnd w:id="43"/>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25. </w:t>
      </w:r>
      <w:r>
        <w:rPr>
          <w:rFonts w:ascii="Times New Roman" w:hAnsi="Times New Roman"/>
          <w:i/>
          <w:iCs/>
          <w:sz w:val="24"/>
        </w:rPr>
        <w:t>BEREC</w:t>
      </w:r>
      <w:r>
        <w:rPr>
          <w:rFonts w:ascii="Times New Roman" w:hAnsi="Times New Roman"/>
          <w:sz w:val="24"/>
        </w:rPr>
        <w:t xml:space="preserve"> uzskata, ka pievienotās vērtības pakalpojums ir paaugstinātas maksas pakalpojums (</w:t>
      </w:r>
      <w:r>
        <w:rPr>
          <w:rFonts w:ascii="Times New Roman" w:hAnsi="Times New Roman"/>
          <w:i/>
          <w:iCs/>
          <w:sz w:val="24"/>
        </w:rPr>
        <w:t>PRS</w:t>
      </w:r>
      <w:r>
        <w:rPr>
          <w:rFonts w:ascii="Times New Roman" w:hAnsi="Times New Roman"/>
          <w:sz w:val="24"/>
        </w:rPr>
        <w:t>), kuram maksa par balss zvanu vai SMS ir ietverta komplektā ar konkrēta iegādājamā pakalpojuma cenu.</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26. </w:t>
      </w:r>
      <w:r>
        <w:rPr>
          <w:rFonts w:ascii="Times New Roman" w:hAnsi="Times New Roman"/>
          <w:i/>
          <w:iCs/>
          <w:sz w:val="24"/>
        </w:rPr>
        <w:t>BEREC</w:t>
      </w:r>
      <w:r>
        <w:rPr>
          <w:rFonts w:ascii="Times New Roman" w:hAnsi="Times New Roman"/>
          <w:sz w:val="24"/>
        </w:rPr>
        <w:t xml:space="preserve"> uzskata, ka maksimālās vērtības, kas norādītas </w:t>
      </w:r>
      <w:hyperlink w:anchor="_bookmark10" w:history="1">
        <w:r>
          <w:rPr>
            <w:rFonts w:ascii="Times New Roman" w:hAnsi="Times New Roman"/>
            <w:sz w:val="24"/>
          </w:rPr>
          <w:t>10</w:t>
        </w:r>
      </w:hyperlink>
      <w:r>
        <w:rPr>
          <w:rFonts w:ascii="Times New Roman" w:hAnsi="Times New Roman"/>
          <w:sz w:val="24"/>
        </w:rPr>
        <w:t xml:space="preserve">. pamatnostādnē, neattiecas uz visu tarifu, kas tiek piemērots par </w:t>
      </w:r>
      <w:r>
        <w:rPr>
          <w:rFonts w:ascii="Times New Roman" w:hAnsi="Times New Roman"/>
          <w:i/>
          <w:iCs/>
          <w:sz w:val="24"/>
        </w:rPr>
        <w:t>PRS</w:t>
      </w:r>
      <w:r>
        <w:rPr>
          <w:rFonts w:ascii="Times New Roman" w:hAnsi="Times New Roman"/>
          <w:sz w:val="24"/>
        </w:rPr>
        <w:t xml:space="preserve"> sniegšanu, bet attiecas vienīgi uz tarifa komponentu, kas atbilst pieslēgumam šādiem pakalpojumiem. Ja operatori piedāvā piekļuvi citu EEZ dalībvalstu </w:t>
      </w:r>
      <w:r>
        <w:rPr>
          <w:rFonts w:ascii="Times New Roman" w:hAnsi="Times New Roman"/>
          <w:i/>
          <w:iCs/>
          <w:sz w:val="24"/>
        </w:rPr>
        <w:t>PRS</w:t>
      </w:r>
      <w:r>
        <w:rPr>
          <w:rFonts w:ascii="Times New Roman" w:hAnsi="Times New Roman"/>
          <w:sz w:val="24"/>
        </w:rPr>
        <w:t xml:space="preserve"> numuriem, tiem ir jānodrošina, lai patērētāji būtu informēti par to, kā </w:t>
      </w:r>
      <w:r>
        <w:rPr>
          <w:rFonts w:ascii="Times New Roman" w:hAnsi="Times New Roman"/>
          <w:i/>
          <w:iCs/>
          <w:sz w:val="24"/>
        </w:rPr>
        <w:t>PRS</w:t>
      </w:r>
      <w:r>
        <w:rPr>
          <w:rFonts w:ascii="Times New Roman" w:hAnsi="Times New Roman"/>
          <w:sz w:val="24"/>
        </w:rPr>
        <w:t xml:space="preserve"> izlietojumam tiek piemēroti tarifi un maksas un kā tas tiek kontrolēts.</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27. Kad patērētāji veic zvanus uz citu EEZ valstu bezmaksas numuriem, jāpiemēro cenu griesti, kas norādīti </w:t>
      </w:r>
      <w:hyperlink w:anchor="_bookmark10" w:history="1">
        <w:r>
          <w:rPr>
            <w:rFonts w:ascii="Times New Roman" w:hAnsi="Times New Roman"/>
            <w:sz w:val="24"/>
          </w:rPr>
          <w:t>10</w:t>
        </w:r>
      </w:hyperlink>
      <w:r>
        <w:rPr>
          <w:rFonts w:ascii="Times New Roman" w:hAnsi="Times New Roman"/>
          <w:sz w:val="24"/>
        </w:rPr>
        <w:t>. pamatnostādnē. Turpretī zvani uz Vispārējajiem starptautiskajiem bezmaksas numuriem (</w:t>
      </w:r>
      <w:r>
        <w:rPr>
          <w:rFonts w:ascii="Times New Roman" w:hAnsi="Times New Roman"/>
          <w:i/>
          <w:iCs/>
          <w:sz w:val="24"/>
        </w:rPr>
        <w:t>UIFN</w:t>
      </w:r>
      <w:r>
        <w:rPr>
          <w:rFonts w:ascii="Times New Roman" w:hAnsi="Times New Roman"/>
          <w:sz w:val="24"/>
        </w:rPr>
        <w:t>)</w:t>
      </w:r>
      <w:r>
        <w:rPr>
          <w:rStyle w:val="Vresatsauce"/>
          <w:rFonts w:ascii="Times New Roman" w:hAnsi="Times New Roman"/>
          <w:noProof/>
          <w:sz w:val="24"/>
        </w:rPr>
        <w:footnoteReference w:id="9"/>
      </w:r>
      <w:r>
        <w:rPr>
          <w:rFonts w:ascii="Times New Roman" w:hAnsi="Times New Roman"/>
          <w:sz w:val="24"/>
        </w:rPr>
        <w:t>, ja tie ir pieejami, jānodrošina patērētājiem bez jebkādas maksas.</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28. Ja ir attiecīgs pamatojums ar zvaniem vai SMS saistītas krāpšanas vai ļaunprātīgas izmantošanas iemeslu dēļ, elektronisko sakaru pakalpojumu sniedzēji var atkarībā no konkrētā gadījuma veikt pasākumus, tādus kā zvanu un SMS piedāvājuma pārtraukšanu šādiem dalībniekiem saskaņā ar to starpsavienojuma nolīgumiem un valsts noteikumiem. </w:t>
      </w:r>
      <w:r>
        <w:rPr>
          <w:rFonts w:ascii="Times New Roman" w:hAnsi="Times New Roman"/>
          <w:i/>
          <w:iCs/>
          <w:sz w:val="24"/>
        </w:rPr>
        <w:t>BEREC</w:t>
      </w:r>
      <w:r>
        <w:rPr>
          <w:rFonts w:ascii="Times New Roman" w:hAnsi="Times New Roman"/>
          <w:sz w:val="24"/>
        </w:rPr>
        <w:t xml:space="preserve"> uzskata, ka elektronisko sakaru pakalpojumu sniedzējiem ir jāinformē par šādiem gadījumiem sava atbildīgā valsts regulatīvā iestāde, un, ja tas ir atbilstoši, valsts regulatīvā iestāde var veikt vispārpieņemtu procedūru, kas izklāstīta </w:t>
      </w:r>
      <w:r>
        <w:rPr>
          <w:rFonts w:ascii="Times New Roman" w:hAnsi="Times New Roman"/>
          <w:i/>
          <w:iCs/>
          <w:sz w:val="24"/>
        </w:rPr>
        <w:t>BEREC</w:t>
      </w:r>
      <w:r>
        <w:rPr>
          <w:rFonts w:ascii="Times New Roman" w:hAnsi="Times New Roman"/>
          <w:sz w:val="24"/>
        </w:rPr>
        <w:t xml:space="preserve"> norādījumu dokumentā par Universālās pakalpojuma direktīvas</w:t>
      </w:r>
      <w:r>
        <w:rPr>
          <w:rStyle w:val="Vresatsauce"/>
          <w:rFonts w:ascii="Times New Roman" w:hAnsi="Times New Roman"/>
          <w:noProof/>
          <w:sz w:val="24"/>
        </w:rPr>
        <w:footnoteReference w:id="10"/>
      </w:r>
      <w:r>
        <w:rPr>
          <w:rFonts w:ascii="Times New Roman" w:hAnsi="Times New Roman"/>
          <w:sz w:val="24"/>
        </w:rPr>
        <w:t xml:space="preserve"> 28. panta 2. punktu par krāpšanas vai ļaunprātīgas izmantošanas pārrobežu gadījumiem.</w:t>
      </w:r>
    </w:p>
    <w:p w:rsidR="00A05317" w:rsidRPr="004172BE" w:rsidRDefault="00A05317" w:rsidP="004172BE">
      <w:pPr>
        <w:jc w:val="both"/>
        <w:rPr>
          <w:rFonts w:ascii="Times New Roman" w:eastAsia="Arial" w:hAnsi="Times New Roman" w:cs="Arial"/>
          <w:noProof/>
          <w:sz w:val="24"/>
          <w:szCs w:val="20"/>
        </w:rPr>
      </w:pPr>
    </w:p>
    <w:p w:rsidR="00A05317" w:rsidRPr="004172BE" w:rsidRDefault="00D313FD" w:rsidP="00D313FD">
      <w:pPr>
        <w:pStyle w:val="Virsraksts1"/>
        <w:tabs>
          <w:tab w:val="left" w:pos="480"/>
        </w:tabs>
        <w:spacing w:before="0"/>
        <w:ind w:left="0" w:firstLine="0"/>
        <w:jc w:val="both"/>
        <w:rPr>
          <w:rFonts w:ascii="Times New Roman" w:hAnsi="Times New Roman"/>
          <w:noProof/>
          <w:sz w:val="24"/>
        </w:rPr>
      </w:pPr>
      <w:bookmarkStart w:id="44" w:name="F._Sustainability"/>
      <w:bookmarkStart w:id="45" w:name="_bookmark20"/>
      <w:bookmarkStart w:id="46" w:name="_Toc17270001"/>
      <w:bookmarkStart w:id="47" w:name="_Toc17271251"/>
      <w:bookmarkStart w:id="48" w:name="_Toc19626753"/>
      <w:bookmarkEnd w:id="44"/>
      <w:bookmarkEnd w:id="45"/>
      <w:r>
        <w:rPr>
          <w:rFonts w:ascii="Times New Roman" w:hAnsi="Times New Roman"/>
          <w:sz w:val="24"/>
        </w:rPr>
        <w:t>F. Ilgtspējība</w:t>
      </w:r>
      <w:bookmarkEnd w:id="46"/>
      <w:bookmarkEnd w:id="47"/>
      <w:bookmarkEnd w:id="48"/>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29. Saskaņā ar ES iekšzemes sakaru regulu valsts regulatīvā iestāde var noteiktos apstākļos piešķirt ES iekšzemes sakaru pakalpojumu cenu regulējuma atkāpi. Proti, atkāpi piešķir pakalpojumu sniedzējam, kas pierāda, ka tādu īpašu un ārkārtēju apstākļu dēļ, kas ir iemesls tā atšķirībai no lielākās daļas citu Savienības pakalpojumu sniedzēju, cenu griestu piemērošana būtiski ietekmētu tā spēju saglabāt esošās iekšzemes sakaru pakalpojumu cenas.</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30. Saskaņā ar regulas apsvērumiem ievainojamāki varētu būt pakalpojumu sniedzēji, kuri sevišķi lielu daļu no saviem ieņēmumiem vai darbības peļņas iegūst no ES iekšzemes sakariem vai kuru iekšzemes peļņas daļa ir zema salīdzinājumā ar nozares robežvērtībām. Ņemot vērā līmeni, kādā tiek regulētas cenas, regula nosaka, ka ir ļoti maza iespējamība, ka operators nespēs uzturēt savu iekšzemes pakalpojumu cenu modeli. Tomēr regula atļauj piešķirt atkāpi pakalpojumu sniedzējam, kas, izmantojot attiecīgu </w:t>
      </w:r>
      <w:r>
        <w:rPr>
          <w:rFonts w:ascii="Times New Roman" w:hAnsi="Times New Roman"/>
          <w:i/>
          <w:iCs/>
          <w:sz w:val="24"/>
        </w:rPr>
        <w:t>BEREC</w:t>
      </w:r>
      <w:r>
        <w:rPr>
          <w:rFonts w:ascii="Times New Roman" w:hAnsi="Times New Roman"/>
          <w:sz w:val="24"/>
        </w:rPr>
        <w:t xml:space="preserve"> noteiktu robežvērtību, pierāda, ka ietekme uz to ir ievērojami lielāka nekā uz lielāko daļu citu pakalpojumu sniedzēju Savienībā un ka regulas ietekme būtiski pavājinātu minētā pakalpojumu sniedzēja spēju uzturēt savu iekšzemes sakaru tarifikācijas modeli.</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31. </w:t>
      </w:r>
      <w:r>
        <w:rPr>
          <w:rFonts w:ascii="Times New Roman" w:hAnsi="Times New Roman"/>
          <w:i/>
          <w:iCs/>
          <w:sz w:val="24"/>
        </w:rPr>
        <w:t>BEREC</w:t>
      </w:r>
      <w:r>
        <w:rPr>
          <w:rFonts w:ascii="Times New Roman" w:hAnsi="Times New Roman"/>
          <w:sz w:val="24"/>
        </w:rPr>
        <w:t xml:space="preserve"> uzskata, ka atkāpes novērtēšana būtu jāveic divos soļos. Vispirms valsts regulatīvajai iestādei būtu jāveic salīdzinošā analīze, un, kā otrais solis, tai būtu jānovērtē ietekme uz iekšzemes pakalpojumu cenu modeli. Šiem soļiem ir jābūt secīgiem un kumulatīviem.</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32. Secīgi tie ir tādā nozīmē, ka vispirms valsts regulatīvajai iestādei, veicot robežvērtību analīzi, būtu jāpārbauda tas, vai ietekme uz attiecīgo operatoru ir ievērojami lielāka nekā uz lielāko daļu citu pakalpojumu sniedzēju Savienībā, un, ja tas tā ir, valsts regulatīvajai iestādei pēc tam ir jānovērtē pieprasījuma iesniedzēja iekšzemes pakalpojumu cenu modeļa ilgtspējība. Ja pieprasījuma iesniedzējs nav pierādījis, ka ietekme uz to ir ievērojami lielāka nekā uz lielāko daļu citu pakalpojumu sniedzēju Savienībā, valsts regulatīvajai iestādei vairs nav jāpārbauda ietekme uz iekšzemes pakalpojumu cenu modeli elektronisko sakaru pakalpojumiem, un tā var pieprasījumu noraidīt.</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33. Kumulatīvi tie ir tādā nozīmē, ka ir jāizpilda abi kritēriji. Piemēram, ja pieprasījuma iesniedzējs pierāda, ka ietekme uz to ir ievērojami lielāka nekā uz lielāko daļu citu pakalpojumu sniedzēju Savienībā, bet nav pierādījis, ka šī regula ietekmēs tā tarifikācijas modeļa ilgtspējību attiecībā uz iekšzemes sakariem, tam atkāpi nepiešķir.</w:t>
      </w:r>
    </w:p>
    <w:p w:rsidR="00A05317" w:rsidRPr="004172BE" w:rsidRDefault="00A05317" w:rsidP="004172BE">
      <w:pPr>
        <w:jc w:val="both"/>
        <w:rPr>
          <w:rFonts w:ascii="Times New Roman" w:eastAsia="Arial" w:hAnsi="Times New Roman" w:cs="Arial"/>
          <w:noProof/>
          <w:sz w:val="24"/>
          <w:szCs w:val="21"/>
        </w:rPr>
      </w:pPr>
    </w:p>
    <w:p w:rsidR="00A05317" w:rsidRPr="004172BE" w:rsidRDefault="00A05317" w:rsidP="004172BE">
      <w:pPr>
        <w:pStyle w:val="Virsraksts2"/>
        <w:ind w:left="0"/>
        <w:jc w:val="both"/>
        <w:rPr>
          <w:rFonts w:ascii="Times New Roman" w:hAnsi="Times New Roman"/>
          <w:noProof/>
        </w:rPr>
      </w:pPr>
      <w:bookmarkStart w:id="49" w:name="BEREC_benchmark_for_intra-EU_communicati"/>
      <w:bookmarkStart w:id="50" w:name="_bookmark21"/>
      <w:bookmarkStart w:id="51" w:name="_Toc17270002"/>
      <w:bookmarkStart w:id="52" w:name="_Toc17271252"/>
      <w:bookmarkStart w:id="53" w:name="_Toc19626754"/>
      <w:bookmarkEnd w:id="49"/>
      <w:bookmarkEnd w:id="50"/>
      <w:r>
        <w:rPr>
          <w:rFonts w:ascii="Times New Roman" w:hAnsi="Times New Roman"/>
        </w:rPr>
        <w:t>BEREC robežvērtība ES iekšzemes sakariem</w:t>
      </w:r>
      <w:bookmarkEnd w:id="51"/>
      <w:bookmarkEnd w:id="52"/>
      <w:bookmarkEnd w:id="53"/>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34. Saskaņā ar tiesību normām </w:t>
      </w:r>
      <w:r>
        <w:rPr>
          <w:rFonts w:ascii="Times New Roman" w:hAnsi="Times New Roman"/>
          <w:i/>
          <w:iCs/>
          <w:sz w:val="24"/>
        </w:rPr>
        <w:t>BEREC</w:t>
      </w:r>
      <w:r>
        <w:rPr>
          <w:rFonts w:ascii="Times New Roman" w:hAnsi="Times New Roman"/>
          <w:sz w:val="24"/>
        </w:rPr>
        <w:t xml:space="preserve"> ir noteikusi robežvērtību, kas ir jāizmanto valsts regulatīvajai iestādei, lai noteiktu, vai ietekme uz operatoru, kas lūdz piešķirt atkāpi, ir ievērojami lielāka nekā uz lielāko daļu citu pakalpojumu sniedzēju Savienībā.</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35. Saskaņā ar regulas apsvērumiem ietekme uz operatoru var būt lielāka, ja sevišķi lielu daļu no saviem ieņēmumiem vai darbības peļņas tas iegūst no ES iekšzemes sakariem vai ja tā iekšzemes peļņas daļa ir zema salīdzinājumā ar nozares robežvērtībām. </w:t>
      </w:r>
      <w:r>
        <w:rPr>
          <w:rFonts w:ascii="Times New Roman" w:hAnsi="Times New Roman"/>
          <w:i/>
          <w:iCs/>
          <w:sz w:val="24"/>
        </w:rPr>
        <w:t>BEREC</w:t>
      </w:r>
      <w:r>
        <w:rPr>
          <w:rFonts w:ascii="Times New Roman" w:hAnsi="Times New Roman"/>
          <w:sz w:val="24"/>
        </w:rPr>
        <w:t xml:space="preserve"> atzīmē, ka ir jānosaka atsevišķa robežvērtība katram ES iekšzemes sakaru pakalpojumam (t. i., robežvērtība fiksētajiem zvaniem, robežvērtība mobilajiem zvaniem un robežvērtība SMS), jo parasti pastāv lietošanas veidu un katra pakalpojuma izplatīšanas atšķirības.</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36. </w:t>
      </w:r>
      <w:r>
        <w:rPr>
          <w:rFonts w:ascii="Times New Roman" w:hAnsi="Times New Roman"/>
          <w:i/>
          <w:iCs/>
          <w:sz w:val="24"/>
        </w:rPr>
        <w:t>BEREC</w:t>
      </w:r>
      <w:r>
        <w:rPr>
          <w:rFonts w:ascii="Times New Roman" w:hAnsi="Times New Roman"/>
          <w:sz w:val="24"/>
        </w:rPr>
        <w:t xml:space="preserve"> atzīmē, ka ieņēmumu vai darbības peļņas vai arī iekšzemes peļņas daļas izmantošana robežvērtības noteikšanai rada dažus sarežģījumus, jo saistībā ar parasto praksi pakalpojumus ietvert komplektā, ieņēmumu, darbības peļņas un iekšzemes peļņas daļas aprēķināšana vienam pakalpojumam balstās uz vairākiem operatoru izdarītiem pieņēmumiem. Šie pieņēmumi dažādiem operatoriem var būt atšķirīgi, un tas var ietekmēt robežvērtības noteikšanu. Lai aprēķinātu pakalpojumu apjomu, pieņēmumi nav nepieciešami, un tādēļ </w:t>
      </w:r>
      <w:r>
        <w:rPr>
          <w:rFonts w:ascii="Times New Roman" w:hAnsi="Times New Roman"/>
          <w:i/>
          <w:iCs/>
          <w:sz w:val="24"/>
        </w:rPr>
        <w:t>BEREC</w:t>
      </w:r>
      <w:r>
        <w:rPr>
          <w:rFonts w:ascii="Times New Roman" w:hAnsi="Times New Roman"/>
          <w:sz w:val="24"/>
        </w:rPr>
        <w:t xml:space="preserve"> uzskata, ka piemērotāk ir noteikt robežvērtību, kas iegūta, pamatojoties uz regulēto ES iekšzemes sakaru pakalpojumu daļu (sk. </w:t>
      </w:r>
      <w:hyperlink w:anchor="_bookmark3" w:history="1">
        <w:r>
          <w:rPr>
            <w:rFonts w:ascii="Times New Roman" w:hAnsi="Times New Roman"/>
            <w:sz w:val="24"/>
          </w:rPr>
          <w:t>3</w:t>
        </w:r>
      </w:hyperlink>
      <w:r>
        <w:rPr>
          <w:rFonts w:ascii="Times New Roman" w:hAnsi="Times New Roman"/>
          <w:sz w:val="24"/>
        </w:rPr>
        <w:t>. pamatnostādni). Tā kā ieņēmumus no konkrētā pakalpojuma ietekmē šī pakalpojuma apjoms, šī pieeja tiek uzskatīta par piemērotu un atbilstošu regulai.</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37. Ņemot vērā iepriekš minēto, </w:t>
      </w:r>
      <w:r>
        <w:rPr>
          <w:rFonts w:ascii="Times New Roman" w:hAnsi="Times New Roman"/>
          <w:i/>
          <w:iCs/>
          <w:sz w:val="24"/>
        </w:rPr>
        <w:t>BEREC</w:t>
      </w:r>
      <w:r>
        <w:rPr>
          <w:rFonts w:ascii="Times New Roman" w:hAnsi="Times New Roman"/>
          <w:sz w:val="24"/>
        </w:rPr>
        <w:t xml:space="preserve"> ir noteikusi šādas trīs robežvērtības:</w:t>
      </w:r>
    </w:p>
    <w:p w:rsidR="00D313FD" w:rsidRDefault="00D313FD" w:rsidP="00D313FD">
      <w:pPr>
        <w:pStyle w:val="Pamatteksts"/>
        <w:tabs>
          <w:tab w:val="left" w:pos="1253"/>
        </w:tabs>
        <w:spacing w:before="0"/>
        <w:ind w:left="0"/>
        <w:jc w:val="both"/>
        <w:rPr>
          <w:rFonts w:ascii="Times New Roman" w:hAnsi="Times New Roman"/>
          <w:noProof/>
          <w:sz w:val="24"/>
        </w:rPr>
      </w:pP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a) robežvērtību regulēto ES iekšzemes fiksēto zvanu minūšu daļai kā procentuālo daļu no kopējām fiksēto zvanu minūtēm, ko nodrošina operators;</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b) robežvērtību regulēto ES iekšzemes mobilo zvanu minūšu daļai kā procentuālo daļu no kopējām mobilo zvanu minūtēm, ko nodrošina operators;</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c) robežvērtību regulēto ES iekšzemes SMS daļai kā procentuālo daļu no kopējā SMS skaita, ko nodrošina operators.</w:t>
      </w:r>
    </w:p>
    <w:p w:rsidR="00D313FD" w:rsidRDefault="00D313FD" w:rsidP="004172BE">
      <w:pPr>
        <w:pStyle w:val="Pamatteksts"/>
        <w:spacing w:before="0"/>
        <w:ind w:left="0"/>
        <w:jc w:val="both"/>
        <w:rPr>
          <w:rFonts w:ascii="Times New Roman" w:hAnsi="Times New Roman"/>
          <w:noProof/>
          <w:sz w:val="24"/>
        </w:rPr>
      </w:pPr>
    </w:p>
    <w:p w:rsidR="00A05317" w:rsidRDefault="00A05317" w:rsidP="004172BE">
      <w:pPr>
        <w:pStyle w:val="Pamatteksts"/>
        <w:spacing w:before="0"/>
        <w:ind w:left="0"/>
        <w:jc w:val="both"/>
        <w:rPr>
          <w:rFonts w:ascii="Times New Roman" w:hAnsi="Times New Roman"/>
          <w:noProof/>
          <w:sz w:val="24"/>
        </w:rPr>
      </w:pPr>
      <w:r>
        <w:rPr>
          <w:rFonts w:ascii="Times New Roman" w:hAnsi="Times New Roman"/>
          <w:sz w:val="24"/>
        </w:rPr>
        <w:t>Kopējais fiksēto zvanu minūšu skaits attiecas uz visiem zvaniem ar savienojuma uzsākšanu no pieprasījumu iesniegušā fiksēto sakaru pakalpojumu sniedzēja – operatora klientu bāzes (gan privātpersonām, gan juridiskām personām), tostarp iekšzemes un starptautiskajiem zvaniem. Tas pats attiecas uz visiem mobilajiem zvaniem un SMS kopā, tostarp zvaniem un SMS ar savienojuma uzsākšanu, izmantojot viesabonēšanu.</w:t>
      </w:r>
    </w:p>
    <w:p w:rsidR="00D313FD" w:rsidRPr="004172BE" w:rsidRDefault="00D313FD" w:rsidP="004172BE">
      <w:pPr>
        <w:pStyle w:val="Pamattekst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38. Lai varētu noteikt un ik gadu atjaunināt katru konkrēto robežvērtību, ir nepieciešama informācija par turpmāk minēto attiecībā uz visām dalībvalstīm (tostarp EEZ valstīm) par katru konkrēto operatoru:</w:t>
      </w:r>
    </w:p>
    <w:p w:rsidR="00D313FD" w:rsidRDefault="00D313FD" w:rsidP="00D313FD">
      <w:pPr>
        <w:pStyle w:val="Pamatteksts"/>
        <w:tabs>
          <w:tab w:val="left" w:pos="1253"/>
        </w:tabs>
        <w:spacing w:before="0"/>
        <w:ind w:left="0"/>
        <w:jc w:val="both"/>
        <w:rPr>
          <w:rFonts w:ascii="Times New Roman" w:hAnsi="Times New Roman"/>
          <w:noProof/>
          <w:sz w:val="24"/>
        </w:rPr>
      </w:pP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a) regulēto ES iekšzemes fiksēto zvanu minūšu daļa kā procentuālā daļa no kopējā fiksēto zvanu minūšu skaita, ko nodrošina katrs operators;</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b) regulēto ES iekšzemes mobilo zvanu minūšu daļa kā procentuālā daļa no kopējā mobilo zvanu minūšu skaita, ko nodrošina katrs operators;</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c) regulēto ES iekšzemes SMS daļa kā procentuālā daļa no kopējā SMS skaita, ko nodrošina katrs operators.</w:t>
      </w:r>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39. Iepriekš minētās robežvērtības ir jānosaka, ņemot vērā informācijas par šīm proporcijām attiecībā uz katru konkrēto operatoru izplatīšanas datus. </w:t>
      </w:r>
      <w:r>
        <w:rPr>
          <w:rFonts w:ascii="Times New Roman" w:hAnsi="Times New Roman"/>
          <w:i/>
          <w:iCs/>
          <w:sz w:val="24"/>
        </w:rPr>
        <w:t>BEREC</w:t>
      </w:r>
      <w:r>
        <w:rPr>
          <w:rFonts w:ascii="Times New Roman" w:hAnsi="Times New Roman"/>
          <w:sz w:val="24"/>
        </w:rPr>
        <w:t xml:space="preserve"> uzskata, ka slieksnis, lai varētu izlemt, vai ietekme uz operatoru ir ievērojami lielāka, ir jānosaka, pamatojoties uz 95 % augšējās procentiles. Citiem vārdiem sakot, ja, piemēram, operators pierāda, ka regulēto ES iekšzemes fiksēto zvanu daļa tā klientiem atbilst tam, kāda tā ir 5 % šajā aspektā vadošo operatoru Savienībā, tad pirmais kritērijs ir izpildīts. </w:t>
      </w:r>
      <w:r>
        <w:rPr>
          <w:rFonts w:ascii="Times New Roman" w:hAnsi="Times New Roman"/>
          <w:i/>
          <w:iCs/>
          <w:sz w:val="24"/>
        </w:rPr>
        <w:t>BEREC</w:t>
      </w:r>
      <w:r>
        <w:rPr>
          <w:rFonts w:ascii="Times New Roman" w:hAnsi="Times New Roman"/>
          <w:sz w:val="24"/>
        </w:rPr>
        <w:t xml:space="preserve"> uzskata, ka robežvērtības varētu noteikt, izmantojot datus par operatoru reprezentatīvo izlasi.</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40. </w:t>
      </w:r>
      <w:r>
        <w:rPr>
          <w:rFonts w:ascii="Times New Roman" w:hAnsi="Times New Roman"/>
          <w:i/>
          <w:iCs/>
          <w:sz w:val="24"/>
        </w:rPr>
        <w:t>BEREC</w:t>
      </w:r>
      <w:r>
        <w:rPr>
          <w:rFonts w:ascii="Times New Roman" w:hAnsi="Times New Roman"/>
          <w:sz w:val="24"/>
        </w:rPr>
        <w:t xml:space="preserve"> robežvērtība ir norādīta 1. pielikumā un tiks atjaunināta katru gadu. Lai veiktu šo ikgadējo atjaunināšanu, </w:t>
      </w:r>
      <w:r>
        <w:rPr>
          <w:rFonts w:ascii="Times New Roman" w:hAnsi="Times New Roman"/>
          <w:i/>
          <w:iCs/>
          <w:sz w:val="24"/>
        </w:rPr>
        <w:t>BEREC</w:t>
      </w:r>
      <w:r>
        <w:rPr>
          <w:rFonts w:ascii="Times New Roman" w:hAnsi="Times New Roman"/>
          <w:sz w:val="24"/>
        </w:rPr>
        <w:t xml:space="preserve"> izmantos datus, ko valsts regulatīvā iestāde iegūs, veicot savus uzraudzības pienākumus.</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41. </w:t>
      </w:r>
      <w:r>
        <w:rPr>
          <w:rFonts w:ascii="Times New Roman" w:hAnsi="Times New Roman"/>
          <w:sz w:val="24"/>
        </w:rPr>
        <w:t>Pieprasījumu iesniegušajiem operatoriem būs jāsalīdzina savi jaunākie faktiskie gada apjomi ar robežvērtību proporcijām, kas noteiktas 1. pielikumā. Piemēram, ja pieprasījums ir iesniegts 2019. gada aprīlī, pieprasījuma iesniedzēja proporcijas ir jāaprēķina, izmantojot datus par periodu no 2018. gada 1. aprīļa līdz 2019. gada 31. martam. Ja dati par šo periodu nav pieejami, operatori varētu apsvērt iespēju izmantot datus par nesenāko 12 mēnešu periodu.</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42. Piemēram, ja pieprasījuma iesniedzēja mobilo uzskaitīto ES iekšzemes zvanu daļa no iekšzemes, viesabonēšanas un starptautisko mobilo zvanu kopskaita ir vienāda vai lielāka par </w:t>
      </w:r>
      <w:r>
        <w:rPr>
          <w:rFonts w:ascii="Times New Roman" w:hAnsi="Times New Roman"/>
          <w:i/>
          <w:iCs/>
          <w:sz w:val="24"/>
        </w:rPr>
        <w:t>BEREC</w:t>
      </w:r>
      <w:r>
        <w:rPr>
          <w:rFonts w:ascii="Times New Roman" w:hAnsi="Times New Roman"/>
          <w:sz w:val="24"/>
        </w:rPr>
        <w:t xml:space="preserve"> robežvērtību (sk. 1. pielikumu), operatoram ir tiesības uz to, lai tiktu veikts analīzes otrais solis. Atbilstīgi tas attiecas arī uz fiksētajiem zvaniem un mobilajām SMS.</w:t>
      </w:r>
    </w:p>
    <w:p w:rsidR="00A05317" w:rsidRPr="004172BE" w:rsidRDefault="00A05317" w:rsidP="004172BE">
      <w:pPr>
        <w:jc w:val="both"/>
        <w:rPr>
          <w:rFonts w:ascii="Times New Roman" w:eastAsia="Arial" w:hAnsi="Times New Roman" w:cs="Arial"/>
          <w:noProof/>
          <w:sz w:val="24"/>
          <w:szCs w:val="20"/>
        </w:rPr>
      </w:pPr>
    </w:p>
    <w:p w:rsidR="00A05317" w:rsidRPr="004172BE" w:rsidRDefault="00A05317" w:rsidP="004172BE">
      <w:pPr>
        <w:pStyle w:val="Virsraksts2"/>
        <w:ind w:left="0"/>
        <w:jc w:val="both"/>
        <w:rPr>
          <w:rFonts w:ascii="Times New Roman" w:hAnsi="Times New Roman"/>
          <w:noProof/>
        </w:rPr>
      </w:pPr>
      <w:bookmarkStart w:id="54" w:name="Impact_on_the_domestic_pricing_model"/>
      <w:bookmarkStart w:id="55" w:name="_bookmark22"/>
      <w:bookmarkStart w:id="56" w:name="_Toc17270003"/>
      <w:bookmarkStart w:id="57" w:name="_Toc17271253"/>
      <w:bookmarkStart w:id="58" w:name="_Toc19626755"/>
      <w:bookmarkEnd w:id="54"/>
      <w:bookmarkEnd w:id="55"/>
      <w:r>
        <w:rPr>
          <w:rFonts w:ascii="Times New Roman" w:hAnsi="Times New Roman"/>
        </w:rPr>
        <w:t>Ietekme uz iekšzemes pakalpojumu cenu modeli</w:t>
      </w:r>
      <w:bookmarkEnd w:id="56"/>
      <w:bookmarkEnd w:id="57"/>
      <w:bookmarkEnd w:id="58"/>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43. Kā minēts iepriekš, valsts regulatīvajai iestādei ir jāizdara secinājums par to, vai regula būtiski ietekmēs pieprasījuma iesniedzēja iekšzemes pakalpojumu cenu modeli. </w:t>
      </w:r>
      <w:r>
        <w:rPr>
          <w:rFonts w:ascii="Times New Roman" w:hAnsi="Times New Roman"/>
          <w:i/>
          <w:iCs/>
          <w:sz w:val="24"/>
        </w:rPr>
        <w:t>BEREC</w:t>
      </w:r>
      <w:r>
        <w:rPr>
          <w:rFonts w:ascii="Times New Roman" w:hAnsi="Times New Roman"/>
          <w:sz w:val="24"/>
        </w:rPr>
        <w:t xml:space="preserve"> uzskata, ka, lai varētu pārbaudīt šīs ietekmes līmeni, valsts regulatīvajai iestādei ir jāsalīdzina ietekme uz peļņu no visiem regulētajiem ES iekšzemes sakaru pakalpojumiem ar kopējo peļņu no operatora sniegtajiem sakaru pakalpojumiem. </w:t>
      </w:r>
      <w:r>
        <w:rPr>
          <w:rFonts w:ascii="Times New Roman" w:hAnsi="Times New Roman"/>
          <w:i/>
          <w:iCs/>
          <w:sz w:val="24"/>
        </w:rPr>
        <w:t>BEREC</w:t>
      </w:r>
      <w:r>
        <w:rPr>
          <w:rFonts w:ascii="Times New Roman" w:hAnsi="Times New Roman"/>
          <w:sz w:val="24"/>
        </w:rPr>
        <w:t xml:space="preserve"> uzskata, ka ietekmes novērtēšanai būtu jāatšķiras gadījumos, kad peļņa no ES iekšzemes sakaru pakalpojumiem ir pozitīva un kad tā ir negatīva.</w:t>
      </w:r>
    </w:p>
    <w:p w:rsidR="00A05317" w:rsidRPr="004172BE" w:rsidRDefault="00D313FD" w:rsidP="00D313FD">
      <w:pPr>
        <w:pStyle w:val="Pamatteksts"/>
        <w:tabs>
          <w:tab w:val="left" w:pos="841"/>
        </w:tabs>
        <w:spacing w:before="0"/>
        <w:ind w:left="0"/>
        <w:jc w:val="both"/>
        <w:rPr>
          <w:rFonts w:ascii="Times New Roman" w:hAnsi="Times New Roman"/>
          <w:noProof/>
          <w:sz w:val="24"/>
        </w:rPr>
      </w:pPr>
      <w:r>
        <w:rPr>
          <w:rFonts w:ascii="Times New Roman" w:hAnsi="Times New Roman"/>
          <w:sz w:val="24"/>
        </w:rPr>
        <w:t xml:space="preserve">44. </w:t>
      </w:r>
      <w:r>
        <w:rPr>
          <w:rFonts w:ascii="Times New Roman" w:hAnsi="Times New Roman"/>
          <w:i/>
          <w:iCs/>
          <w:sz w:val="24"/>
        </w:rPr>
        <w:t>BEREC</w:t>
      </w:r>
      <w:r>
        <w:rPr>
          <w:rFonts w:ascii="Times New Roman" w:hAnsi="Times New Roman"/>
          <w:sz w:val="24"/>
        </w:rPr>
        <w:t xml:space="preserve"> uzskata, ka gadījumā, ja saskaņā ar novērtējumu peļņa no visiem regulētajiem ES iekšzemes sakaru pakalpojumiem ir negatīva regulas ieviešanas dēļ, valsts regulatīvajai iestādei ir jāizmanto turpmāk norādītais novērtējums. Ja tiek aprēķināts, ka operatora peļņas no visiem regulētajiem ES iekšzemes sakaru pakalpojumiem samazinājuma absolūtā vērtība ir lielāka par 3 % no tā kopējās aprēķinātās peļņas no sakaru pakalpojumiem, tad var uzskatīt, ka šis operators saskaras ar problēmām, kas saistītas ar tā iekšzemes tarifikācijas modeļa uzturēšanu.</w:t>
      </w:r>
    </w:p>
    <w:p w:rsidR="00A05317" w:rsidRPr="004172BE" w:rsidRDefault="00D313FD" w:rsidP="00D313FD">
      <w:pPr>
        <w:pStyle w:val="Pamatteksts"/>
        <w:tabs>
          <w:tab w:val="left" w:pos="841"/>
        </w:tabs>
        <w:spacing w:before="0"/>
        <w:ind w:left="0"/>
        <w:jc w:val="both"/>
        <w:rPr>
          <w:rFonts w:ascii="Times New Roman" w:hAnsi="Times New Roman"/>
          <w:noProof/>
          <w:sz w:val="24"/>
        </w:rPr>
      </w:pPr>
      <w:r>
        <w:rPr>
          <w:rFonts w:ascii="Times New Roman" w:hAnsi="Times New Roman"/>
          <w:sz w:val="24"/>
        </w:rPr>
        <w:t xml:space="preserve">45. </w:t>
      </w:r>
      <w:r>
        <w:rPr>
          <w:rFonts w:ascii="Times New Roman" w:hAnsi="Times New Roman"/>
          <w:i/>
          <w:iCs/>
          <w:sz w:val="24"/>
        </w:rPr>
        <w:t>BEREC</w:t>
      </w:r>
      <w:r>
        <w:rPr>
          <w:rFonts w:ascii="Times New Roman" w:hAnsi="Times New Roman"/>
          <w:sz w:val="24"/>
        </w:rPr>
        <w:t xml:space="preserve"> uzskata, ka gadījumā, ja saskaņā ar novērtējumu peļņa no visiem regulētajiem ES iekšzemes sakaru pakalpojumiem regulas ieviešanas rezultātā ir pozitīva, valsts regulatīvajai iestādei ir jāizmanto turpmāk norādītais novērtējums. Ja tiek aprēķināts, ka operatora peļņas no visiem regulētajiem ES iekšzemes sakaru pakalpojumiem samazinājuma absolūtā vērtība ir lielāka par 9 % no tā kopējās aprēķinātās peļņas no sakaru pakalpojumiem, tad var uzskatīt, ka šis operators saskaras ar būtisku ietekmi uz tā iekšzemes cenu noteikšanas modeli.</w:t>
      </w:r>
    </w:p>
    <w:p w:rsidR="00A05317" w:rsidRPr="004172BE" w:rsidRDefault="00D313FD" w:rsidP="00D313FD">
      <w:pPr>
        <w:pStyle w:val="Pamatteksts"/>
        <w:tabs>
          <w:tab w:val="left" w:pos="841"/>
        </w:tabs>
        <w:spacing w:before="0"/>
        <w:ind w:left="0"/>
        <w:jc w:val="both"/>
        <w:rPr>
          <w:rFonts w:ascii="Times New Roman" w:hAnsi="Times New Roman"/>
          <w:noProof/>
          <w:sz w:val="24"/>
        </w:rPr>
      </w:pPr>
      <w:r>
        <w:rPr>
          <w:rFonts w:ascii="Times New Roman" w:hAnsi="Times New Roman"/>
          <w:sz w:val="24"/>
        </w:rPr>
        <w:t>46. Gadījumā, ja kopējā aprēķinātā peļņa no pieprasījuma iesniedzēja sniegtajiem sakaru pakalpojumiem ir negatīva, valsts regulatīvajai iestādei ir jāizdara secinājums, ka regula būtiski ietekmēs pieprasījuma iesniedzēja iekšzemes cenu noteikšanas modeli. Šādos gadījumos pieprasījuma iesniedzējs varētu pretendēt uz atkāpi attiecībā uz regulētajiem ES iekšzemes sakaru pakalpojumiem.</w:t>
      </w:r>
    </w:p>
    <w:p w:rsidR="00A05317" w:rsidRPr="004172BE" w:rsidRDefault="00D313FD" w:rsidP="00D313FD">
      <w:pPr>
        <w:pStyle w:val="Pamatteksts"/>
        <w:tabs>
          <w:tab w:val="left" w:pos="841"/>
        </w:tabs>
        <w:spacing w:before="0"/>
        <w:ind w:left="0"/>
        <w:jc w:val="both"/>
        <w:rPr>
          <w:rFonts w:ascii="Times New Roman" w:hAnsi="Times New Roman"/>
          <w:noProof/>
          <w:sz w:val="24"/>
        </w:rPr>
      </w:pPr>
      <w:r>
        <w:rPr>
          <w:rFonts w:ascii="Times New Roman" w:hAnsi="Times New Roman"/>
          <w:sz w:val="24"/>
        </w:rPr>
        <w:t>47. Lai varētu veikt šo pārbaudi, valsts regulatīvajai iestādei ir nepieciešami dati par pieprasījuma iesniedzēju attiecībā uz turpmāk minēto.</w:t>
      </w:r>
    </w:p>
    <w:p w:rsidR="00D313FD" w:rsidRDefault="00D313FD" w:rsidP="00D313FD">
      <w:pPr>
        <w:pStyle w:val="Pamatteksts"/>
        <w:tabs>
          <w:tab w:val="left" w:pos="1254"/>
        </w:tabs>
        <w:spacing w:before="0"/>
        <w:ind w:left="0"/>
        <w:jc w:val="both"/>
        <w:rPr>
          <w:rFonts w:ascii="Times New Roman" w:hAnsi="Times New Roman"/>
          <w:noProof/>
          <w:sz w:val="24"/>
        </w:rPr>
      </w:pPr>
    </w:p>
    <w:p w:rsidR="00A05317" w:rsidRPr="004172BE" w:rsidRDefault="00D313FD" w:rsidP="00D313FD">
      <w:pPr>
        <w:pStyle w:val="Pamatteksts"/>
        <w:tabs>
          <w:tab w:val="left" w:pos="1254"/>
        </w:tabs>
        <w:spacing w:before="0"/>
        <w:ind w:left="426"/>
        <w:jc w:val="both"/>
        <w:rPr>
          <w:rFonts w:ascii="Times New Roman" w:hAnsi="Times New Roman"/>
          <w:noProof/>
          <w:sz w:val="24"/>
        </w:rPr>
      </w:pPr>
      <w:r>
        <w:rPr>
          <w:rFonts w:ascii="Times New Roman" w:hAnsi="Times New Roman"/>
          <w:sz w:val="24"/>
        </w:rPr>
        <w:t xml:space="preserve">a) Tās peļņas aprēķins, kas pieprasījuma iesniedzējam būtu gadā, uz kuru attiecas pieprasījums, un kas tiktu iegūta no visiem regulētajiem ES iekšzemes pakalpojumiem gadījumā, ja nebūtu ieviesta ES iekšzemes sakaru regula (peļņa, ja ES iekšzemes sakaru regula nav ieviesta – </w:t>
      </w:r>
      <w:r>
        <w:rPr>
          <w:rFonts w:ascii="Times New Roman" w:hAnsi="Times New Roman"/>
          <w:i/>
          <w:iCs/>
          <w:sz w:val="24"/>
        </w:rPr>
        <w:t>Margin</w:t>
      </w:r>
      <w:r>
        <w:rPr>
          <w:rFonts w:ascii="Times New Roman" w:hAnsi="Times New Roman"/>
          <w:i/>
          <w:iCs/>
          <w:sz w:val="24"/>
          <w:vertAlign w:val="subscript"/>
        </w:rPr>
        <w:t>noreg</w:t>
      </w:r>
      <w:r>
        <w:rPr>
          <w:rFonts w:ascii="Times New Roman" w:hAnsi="Times New Roman"/>
          <w:sz w:val="24"/>
        </w:rPr>
        <w:t xml:space="preserve">). </w:t>
      </w:r>
      <w:r>
        <w:rPr>
          <w:rFonts w:ascii="Times New Roman" w:hAnsi="Times New Roman"/>
          <w:i/>
          <w:iCs/>
          <w:sz w:val="24"/>
        </w:rPr>
        <w:t>BEREC</w:t>
      </w:r>
      <w:r>
        <w:rPr>
          <w:rFonts w:ascii="Times New Roman" w:hAnsi="Times New Roman"/>
          <w:sz w:val="24"/>
        </w:rPr>
        <w:t xml:space="preserve"> uzskata, ka vismaz pirmajā gadā cenas, apjoms un izmaksas būtu aptuveni tādas pašas kā relatīvie rādītāji gadā pirms regulas ieviešanas, un tādēļ peļņu periodā no 2018. gada 1. aprīļa līdz 2019. gada 31. martam vai no 2018. gada 1. janvāra līdz 2018. gada 31. decembrim varētu izmantot kā pagaidu lielumu. Ja operators uzskata, ka īpaša iemesla dēļ šī pieeja nav atbilstoša, tam ir jāiesniedz savs aprēķins kopā ar attiecīgajiem datiem, kas izskaidro šo novirzi.</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 xml:space="preserve">b) Tās peļņas aprēķins, kas pieprasījuma iesniedzējam, nepiešķirot atkāpi, būtu no visiem regulētajiem ES iekšzemes pakalpojumiem gadā, uz kuru attiecas pieprasījums (peļņa, ja ES iekšzemes sakaru regula ir ieviesta – </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 Pieprasījuma iesniedzējam ir jānovērtē savi ieņēmumi, izmantojot cenu griestu līmeni un apjomus, kas ietvers apjomu pieaugumu, kas var būt sagaidāms cenu pazeminājumu rezultātā. Lai aprēķinātu izmaksas, pieprasījuma iesniedzējs varētu izmantot datus par vienības izmaksām vai citus datus par izmaksām, atsaucoties uz iepriekšējā finanšu gada datiem.</w:t>
      </w: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 xml:space="preserve">c) Tā kopējās peļņas no sakaru pakalpojumiem aprēķins. </w:t>
      </w:r>
      <w:r>
        <w:rPr>
          <w:rFonts w:ascii="Times New Roman" w:hAnsi="Times New Roman"/>
          <w:i/>
          <w:iCs/>
          <w:sz w:val="24"/>
        </w:rPr>
        <w:t>BEREC</w:t>
      </w:r>
      <w:r>
        <w:rPr>
          <w:rFonts w:ascii="Times New Roman" w:hAnsi="Times New Roman"/>
          <w:sz w:val="24"/>
        </w:rPr>
        <w:t xml:space="preserve"> uzskata, ka pieprasījuma iesniedzēja iepriekšējā finanšu gada peļņa pirms procentu maksājumiem, nodokļiem, nolietojuma un amortizācijas (</w:t>
      </w:r>
      <w:r>
        <w:rPr>
          <w:rFonts w:ascii="Times New Roman" w:hAnsi="Times New Roman"/>
          <w:i/>
          <w:iCs/>
          <w:sz w:val="24"/>
        </w:rPr>
        <w:t>EBITDA</w:t>
      </w:r>
      <w:r>
        <w:rPr>
          <w:rFonts w:ascii="Times New Roman" w:hAnsi="Times New Roman"/>
          <w:sz w:val="24"/>
        </w:rPr>
        <w:t>) no sakaru pakalpojumiem varētu kalpot par aplēsi šim rādītājam. Ja operators uzskata, ka īpaša iemesla dēļ šī pieeja nav atbilstoša, tam ir jāiesniedz savs aprēķins kopā ar attiecīgajiem datiem, kas izskaidro šo novirzi.</w:t>
      </w:r>
    </w:p>
    <w:p w:rsidR="00A05317" w:rsidRPr="004172BE" w:rsidRDefault="00A05317" w:rsidP="004172BE">
      <w:pPr>
        <w:jc w:val="both"/>
        <w:rPr>
          <w:rFonts w:ascii="Times New Roman" w:eastAsia="Arial" w:hAnsi="Times New Roman" w:cs="Arial"/>
          <w:noProof/>
          <w:sz w:val="24"/>
          <w:szCs w:val="20"/>
        </w:rPr>
      </w:pPr>
    </w:p>
    <w:p w:rsidR="00A05317" w:rsidRPr="004172BE" w:rsidRDefault="00A05317" w:rsidP="004172BE">
      <w:pPr>
        <w:pStyle w:val="Virsraksts2"/>
        <w:ind w:left="0"/>
        <w:jc w:val="both"/>
        <w:rPr>
          <w:rFonts w:ascii="Times New Roman" w:hAnsi="Times New Roman"/>
          <w:noProof/>
        </w:rPr>
      </w:pPr>
      <w:bookmarkStart w:id="59" w:name="_bookmark23"/>
      <w:bookmarkStart w:id="60" w:name="_Toc17270004"/>
      <w:bookmarkStart w:id="61" w:name="_Toc17271254"/>
      <w:bookmarkStart w:id="62" w:name="_Toc19626756"/>
      <w:bookmarkEnd w:id="59"/>
      <w:r>
        <w:rPr>
          <w:rFonts w:ascii="Times New Roman" w:hAnsi="Times New Roman"/>
        </w:rPr>
        <w:t>Pieprasījuma saturs</w:t>
      </w:r>
      <w:bookmarkStart w:id="63" w:name="The_content_of_the_application"/>
      <w:bookmarkEnd w:id="60"/>
      <w:bookmarkEnd w:id="61"/>
      <w:bookmarkEnd w:id="63"/>
      <w:bookmarkEnd w:id="62"/>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48. Kā minēts iepriekš, pieprasījuma par atkāpi iesniegšanas process ir iedalīts divās daļās.</w:t>
      </w:r>
    </w:p>
    <w:p w:rsidR="00D313FD" w:rsidRDefault="00D313FD" w:rsidP="00D313FD">
      <w:pPr>
        <w:pStyle w:val="Pamatteksts"/>
        <w:tabs>
          <w:tab w:val="left" w:pos="1200"/>
        </w:tabs>
        <w:spacing w:before="0"/>
        <w:ind w:left="0"/>
        <w:jc w:val="both"/>
        <w:rPr>
          <w:rFonts w:ascii="Times New Roman" w:hAnsi="Times New Roman"/>
          <w:noProof/>
          <w:sz w:val="24"/>
        </w:rPr>
      </w:pP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 xml:space="preserve">(a) Sākotnējā salīdzināšana ar </w:t>
      </w:r>
      <w:r>
        <w:rPr>
          <w:rFonts w:ascii="Times New Roman" w:hAnsi="Times New Roman"/>
          <w:i/>
          <w:iCs/>
          <w:sz w:val="24"/>
        </w:rPr>
        <w:t>BEREC</w:t>
      </w:r>
      <w:r>
        <w:rPr>
          <w:rFonts w:ascii="Times New Roman" w:hAnsi="Times New Roman"/>
          <w:sz w:val="24"/>
        </w:rPr>
        <w:t xml:space="preserve"> robežvērtību, lai noteiktu, vai pakalpojumu sniedzējs, kas iesniedz pieprasījumu, var pierādīt, ka ietekme uz to ir ievērojami lielāka nekā uz citiem pakalpojumu sniedzējiem Savienībā. Pieprasījuma iesniedzējam ir jāsniedz dati, lai apliecinātu to, ka tā regulēto ES iekšzemes sakaru pakalpojumu datplūsmas daļa attiecībā pret tā kopējo pakalpojumu datplūsmu ir lielāka par </w:t>
      </w:r>
      <w:r>
        <w:rPr>
          <w:rFonts w:ascii="Times New Roman" w:hAnsi="Times New Roman"/>
          <w:i/>
          <w:iCs/>
          <w:sz w:val="24"/>
        </w:rPr>
        <w:t>BEREC</w:t>
      </w:r>
      <w:r>
        <w:rPr>
          <w:rFonts w:ascii="Times New Roman" w:hAnsi="Times New Roman"/>
          <w:sz w:val="24"/>
        </w:rPr>
        <w:t xml:space="preserve"> robežvērtību. Tā kā </w:t>
      </w:r>
      <w:r>
        <w:rPr>
          <w:rFonts w:ascii="Times New Roman" w:hAnsi="Times New Roman"/>
          <w:i/>
          <w:iCs/>
          <w:sz w:val="24"/>
        </w:rPr>
        <w:t>BEREC</w:t>
      </w:r>
      <w:r>
        <w:rPr>
          <w:rFonts w:ascii="Times New Roman" w:hAnsi="Times New Roman"/>
          <w:sz w:val="24"/>
        </w:rPr>
        <w:t xml:space="preserve"> robežvērtība fiksētajiem ES iekšzemes zvaniem, mobilajiem ES iekšzemes zvaniem un ES iekšzemes SMS tiek aprēķināta atsevišķi, pieprasījuma iesniedzējam arī informācija ir jāiesniedz atsevišķi. </w:t>
      </w:r>
      <w:r>
        <w:rPr>
          <w:rFonts w:ascii="Times New Roman" w:hAnsi="Times New Roman"/>
          <w:i/>
          <w:iCs/>
          <w:sz w:val="24"/>
        </w:rPr>
        <w:t>BEREC</w:t>
      </w:r>
      <w:r>
        <w:rPr>
          <w:rFonts w:ascii="Times New Roman" w:hAnsi="Times New Roman"/>
          <w:sz w:val="24"/>
        </w:rPr>
        <w:t xml:space="preserve"> robežvērtība tiek aprēķināta, pamatojoties uz faktiskajiem datiem, un tādēļ pieprasījuma iesniedzējam ir jāaprēķina attiecīgās proporcijas, ņemot vērā pieejamos datus par apjomiem iepriekšējā gada pēdējajā 12 mēnešu periodā (piemēram, pieprasījumam, kas ir iesniegts 2019. gada 15. aprīlī, šīs proporcijas tiks aprēķinātas, ņemot vērā faktiskos zvanu vai SMS apjomus laikā no 2018. gada 1. aprīļa līdz 2019. gada 31. martam vai arī 2018. gadā u. tml. atkarībā no datu pieejamības). Lai izpildītu pirmo kritēriju, pieprasījuma iesniedzējam ir jāspēj pierādīt, ka vismaz vienam no ES iekšzemes sakaru pakalpojumiem šī proporcija pārsniedz noteikto slieksni.</w:t>
      </w: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(b) Visa nepieciešamā informācija, kas pierāda, ka operatora peļņas no regulētajiem ES iekšzemes sakaru pakalpojumiem samazinājuma absolūtā vērtība saskaņā ar novērtējumu ir lielāka par 3 % (negatīvas peļņas no ES iekšzemes pakalpojumiem gadījumā) vai 9 % (pozitīvas peļņas no ES iekšzemes pakalpojumiem gadījumā) no tā kopējās aprēķinātās peļņas no sakaru pakalpojumiem.</w:t>
      </w:r>
    </w:p>
    <w:p w:rsidR="00A05317" w:rsidRPr="004172BE" w:rsidRDefault="00A05317" w:rsidP="004172BE">
      <w:pPr>
        <w:jc w:val="both"/>
        <w:rPr>
          <w:rFonts w:ascii="Times New Roman" w:eastAsia="Arial" w:hAnsi="Times New Roman" w:cs="Arial"/>
          <w:noProof/>
          <w:sz w:val="24"/>
          <w:szCs w:val="20"/>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49. </w:t>
      </w:r>
      <w:r>
        <w:rPr>
          <w:rFonts w:ascii="Times New Roman" w:hAnsi="Times New Roman"/>
          <w:sz w:val="24"/>
        </w:rPr>
        <w:t>Attiecībā uz otro kritēriju pieprasījuma iesniedzējam ir jāiesniedz ļoti izvērsta vispārēja informācija/pamatdati par saviem aprēķiniem, aizpildot veidlapas, kas ietvertas 2. pielikumā. Cita starpā tajos ir ietverts turpmāk norādītais.</w:t>
      </w:r>
    </w:p>
    <w:p w:rsidR="00D313FD" w:rsidRDefault="00D313FD" w:rsidP="00D313FD">
      <w:pPr>
        <w:pStyle w:val="Pamatteksts"/>
        <w:tabs>
          <w:tab w:val="left" w:pos="1200"/>
        </w:tabs>
        <w:spacing w:before="0"/>
        <w:ind w:left="0"/>
        <w:jc w:val="both"/>
        <w:rPr>
          <w:rFonts w:ascii="Times New Roman" w:hAnsi="Times New Roman"/>
          <w:noProof/>
          <w:sz w:val="24"/>
        </w:rPr>
      </w:pP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 xml:space="preserve">(a) Dati par pieprasījuma iesniedzēja iepriekšējā finanšu gada </w:t>
      </w:r>
      <w:r>
        <w:rPr>
          <w:rFonts w:ascii="Times New Roman" w:hAnsi="Times New Roman"/>
          <w:i/>
          <w:iCs/>
          <w:sz w:val="24"/>
        </w:rPr>
        <w:t>EBITDA</w:t>
      </w:r>
      <w:r>
        <w:rPr>
          <w:rFonts w:ascii="Times New Roman" w:hAnsi="Times New Roman"/>
          <w:sz w:val="24"/>
        </w:rPr>
        <w:t xml:space="preserve"> no sakaru pakalpojumiem.</w:t>
      </w: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(b) Dati par vienu pakalpojumu par regulēto ES iekšzemes sakaru pakalpojumu faktiskajiem apjomiem gadā pirms pieprasījuma iesniegšanas. Nepieciešams ir sadalījums starp zvaniem ar savienojuma pabeigšanu fiksētajos tīklos un zvaniem ar savienojuma pabeigšanu mobilajos tīklos.</w:t>
      </w: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(c) Dati par vienu pakalpojumu par faktiskajiem ieņēmumiem no regulētajiem ES iekšzemes sakaru pakalpojumiem gadā pirms pieprasījuma iesniegšanas.</w:t>
      </w: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(d) Pieprasījuma pēc pakalpojumiem prognozes par vienu pakalpojumu regulētajiem ES iekšzemes sakaru pakalpojumiem gadam, uz kuru attiecas operatora iesniegtais pieprasījums. Šīm prognozēm ir jābūt pienācīgi pamatotām. Gadījumā, ja operators neiesniedz pamatotas prognozes, valsts regulatīvā iestāde var izmantot iepriekšējā gada faktisko apjomu. Nepieciešams ir sadalījums starp zvaniem ar savienojuma pabeigšanu fiksētajos tīklos un zvaniem ar savienojuma pabeigšanu mobilajos tīklos.</w:t>
      </w:r>
    </w:p>
    <w:p w:rsidR="00A05317" w:rsidRPr="004172BE" w:rsidRDefault="00D313FD" w:rsidP="00D313FD">
      <w:pPr>
        <w:pStyle w:val="Pamatteksts"/>
        <w:tabs>
          <w:tab w:val="left" w:pos="1199"/>
        </w:tabs>
        <w:spacing w:before="0"/>
        <w:ind w:left="426"/>
        <w:jc w:val="both"/>
        <w:rPr>
          <w:rFonts w:ascii="Times New Roman" w:hAnsi="Times New Roman"/>
          <w:noProof/>
          <w:sz w:val="24"/>
        </w:rPr>
      </w:pPr>
      <w:r>
        <w:rPr>
          <w:rFonts w:ascii="Times New Roman" w:hAnsi="Times New Roman"/>
          <w:sz w:val="24"/>
        </w:rPr>
        <w:t>(e) Dati (attiecīgos gadījumos – par vienu pakalpojumu) par regulēto ES iekšzemes sakaru pakalpojumu faktiskajām izmaksām gadā pirms pieprasījuma iesniegšanas.</w:t>
      </w:r>
    </w:p>
    <w:p w:rsidR="00A05317" w:rsidRPr="004172BE" w:rsidRDefault="00D313FD" w:rsidP="00D313FD">
      <w:pPr>
        <w:pStyle w:val="Pamatteksts"/>
        <w:tabs>
          <w:tab w:val="left" w:pos="1262"/>
        </w:tabs>
        <w:spacing w:before="0"/>
        <w:ind w:left="426"/>
        <w:jc w:val="both"/>
        <w:rPr>
          <w:rFonts w:ascii="Times New Roman" w:hAnsi="Times New Roman"/>
          <w:noProof/>
          <w:sz w:val="24"/>
        </w:rPr>
      </w:pPr>
      <w:r>
        <w:rPr>
          <w:rFonts w:ascii="Times New Roman" w:hAnsi="Times New Roman"/>
          <w:sz w:val="24"/>
        </w:rPr>
        <w:t>(f) Dati (attiecīgos gadījumos – par vienu pakalpojumu) par regulēto (t. i., uzskaitīto un privātpersonām paredzēto) ES iekšzemes sakaru pakalpojumu paredzētajām izmaksām gadā, uz kuru attiecas pieprasījums.</w:t>
      </w:r>
    </w:p>
    <w:p w:rsidR="00A05317" w:rsidRPr="004172BE" w:rsidRDefault="00D313FD" w:rsidP="00D313FD">
      <w:pPr>
        <w:pStyle w:val="Pamatteksts"/>
        <w:tabs>
          <w:tab w:val="left" w:pos="1200"/>
        </w:tabs>
        <w:spacing w:before="0"/>
        <w:ind w:left="426"/>
        <w:jc w:val="both"/>
        <w:rPr>
          <w:rFonts w:ascii="Times New Roman" w:hAnsi="Times New Roman"/>
          <w:noProof/>
          <w:sz w:val="24"/>
        </w:rPr>
      </w:pPr>
      <w:r>
        <w:rPr>
          <w:rFonts w:ascii="Times New Roman" w:hAnsi="Times New Roman"/>
          <w:sz w:val="24"/>
        </w:rPr>
        <w:t>(g) Ja ir aprēķini/prognozes – ļoti detalizēti apliecinoši dokumenti.</w:t>
      </w:r>
    </w:p>
    <w:p w:rsidR="00D313FD" w:rsidRDefault="00D313FD" w:rsidP="00D313FD">
      <w:pPr>
        <w:pStyle w:val="Pamatteksts"/>
        <w:tabs>
          <w:tab w:val="left" w:pos="839"/>
        </w:tabs>
        <w:spacing w:before="0"/>
        <w:ind w:left="0"/>
        <w:jc w:val="both"/>
        <w:rPr>
          <w:rFonts w:ascii="Times New Roman" w:hAnsi="Times New Roman"/>
          <w:noProof/>
          <w:sz w:val="24"/>
        </w:rPr>
      </w:pPr>
    </w:p>
    <w:p w:rsidR="00A05317" w:rsidRPr="004172BE" w:rsidRDefault="00D313FD" w:rsidP="00D313FD">
      <w:pPr>
        <w:pStyle w:val="Pamatteksts"/>
        <w:tabs>
          <w:tab w:val="left" w:pos="839"/>
        </w:tabs>
        <w:spacing w:before="0"/>
        <w:ind w:left="0"/>
        <w:jc w:val="both"/>
        <w:rPr>
          <w:rFonts w:ascii="Times New Roman" w:hAnsi="Times New Roman"/>
          <w:noProof/>
          <w:sz w:val="24"/>
        </w:rPr>
      </w:pPr>
      <w:r>
        <w:rPr>
          <w:rFonts w:ascii="Times New Roman" w:hAnsi="Times New Roman"/>
          <w:sz w:val="24"/>
        </w:rPr>
        <w:t>50. Jebkādi dati par pieprasījuma iesniedzēja izmaksām un ieņēmumiem balstās uz finanšu pārskatiem, ko dara pieejamus valsts regulatīvajai iestādei un var koriģēt saskaņā ar apjoma novērtējumiem. Valsts regulatīvā iestāde var arī pieprasīt pieprasījuma iesniedzējam sniegt grāmatveža paziņojumu, kurā tiek garantēts, ka dati ir atspoguļoti pareizi un ka ir tikusi izmantota atbilstoša un pareiza prognožu metodika.</w:t>
      </w:r>
    </w:p>
    <w:p w:rsidR="00A05317" w:rsidRPr="004172BE" w:rsidRDefault="00D313FD" w:rsidP="00D313FD">
      <w:pPr>
        <w:pStyle w:val="Pamatteksts"/>
        <w:tabs>
          <w:tab w:val="left" w:pos="839"/>
        </w:tabs>
        <w:spacing w:before="0"/>
        <w:ind w:left="0"/>
        <w:jc w:val="both"/>
        <w:rPr>
          <w:rFonts w:ascii="Times New Roman" w:hAnsi="Times New Roman"/>
          <w:noProof/>
          <w:sz w:val="24"/>
        </w:rPr>
      </w:pPr>
      <w:r>
        <w:rPr>
          <w:rFonts w:ascii="Times New Roman" w:hAnsi="Times New Roman"/>
          <w:sz w:val="24"/>
        </w:rPr>
        <w:t xml:space="preserve">51. </w:t>
      </w:r>
      <w:r>
        <w:rPr>
          <w:rFonts w:ascii="Times New Roman" w:hAnsi="Times New Roman"/>
          <w:i/>
          <w:iCs/>
          <w:sz w:val="24"/>
        </w:rPr>
        <w:t>BEREC</w:t>
      </w:r>
      <w:r>
        <w:rPr>
          <w:rFonts w:ascii="Times New Roman" w:hAnsi="Times New Roman"/>
          <w:sz w:val="24"/>
        </w:rPr>
        <w:t xml:space="preserve"> uzskata, ka attiecībā uz faktiskajām un paredzētajām izmaksām ir jāiesniedz turpmāk norādītie dati.</w:t>
      </w:r>
    </w:p>
    <w:p w:rsidR="00D313FD" w:rsidRDefault="00D313FD" w:rsidP="00D313FD">
      <w:pPr>
        <w:pStyle w:val="Pamatteksts"/>
        <w:tabs>
          <w:tab w:val="left" w:pos="1251"/>
        </w:tabs>
        <w:spacing w:before="0"/>
        <w:ind w:left="0"/>
        <w:jc w:val="both"/>
        <w:rPr>
          <w:rFonts w:ascii="Times New Roman" w:hAnsi="Times New Roman"/>
          <w:noProof/>
          <w:sz w:val="24"/>
        </w:rPr>
      </w:pPr>
    </w:p>
    <w:p w:rsidR="00A05317" w:rsidRPr="004172BE" w:rsidRDefault="00D313FD" w:rsidP="00D313FD">
      <w:pPr>
        <w:pStyle w:val="Pamatteksts"/>
        <w:tabs>
          <w:tab w:val="left" w:pos="1251"/>
        </w:tabs>
        <w:spacing w:before="0"/>
        <w:ind w:left="426"/>
        <w:jc w:val="both"/>
        <w:rPr>
          <w:rFonts w:ascii="Times New Roman" w:hAnsi="Times New Roman"/>
          <w:noProof/>
          <w:sz w:val="24"/>
        </w:rPr>
      </w:pPr>
      <w:r>
        <w:rPr>
          <w:rFonts w:ascii="Times New Roman" w:hAnsi="Times New Roman"/>
          <w:sz w:val="24"/>
        </w:rPr>
        <w:t>a) Tīkla izmaksas par vienu pakalpojumu izejošo regulēto ES iekšzemes sakaru pakalpojumiem.</w:t>
      </w:r>
    </w:p>
    <w:p w:rsidR="00A05317" w:rsidRPr="004172BE" w:rsidRDefault="00D313FD" w:rsidP="00D313FD">
      <w:pPr>
        <w:pStyle w:val="Pamatteksts"/>
        <w:tabs>
          <w:tab w:val="left" w:pos="1251"/>
        </w:tabs>
        <w:spacing w:before="0"/>
        <w:ind w:left="426"/>
        <w:jc w:val="both"/>
        <w:rPr>
          <w:rFonts w:ascii="Times New Roman" w:hAnsi="Times New Roman"/>
          <w:noProof/>
          <w:sz w:val="24"/>
        </w:rPr>
      </w:pPr>
      <w:r>
        <w:rPr>
          <w:rFonts w:ascii="Times New Roman" w:hAnsi="Times New Roman"/>
          <w:sz w:val="24"/>
        </w:rPr>
        <w:t>b) Savienojuma pabeigšanas izmaksas par vienu pakalpojumu regulētajiem ES iekšzemes sakaru pakalpojumiem.</w:t>
      </w:r>
    </w:p>
    <w:p w:rsidR="00A05317" w:rsidRPr="004172BE" w:rsidRDefault="00D313FD" w:rsidP="00D313FD">
      <w:pPr>
        <w:pStyle w:val="Pamatteksts"/>
        <w:tabs>
          <w:tab w:val="left" w:pos="1252"/>
        </w:tabs>
        <w:spacing w:before="0"/>
        <w:ind w:left="426"/>
        <w:jc w:val="both"/>
        <w:rPr>
          <w:rFonts w:ascii="Times New Roman" w:hAnsi="Times New Roman"/>
          <w:noProof/>
          <w:sz w:val="24"/>
        </w:rPr>
      </w:pPr>
      <w:r>
        <w:rPr>
          <w:rFonts w:ascii="Times New Roman" w:hAnsi="Times New Roman"/>
          <w:sz w:val="24"/>
        </w:rPr>
        <w:t>c) Tranzīta savienojuma izmaksas par vienu pakalpojumu regulētajiem ES iekšzemes sakaru pakalpojumiem.</w:t>
      </w:r>
    </w:p>
    <w:p w:rsidR="00A05317" w:rsidRPr="004172BE" w:rsidRDefault="00D313FD" w:rsidP="00D313FD">
      <w:pPr>
        <w:pStyle w:val="Pamatteksts"/>
        <w:tabs>
          <w:tab w:val="left" w:pos="1252"/>
        </w:tabs>
        <w:spacing w:before="0"/>
        <w:ind w:left="426"/>
        <w:jc w:val="both"/>
        <w:rPr>
          <w:rFonts w:ascii="Times New Roman" w:hAnsi="Times New Roman"/>
          <w:noProof/>
          <w:sz w:val="24"/>
        </w:rPr>
      </w:pPr>
      <w:r>
        <w:rPr>
          <w:rFonts w:ascii="Times New Roman" w:hAnsi="Times New Roman"/>
          <w:sz w:val="24"/>
        </w:rPr>
        <w:t>d) Vairumtirdzniecības komercizmaksas; tās ir saistītas ar maršruta testēšanu/uzraudzību, ekspluatāciju un pārvaldību, datu atbrīvošanu, finanšu tīrvērti un sarunām par līgumiem. Šo izmaksu daļa tiks ietverta peļņas no ES iekšzemes pakalpojumiem aprēķinā. Šī daļa tiks aprēķināta, izmantojot attiecīgus vairumtirdzniecības ieņēmumus un maksājumus (maksājumi tiks izteikti absolūtajās vērtībās). Proti, šo daļu aprēķina pēc turpmāk norādītās formulas.</w:t>
      </w:r>
    </w:p>
    <w:p w:rsidR="004172BE" w:rsidRPr="004172BE" w:rsidRDefault="004172BE" w:rsidP="004172BE">
      <w:pPr>
        <w:pStyle w:val="Pamatteksts"/>
        <w:spacing w:before="0"/>
        <w:ind w:left="0"/>
        <w:jc w:val="both"/>
        <w:rPr>
          <w:rFonts w:ascii="Times New Roman" w:hAnsi="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313FD" w:rsidTr="003824FF">
        <w:tc>
          <w:tcPr>
            <w:tcW w:w="9291" w:type="dxa"/>
            <w:tcBorders>
              <w:bottom w:val="single" w:sz="4" w:space="0" w:color="auto"/>
            </w:tcBorders>
          </w:tcPr>
          <w:p w:rsidR="00D313FD" w:rsidRPr="00D313FD" w:rsidRDefault="00D313FD" w:rsidP="00D313FD">
            <w:pPr>
              <w:pStyle w:val="Pamatteksts"/>
              <w:spacing w:before="0"/>
              <w:ind w:left="0"/>
              <w:jc w:val="center"/>
              <w:rPr>
                <w:rFonts w:ascii="Times New Roman" w:hAnsi="Times New Roman"/>
                <w:b/>
                <w:i/>
                <w:noProof/>
                <w:sz w:val="24"/>
              </w:rPr>
            </w:pPr>
            <w:r>
              <w:rPr>
                <w:rFonts w:ascii="Times New Roman" w:hAnsi="Times New Roman"/>
                <w:b/>
                <w:i/>
                <w:sz w:val="24"/>
              </w:rPr>
              <w:t>Vairumtirdzniecības maksājumi par visiem regulētajiem ES iekšzemes sakaru pakalpojumiem</w:t>
            </w:r>
          </w:p>
        </w:tc>
      </w:tr>
      <w:tr w:rsidR="00D313FD" w:rsidTr="003824FF">
        <w:tc>
          <w:tcPr>
            <w:tcW w:w="9291" w:type="dxa"/>
            <w:tcBorders>
              <w:top w:val="single" w:sz="4" w:space="0" w:color="auto"/>
            </w:tcBorders>
          </w:tcPr>
          <w:p w:rsidR="00D313FD" w:rsidRPr="00D313FD" w:rsidRDefault="00D313FD" w:rsidP="00D313FD">
            <w:pPr>
              <w:pStyle w:val="Pamatteksts"/>
              <w:spacing w:before="0"/>
              <w:ind w:left="0"/>
              <w:jc w:val="center"/>
              <w:rPr>
                <w:rFonts w:ascii="Times New Roman" w:hAnsi="Times New Roman"/>
                <w:b/>
                <w:i/>
                <w:noProof/>
                <w:sz w:val="24"/>
              </w:rPr>
            </w:pPr>
            <w:r>
              <w:rPr>
                <w:rFonts w:ascii="Times New Roman" w:hAnsi="Times New Roman"/>
                <w:b/>
                <w:i/>
                <w:sz w:val="24"/>
              </w:rPr>
              <w:t>Vairumtirdzniecības ieņēmumi un maksājumi par visiem pakalpojumiem, kas sniegti trešiem operatoriem / ko snieguši trešie operatori</w:t>
            </w:r>
          </w:p>
        </w:tc>
      </w:tr>
    </w:tbl>
    <w:p w:rsidR="00D313FD" w:rsidRDefault="00D313FD" w:rsidP="004172BE">
      <w:pPr>
        <w:pStyle w:val="Pamatteksts"/>
        <w:spacing w:before="0"/>
        <w:ind w:left="0"/>
        <w:jc w:val="both"/>
        <w:rPr>
          <w:rFonts w:ascii="Times New Roman" w:hAnsi="Times New Roman"/>
          <w:noProof/>
          <w:sz w:val="24"/>
        </w:rPr>
      </w:pPr>
    </w:p>
    <w:p w:rsidR="00A05317" w:rsidRPr="004172BE" w:rsidRDefault="00A05317" w:rsidP="004172BE">
      <w:pPr>
        <w:pStyle w:val="Pamatteksts"/>
        <w:spacing w:before="0"/>
        <w:ind w:left="0"/>
        <w:jc w:val="both"/>
        <w:rPr>
          <w:rFonts w:ascii="Times New Roman" w:hAnsi="Times New Roman"/>
          <w:noProof/>
          <w:sz w:val="24"/>
        </w:rPr>
      </w:pPr>
      <w:r>
        <w:rPr>
          <w:rFonts w:ascii="Times New Roman" w:hAnsi="Times New Roman"/>
          <w:sz w:val="24"/>
        </w:rPr>
        <w:t>Šajā gadījumā:</w:t>
      </w:r>
    </w:p>
    <w:p w:rsidR="00A05317" w:rsidRPr="004172BE" w:rsidRDefault="00A05317" w:rsidP="00D313FD">
      <w:pPr>
        <w:numPr>
          <w:ilvl w:val="1"/>
          <w:numId w:val="4"/>
        </w:numPr>
        <w:ind w:left="709" w:hanging="283"/>
        <w:jc w:val="both"/>
        <w:rPr>
          <w:rFonts w:ascii="Times New Roman" w:eastAsia="Arial" w:hAnsi="Times New Roman" w:cs="Arial"/>
          <w:noProof/>
          <w:sz w:val="24"/>
        </w:rPr>
      </w:pPr>
      <w:r>
        <w:rPr>
          <w:rFonts w:ascii="Times New Roman" w:hAnsi="Times New Roman"/>
          <w:i/>
          <w:sz w:val="24"/>
        </w:rPr>
        <w:t xml:space="preserve">vairumtirdzniecības maksājumi par visiem regulētajiem ES sakaru iekšzemes pakalpojumiem </w:t>
      </w:r>
      <w:r>
        <w:rPr>
          <w:rFonts w:ascii="Times New Roman" w:hAnsi="Times New Roman"/>
          <w:sz w:val="24"/>
        </w:rPr>
        <w:t>ir pieprasījuma iesniedzēja maksājumi par starpsavienojumu (savienojuma pabeigšanu un tranzīta savienojumu) par piedāvātajiem regulētajiem ES iekšzemes sakaru pakalpojumiem;</w:t>
      </w:r>
    </w:p>
    <w:p w:rsidR="00A05317" w:rsidRPr="004172BE" w:rsidRDefault="00A05317" w:rsidP="00D313FD">
      <w:pPr>
        <w:numPr>
          <w:ilvl w:val="1"/>
          <w:numId w:val="4"/>
        </w:numPr>
        <w:ind w:left="709" w:hanging="283"/>
        <w:jc w:val="both"/>
        <w:rPr>
          <w:rFonts w:ascii="Times New Roman" w:eastAsia="Arial" w:hAnsi="Times New Roman" w:cs="Arial"/>
          <w:noProof/>
          <w:sz w:val="24"/>
        </w:rPr>
      </w:pPr>
      <w:r>
        <w:rPr>
          <w:rFonts w:ascii="Times New Roman" w:hAnsi="Times New Roman"/>
          <w:i/>
          <w:sz w:val="24"/>
        </w:rPr>
        <w:t xml:space="preserve">vairumtirdzniecības ieņēmumi no visiem pakalpojumiem, kas sniegti trešiem operatoriem </w:t>
      </w:r>
      <w:r>
        <w:rPr>
          <w:rFonts w:ascii="Times New Roman" w:hAnsi="Times New Roman"/>
          <w:sz w:val="24"/>
        </w:rPr>
        <w:t>ir pieprasījuma iesniedzēja ieņēmumi par starpsavienojumu un viesabonēšanu par vairumtirdzniecības pakalpojumiem, kas piedāvāti trešām pusēm (savienojuma pabeigšana, tranzīta savienojums un ienākošā viesabonēšana);</w:t>
      </w:r>
    </w:p>
    <w:p w:rsidR="00A05317" w:rsidRPr="004172BE" w:rsidRDefault="00A05317" w:rsidP="00D313FD">
      <w:pPr>
        <w:numPr>
          <w:ilvl w:val="1"/>
          <w:numId w:val="4"/>
        </w:numPr>
        <w:ind w:left="709" w:hanging="283"/>
        <w:jc w:val="both"/>
        <w:rPr>
          <w:rFonts w:ascii="Times New Roman" w:eastAsia="Arial" w:hAnsi="Times New Roman" w:cs="Arial"/>
          <w:noProof/>
          <w:sz w:val="24"/>
        </w:rPr>
      </w:pPr>
      <w:r>
        <w:rPr>
          <w:rFonts w:ascii="Times New Roman" w:hAnsi="Times New Roman"/>
          <w:i/>
          <w:sz w:val="24"/>
        </w:rPr>
        <w:t xml:space="preserve">vairumtirdzniecības maksājumi par visiem pakalpojumiem, ko snieguši trešie operatori </w:t>
      </w:r>
      <w:r>
        <w:rPr>
          <w:rFonts w:ascii="Times New Roman" w:hAnsi="Times New Roman"/>
          <w:sz w:val="24"/>
        </w:rPr>
        <w:t>ir pieprasījuma iesniedzēja maksājumi par starpsavienojumu un viesabonēšanu par vairumtirdzniecības pakalpojumiem, kas iegādāti no trešām pusēm (savienojuma pabeigšana, tranzīta savienojums un izejošā viesabonēšana).</w:t>
      </w:r>
    </w:p>
    <w:p w:rsidR="00D313FD" w:rsidRDefault="00D313FD" w:rsidP="00D313FD">
      <w:pPr>
        <w:pStyle w:val="Pamatteksts"/>
        <w:tabs>
          <w:tab w:val="left" w:pos="1253"/>
        </w:tabs>
        <w:spacing w:before="0"/>
        <w:ind w:left="0"/>
        <w:jc w:val="both"/>
        <w:rPr>
          <w:rFonts w:ascii="Times New Roman" w:hAnsi="Times New Roman"/>
          <w:noProof/>
          <w:sz w:val="24"/>
        </w:rPr>
      </w:pPr>
    </w:p>
    <w:p w:rsidR="00A05317"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e) To saistīto un kopīgo izmaksu daļa, kas radušās par elektronisko sakaru mazumtirdzniecības pakalpojumu sniegšanu. Šajās saistītajās un kopīgajās izmaksās ir jāietver:</w:t>
      </w:r>
    </w:p>
    <w:p w:rsidR="00D313FD" w:rsidRPr="004172BE" w:rsidRDefault="00D313FD" w:rsidP="00D313FD">
      <w:pPr>
        <w:pStyle w:val="Pamatteksts"/>
        <w:tabs>
          <w:tab w:val="left" w:pos="1253"/>
        </w:tabs>
        <w:spacing w:before="0"/>
        <w:ind w:left="0"/>
        <w:jc w:val="both"/>
        <w:rPr>
          <w:rFonts w:ascii="Times New Roman" w:hAnsi="Times New Roman"/>
          <w:noProof/>
          <w:sz w:val="24"/>
        </w:rPr>
      </w:pPr>
    </w:p>
    <w:p w:rsidR="00A05317" w:rsidRPr="004172BE" w:rsidRDefault="00D313FD" w:rsidP="00D313FD">
      <w:pPr>
        <w:pStyle w:val="Pamatteksts"/>
        <w:tabs>
          <w:tab w:val="left" w:pos="1964"/>
        </w:tabs>
        <w:spacing w:before="0"/>
        <w:ind w:left="709"/>
        <w:jc w:val="both"/>
        <w:rPr>
          <w:rFonts w:ascii="Times New Roman" w:hAnsi="Times New Roman"/>
          <w:noProof/>
          <w:sz w:val="24"/>
        </w:rPr>
      </w:pPr>
      <w:r>
        <w:rPr>
          <w:rFonts w:ascii="Times New Roman" w:hAnsi="Times New Roman"/>
          <w:sz w:val="24"/>
        </w:rPr>
        <w:t>(i) rēķinu sagatavošanas un iekasēšanas izmaksas, tostarp visas izmaksas, kas saistītas ar esošā klienta rēķina apstrādi, aprēķiniem, sagatavošanu un paziņošanu;</w:t>
      </w:r>
    </w:p>
    <w:p w:rsidR="00A05317" w:rsidRPr="004172BE" w:rsidRDefault="00D313FD" w:rsidP="00D313FD">
      <w:pPr>
        <w:pStyle w:val="Pamatteksts"/>
        <w:tabs>
          <w:tab w:val="left" w:pos="1964"/>
        </w:tabs>
        <w:spacing w:before="0"/>
        <w:ind w:left="709"/>
        <w:jc w:val="both"/>
        <w:rPr>
          <w:rFonts w:ascii="Times New Roman" w:hAnsi="Times New Roman"/>
          <w:noProof/>
          <w:sz w:val="24"/>
        </w:rPr>
      </w:pPr>
      <w:r>
        <w:rPr>
          <w:rFonts w:ascii="Times New Roman" w:hAnsi="Times New Roman"/>
          <w:sz w:val="24"/>
        </w:rPr>
        <w:t>(ii) pārdošanas un izplatīšanas izmaksas, tostarp izmaksas par veikalu un citu izplatīšanas kanālu darbību elektronisko sakaru pakalpojumu pārdošanai;</w:t>
      </w:r>
    </w:p>
    <w:p w:rsidR="00A05317" w:rsidRPr="004172BE" w:rsidRDefault="00D313FD" w:rsidP="00D313FD">
      <w:pPr>
        <w:pStyle w:val="Pamatteksts"/>
        <w:tabs>
          <w:tab w:val="left" w:pos="1964"/>
        </w:tabs>
        <w:spacing w:before="0"/>
        <w:ind w:left="709"/>
        <w:jc w:val="both"/>
        <w:rPr>
          <w:rFonts w:ascii="Times New Roman" w:hAnsi="Times New Roman"/>
          <w:noProof/>
          <w:sz w:val="24"/>
        </w:rPr>
      </w:pPr>
      <w:r>
        <w:rPr>
          <w:rFonts w:ascii="Times New Roman" w:hAnsi="Times New Roman"/>
          <w:sz w:val="24"/>
        </w:rPr>
        <w:t>(iii) klientu apkalpošanas izmaksas, tostarp izmaksas par visu galalietotājam pieejamo klientu apkalpošanas dienestu darbību;</w:t>
      </w:r>
    </w:p>
    <w:p w:rsidR="00A05317" w:rsidRPr="004172BE" w:rsidRDefault="00D313FD" w:rsidP="00D313FD">
      <w:pPr>
        <w:pStyle w:val="Pamatteksts"/>
        <w:tabs>
          <w:tab w:val="left" w:pos="1964"/>
        </w:tabs>
        <w:spacing w:before="0"/>
        <w:ind w:left="709"/>
        <w:jc w:val="both"/>
        <w:rPr>
          <w:rFonts w:ascii="Times New Roman" w:hAnsi="Times New Roman"/>
          <w:noProof/>
          <w:sz w:val="24"/>
        </w:rPr>
      </w:pPr>
      <w:r>
        <w:rPr>
          <w:rFonts w:ascii="Times New Roman" w:hAnsi="Times New Roman"/>
          <w:sz w:val="24"/>
        </w:rPr>
        <w:t>(iv) bezcerīgo parādu pārvaldības izmaksas, tostarp izmaksas, kas radušās, norakstot klientu nenomaksājamos parādus un veicot bezcerīgo parādu piedziņu;</w:t>
      </w:r>
    </w:p>
    <w:p w:rsidR="00A05317" w:rsidRPr="004172BE" w:rsidRDefault="00D313FD" w:rsidP="00D313FD">
      <w:pPr>
        <w:pStyle w:val="Pamatteksts"/>
        <w:tabs>
          <w:tab w:val="left" w:pos="1964"/>
        </w:tabs>
        <w:spacing w:before="0"/>
        <w:ind w:left="709"/>
        <w:jc w:val="both"/>
        <w:rPr>
          <w:rFonts w:ascii="Times New Roman" w:hAnsi="Times New Roman"/>
          <w:noProof/>
          <w:sz w:val="24"/>
        </w:rPr>
      </w:pPr>
      <w:r>
        <w:rPr>
          <w:rFonts w:ascii="Times New Roman" w:hAnsi="Times New Roman"/>
          <w:sz w:val="24"/>
        </w:rPr>
        <w:t>(v) realizācijas izmaksas, tostarp visi izdevumi par reklāmu.</w:t>
      </w:r>
    </w:p>
    <w:p w:rsidR="00D313FD" w:rsidRDefault="00D313FD" w:rsidP="004172BE">
      <w:pPr>
        <w:pStyle w:val="Pamatteksts"/>
        <w:spacing w:before="0"/>
        <w:ind w:left="0"/>
        <w:jc w:val="both"/>
        <w:rPr>
          <w:rFonts w:ascii="Times New Roman" w:hAnsi="Times New Roman"/>
          <w:noProof/>
          <w:sz w:val="24"/>
        </w:rPr>
      </w:pPr>
    </w:p>
    <w:p w:rsidR="00A05317" w:rsidRPr="004172BE" w:rsidRDefault="00A05317" w:rsidP="004172BE">
      <w:pPr>
        <w:pStyle w:val="Pamatteksts"/>
        <w:spacing w:before="0"/>
        <w:ind w:left="0"/>
        <w:jc w:val="both"/>
        <w:rPr>
          <w:rFonts w:ascii="Times New Roman" w:hAnsi="Times New Roman"/>
          <w:noProof/>
          <w:sz w:val="24"/>
        </w:rPr>
      </w:pPr>
      <w:r>
        <w:rPr>
          <w:rFonts w:ascii="Times New Roman" w:hAnsi="Times New Roman"/>
          <w:sz w:val="24"/>
        </w:rPr>
        <w:t>e) punktā norādīto izmaksu daļai ir jābūt vienādai ar kopējo mazumtirdzniecības ieņēmumu, kas iegūti no regulētajiem ES iekšzemes sakaru pakalpojumiem, attiecību pret kopējiem mazumtirdzniecības ieņēmumiem par elektronisko sakaru pakalpojumiem. Proti, šo daļu aprēķina pēc turpmāk norādītās formulas.</w:t>
      </w:r>
    </w:p>
    <w:p w:rsidR="003824FF" w:rsidRDefault="003824FF">
      <w:pPr>
        <w:rPr>
          <w:rFonts w:ascii="Times New Roman" w:eastAsia="Cambria Math" w:hAnsi="Times New Roman" w:cs="Cambria Math"/>
          <w:noProof/>
          <w:sz w:val="24"/>
        </w:rPr>
      </w:pPr>
      <w:r>
        <w:rPr>
          <w:rFonts w:ascii="Times New Roman" w:eastAsia="Cambria Math" w:hAnsi="Times New Roman" w:cs="Cambria Math"/>
          <w:noProof/>
          <w:sz w:val="24"/>
        </w:rPr>
        <w:br w:type="page"/>
      </w:r>
    </w:p>
    <w:p w:rsidR="00D313FD" w:rsidRDefault="00D313FD" w:rsidP="004172BE">
      <w:pPr>
        <w:pStyle w:val="Pamatteksts"/>
        <w:spacing w:before="0"/>
        <w:ind w:left="0"/>
        <w:jc w:val="both"/>
        <w:rPr>
          <w:rFonts w:ascii="Times New Roman" w:eastAsia="Cambria Math" w:hAnsi="Times New Roman" w:cs="Cambria Math"/>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313FD" w:rsidTr="003824FF">
        <w:tc>
          <w:tcPr>
            <w:tcW w:w="9291" w:type="dxa"/>
            <w:tcBorders>
              <w:bottom w:val="single" w:sz="4" w:space="0" w:color="auto"/>
            </w:tcBorders>
          </w:tcPr>
          <w:p w:rsidR="00D313FD" w:rsidRPr="00D313FD" w:rsidRDefault="00D313FD" w:rsidP="00D313FD">
            <w:pPr>
              <w:pStyle w:val="Pamatteksts"/>
              <w:spacing w:before="0"/>
              <w:ind w:left="0"/>
              <w:jc w:val="center"/>
              <w:rPr>
                <w:rFonts w:ascii="Times New Roman" w:eastAsia="Cambria Math" w:hAnsi="Times New Roman" w:cs="Cambria Math"/>
                <w:b/>
                <w:noProof/>
                <w:sz w:val="24"/>
              </w:rPr>
            </w:pPr>
            <w:r>
              <w:rPr>
                <w:rFonts w:ascii="Times New Roman" w:hAnsi="Times New Roman"/>
                <w:b/>
                <w:sz w:val="24"/>
              </w:rPr>
              <w:t>Kopējie mazumtirdzniecības ieņēmumi no regulētajiem ES iekšzemes sakaru pakalpojumiem</w:t>
            </w:r>
          </w:p>
        </w:tc>
      </w:tr>
      <w:tr w:rsidR="00D313FD" w:rsidTr="003824FF">
        <w:tc>
          <w:tcPr>
            <w:tcW w:w="9291" w:type="dxa"/>
            <w:tcBorders>
              <w:top w:val="single" w:sz="4" w:space="0" w:color="auto"/>
            </w:tcBorders>
          </w:tcPr>
          <w:p w:rsidR="00D313FD" w:rsidRPr="00D313FD" w:rsidRDefault="00D313FD" w:rsidP="00D313FD">
            <w:pPr>
              <w:pStyle w:val="Pamatteksts"/>
              <w:spacing w:before="0"/>
              <w:ind w:left="0"/>
              <w:jc w:val="center"/>
              <w:rPr>
                <w:rFonts w:ascii="Times New Roman" w:eastAsia="Cambria Math" w:hAnsi="Times New Roman" w:cs="Cambria Math"/>
                <w:b/>
                <w:noProof/>
                <w:sz w:val="24"/>
              </w:rPr>
            </w:pPr>
            <w:r>
              <w:rPr>
                <w:rFonts w:ascii="Times New Roman" w:hAnsi="Times New Roman"/>
                <w:b/>
                <w:sz w:val="24"/>
              </w:rPr>
              <w:t>Kopējie mazumtirdzniecības ieņēmumi par elektronisko sakaru pakalpojumiem.</w:t>
            </w:r>
          </w:p>
        </w:tc>
      </w:tr>
    </w:tbl>
    <w:p w:rsidR="00D313FD" w:rsidRDefault="00D313FD" w:rsidP="004172BE">
      <w:pPr>
        <w:pStyle w:val="Pamatteksts"/>
        <w:spacing w:before="0"/>
        <w:ind w:left="0"/>
        <w:jc w:val="both"/>
        <w:rPr>
          <w:rFonts w:ascii="Times New Roman" w:eastAsia="Cambria Math" w:hAnsi="Times New Roman" w:cs="Cambria Math"/>
          <w:noProof/>
          <w:sz w:val="24"/>
        </w:rPr>
      </w:pPr>
    </w:p>
    <w:p w:rsidR="00A05317" w:rsidRPr="004172BE" w:rsidRDefault="00D313FD" w:rsidP="00D313FD">
      <w:pPr>
        <w:pStyle w:val="Pamatteksts"/>
        <w:tabs>
          <w:tab w:val="left" w:pos="1253"/>
        </w:tabs>
        <w:spacing w:before="0"/>
        <w:ind w:left="426"/>
        <w:jc w:val="both"/>
        <w:rPr>
          <w:rFonts w:ascii="Times New Roman" w:hAnsi="Times New Roman"/>
          <w:noProof/>
          <w:sz w:val="24"/>
        </w:rPr>
      </w:pPr>
      <w:r>
        <w:rPr>
          <w:rFonts w:ascii="Times New Roman" w:hAnsi="Times New Roman"/>
          <w:sz w:val="24"/>
        </w:rPr>
        <w:t>f) Summa, kas segs pieprasījuma iesniedzēja vispārējās un administratīvās izmaksas (</w:t>
      </w:r>
      <w:r>
        <w:rPr>
          <w:rFonts w:ascii="Times New Roman" w:hAnsi="Times New Roman"/>
          <w:i/>
          <w:iCs/>
          <w:sz w:val="24"/>
        </w:rPr>
        <w:t>G&amp;A</w:t>
      </w:r>
      <w:r>
        <w:rPr>
          <w:rFonts w:ascii="Times New Roman" w:hAnsi="Times New Roman"/>
          <w:sz w:val="24"/>
        </w:rPr>
        <w:t>). Lai aprēķinātu šo summu, attiecīgais uzcenojums tiktu aprēķināts, izmantojot turpmāk norādīto formulu.</w:t>
      </w:r>
    </w:p>
    <w:p w:rsidR="00D313FD" w:rsidRDefault="00D313FD" w:rsidP="004172BE">
      <w:pPr>
        <w:jc w:val="both"/>
        <w:rPr>
          <w:rFonts w:ascii="Times New Roman" w:hAnsi="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313FD" w:rsidTr="003824FF">
        <w:tc>
          <w:tcPr>
            <w:tcW w:w="9291" w:type="dxa"/>
            <w:tcBorders>
              <w:bottom w:val="single" w:sz="4" w:space="0" w:color="auto"/>
            </w:tcBorders>
          </w:tcPr>
          <w:p w:rsidR="00D313FD" w:rsidRPr="00D313FD" w:rsidRDefault="00D313FD" w:rsidP="00D313FD">
            <w:pPr>
              <w:jc w:val="center"/>
              <w:rPr>
                <w:rFonts w:ascii="Times New Roman" w:hAnsi="Times New Roman"/>
                <w:b/>
                <w:noProof/>
                <w:sz w:val="24"/>
              </w:rPr>
            </w:pPr>
            <w:r>
              <w:rPr>
                <w:rFonts w:ascii="Times New Roman" w:hAnsi="Times New Roman"/>
                <w:b/>
                <w:sz w:val="24"/>
              </w:rPr>
              <w:t>Pieprasījuma iesniedzēja kopējās vispārējās un administratīvās izmaksas (</w:t>
            </w:r>
            <w:r>
              <w:rPr>
                <w:rFonts w:ascii="Times New Roman" w:hAnsi="Times New Roman"/>
                <w:b/>
                <w:i/>
                <w:iCs/>
                <w:sz w:val="24"/>
              </w:rPr>
              <w:t>G&amp;A</w:t>
            </w:r>
            <w:r>
              <w:rPr>
                <w:rFonts w:ascii="Times New Roman" w:hAnsi="Times New Roman"/>
                <w:b/>
                <w:sz w:val="24"/>
              </w:rPr>
              <w:t>)</w:t>
            </w:r>
          </w:p>
        </w:tc>
      </w:tr>
      <w:tr w:rsidR="00D313FD" w:rsidTr="003824FF">
        <w:tc>
          <w:tcPr>
            <w:tcW w:w="9291" w:type="dxa"/>
            <w:tcBorders>
              <w:top w:val="single" w:sz="4" w:space="0" w:color="auto"/>
            </w:tcBorders>
          </w:tcPr>
          <w:p w:rsidR="00D313FD" w:rsidRPr="00D313FD" w:rsidRDefault="00D313FD" w:rsidP="00D313FD">
            <w:pPr>
              <w:jc w:val="center"/>
              <w:rPr>
                <w:rFonts w:ascii="Times New Roman" w:hAnsi="Times New Roman"/>
                <w:b/>
                <w:noProof/>
                <w:sz w:val="24"/>
              </w:rPr>
            </w:pPr>
            <w:r>
              <w:rPr>
                <w:rFonts w:ascii="Times New Roman" w:hAnsi="Times New Roman"/>
                <w:b/>
                <w:sz w:val="24"/>
              </w:rPr>
              <w:t xml:space="preserve">Pieprasījuma iesniedzēja kopējās (tīkla, mazumtirdzniecības, vairumtirdzniecības u. tml.) izmaksas, izņemot </w:t>
            </w:r>
            <w:r>
              <w:rPr>
                <w:rFonts w:ascii="Times New Roman" w:hAnsi="Times New Roman"/>
                <w:b/>
                <w:i/>
                <w:iCs/>
                <w:sz w:val="24"/>
              </w:rPr>
              <w:t>G&amp;A</w:t>
            </w:r>
          </w:p>
        </w:tc>
      </w:tr>
    </w:tbl>
    <w:p w:rsidR="00D313FD" w:rsidRDefault="00D313FD" w:rsidP="004172BE">
      <w:pPr>
        <w:jc w:val="both"/>
        <w:rPr>
          <w:rFonts w:ascii="Times New Roman" w:hAnsi="Times New Roman"/>
          <w:noProof/>
          <w:sz w:val="24"/>
        </w:rPr>
      </w:pPr>
    </w:p>
    <w:p w:rsidR="00A05317" w:rsidRPr="004172BE" w:rsidRDefault="00A05317" w:rsidP="00D313FD">
      <w:pPr>
        <w:pStyle w:val="Pamatteksts"/>
        <w:spacing w:before="0"/>
        <w:ind w:left="426"/>
        <w:jc w:val="both"/>
        <w:rPr>
          <w:rFonts w:ascii="Times New Roman" w:hAnsi="Times New Roman"/>
          <w:noProof/>
          <w:sz w:val="24"/>
        </w:rPr>
      </w:pPr>
      <w:r>
        <w:rPr>
          <w:rFonts w:ascii="Times New Roman" w:hAnsi="Times New Roman"/>
          <w:sz w:val="24"/>
        </w:rPr>
        <w:t xml:space="preserve">Attiecīgās </w:t>
      </w:r>
      <w:r>
        <w:rPr>
          <w:rFonts w:ascii="Times New Roman" w:hAnsi="Times New Roman"/>
          <w:i/>
          <w:iCs/>
          <w:sz w:val="24"/>
        </w:rPr>
        <w:t>G&amp;A</w:t>
      </w:r>
      <w:r>
        <w:rPr>
          <w:rFonts w:ascii="Times New Roman" w:hAnsi="Times New Roman"/>
          <w:sz w:val="24"/>
        </w:rPr>
        <w:t xml:space="preserve"> tiks aprēķinātas, ņemot vērā to regulēto ES iekšzemes sakaru pakalpojumu izmaksu, kas jau ir aprēķinātas, summu un iepriekš aprēķināto uzcenojumu.</w:t>
      </w:r>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52. Pieprasījuma iesniedzējam ir jāsniedz visi nepieciešamie dati, kas izmantoti, lai noteiktu peļņu (gadījumā, kad regula ir ieviesta, un gadījumā, kad tā nav ieviesta) par regulētajiem ES iekšzemes sakaru pakalpojumiem un </w:t>
      </w:r>
      <w:r>
        <w:rPr>
          <w:rFonts w:ascii="Times New Roman" w:hAnsi="Times New Roman"/>
          <w:i/>
          <w:iCs/>
          <w:sz w:val="24"/>
        </w:rPr>
        <w:t>EBITDA</w:t>
      </w:r>
      <w:r>
        <w:rPr>
          <w:rFonts w:ascii="Times New Roman" w:hAnsi="Times New Roman"/>
          <w:sz w:val="24"/>
        </w:rPr>
        <w:t xml:space="preserve"> no sakaru pakalpojumiem (gadījumā, ja tā nav vēl publicēta).</w:t>
      </w:r>
    </w:p>
    <w:p w:rsidR="00A05317" w:rsidRPr="004172BE" w:rsidRDefault="00A05317" w:rsidP="004172BE">
      <w:pPr>
        <w:jc w:val="both"/>
        <w:rPr>
          <w:rFonts w:ascii="Times New Roman" w:eastAsia="Arial" w:hAnsi="Times New Roman" w:cs="Arial"/>
          <w:noProof/>
          <w:sz w:val="24"/>
          <w:szCs w:val="21"/>
        </w:rPr>
      </w:pPr>
    </w:p>
    <w:p w:rsidR="00A05317" w:rsidRPr="004172BE" w:rsidRDefault="00A05317" w:rsidP="004172BE">
      <w:pPr>
        <w:pStyle w:val="Virsraksts2"/>
        <w:ind w:left="0"/>
        <w:jc w:val="both"/>
        <w:rPr>
          <w:rFonts w:ascii="Times New Roman" w:hAnsi="Times New Roman"/>
          <w:noProof/>
        </w:rPr>
      </w:pPr>
      <w:bookmarkStart w:id="64" w:name="Deadlines"/>
      <w:bookmarkStart w:id="65" w:name="_bookmark24"/>
      <w:bookmarkStart w:id="66" w:name="_Toc17270005"/>
      <w:bookmarkStart w:id="67" w:name="_Toc17271255"/>
      <w:bookmarkStart w:id="68" w:name="_Toc19626757"/>
      <w:bookmarkEnd w:id="64"/>
      <w:bookmarkEnd w:id="65"/>
      <w:r>
        <w:rPr>
          <w:rFonts w:ascii="Times New Roman" w:hAnsi="Times New Roman"/>
        </w:rPr>
        <w:t>Termiņi</w:t>
      </w:r>
      <w:bookmarkEnd w:id="66"/>
      <w:bookmarkEnd w:id="67"/>
      <w:bookmarkEnd w:id="68"/>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53. Lai valstu regulatīvās iestādes varētu pieprasījumus par atkāpi apmierināt no 2019. gada 15. maija, kad šī regula stājas spēkā, pieprasījumu iesniegušajiem operatoriem ir iepriekš jāinformē savas valstu regulatīvās iestādes par savu nodomu lūgt piešķirt atkāpi un jāiesniedz aizpildīts pieprasījums, kurā ietverta visa nepieciešamā informācija un dati, vismaz vienu mēnesi pirms 2019. gada 15. maija. Tādējādi valsts regulatīvajai iestādei tiktu dots pietiekami ilgs laiks, lai pienācīgi izvērtētu jebkuru pieprasījumu par atkāpi. Ja operators iesniedz savu pieprasījumu par atkāpi vēlāk nekā 2019. gada 15. aprīlī vai ja pieprasījums ir nepilnīgs, nav sagaidāms, ka valsts regulatīvā iestāde sniegs atbildi pieprasījumu iesniegušajam operatoram vai pieņems lēmumu, ja tas būs nepieciešams, pirms 2019. gada 15. maija. Minimālais viena mēneša termiņš pieprasījuma izvērtēšanai ir jāattiecina arī uz pieprasījumiem, kas saņemti pēc 2019. gada 15. maija.</w:t>
      </w:r>
    </w:p>
    <w:p w:rsidR="00A05317" w:rsidRPr="004172BE" w:rsidRDefault="00D313FD" w:rsidP="00D313FD">
      <w:pPr>
        <w:pStyle w:val="Pamatteksts"/>
        <w:tabs>
          <w:tab w:val="left" w:pos="839"/>
        </w:tabs>
        <w:spacing w:before="0"/>
        <w:ind w:left="0"/>
        <w:jc w:val="both"/>
        <w:rPr>
          <w:rFonts w:ascii="Times New Roman" w:hAnsi="Times New Roman"/>
          <w:noProof/>
          <w:sz w:val="24"/>
        </w:rPr>
      </w:pPr>
      <w:r>
        <w:rPr>
          <w:rFonts w:ascii="Times New Roman" w:hAnsi="Times New Roman"/>
          <w:sz w:val="24"/>
        </w:rPr>
        <w:t>54. Atkāpe, kas ļauj pārsniegt maksimālos cenu griestus, ir jāpiešķir par 12 mēnešu periodu. Lai pēc šī perioda varētu atjaunot atļauju attiecībā uz atkāpi, operatoram ir jāatjaunina visa nepieciešamā informācija un jāiesniedz tā valsts regulatīvajai iestādei, ņemot vērā to, ka valsts regulatīvajai iestādei ir jābūt vismaz vienam mēnesim, lai izvērtētu pieprasījumu par esošās atkāpes atjaunošanu.</w:t>
      </w:r>
    </w:p>
    <w:p w:rsidR="00A05317" w:rsidRPr="004172BE" w:rsidRDefault="00D313FD" w:rsidP="00D313FD">
      <w:pPr>
        <w:pStyle w:val="Pamatteksts"/>
        <w:tabs>
          <w:tab w:val="left" w:pos="839"/>
        </w:tabs>
        <w:spacing w:before="0"/>
        <w:ind w:left="0"/>
        <w:jc w:val="both"/>
        <w:rPr>
          <w:rFonts w:ascii="Times New Roman" w:hAnsi="Times New Roman"/>
          <w:noProof/>
          <w:sz w:val="24"/>
        </w:rPr>
      </w:pPr>
      <w:r>
        <w:rPr>
          <w:rFonts w:ascii="Times New Roman" w:hAnsi="Times New Roman"/>
          <w:sz w:val="24"/>
        </w:rPr>
        <w:t>55. Ja pieprasījums ir acīm redzami nepamatots vai ja tajā sniegtā informācija ir nepietiekama, valsts regulatīvās iestādes galīgais lēmums ir jāpieņem turpmāko divu mēnešu laikā. Šajā periodā valsts regulatīvajai iestādei ir jāsniedz pieprasījumu iesniegušajam operatoram iespēja tikt uzklausītam un jāpieņem galīgais lēmums, atļaujot, mainot vai noraidot papildmaksu(-as), ko piedāvājis noteikt operators.</w:t>
      </w:r>
    </w:p>
    <w:p w:rsidR="00A05317" w:rsidRPr="004172BE" w:rsidRDefault="00D313FD" w:rsidP="00D313FD">
      <w:pPr>
        <w:pStyle w:val="Pamatteksts"/>
        <w:tabs>
          <w:tab w:val="left" w:pos="839"/>
        </w:tabs>
        <w:spacing w:before="0"/>
        <w:ind w:left="0"/>
        <w:jc w:val="both"/>
        <w:rPr>
          <w:rFonts w:ascii="Times New Roman" w:hAnsi="Times New Roman"/>
          <w:noProof/>
          <w:sz w:val="24"/>
        </w:rPr>
      </w:pPr>
      <w:r>
        <w:rPr>
          <w:rFonts w:ascii="Times New Roman" w:hAnsi="Times New Roman"/>
          <w:sz w:val="24"/>
        </w:rPr>
        <w:t>56. Gadījumā, ja operatoriem, kas vēlas noteikt papildmaksas, tiek piešķirta atkāpe, tiem ir jāizpilda visas savas valsts normas attiecībā uz noteikumu un nosacījumu atklātumu vai izmaiņām (piemēram, cenu izmaiņu savlaicīga publicēšana, līgumslēgšanas jautājumi, kad nepieciešamas izņēmuma tiesības lauzt līgumus u. tml.).</w:t>
      </w:r>
    </w:p>
    <w:p w:rsidR="003824FF" w:rsidRDefault="003824FF">
      <w:pPr>
        <w:rPr>
          <w:rFonts w:ascii="Times New Roman" w:eastAsia="Arial" w:hAnsi="Times New Roman" w:cs="Arial"/>
          <w:noProof/>
          <w:sz w:val="24"/>
          <w:szCs w:val="20"/>
        </w:rPr>
      </w:pPr>
      <w:r>
        <w:rPr>
          <w:rFonts w:ascii="Times New Roman" w:eastAsia="Arial" w:hAnsi="Times New Roman" w:cs="Arial"/>
          <w:noProof/>
          <w:sz w:val="24"/>
          <w:szCs w:val="20"/>
        </w:rPr>
        <w:br w:type="page"/>
      </w:r>
    </w:p>
    <w:p w:rsidR="00A05317" w:rsidRPr="004172BE" w:rsidRDefault="00A05317" w:rsidP="004172BE">
      <w:pPr>
        <w:jc w:val="both"/>
        <w:rPr>
          <w:rFonts w:ascii="Times New Roman" w:eastAsia="Arial" w:hAnsi="Times New Roman" w:cs="Arial"/>
          <w:noProof/>
          <w:sz w:val="24"/>
          <w:szCs w:val="20"/>
        </w:rPr>
      </w:pPr>
    </w:p>
    <w:p w:rsidR="00A05317" w:rsidRPr="004172BE" w:rsidRDefault="00A05317" w:rsidP="004172BE">
      <w:pPr>
        <w:pStyle w:val="Virsraksts2"/>
        <w:ind w:left="0"/>
        <w:jc w:val="both"/>
        <w:rPr>
          <w:rFonts w:ascii="Times New Roman" w:hAnsi="Times New Roman"/>
          <w:noProof/>
        </w:rPr>
      </w:pPr>
      <w:bookmarkStart w:id="69" w:name="Assessment_of_the_application"/>
      <w:bookmarkStart w:id="70" w:name="_bookmark25"/>
      <w:bookmarkStart w:id="71" w:name="_Toc17270006"/>
      <w:bookmarkStart w:id="72" w:name="_Toc17271256"/>
      <w:bookmarkStart w:id="73" w:name="_Toc19626758"/>
      <w:bookmarkEnd w:id="69"/>
      <w:bookmarkEnd w:id="70"/>
      <w:r>
        <w:rPr>
          <w:rFonts w:ascii="Times New Roman" w:hAnsi="Times New Roman"/>
        </w:rPr>
        <w:t>Pieprasījuma novērtēšana</w:t>
      </w:r>
      <w:bookmarkEnd w:id="71"/>
      <w:bookmarkEnd w:id="72"/>
      <w:bookmarkEnd w:id="73"/>
    </w:p>
    <w:p w:rsidR="00D313FD" w:rsidRDefault="00D313FD" w:rsidP="00D313FD">
      <w:pPr>
        <w:pStyle w:val="Pamatteksts"/>
        <w:tabs>
          <w:tab w:val="left" w:pos="840"/>
        </w:tabs>
        <w:spacing w:before="0"/>
        <w:ind w:left="0"/>
        <w:jc w:val="both"/>
        <w:rPr>
          <w:rFonts w:ascii="Times New Roman" w:hAnsi="Times New Roman"/>
          <w:noProof/>
          <w:sz w:val="24"/>
        </w:rPr>
      </w:pP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57. Valsts regulatīvajai iestādei, kas saņem pieprasījumu, vispirms ir jāsalīdzina pieprasījuma iesniedzēja sniegto regulēto ES iekšzemes pakalpojumu datplūsmas proporcijas ar </w:t>
      </w:r>
      <w:r>
        <w:rPr>
          <w:rFonts w:ascii="Times New Roman" w:hAnsi="Times New Roman"/>
          <w:i/>
          <w:iCs/>
          <w:sz w:val="24"/>
        </w:rPr>
        <w:t>BEREC</w:t>
      </w:r>
      <w:r>
        <w:rPr>
          <w:rFonts w:ascii="Times New Roman" w:hAnsi="Times New Roman"/>
          <w:sz w:val="24"/>
        </w:rPr>
        <w:t xml:space="preserve"> robežvērtību. Gadījumā, ja attiecīgā daļa ir lielāka par </w:t>
      </w:r>
      <w:r>
        <w:rPr>
          <w:rFonts w:ascii="Times New Roman" w:hAnsi="Times New Roman"/>
          <w:i/>
          <w:iCs/>
          <w:sz w:val="24"/>
        </w:rPr>
        <w:t>BEREC</w:t>
      </w:r>
      <w:r>
        <w:rPr>
          <w:rFonts w:ascii="Times New Roman" w:hAnsi="Times New Roman"/>
          <w:sz w:val="24"/>
        </w:rPr>
        <w:t xml:space="preserve"> robežvērtību vismaz vienam pakalpojumam, valsts regulatīvajai iestādei ir jāuzsāk ietekmes uz pieprasījuma iesniedzēja iekšzemes pakalpojuma cenu modeli pārbaude, lai varētu izlemt, vai var piešķirt atkāpi.</w:t>
      </w:r>
    </w:p>
    <w:p w:rsidR="00A05317" w:rsidRPr="004172BE" w:rsidRDefault="00D313FD" w:rsidP="00D313FD">
      <w:pPr>
        <w:pStyle w:val="Pamatteksts"/>
        <w:tabs>
          <w:tab w:val="left" w:pos="840"/>
        </w:tabs>
        <w:spacing w:before="0"/>
        <w:ind w:left="0"/>
        <w:jc w:val="both"/>
        <w:rPr>
          <w:rFonts w:ascii="Times New Roman" w:hAnsi="Times New Roman"/>
          <w:noProof/>
          <w:sz w:val="24"/>
        </w:rPr>
      </w:pPr>
      <w:r>
        <w:rPr>
          <w:rFonts w:ascii="Times New Roman" w:hAnsi="Times New Roman"/>
          <w:sz w:val="24"/>
        </w:rPr>
        <w:t>58. Gadījumā, ja [(</w:t>
      </w:r>
      <w:r>
        <w:rPr>
          <w:rFonts w:ascii="Times New Roman" w:hAnsi="Times New Roman"/>
          <w:i/>
          <w:iCs/>
          <w:sz w:val="24"/>
        </w:rPr>
        <w:t>Margin</w:t>
      </w:r>
      <w:r>
        <w:rPr>
          <w:rFonts w:ascii="Times New Roman" w:hAnsi="Times New Roman"/>
          <w:i/>
          <w:iCs/>
          <w:sz w:val="24"/>
          <w:szCs w:val="14"/>
          <w:vertAlign w:val="subscript"/>
        </w:rPr>
        <w:t>noreg</w:t>
      </w:r>
      <w:r>
        <w:rPr>
          <w:rFonts w:ascii="Times New Roman" w:hAnsi="Times New Roman"/>
          <w:sz w:val="24"/>
        </w:rPr>
        <w:t>)-(</w:t>
      </w:r>
      <w:r>
        <w:rPr>
          <w:rFonts w:ascii="Times New Roman" w:hAnsi="Times New Roman"/>
          <w:i/>
          <w:iCs/>
          <w:sz w:val="24"/>
        </w:rPr>
        <w:t>Margin</w:t>
      </w:r>
      <w:r>
        <w:rPr>
          <w:rFonts w:ascii="Times New Roman" w:hAnsi="Times New Roman"/>
          <w:i/>
          <w:iCs/>
          <w:sz w:val="24"/>
          <w:szCs w:val="14"/>
          <w:vertAlign w:val="subscript"/>
        </w:rPr>
        <w:t>reg</w:t>
      </w:r>
      <w:r>
        <w:rPr>
          <w:rFonts w:ascii="Times New Roman" w:hAnsi="Times New Roman"/>
          <w:sz w:val="24"/>
        </w:rPr>
        <w:t xml:space="preserve">)]/(regulēto ES iekšzemes pakalpojumu peļņa </w:t>
      </w:r>
      <w:r>
        <w:rPr>
          <w:rFonts w:ascii="Times New Roman" w:hAnsi="Times New Roman"/>
          <w:i/>
          <w:iCs/>
          <w:sz w:val="24"/>
        </w:rPr>
        <w:t>Margin</w:t>
      </w:r>
      <w:r>
        <w:rPr>
          <w:rFonts w:ascii="Times New Roman" w:hAnsi="Times New Roman"/>
          <w:i/>
          <w:iCs/>
          <w:sz w:val="24"/>
          <w:szCs w:val="14"/>
          <w:vertAlign w:val="subscript"/>
        </w:rPr>
        <w:t>com</w:t>
      </w:r>
      <w:r>
        <w:rPr>
          <w:rFonts w:ascii="Times New Roman" w:hAnsi="Times New Roman"/>
          <w:sz w:val="24"/>
        </w:rPr>
        <w:t>)&gt;3 % (ja regulēto ES iekšzemes pakalpojumu peļņa ir negatīva), vai gadījumā, ja [(</w:t>
      </w:r>
      <w:r>
        <w:rPr>
          <w:rFonts w:ascii="Times New Roman" w:hAnsi="Times New Roman"/>
          <w:i/>
          <w:iCs/>
          <w:sz w:val="24"/>
        </w:rPr>
        <w:t>Margin</w:t>
      </w:r>
      <w:r>
        <w:rPr>
          <w:rFonts w:ascii="Times New Roman" w:hAnsi="Times New Roman"/>
          <w:i/>
          <w:iCs/>
          <w:sz w:val="24"/>
          <w:szCs w:val="14"/>
          <w:vertAlign w:val="subscript"/>
        </w:rPr>
        <w:t>noreg</w:t>
      </w:r>
      <w:r>
        <w:rPr>
          <w:rFonts w:ascii="Times New Roman" w:hAnsi="Times New Roman"/>
          <w:sz w:val="24"/>
        </w:rPr>
        <w:t>)-(</w:t>
      </w:r>
      <w:r>
        <w:rPr>
          <w:rFonts w:ascii="Times New Roman" w:hAnsi="Times New Roman"/>
          <w:i/>
          <w:iCs/>
          <w:sz w:val="24"/>
        </w:rPr>
        <w:t>Margin</w:t>
      </w:r>
      <w:r>
        <w:rPr>
          <w:rFonts w:ascii="Times New Roman" w:hAnsi="Times New Roman"/>
          <w:i/>
          <w:iCs/>
          <w:sz w:val="24"/>
          <w:szCs w:val="14"/>
          <w:vertAlign w:val="subscript"/>
        </w:rPr>
        <w:t>reg</w:t>
      </w:r>
      <w:r>
        <w:rPr>
          <w:rFonts w:ascii="Times New Roman" w:hAnsi="Times New Roman"/>
          <w:sz w:val="24"/>
        </w:rPr>
        <w:t>)]/(</w:t>
      </w:r>
      <w:r>
        <w:rPr>
          <w:rFonts w:ascii="Times New Roman" w:hAnsi="Times New Roman"/>
          <w:i/>
          <w:iCs/>
          <w:sz w:val="24"/>
        </w:rPr>
        <w:t>Margin</w:t>
      </w:r>
      <w:r>
        <w:rPr>
          <w:rFonts w:ascii="Times New Roman" w:hAnsi="Times New Roman"/>
          <w:i/>
          <w:iCs/>
          <w:sz w:val="24"/>
          <w:szCs w:val="14"/>
          <w:vertAlign w:val="subscript"/>
        </w:rPr>
        <w:t>com</w:t>
      </w:r>
      <w:r>
        <w:rPr>
          <w:rFonts w:ascii="Times New Roman" w:hAnsi="Times New Roman"/>
          <w:sz w:val="24"/>
        </w:rPr>
        <w:t>)&gt;9 % (ja regulēto ES iekšzemes pakalpojumu peļņa ir pozitīva), var secināt, ka cenu griestu piemērošana būtiski ietekmētu pieprasījuma iesniedzēja spēju saglabāt esošās iekšzemes sakaru pakalpojumu cenas.</w:t>
      </w:r>
    </w:p>
    <w:p w:rsidR="00A05317" w:rsidRPr="004172BE" w:rsidRDefault="00C14B4E" w:rsidP="00C14B4E">
      <w:pPr>
        <w:pStyle w:val="Pamatteksts"/>
        <w:tabs>
          <w:tab w:val="left" w:pos="840"/>
        </w:tabs>
        <w:spacing w:before="0"/>
        <w:ind w:left="0"/>
        <w:jc w:val="both"/>
        <w:rPr>
          <w:rFonts w:ascii="Times New Roman" w:hAnsi="Times New Roman"/>
          <w:noProof/>
          <w:sz w:val="24"/>
        </w:rPr>
      </w:pPr>
      <w:r>
        <w:rPr>
          <w:rFonts w:ascii="Times New Roman" w:hAnsi="Times New Roman"/>
          <w:sz w:val="24"/>
          <w:szCs w:val="20"/>
        </w:rPr>
        <w:t xml:space="preserve">59. </w:t>
      </w:r>
      <w:r>
        <w:rPr>
          <w:rFonts w:ascii="Times New Roman" w:hAnsi="Times New Roman"/>
          <w:sz w:val="24"/>
        </w:rPr>
        <w:t>Valstu regulatīvās iestādes var veikt pieprasījuma iesniedzēja peļņas aprēķina pamatotības kontrolpārbaudi. Veicot apstiprināšanas procedūru, valstu regulatīvās iestādes var izmantot šādus datus:</w:t>
      </w:r>
    </w:p>
    <w:p w:rsidR="00C14B4E" w:rsidRDefault="00C14B4E" w:rsidP="00C14B4E">
      <w:pPr>
        <w:pStyle w:val="Pamatteksts"/>
        <w:tabs>
          <w:tab w:val="left" w:pos="1253"/>
        </w:tabs>
        <w:spacing w:before="0"/>
        <w:ind w:left="0"/>
        <w:jc w:val="both"/>
        <w:rPr>
          <w:rFonts w:ascii="Times New Roman" w:hAnsi="Times New Roman"/>
          <w:noProof/>
          <w:sz w:val="24"/>
        </w:rPr>
      </w:pPr>
    </w:p>
    <w:p w:rsidR="00A05317" w:rsidRPr="004172BE" w:rsidRDefault="00C14B4E" w:rsidP="00C14B4E">
      <w:pPr>
        <w:pStyle w:val="Pamatteksts"/>
        <w:tabs>
          <w:tab w:val="left" w:pos="1253"/>
        </w:tabs>
        <w:spacing w:before="0"/>
        <w:ind w:left="426"/>
        <w:jc w:val="both"/>
        <w:rPr>
          <w:rFonts w:ascii="Times New Roman" w:hAnsi="Times New Roman"/>
          <w:noProof/>
          <w:sz w:val="24"/>
        </w:rPr>
      </w:pPr>
      <w:r>
        <w:rPr>
          <w:rFonts w:ascii="Times New Roman" w:hAnsi="Times New Roman"/>
          <w:sz w:val="24"/>
        </w:rPr>
        <w:t xml:space="preserve">a) tīkla izveidošanas izmaksas ir jāaprēķina operatoram, bet valsts regulatīvā iestāde tās var salīdzināt ar izmaksām, kas iegūtas no savas valsts izmaksu aprēķināšanas modeļiem (izmantojot augšupejošo vai lejupejošo aprēķinu) vai </w:t>
      </w:r>
      <w:r>
        <w:rPr>
          <w:rFonts w:ascii="Times New Roman" w:hAnsi="Times New Roman"/>
          <w:i/>
          <w:iCs/>
          <w:sz w:val="24"/>
        </w:rPr>
        <w:t>Axon</w:t>
      </w:r>
      <w:r>
        <w:rPr>
          <w:rFonts w:ascii="Times New Roman" w:hAnsi="Times New Roman"/>
          <w:sz w:val="24"/>
        </w:rPr>
        <w:t xml:space="preserve"> izmaksu aprēķināšanas modeļa, ko pasūtījusi EK;</w:t>
      </w:r>
    </w:p>
    <w:p w:rsidR="00A05317" w:rsidRPr="004172BE" w:rsidRDefault="00C14B4E" w:rsidP="00C14B4E">
      <w:pPr>
        <w:pStyle w:val="Pamatteksts"/>
        <w:tabs>
          <w:tab w:val="left" w:pos="1253"/>
        </w:tabs>
        <w:spacing w:before="0"/>
        <w:ind w:left="426"/>
        <w:jc w:val="both"/>
        <w:rPr>
          <w:rFonts w:ascii="Times New Roman" w:hAnsi="Times New Roman"/>
          <w:noProof/>
          <w:sz w:val="24"/>
        </w:rPr>
      </w:pPr>
      <w:r>
        <w:rPr>
          <w:rFonts w:ascii="Times New Roman" w:hAnsi="Times New Roman"/>
          <w:sz w:val="24"/>
        </w:rPr>
        <w:t xml:space="preserve">b) tranzīta savienojuma izmaksas ir jāsniedz operatoram, bet valsts regulatīvā iestāde tās var salīdzināt, izmantojot jebkurus pieejamos datus (piemēram, datus, kas savākti </w:t>
      </w:r>
      <w:r>
        <w:rPr>
          <w:rFonts w:ascii="Times New Roman" w:hAnsi="Times New Roman"/>
          <w:i/>
          <w:iCs/>
          <w:sz w:val="24"/>
        </w:rPr>
        <w:t>BEREC</w:t>
      </w:r>
      <w:r>
        <w:rPr>
          <w:rFonts w:ascii="Times New Roman" w:hAnsi="Times New Roman"/>
          <w:sz w:val="24"/>
        </w:rPr>
        <w:t xml:space="preserve"> viesabonēšanas salīdzinošās novērtēšanas ziņojumam);</w:t>
      </w:r>
    </w:p>
    <w:p w:rsidR="00A05317" w:rsidRPr="004172BE" w:rsidRDefault="00C14B4E" w:rsidP="00C14B4E">
      <w:pPr>
        <w:pStyle w:val="Pamatteksts"/>
        <w:tabs>
          <w:tab w:val="left" w:pos="1253"/>
        </w:tabs>
        <w:spacing w:before="0"/>
        <w:ind w:left="426"/>
        <w:jc w:val="both"/>
        <w:rPr>
          <w:rFonts w:ascii="Times New Roman" w:hAnsi="Times New Roman"/>
          <w:noProof/>
          <w:sz w:val="24"/>
        </w:rPr>
      </w:pPr>
      <w:r>
        <w:rPr>
          <w:rFonts w:ascii="Times New Roman" w:hAnsi="Times New Roman"/>
          <w:sz w:val="24"/>
        </w:rPr>
        <w:t xml:space="preserve">c) savienojuma pabeigšanas izmaksas ir jāsniedz operatoram, bet valsts regulatīvā iestāde tās var salīdzināt, izmantojot datus par vidējajiem svērtajiem savienojuma pabeigšanas tarifiem, ko ik pēc sešiem mēnešiem publicē </w:t>
      </w:r>
      <w:r>
        <w:rPr>
          <w:rFonts w:ascii="Times New Roman" w:hAnsi="Times New Roman"/>
          <w:i/>
          <w:iCs/>
          <w:sz w:val="24"/>
        </w:rPr>
        <w:t>BEREC</w:t>
      </w:r>
      <w:r>
        <w:rPr>
          <w:rFonts w:ascii="Times New Roman" w:hAnsi="Times New Roman"/>
          <w:sz w:val="24"/>
        </w:rPr>
        <w:t>, un sadalījumu starp zvaniem uz fiksēto un mobilo sakaru numuriem, ko savā pieprasījumā norāda operators;</w:t>
      </w:r>
    </w:p>
    <w:p w:rsidR="00A05317" w:rsidRPr="004172BE" w:rsidRDefault="00C14B4E" w:rsidP="00C14B4E">
      <w:pPr>
        <w:pStyle w:val="Pamatteksts"/>
        <w:tabs>
          <w:tab w:val="left" w:pos="1254"/>
        </w:tabs>
        <w:spacing w:before="0"/>
        <w:ind w:left="426"/>
        <w:jc w:val="both"/>
        <w:rPr>
          <w:rFonts w:ascii="Times New Roman" w:hAnsi="Times New Roman"/>
          <w:noProof/>
          <w:sz w:val="24"/>
        </w:rPr>
      </w:pPr>
      <w:r>
        <w:rPr>
          <w:rFonts w:ascii="Times New Roman" w:hAnsi="Times New Roman"/>
          <w:sz w:val="24"/>
        </w:rPr>
        <w:t xml:space="preserve">d) kopējās saistītās un kopīgās izmaksas un </w:t>
      </w:r>
      <w:r>
        <w:rPr>
          <w:rFonts w:ascii="Times New Roman" w:hAnsi="Times New Roman"/>
          <w:i/>
          <w:iCs/>
          <w:sz w:val="24"/>
        </w:rPr>
        <w:t>G&amp;A</w:t>
      </w:r>
      <w:r>
        <w:rPr>
          <w:rFonts w:ascii="Times New Roman" w:hAnsi="Times New Roman"/>
          <w:sz w:val="24"/>
        </w:rPr>
        <w:t xml:space="preserve"> izmaksas ir jāsniedz operatoram, bet valsts regulatīvā iestāde tās var salīdzināt, izmantojot finanšu pārskatu informāciju par izmaksām;</w:t>
      </w:r>
    </w:p>
    <w:p w:rsidR="00A05317" w:rsidRPr="004172BE" w:rsidRDefault="00C14B4E" w:rsidP="00C14B4E">
      <w:pPr>
        <w:pStyle w:val="Pamatteksts"/>
        <w:tabs>
          <w:tab w:val="left" w:pos="1254"/>
        </w:tabs>
        <w:spacing w:before="0"/>
        <w:ind w:left="426"/>
        <w:jc w:val="both"/>
        <w:rPr>
          <w:rFonts w:ascii="Times New Roman" w:hAnsi="Times New Roman"/>
          <w:noProof/>
          <w:sz w:val="24"/>
        </w:rPr>
      </w:pPr>
      <w:r>
        <w:rPr>
          <w:rFonts w:ascii="Times New Roman" w:hAnsi="Times New Roman"/>
          <w:sz w:val="24"/>
        </w:rPr>
        <w:t>e) valsts viesabonēšanas cenas, kas ietvertas līgumos starp mobilajiem sakaru operatoriem  (</w:t>
      </w:r>
      <w:r>
        <w:rPr>
          <w:rFonts w:ascii="Times New Roman" w:hAnsi="Times New Roman"/>
          <w:i/>
          <w:iCs/>
          <w:sz w:val="24"/>
        </w:rPr>
        <w:t>MNO</w:t>
      </w:r>
      <w:r>
        <w:rPr>
          <w:rFonts w:ascii="Times New Roman" w:hAnsi="Times New Roman"/>
          <w:sz w:val="24"/>
        </w:rPr>
        <w:t>) un virtuālajiem mobilo operatoriem (</w:t>
      </w:r>
      <w:r>
        <w:rPr>
          <w:rFonts w:ascii="Times New Roman" w:hAnsi="Times New Roman"/>
          <w:i/>
          <w:iCs/>
          <w:sz w:val="24"/>
        </w:rPr>
        <w:t>MVNO</w:t>
      </w:r>
      <w:r>
        <w:rPr>
          <w:rFonts w:ascii="Times New Roman" w:hAnsi="Times New Roman"/>
          <w:sz w:val="24"/>
        </w:rPr>
        <w:t>) pakalpojumu sniegšanas valstī.</w:t>
      </w:r>
    </w:p>
    <w:p w:rsidR="00A05317" w:rsidRPr="004172BE" w:rsidRDefault="00A05317" w:rsidP="004172BE">
      <w:pPr>
        <w:jc w:val="both"/>
        <w:rPr>
          <w:rFonts w:ascii="Times New Roman" w:eastAsia="Arial" w:hAnsi="Times New Roman" w:cs="Arial"/>
          <w:noProof/>
          <w:sz w:val="24"/>
          <w:szCs w:val="21"/>
        </w:rPr>
      </w:pPr>
    </w:p>
    <w:p w:rsidR="00A05317" w:rsidRPr="004172BE" w:rsidRDefault="00A05317" w:rsidP="004172BE">
      <w:pPr>
        <w:pStyle w:val="Virsraksts2"/>
        <w:ind w:left="0"/>
        <w:jc w:val="both"/>
        <w:rPr>
          <w:rFonts w:ascii="Times New Roman" w:hAnsi="Times New Roman"/>
          <w:noProof/>
        </w:rPr>
      </w:pPr>
      <w:bookmarkStart w:id="74" w:name="Maximum_price_level_in_excess_of_the_pri"/>
      <w:bookmarkStart w:id="75" w:name="_bookmark26"/>
      <w:bookmarkStart w:id="76" w:name="_Toc17270007"/>
      <w:bookmarkStart w:id="77" w:name="_Toc17271257"/>
      <w:bookmarkStart w:id="78" w:name="_Toc19626759"/>
      <w:bookmarkEnd w:id="74"/>
      <w:bookmarkEnd w:id="75"/>
      <w:r>
        <w:rPr>
          <w:rFonts w:ascii="Times New Roman" w:hAnsi="Times New Roman"/>
        </w:rPr>
        <w:t>Maksimālais cenu līmenis, kas pārsniedz cenu griestus</w:t>
      </w:r>
      <w:bookmarkEnd w:id="76"/>
      <w:bookmarkEnd w:id="77"/>
      <w:bookmarkEnd w:id="78"/>
    </w:p>
    <w:p w:rsidR="00C14B4E" w:rsidRDefault="00C14B4E" w:rsidP="00C14B4E">
      <w:pPr>
        <w:pStyle w:val="Pamatteksts"/>
        <w:tabs>
          <w:tab w:val="left" w:pos="548"/>
        </w:tabs>
        <w:spacing w:before="0"/>
        <w:ind w:left="0"/>
        <w:jc w:val="both"/>
        <w:rPr>
          <w:rFonts w:ascii="Times New Roman" w:hAnsi="Times New Roman"/>
          <w:noProof/>
          <w:sz w:val="24"/>
        </w:rPr>
      </w:pPr>
    </w:p>
    <w:p w:rsidR="00A05317" w:rsidRPr="004172BE" w:rsidRDefault="00C14B4E" w:rsidP="00C14B4E">
      <w:pPr>
        <w:pStyle w:val="Pamatteksts"/>
        <w:tabs>
          <w:tab w:val="left" w:pos="548"/>
        </w:tabs>
        <w:spacing w:before="0"/>
        <w:ind w:left="0"/>
        <w:jc w:val="both"/>
        <w:rPr>
          <w:rFonts w:ascii="Times New Roman" w:hAnsi="Times New Roman"/>
          <w:noProof/>
          <w:sz w:val="24"/>
        </w:rPr>
      </w:pPr>
      <w:r>
        <w:rPr>
          <w:rFonts w:ascii="Times New Roman" w:hAnsi="Times New Roman"/>
          <w:sz w:val="24"/>
        </w:rPr>
        <w:t xml:space="preserve">60. Operatori, kuru pieprasījumi par atkāpi atbilst abiem kritērijiem, var piedāvāt, lai par visiem regulētajiem ES iekšzemes sakaru pakalpojumiem tiktu noteiktas papildmaksas, turklāt ne tikai par tiem, attiecībā uz kuriem ir izpildīts robežvērtības kritērijs. Lai aprēķinātu piedāvāto papildmaksu virs cenu griestiem, operatoriem būs jāaprēķina </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 xml:space="preserve"> līmenis, kas atbildīs vienādojumam [(</w:t>
      </w:r>
      <w:r>
        <w:rPr>
          <w:rFonts w:ascii="Times New Roman" w:hAnsi="Times New Roman"/>
          <w:i/>
          <w:iCs/>
          <w:sz w:val="24"/>
        </w:rPr>
        <w:t>Margin</w:t>
      </w:r>
      <w:r>
        <w:rPr>
          <w:rFonts w:ascii="Times New Roman" w:hAnsi="Times New Roman"/>
          <w:i/>
          <w:iCs/>
          <w:sz w:val="24"/>
          <w:vertAlign w:val="subscript"/>
        </w:rPr>
        <w:t>noreg</w:t>
      </w:r>
      <w:r>
        <w:rPr>
          <w:rFonts w:ascii="Times New Roman" w:hAnsi="Times New Roman"/>
          <w:sz w:val="24"/>
        </w:rPr>
        <w:t>)-(</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w:t>
      </w:r>
      <w:r>
        <w:rPr>
          <w:rFonts w:ascii="Times New Roman" w:hAnsi="Times New Roman"/>
          <w:i/>
          <w:iCs/>
          <w:sz w:val="24"/>
        </w:rPr>
        <w:t>Margin</w:t>
      </w:r>
      <w:r>
        <w:rPr>
          <w:rFonts w:ascii="Times New Roman" w:hAnsi="Times New Roman"/>
          <w:i/>
          <w:iCs/>
          <w:sz w:val="24"/>
          <w:vertAlign w:val="subscript"/>
        </w:rPr>
        <w:t>com</w:t>
      </w:r>
      <w:r>
        <w:rPr>
          <w:rFonts w:ascii="Times New Roman" w:hAnsi="Times New Roman"/>
          <w:sz w:val="24"/>
        </w:rPr>
        <w:t>)=3 % (gadījumā, ja peļņa no regulētajiem ES iekšzemes pakalpojumiem ir negatīva) vai vienādojumam [(</w:t>
      </w:r>
      <w:r>
        <w:rPr>
          <w:rFonts w:ascii="Times New Roman" w:hAnsi="Times New Roman"/>
          <w:i/>
          <w:iCs/>
          <w:sz w:val="24"/>
        </w:rPr>
        <w:t>Margin</w:t>
      </w:r>
      <w:r>
        <w:rPr>
          <w:rFonts w:ascii="Times New Roman" w:hAnsi="Times New Roman"/>
          <w:i/>
          <w:iCs/>
          <w:sz w:val="24"/>
          <w:vertAlign w:val="subscript"/>
        </w:rPr>
        <w:t>noreg</w:t>
      </w:r>
      <w:r>
        <w:rPr>
          <w:rFonts w:ascii="Times New Roman" w:hAnsi="Times New Roman"/>
          <w:sz w:val="24"/>
        </w:rPr>
        <w:t>)-(</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w:t>
      </w:r>
      <w:r>
        <w:rPr>
          <w:rFonts w:ascii="Times New Roman" w:hAnsi="Times New Roman"/>
          <w:i/>
          <w:iCs/>
          <w:sz w:val="24"/>
        </w:rPr>
        <w:t>Margin</w:t>
      </w:r>
      <w:r>
        <w:rPr>
          <w:rFonts w:ascii="Times New Roman" w:hAnsi="Times New Roman"/>
          <w:i/>
          <w:iCs/>
          <w:sz w:val="24"/>
          <w:vertAlign w:val="subscript"/>
        </w:rPr>
        <w:t>com</w:t>
      </w:r>
      <w:r>
        <w:rPr>
          <w:rFonts w:ascii="Times New Roman" w:hAnsi="Times New Roman"/>
          <w:sz w:val="24"/>
        </w:rPr>
        <w:t xml:space="preserve">)=9 % (gadījumā, ja peļņa no regulētajiem ES iekšzemes pakalpojumiem ir pozitīva), ņemot vērā aplēstās </w:t>
      </w:r>
      <w:r>
        <w:rPr>
          <w:rFonts w:ascii="Times New Roman" w:hAnsi="Times New Roman"/>
          <w:i/>
          <w:iCs/>
          <w:sz w:val="24"/>
        </w:rPr>
        <w:t>Margin</w:t>
      </w:r>
      <w:r>
        <w:rPr>
          <w:rFonts w:ascii="Times New Roman" w:hAnsi="Times New Roman"/>
          <w:i/>
          <w:iCs/>
          <w:sz w:val="24"/>
          <w:vertAlign w:val="subscript"/>
        </w:rPr>
        <w:t>noreg</w:t>
      </w:r>
      <w:r>
        <w:rPr>
          <w:rFonts w:ascii="Times New Roman" w:hAnsi="Times New Roman"/>
          <w:sz w:val="24"/>
        </w:rPr>
        <w:t xml:space="preserve"> un </w:t>
      </w:r>
      <w:r>
        <w:rPr>
          <w:rFonts w:ascii="Times New Roman" w:hAnsi="Times New Roman"/>
          <w:i/>
          <w:iCs/>
          <w:sz w:val="24"/>
        </w:rPr>
        <w:t>Margin</w:t>
      </w:r>
      <w:r>
        <w:rPr>
          <w:rFonts w:ascii="Times New Roman" w:hAnsi="Times New Roman"/>
          <w:i/>
          <w:iCs/>
          <w:sz w:val="24"/>
          <w:vertAlign w:val="subscript"/>
        </w:rPr>
        <w:t>com</w:t>
      </w:r>
      <w:r>
        <w:rPr>
          <w:rFonts w:ascii="Times New Roman" w:hAnsi="Times New Roman"/>
          <w:sz w:val="24"/>
        </w:rPr>
        <w:t xml:space="preserve"> vērtības. Iepriekšējajam vienādojumam aprēķinātā </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 xml:space="preserve"> un pieprasījuma iesniedzēja sākotnēji aprēķinātā </w:t>
      </w:r>
      <w:r>
        <w:rPr>
          <w:rFonts w:ascii="Times New Roman" w:hAnsi="Times New Roman"/>
          <w:i/>
          <w:iCs/>
          <w:sz w:val="24"/>
        </w:rPr>
        <w:t>Margin</w:t>
      </w:r>
      <w:r>
        <w:rPr>
          <w:rFonts w:ascii="Times New Roman" w:hAnsi="Times New Roman"/>
          <w:i/>
          <w:iCs/>
          <w:sz w:val="24"/>
          <w:vertAlign w:val="subscript"/>
        </w:rPr>
        <w:t>reg</w:t>
      </w:r>
      <w:r>
        <w:rPr>
          <w:rFonts w:ascii="Times New Roman" w:hAnsi="Times New Roman"/>
          <w:sz w:val="24"/>
        </w:rPr>
        <w:t xml:space="preserve"> starpība būs vienāda ar kopējo summu, ko operators ir tiesīgs saņemt papildus par regulēto ES iekšzemes sakaru pakalpojumu sniegšanu. Piedāvātās papildmaksas aprēķinās pieprasījuma iesniedzējs, ņemot vērā šo summu un visu regulēto ES iekšzemes pakalpojumu, ko sniedz pieprasījuma iesniedzējs, paredzamo apjomu.</w:t>
      </w:r>
    </w:p>
    <w:p w:rsidR="00A05317" w:rsidRPr="004172BE" w:rsidRDefault="00C14B4E" w:rsidP="00C14B4E">
      <w:pPr>
        <w:pStyle w:val="Pamatteksts"/>
        <w:tabs>
          <w:tab w:val="left" w:pos="547"/>
        </w:tabs>
        <w:spacing w:before="0"/>
        <w:ind w:left="0"/>
        <w:jc w:val="both"/>
        <w:rPr>
          <w:rFonts w:ascii="Times New Roman" w:hAnsi="Times New Roman"/>
          <w:noProof/>
          <w:sz w:val="24"/>
        </w:rPr>
      </w:pPr>
      <w:r>
        <w:rPr>
          <w:rFonts w:ascii="Times New Roman" w:hAnsi="Times New Roman"/>
          <w:sz w:val="24"/>
        </w:rPr>
        <w:t>61. Gadījumā, ja pieprasījuma iesniedzēja kopējā aprēķinātā peļņa no sakaru pakalpojumiem ir negatīva, pieprasījuma iesniedzējs regulētajiem ES iekšzemes sakaru pakalpojumiem varētu turpināt piemērot savus ES iekšzemes tarifus no 2019. gada 1. janvāra.</w:t>
      </w:r>
    </w:p>
    <w:p w:rsidR="00A05317" w:rsidRPr="004172BE" w:rsidRDefault="00C14B4E" w:rsidP="00C14B4E">
      <w:pPr>
        <w:pStyle w:val="Pamatteksts"/>
        <w:tabs>
          <w:tab w:val="left" w:pos="547"/>
        </w:tabs>
        <w:spacing w:before="0"/>
        <w:ind w:left="0"/>
        <w:jc w:val="both"/>
        <w:rPr>
          <w:rFonts w:ascii="Times New Roman" w:hAnsi="Times New Roman"/>
          <w:noProof/>
          <w:sz w:val="24"/>
        </w:rPr>
      </w:pPr>
      <w:r>
        <w:rPr>
          <w:rFonts w:ascii="Times New Roman" w:hAnsi="Times New Roman"/>
          <w:sz w:val="24"/>
        </w:rPr>
        <w:t>62. Valsts regulatīvajai iestādei ir jāatļauj vai jāmaina piedāvātās papildmaksas, ja tas ir nepieciešams.</w:t>
      </w:r>
    </w:p>
    <w:p w:rsidR="00A05317" w:rsidRPr="004172BE" w:rsidRDefault="00A05317" w:rsidP="004172BE">
      <w:pPr>
        <w:jc w:val="both"/>
        <w:rPr>
          <w:rFonts w:ascii="Times New Roman" w:eastAsia="Arial" w:hAnsi="Times New Roman" w:cs="Arial"/>
          <w:noProof/>
          <w:sz w:val="24"/>
          <w:szCs w:val="20"/>
        </w:rPr>
      </w:pPr>
    </w:p>
    <w:p w:rsidR="00A05317" w:rsidRPr="004172BE" w:rsidRDefault="00C14B4E" w:rsidP="00C14B4E">
      <w:pPr>
        <w:pStyle w:val="Virsraksts1"/>
        <w:tabs>
          <w:tab w:val="left" w:pos="480"/>
        </w:tabs>
        <w:spacing w:before="0"/>
        <w:ind w:left="0" w:firstLine="0"/>
        <w:jc w:val="both"/>
        <w:rPr>
          <w:rFonts w:ascii="Times New Roman" w:hAnsi="Times New Roman"/>
          <w:noProof/>
          <w:sz w:val="24"/>
        </w:rPr>
      </w:pPr>
      <w:bookmarkStart w:id="79" w:name="G._Monitoring_by_NRAs"/>
      <w:bookmarkStart w:id="80" w:name="_bookmark27"/>
      <w:bookmarkStart w:id="81" w:name="_Toc17270008"/>
      <w:bookmarkStart w:id="82" w:name="_Toc17271258"/>
      <w:bookmarkStart w:id="83" w:name="_Toc19626760"/>
      <w:bookmarkEnd w:id="79"/>
      <w:bookmarkEnd w:id="80"/>
      <w:r>
        <w:rPr>
          <w:rFonts w:ascii="Times New Roman" w:hAnsi="Times New Roman"/>
          <w:sz w:val="24"/>
        </w:rPr>
        <w:t>G. Uzraudzība, ko veic valstu regulatīvās iestādes</w:t>
      </w:r>
      <w:bookmarkEnd w:id="81"/>
      <w:bookmarkEnd w:id="82"/>
      <w:bookmarkEnd w:id="83"/>
    </w:p>
    <w:p w:rsidR="00C14B4E" w:rsidRDefault="00C14B4E" w:rsidP="00C14B4E">
      <w:pPr>
        <w:pStyle w:val="Pamatteksts"/>
        <w:tabs>
          <w:tab w:val="left" w:pos="840"/>
        </w:tabs>
        <w:spacing w:before="0"/>
        <w:ind w:left="0"/>
        <w:jc w:val="both"/>
        <w:rPr>
          <w:rFonts w:ascii="Times New Roman" w:hAnsi="Times New Roman"/>
          <w:noProof/>
          <w:sz w:val="24"/>
        </w:rPr>
      </w:pPr>
    </w:p>
    <w:p w:rsidR="00A05317" w:rsidRPr="004172BE" w:rsidRDefault="00C14B4E" w:rsidP="00C14B4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63. Saskaņā ar TVT regulas 5.a panta 6. punktu valstu regulatīvajām iestādēm ir jāveic regulētu ES iekšzemes sakaru tirgus un cenu izmaiņu uzraudzība un jāatskaitās Komisijai. Viens no </w:t>
      </w:r>
      <w:r>
        <w:rPr>
          <w:rFonts w:ascii="Times New Roman" w:hAnsi="Times New Roman"/>
          <w:i/>
          <w:iCs/>
          <w:sz w:val="24"/>
        </w:rPr>
        <w:t>BEREC</w:t>
      </w:r>
      <w:r>
        <w:rPr>
          <w:rFonts w:ascii="Times New Roman" w:hAnsi="Times New Roman"/>
          <w:sz w:val="24"/>
        </w:rPr>
        <w:t xml:space="preserve"> uzdevumiem un mērķiem ir nodrošināt elektronisko sakaru tiesiskā regulējuma konsekventu īstenošanu.</w:t>
      </w:r>
    </w:p>
    <w:p w:rsidR="00A05317" w:rsidRPr="004172BE" w:rsidRDefault="00C14B4E" w:rsidP="00C14B4E">
      <w:pPr>
        <w:pStyle w:val="Pamatteksts"/>
        <w:tabs>
          <w:tab w:val="left" w:pos="840"/>
        </w:tabs>
        <w:spacing w:before="0"/>
        <w:ind w:left="0"/>
        <w:jc w:val="both"/>
        <w:rPr>
          <w:rFonts w:ascii="Times New Roman" w:hAnsi="Times New Roman"/>
          <w:noProof/>
          <w:sz w:val="24"/>
        </w:rPr>
      </w:pPr>
      <w:r>
        <w:rPr>
          <w:rFonts w:ascii="Times New Roman" w:hAnsi="Times New Roman"/>
          <w:sz w:val="24"/>
        </w:rPr>
        <w:t xml:space="preserve">64. Lai </w:t>
      </w:r>
      <w:r>
        <w:rPr>
          <w:rFonts w:ascii="Times New Roman" w:hAnsi="Times New Roman"/>
          <w:i/>
          <w:iCs/>
          <w:sz w:val="24"/>
        </w:rPr>
        <w:t>BEREC</w:t>
      </w:r>
      <w:r>
        <w:rPr>
          <w:rFonts w:ascii="Times New Roman" w:hAnsi="Times New Roman"/>
          <w:sz w:val="24"/>
        </w:rPr>
        <w:t xml:space="preserve"> rīcībā būtu salīdzināmi dati, kas balstīti uz tiem pašiem tirgus uzraudzības un cenu izmaiņu rādītājiem, un varētu izstrādāt </w:t>
      </w:r>
      <w:r>
        <w:rPr>
          <w:rFonts w:ascii="Times New Roman" w:hAnsi="Times New Roman"/>
          <w:i/>
          <w:iCs/>
          <w:sz w:val="24"/>
        </w:rPr>
        <w:t>BEREC</w:t>
      </w:r>
      <w:r>
        <w:rPr>
          <w:rFonts w:ascii="Times New Roman" w:hAnsi="Times New Roman"/>
          <w:sz w:val="24"/>
        </w:rPr>
        <w:t xml:space="preserve"> robežvērtību ES iekšzemes sakariem, </w:t>
      </w:r>
      <w:r>
        <w:rPr>
          <w:rFonts w:ascii="Times New Roman" w:hAnsi="Times New Roman"/>
          <w:i/>
          <w:iCs/>
          <w:sz w:val="24"/>
        </w:rPr>
        <w:t>BEREC</w:t>
      </w:r>
      <w:r>
        <w:rPr>
          <w:rFonts w:ascii="Times New Roman" w:hAnsi="Times New Roman"/>
          <w:sz w:val="24"/>
        </w:rPr>
        <w:t xml:space="preserve"> uzskata, ka tādi rādītāji kā abonentu skaits atbilstoši vienam abonentu profilam (privātpersonas vai juridiskas personas) ir jāsavāc attiecībā uz fiksēto un mobilo sakaru operatoriem. Turklāt </w:t>
      </w:r>
      <w:r>
        <w:rPr>
          <w:rFonts w:ascii="Times New Roman" w:hAnsi="Times New Roman"/>
          <w:i/>
          <w:iCs/>
          <w:sz w:val="24"/>
        </w:rPr>
        <w:t>BEREC</w:t>
      </w:r>
      <w:r>
        <w:rPr>
          <w:rFonts w:ascii="Times New Roman" w:hAnsi="Times New Roman"/>
          <w:sz w:val="24"/>
        </w:rPr>
        <w:t xml:space="preserve"> lūdz fiksēto un mobilo sakaru operatoriem sniegt datus par viena pakalpojuma apjomiem attiecībā uz iekšzemes, ES iekšzemes sakaru pakalpojumiem (regulētajiem, alternatīvajiem tarifiem, komplektiem un tarifiem komercklientiem) un sakaru pakalpojumiem adresātiem ārpus EEZ, kā arī datus par ieņēmumiem no regulētiem ES iekšzemes zvaniem, alternatīvajiem tarifiem un sakaru pakalpojumiem, kas tiek sniegti ārpus EEZ.</w:t>
      </w:r>
    </w:p>
    <w:p w:rsidR="00A05317" w:rsidRPr="004172BE" w:rsidRDefault="00A05317" w:rsidP="004172BE">
      <w:pPr>
        <w:pStyle w:val="Pamatteksts"/>
        <w:spacing w:before="0"/>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nodrošinās valstu regulatīvo iestāžu veidlapu, lai tās no fiksēto un mobilo sakaru operatoriem varētu savākt datus par ES iekšzemes sakariem. </w:t>
      </w:r>
      <w:r>
        <w:rPr>
          <w:rFonts w:ascii="Times New Roman" w:hAnsi="Times New Roman"/>
          <w:i/>
          <w:iCs/>
          <w:sz w:val="24"/>
        </w:rPr>
        <w:t>BEREC</w:t>
      </w:r>
      <w:r>
        <w:rPr>
          <w:rFonts w:ascii="Times New Roman" w:hAnsi="Times New Roman"/>
          <w:sz w:val="24"/>
        </w:rPr>
        <w:t xml:space="preserve"> apkopos datus un ik gadu publicēs ziņojumu par šīs pārbaudes secinājumiem.</w:t>
      </w:r>
    </w:p>
    <w:p w:rsidR="00C14B4E" w:rsidRDefault="00C14B4E">
      <w:pPr>
        <w:rPr>
          <w:rFonts w:ascii="Times New Roman" w:eastAsia="Arial" w:hAnsi="Times New Roman" w:cs="Arial"/>
          <w:noProof/>
          <w:sz w:val="24"/>
          <w:szCs w:val="20"/>
        </w:rPr>
      </w:pPr>
      <w:r>
        <w:br w:type="page"/>
      </w:r>
    </w:p>
    <w:p w:rsidR="00A05317" w:rsidRPr="004172BE" w:rsidRDefault="00A05317" w:rsidP="004172BE">
      <w:pPr>
        <w:jc w:val="both"/>
        <w:rPr>
          <w:rFonts w:ascii="Times New Roman" w:eastAsia="Arial" w:hAnsi="Times New Roman" w:cs="Arial"/>
          <w:noProof/>
          <w:sz w:val="24"/>
          <w:szCs w:val="20"/>
        </w:rPr>
      </w:pPr>
    </w:p>
    <w:p w:rsidR="00A05317" w:rsidRPr="004172BE" w:rsidRDefault="00C14B4E" w:rsidP="00C14B4E">
      <w:pPr>
        <w:pStyle w:val="Virsraksts1"/>
        <w:tabs>
          <w:tab w:val="left" w:pos="480"/>
        </w:tabs>
        <w:spacing w:before="0"/>
        <w:ind w:left="0" w:firstLine="0"/>
        <w:jc w:val="both"/>
        <w:rPr>
          <w:rFonts w:ascii="Times New Roman" w:hAnsi="Times New Roman"/>
          <w:noProof/>
          <w:sz w:val="24"/>
        </w:rPr>
      </w:pPr>
      <w:bookmarkStart w:id="84" w:name="H._ANNEX"/>
      <w:bookmarkStart w:id="85" w:name="_bookmark28"/>
      <w:bookmarkStart w:id="86" w:name="_Toc17270009"/>
      <w:bookmarkStart w:id="87" w:name="_Toc17271259"/>
      <w:bookmarkStart w:id="88" w:name="_Toc19626761"/>
      <w:bookmarkEnd w:id="84"/>
      <w:bookmarkEnd w:id="85"/>
      <w:r>
        <w:rPr>
          <w:rFonts w:ascii="Times New Roman" w:hAnsi="Times New Roman"/>
          <w:sz w:val="24"/>
        </w:rPr>
        <w:t>H. PIELIKUMS</w:t>
      </w:r>
      <w:bookmarkEnd w:id="86"/>
      <w:bookmarkEnd w:id="87"/>
      <w:bookmarkEnd w:id="88"/>
    </w:p>
    <w:p w:rsidR="00A05317" w:rsidRPr="004172BE" w:rsidRDefault="00A05317" w:rsidP="004172BE">
      <w:pPr>
        <w:jc w:val="both"/>
        <w:rPr>
          <w:rFonts w:ascii="Times New Roman" w:eastAsia="Arial" w:hAnsi="Times New Roman" w:cs="Arial"/>
          <w:b/>
          <w:bCs/>
          <w:i/>
          <w:noProof/>
          <w:sz w:val="24"/>
          <w:szCs w:val="25"/>
        </w:rPr>
      </w:pPr>
    </w:p>
    <w:p w:rsidR="00A05317" w:rsidRPr="004172BE" w:rsidRDefault="00A05317" w:rsidP="00C14B4E">
      <w:pPr>
        <w:pStyle w:val="Virsraksts2"/>
        <w:ind w:left="426"/>
        <w:jc w:val="both"/>
        <w:rPr>
          <w:rFonts w:ascii="Times New Roman" w:hAnsi="Times New Roman"/>
          <w:noProof/>
        </w:rPr>
      </w:pPr>
      <w:bookmarkStart w:id="89" w:name="Annex_1_-_BEREC_Benchmark"/>
      <w:bookmarkStart w:id="90" w:name="_bookmark29"/>
      <w:bookmarkStart w:id="91" w:name="_Toc17270010"/>
      <w:bookmarkStart w:id="92" w:name="_Toc17271260"/>
      <w:bookmarkStart w:id="93" w:name="_Toc19626762"/>
      <w:bookmarkEnd w:id="89"/>
      <w:bookmarkEnd w:id="90"/>
      <w:r>
        <w:rPr>
          <w:rFonts w:ascii="Times New Roman" w:hAnsi="Times New Roman"/>
        </w:rPr>
        <w:t>1. pielikums. BEREC robežvērtība</w:t>
      </w:r>
      <w:bookmarkEnd w:id="91"/>
      <w:bookmarkEnd w:id="92"/>
      <w:bookmarkEnd w:id="93"/>
    </w:p>
    <w:p w:rsidR="00C14B4E" w:rsidRDefault="00C14B4E" w:rsidP="004172BE">
      <w:pPr>
        <w:pStyle w:val="Pamatteksts"/>
        <w:spacing w:before="0"/>
        <w:ind w:left="0"/>
        <w:jc w:val="both"/>
        <w:rPr>
          <w:rFonts w:ascii="Times New Roman" w:hAnsi="Times New Roman"/>
          <w:noProof/>
          <w:sz w:val="24"/>
        </w:rPr>
      </w:pPr>
    </w:p>
    <w:p w:rsidR="00A05317" w:rsidRDefault="00A05317" w:rsidP="004172BE">
      <w:pPr>
        <w:pStyle w:val="Pamatteksts"/>
        <w:spacing w:before="0"/>
        <w:ind w:left="0"/>
        <w:jc w:val="both"/>
        <w:rPr>
          <w:rFonts w:ascii="Times New Roman" w:hAnsi="Times New Roman"/>
          <w:noProof/>
          <w:sz w:val="24"/>
        </w:rPr>
      </w:pPr>
      <w:r>
        <w:rPr>
          <w:rFonts w:ascii="Times New Roman" w:hAnsi="Times New Roman"/>
          <w:sz w:val="24"/>
        </w:rPr>
        <w:t xml:space="preserve">Lai pirmoreiz noteiktu robežvērtību, </w:t>
      </w:r>
      <w:r>
        <w:rPr>
          <w:rFonts w:ascii="Times New Roman" w:hAnsi="Times New Roman"/>
          <w:i/>
          <w:iCs/>
          <w:sz w:val="24"/>
        </w:rPr>
        <w:t>BEREC</w:t>
      </w:r>
      <w:r>
        <w:rPr>
          <w:rFonts w:ascii="Times New Roman" w:hAnsi="Times New Roman"/>
          <w:sz w:val="24"/>
        </w:rPr>
        <w:t xml:space="preserve"> izmantoja visu pieejamo informāciju par ES iekšzemes sakaru pakalpojumiem. 2017. gada decembrī diskusijās par iespēju regulēt ES iekšzemes sakaru pakalpojumus </w:t>
      </w:r>
      <w:r>
        <w:rPr>
          <w:rFonts w:ascii="Times New Roman" w:hAnsi="Times New Roman"/>
          <w:i/>
          <w:iCs/>
          <w:sz w:val="24"/>
        </w:rPr>
        <w:t>BEREC</w:t>
      </w:r>
      <w:r>
        <w:rPr>
          <w:rFonts w:ascii="Times New Roman" w:hAnsi="Times New Roman"/>
          <w:sz w:val="24"/>
        </w:rPr>
        <w:t xml:space="preserve"> ierosināja uzsākt datu vākšanas procedūru par ES iekšzemes sakariem. Tā kā atvēlētais laiks bija salīdzinoši īss, </w:t>
      </w:r>
      <w:r>
        <w:rPr>
          <w:rFonts w:ascii="Times New Roman" w:hAnsi="Times New Roman"/>
          <w:i/>
          <w:iCs/>
          <w:sz w:val="24"/>
        </w:rPr>
        <w:t>BEREC</w:t>
      </w:r>
      <w:r>
        <w:rPr>
          <w:rFonts w:ascii="Times New Roman" w:hAnsi="Times New Roman"/>
          <w:sz w:val="24"/>
        </w:rPr>
        <w:t xml:space="preserve"> lūdza, lai valstu regulatīvās iestādes pieprasītu datus tikai no tiem operatoriem, kuriem kopā ir vismaz 80 % abonentu fiksētās balss telefonijas tirgū un 80 % abonentu mobilās balss telefonijas tirgū. Šīs darbības mērķis bija izveidot datu laika rindu (2013–2017), kas aptver šādas augsta līmeņa mērījumu jomas:</w:t>
      </w:r>
    </w:p>
    <w:p w:rsidR="00C14B4E" w:rsidRPr="004172BE" w:rsidRDefault="00C14B4E" w:rsidP="004172BE">
      <w:pPr>
        <w:pStyle w:val="Pamatteksts"/>
        <w:spacing w:before="0"/>
        <w:ind w:left="0"/>
        <w:jc w:val="both"/>
        <w:rPr>
          <w:rFonts w:ascii="Times New Roman" w:hAnsi="Times New Roman"/>
          <w:noProof/>
          <w:sz w:val="24"/>
        </w:rPr>
      </w:pPr>
    </w:p>
    <w:p w:rsidR="00A05317" w:rsidRPr="004172BE" w:rsidRDefault="00A05317" w:rsidP="00C14B4E">
      <w:pPr>
        <w:pStyle w:val="Pamatteksts"/>
        <w:numPr>
          <w:ilvl w:val="1"/>
          <w:numId w:val="11"/>
        </w:numPr>
        <w:spacing w:before="0"/>
        <w:ind w:left="709" w:hanging="283"/>
        <w:jc w:val="both"/>
        <w:rPr>
          <w:rFonts w:ascii="Times New Roman" w:hAnsi="Times New Roman"/>
          <w:noProof/>
          <w:sz w:val="24"/>
        </w:rPr>
      </w:pPr>
      <w:r>
        <w:rPr>
          <w:rFonts w:ascii="Times New Roman" w:hAnsi="Times New Roman"/>
          <w:sz w:val="24"/>
        </w:rPr>
        <w:t>ES iekšzemes sakaru zvanu faktisko minūšu un SMS skaitu;</w:t>
      </w:r>
    </w:p>
    <w:p w:rsidR="00A05317" w:rsidRPr="004172BE" w:rsidRDefault="00A05317" w:rsidP="00C14B4E">
      <w:pPr>
        <w:pStyle w:val="Pamatteksts"/>
        <w:numPr>
          <w:ilvl w:val="1"/>
          <w:numId w:val="11"/>
        </w:numPr>
        <w:spacing w:before="0"/>
        <w:ind w:left="709" w:hanging="283"/>
        <w:jc w:val="both"/>
        <w:rPr>
          <w:rFonts w:ascii="Times New Roman" w:hAnsi="Times New Roman"/>
          <w:noProof/>
          <w:sz w:val="24"/>
        </w:rPr>
      </w:pPr>
      <w:r>
        <w:rPr>
          <w:rFonts w:ascii="Times New Roman" w:hAnsi="Times New Roman"/>
          <w:sz w:val="24"/>
        </w:rPr>
        <w:t>ieņēmumus no ES iekšzemes zvaniem un SMS;</w:t>
      </w:r>
    </w:p>
    <w:p w:rsidR="00A05317" w:rsidRPr="004172BE" w:rsidRDefault="00A05317" w:rsidP="00C14B4E">
      <w:pPr>
        <w:pStyle w:val="Pamatteksts"/>
        <w:numPr>
          <w:ilvl w:val="1"/>
          <w:numId w:val="11"/>
        </w:numPr>
        <w:spacing w:before="0"/>
        <w:ind w:left="709" w:hanging="283"/>
        <w:jc w:val="both"/>
        <w:rPr>
          <w:rFonts w:ascii="Times New Roman" w:hAnsi="Times New Roman"/>
          <w:noProof/>
          <w:sz w:val="24"/>
        </w:rPr>
      </w:pPr>
      <w:r>
        <w:rPr>
          <w:rFonts w:ascii="Times New Roman" w:hAnsi="Times New Roman"/>
          <w:sz w:val="24"/>
        </w:rPr>
        <w:t>ES iekšzemes zvanu un SMS izmaksas;</w:t>
      </w:r>
    </w:p>
    <w:p w:rsidR="00A05317" w:rsidRPr="004172BE" w:rsidRDefault="00A05317" w:rsidP="00C14B4E">
      <w:pPr>
        <w:pStyle w:val="Pamatteksts"/>
        <w:numPr>
          <w:ilvl w:val="1"/>
          <w:numId w:val="11"/>
        </w:numPr>
        <w:spacing w:before="0"/>
        <w:ind w:left="709" w:hanging="283"/>
        <w:jc w:val="both"/>
        <w:rPr>
          <w:rFonts w:ascii="Times New Roman" w:hAnsi="Times New Roman"/>
          <w:noProof/>
          <w:sz w:val="24"/>
        </w:rPr>
      </w:pPr>
      <w:r>
        <w:rPr>
          <w:rFonts w:ascii="Times New Roman" w:hAnsi="Times New Roman"/>
          <w:sz w:val="24"/>
        </w:rPr>
        <w:t>abonentus.</w:t>
      </w:r>
    </w:p>
    <w:p w:rsidR="00A05317" w:rsidRPr="004172BE" w:rsidRDefault="00A05317" w:rsidP="004172BE">
      <w:pPr>
        <w:jc w:val="both"/>
        <w:rPr>
          <w:rFonts w:ascii="Times New Roman" w:eastAsia="Arial" w:hAnsi="Times New Roman" w:cs="Arial"/>
          <w:noProof/>
          <w:sz w:val="24"/>
          <w:szCs w:val="28"/>
        </w:rPr>
      </w:pPr>
    </w:p>
    <w:p w:rsidR="00A05317" w:rsidRDefault="00A05317" w:rsidP="004172BE">
      <w:pPr>
        <w:pStyle w:val="Pamatteksts"/>
        <w:spacing w:before="0"/>
        <w:ind w:left="0"/>
        <w:jc w:val="both"/>
        <w:rPr>
          <w:rFonts w:ascii="Times New Roman" w:hAnsi="Times New Roman"/>
          <w:noProof/>
          <w:sz w:val="24"/>
        </w:rPr>
      </w:pPr>
      <w:r>
        <w:rPr>
          <w:rFonts w:ascii="Times New Roman" w:hAnsi="Times New Roman"/>
          <w:sz w:val="24"/>
        </w:rPr>
        <w:t xml:space="preserve">Izmantojot šajā datu vākšanas procesā iegūtos datus, </w:t>
      </w:r>
      <w:r>
        <w:rPr>
          <w:rFonts w:ascii="Times New Roman" w:hAnsi="Times New Roman"/>
          <w:i/>
          <w:iCs/>
          <w:sz w:val="24"/>
        </w:rPr>
        <w:t>BEREC</w:t>
      </w:r>
      <w:r>
        <w:rPr>
          <w:rFonts w:ascii="Times New Roman" w:hAnsi="Times New Roman"/>
          <w:sz w:val="24"/>
        </w:rPr>
        <w:t xml:space="preserve"> publicēja iepriekšējo analīzi un papildu analīzi par ES iekšzemes sakariem. Lai gan dažiem operatoriem bija grūtības sniegt dažus no nepieciešamajiem datiem, kā rezultātā atbilžu detalizācijas pakāpe bija dažāda, kā arī bija atšķirības attiecībā uz to gadu datu pieejamību, par kuriem tika pieprasīta informācija, </w:t>
      </w:r>
      <w:r>
        <w:rPr>
          <w:rFonts w:ascii="Times New Roman" w:hAnsi="Times New Roman"/>
          <w:i/>
          <w:iCs/>
          <w:sz w:val="24"/>
        </w:rPr>
        <w:t>BEREC</w:t>
      </w:r>
      <w:r>
        <w:rPr>
          <w:rFonts w:ascii="Times New Roman" w:hAnsi="Times New Roman"/>
          <w:sz w:val="24"/>
        </w:rPr>
        <w:t xml:space="preserve"> uzskata, ka attiecībā uz apjomiem, kas balstīti uz patēriņu (uzskaitītajiem apjomiem) robežvērtības noteikšanai ir jāizmanto dati par 2017. gadu. </w:t>
      </w:r>
      <w:r>
        <w:rPr>
          <w:rFonts w:ascii="Times New Roman" w:hAnsi="Times New Roman"/>
          <w:i/>
          <w:iCs/>
          <w:sz w:val="24"/>
        </w:rPr>
        <w:t>BEREC</w:t>
      </w:r>
      <w:r>
        <w:rPr>
          <w:rFonts w:ascii="Times New Roman" w:hAnsi="Times New Roman"/>
          <w:sz w:val="24"/>
        </w:rPr>
        <w:t xml:space="preserve"> ir veikusi zināmu šo aprēķinu jutīguma analīzi un uzskata, ka robežvērtības aprēķins, kas balstīts uz uzskaitītajiem ES iekšzemes pakalpojumu apjomiem, ir pieņemams.</w:t>
      </w:r>
    </w:p>
    <w:p w:rsidR="00C14B4E" w:rsidRPr="004172BE" w:rsidRDefault="00C14B4E" w:rsidP="004172BE">
      <w:pPr>
        <w:pStyle w:val="Pamatteksts"/>
        <w:spacing w:before="0"/>
        <w:ind w:left="0"/>
        <w:jc w:val="both"/>
        <w:rPr>
          <w:rFonts w:ascii="Times New Roman" w:hAnsi="Times New Roman"/>
          <w:noProof/>
          <w:sz w:val="24"/>
        </w:rPr>
      </w:pPr>
    </w:p>
    <w:p w:rsidR="00A05317" w:rsidRDefault="00A05317" w:rsidP="004172BE">
      <w:pPr>
        <w:pStyle w:val="Pamatteksts"/>
        <w:spacing w:before="0"/>
        <w:ind w:left="0"/>
        <w:jc w:val="both"/>
        <w:rPr>
          <w:rFonts w:ascii="Times New Roman" w:hAnsi="Times New Roman"/>
          <w:noProof/>
          <w:sz w:val="24"/>
        </w:rPr>
      </w:pPr>
      <w:r>
        <w:rPr>
          <w:rFonts w:ascii="Times New Roman" w:hAnsi="Times New Roman"/>
          <w:sz w:val="24"/>
        </w:rPr>
        <w:t xml:space="preserve">Noteiktā </w:t>
      </w:r>
      <w:r>
        <w:rPr>
          <w:rFonts w:ascii="Times New Roman" w:hAnsi="Times New Roman"/>
          <w:i/>
          <w:iCs/>
          <w:sz w:val="24"/>
        </w:rPr>
        <w:t>BEREC</w:t>
      </w:r>
      <w:r>
        <w:rPr>
          <w:rFonts w:ascii="Times New Roman" w:hAnsi="Times New Roman"/>
          <w:sz w:val="24"/>
        </w:rPr>
        <w:t xml:space="preserve"> robežvērtība ir šāda:</w:t>
      </w:r>
    </w:p>
    <w:p w:rsidR="00C14B4E" w:rsidRPr="004172BE" w:rsidRDefault="00C14B4E" w:rsidP="004172BE">
      <w:pPr>
        <w:pStyle w:val="Pamatteksts"/>
        <w:spacing w:before="0"/>
        <w:ind w:left="0"/>
        <w:jc w:val="both"/>
        <w:rPr>
          <w:rFonts w:ascii="Times New Roman" w:hAnsi="Times New Roman"/>
          <w:noProof/>
          <w:sz w:val="24"/>
        </w:rPr>
      </w:pPr>
    </w:p>
    <w:p w:rsidR="00A05317" w:rsidRPr="004172BE" w:rsidRDefault="00C14B4E" w:rsidP="00C14B4E">
      <w:pPr>
        <w:pStyle w:val="Pamatteksts"/>
        <w:tabs>
          <w:tab w:val="left" w:pos="1201"/>
        </w:tabs>
        <w:spacing w:before="0"/>
        <w:ind w:left="426"/>
        <w:jc w:val="both"/>
        <w:rPr>
          <w:rFonts w:ascii="Times New Roman" w:hAnsi="Times New Roman"/>
          <w:noProof/>
          <w:sz w:val="24"/>
        </w:rPr>
      </w:pPr>
      <w:r>
        <w:rPr>
          <w:rFonts w:ascii="Times New Roman" w:hAnsi="Times New Roman"/>
          <w:sz w:val="24"/>
        </w:rPr>
        <w:t>i) 2,3 % – mobilajiem zvaniem;</w:t>
      </w:r>
    </w:p>
    <w:p w:rsidR="00A05317" w:rsidRPr="004172BE" w:rsidRDefault="00C14B4E" w:rsidP="00C14B4E">
      <w:pPr>
        <w:pStyle w:val="Pamatteksts"/>
        <w:tabs>
          <w:tab w:val="left" w:pos="1201"/>
        </w:tabs>
        <w:spacing w:before="0"/>
        <w:ind w:left="426"/>
        <w:jc w:val="both"/>
        <w:rPr>
          <w:rFonts w:ascii="Times New Roman" w:hAnsi="Times New Roman"/>
          <w:noProof/>
          <w:sz w:val="24"/>
        </w:rPr>
      </w:pPr>
      <w:r>
        <w:rPr>
          <w:rFonts w:ascii="Times New Roman" w:hAnsi="Times New Roman"/>
          <w:sz w:val="24"/>
        </w:rPr>
        <w:t>ii) 30 % – fiksētajiem zvaniem;</w:t>
      </w:r>
    </w:p>
    <w:p w:rsidR="00A05317" w:rsidRPr="004172BE" w:rsidRDefault="00C14B4E" w:rsidP="00C14B4E">
      <w:pPr>
        <w:pStyle w:val="Pamatteksts"/>
        <w:tabs>
          <w:tab w:val="left" w:pos="1201"/>
        </w:tabs>
        <w:spacing w:before="0"/>
        <w:ind w:left="426"/>
        <w:jc w:val="both"/>
        <w:rPr>
          <w:rFonts w:ascii="Times New Roman" w:hAnsi="Times New Roman"/>
          <w:noProof/>
          <w:sz w:val="24"/>
        </w:rPr>
      </w:pPr>
      <w:r>
        <w:rPr>
          <w:rFonts w:ascii="Times New Roman" w:hAnsi="Times New Roman"/>
          <w:sz w:val="24"/>
        </w:rPr>
        <w:t>iii) 2,8 % – SMS.</w:t>
      </w:r>
    </w:p>
    <w:p w:rsidR="00C14B4E" w:rsidRDefault="00C14B4E" w:rsidP="004172BE">
      <w:pPr>
        <w:pStyle w:val="Pamatteksts"/>
        <w:spacing w:before="0"/>
        <w:ind w:left="0"/>
        <w:jc w:val="both"/>
        <w:rPr>
          <w:rFonts w:ascii="Times New Roman" w:hAnsi="Times New Roman"/>
          <w:noProof/>
          <w:sz w:val="24"/>
        </w:rPr>
      </w:pPr>
    </w:p>
    <w:p w:rsidR="00A05317" w:rsidRPr="004172BE" w:rsidRDefault="00A05317" w:rsidP="004172BE">
      <w:pPr>
        <w:pStyle w:val="Pamatteksts"/>
        <w:spacing w:before="0"/>
        <w:ind w:left="0"/>
        <w:jc w:val="both"/>
        <w:rPr>
          <w:rFonts w:ascii="Times New Roman" w:hAnsi="Times New Roman"/>
          <w:noProof/>
          <w:sz w:val="24"/>
        </w:rPr>
      </w:pPr>
      <w:r>
        <w:rPr>
          <w:rFonts w:ascii="Times New Roman" w:hAnsi="Times New Roman"/>
          <w:sz w:val="24"/>
        </w:rPr>
        <w:t xml:space="preserve">Iepriekš norādītās procentuālās daļas tika aprēķinātas, ņemot vērā gan datus par dzīvesvietai piesaistītiem sakariem, gan datus par dzīvesvietai nepiesaistītiem sakariem, jo </w:t>
      </w:r>
      <w:r>
        <w:rPr>
          <w:rFonts w:ascii="Times New Roman" w:hAnsi="Times New Roman"/>
          <w:i/>
          <w:iCs/>
          <w:sz w:val="24"/>
        </w:rPr>
        <w:t>BEREC</w:t>
      </w:r>
      <w:r>
        <w:rPr>
          <w:rFonts w:ascii="Times New Roman" w:hAnsi="Times New Roman"/>
          <w:sz w:val="24"/>
        </w:rPr>
        <w:t xml:space="preserve"> 2017. gadā veiktajā datu vākšanas procesā šie dati netika nodalīti. Tādēļ pieprasījuma iesniedzējiem būs jāaprēķina savas faktiskās proporcijas tikai attiecībā uz pirmajā gadā iesniedzamajiem pieprasījumiem, ņemot vērā gan uzskaitītos dzīvesvietai piesaistīto, gan dzīvesvietai nepiesaistīto ES iekšzemes sakaru pakalpojumu apjomus.</w:t>
      </w:r>
    </w:p>
    <w:p w:rsidR="00A05317" w:rsidRPr="004172BE" w:rsidRDefault="00A05317" w:rsidP="004172BE">
      <w:pPr>
        <w:jc w:val="both"/>
        <w:rPr>
          <w:rFonts w:ascii="Times New Roman" w:eastAsia="Arial" w:hAnsi="Times New Roman" w:cs="Arial"/>
          <w:noProof/>
          <w:sz w:val="24"/>
        </w:rPr>
      </w:pPr>
    </w:p>
    <w:p w:rsidR="00A05317" w:rsidRPr="004172BE" w:rsidRDefault="00A05317" w:rsidP="004172BE">
      <w:pPr>
        <w:jc w:val="both"/>
        <w:rPr>
          <w:rFonts w:ascii="Times New Roman" w:eastAsia="Arial" w:hAnsi="Times New Roman" w:cs="Arial"/>
          <w:noProof/>
          <w:sz w:val="24"/>
        </w:rPr>
      </w:pPr>
    </w:p>
    <w:p w:rsidR="00A05317" w:rsidRPr="004172BE" w:rsidRDefault="00A05317" w:rsidP="00C14B4E">
      <w:pPr>
        <w:pStyle w:val="Virsraksts2"/>
        <w:ind w:left="426"/>
        <w:jc w:val="both"/>
        <w:rPr>
          <w:rFonts w:ascii="Times New Roman" w:hAnsi="Times New Roman"/>
          <w:noProof/>
        </w:rPr>
      </w:pPr>
      <w:bookmarkStart w:id="94" w:name="Annex_2_-_Template_for_derogation"/>
      <w:bookmarkStart w:id="95" w:name="_bookmark30"/>
      <w:bookmarkStart w:id="96" w:name="_Toc17270011"/>
      <w:bookmarkStart w:id="97" w:name="_Toc17271261"/>
      <w:bookmarkStart w:id="98" w:name="_Toc19626763"/>
      <w:bookmarkEnd w:id="94"/>
      <w:bookmarkEnd w:id="95"/>
      <w:r>
        <w:rPr>
          <w:rFonts w:ascii="Times New Roman" w:hAnsi="Times New Roman"/>
        </w:rPr>
        <w:t>2. pielikums. Atkāpes veidlapa</w:t>
      </w:r>
      <w:bookmarkEnd w:id="96"/>
      <w:bookmarkEnd w:id="97"/>
      <w:bookmarkEnd w:id="98"/>
    </w:p>
    <w:sectPr w:rsidR="00A05317" w:rsidRPr="004172BE" w:rsidSect="004172BE">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17" w:rsidRPr="00A05317" w:rsidRDefault="00A05317">
      <w:pPr>
        <w:rPr>
          <w:noProof/>
        </w:rPr>
      </w:pPr>
      <w:r w:rsidRPr="00A05317">
        <w:rPr>
          <w:noProof/>
        </w:rPr>
        <w:separator/>
      </w:r>
    </w:p>
  </w:endnote>
  <w:endnote w:type="continuationSeparator" w:id="0">
    <w:p w:rsidR="00A05317" w:rsidRPr="00A05317" w:rsidRDefault="00A05317">
      <w:pPr>
        <w:rPr>
          <w:noProof/>
        </w:rPr>
      </w:pPr>
      <w:r w:rsidRPr="00A0531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1EA" w:rsidRPr="00A411EA" w:rsidRDefault="00A411EA" w:rsidP="00A411EA">
    <w:pPr>
      <w:pStyle w:val="Galvene"/>
      <w:tabs>
        <w:tab w:val="clear" w:pos="4153"/>
        <w:tab w:val="clear" w:pos="8306"/>
        <w:tab w:val="left" w:pos="9072"/>
      </w:tabs>
      <w:rPr>
        <w:rStyle w:val="Lappusesnumurs"/>
        <w:rFonts w:ascii="Times New Roman" w:hAnsi="Times New Roman" w:cs="Times New Roman"/>
        <w:sz w:val="20"/>
        <w:szCs w:val="18"/>
      </w:rPr>
    </w:pPr>
  </w:p>
  <w:p w:rsidR="00A411EA" w:rsidRPr="00A411EA" w:rsidRDefault="00A411EA" w:rsidP="00A411EA">
    <w:pPr>
      <w:pStyle w:val="Galvene"/>
      <w:tabs>
        <w:tab w:val="clear" w:pos="4153"/>
        <w:tab w:val="clear" w:pos="8306"/>
        <w:tab w:val="right" w:leader="underscore" w:pos="9072"/>
      </w:tabs>
      <w:rPr>
        <w:rStyle w:val="Lappusesnumurs"/>
        <w:rFonts w:ascii="Times New Roman" w:hAnsi="Times New Roman" w:cs="Times New Roman"/>
        <w:sz w:val="20"/>
        <w:szCs w:val="18"/>
      </w:rPr>
    </w:pPr>
    <w:r w:rsidRPr="00A411EA">
      <w:rPr>
        <w:rStyle w:val="Lappusesnumurs"/>
        <w:rFonts w:ascii="Times New Roman" w:hAnsi="Times New Roman" w:cs="Times New Roman"/>
        <w:sz w:val="20"/>
        <w:szCs w:val="18"/>
      </w:rPr>
      <w:tab/>
    </w:r>
  </w:p>
  <w:p w:rsidR="00A411EA" w:rsidRPr="00A411EA" w:rsidRDefault="00A411EA" w:rsidP="00A411EA">
    <w:pPr>
      <w:pStyle w:val="Galvene"/>
      <w:tabs>
        <w:tab w:val="clear" w:pos="4153"/>
        <w:tab w:val="clear" w:pos="8306"/>
        <w:tab w:val="right" w:pos="9072"/>
      </w:tabs>
      <w:rPr>
        <w:rStyle w:val="Lappusesnumurs"/>
        <w:rFonts w:ascii="Times New Roman" w:hAnsi="Times New Roman" w:cs="Times New Roman"/>
        <w:sz w:val="20"/>
        <w:szCs w:val="18"/>
      </w:rPr>
    </w:pPr>
  </w:p>
  <w:p w:rsidR="00A411EA" w:rsidRPr="00A411EA" w:rsidRDefault="00A411EA" w:rsidP="00A411EA">
    <w:pPr>
      <w:pStyle w:val="Kjene"/>
      <w:tabs>
        <w:tab w:val="clear" w:pos="4153"/>
        <w:tab w:val="clear" w:pos="8306"/>
        <w:tab w:val="right" w:pos="9072"/>
      </w:tabs>
      <w:rPr>
        <w:rFonts w:ascii="Times New Roman" w:hAnsi="Times New Roman" w:cs="Times New Roman"/>
        <w:sz w:val="20"/>
        <w:szCs w:val="18"/>
      </w:rPr>
    </w:pPr>
    <w:r w:rsidRPr="00A411EA">
      <w:rPr>
        <w:rFonts w:ascii="Times New Roman" w:hAnsi="Times New Roman" w:cs="Times New Roman"/>
        <w:noProof/>
        <w:sz w:val="20"/>
        <w:szCs w:val="18"/>
      </w:rPr>
      <w:t xml:space="preserve">Tulkojums </w:t>
    </w:r>
    <w:r w:rsidRPr="00A411EA">
      <w:rPr>
        <w:rFonts w:ascii="Times New Roman" w:hAnsi="Times New Roman" w:cs="Times New Roman"/>
        <w:noProof/>
        <w:sz w:val="20"/>
        <w:szCs w:val="18"/>
      </w:rPr>
      <w:fldChar w:fldCharType="begin"/>
    </w:r>
    <w:r w:rsidRPr="00A411EA">
      <w:rPr>
        <w:rFonts w:ascii="Times New Roman" w:hAnsi="Times New Roman" w:cs="Times New Roman"/>
        <w:noProof/>
        <w:sz w:val="20"/>
        <w:szCs w:val="18"/>
      </w:rPr>
      <w:instrText>symbol 211 \f "Symbol" \s 9</w:instrText>
    </w:r>
    <w:r w:rsidRPr="00A411EA">
      <w:rPr>
        <w:rFonts w:ascii="Times New Roman" w:hAnsi="Times New Roman" w:cs="Times New Roman"/>
        <w:noProof/>
        <w:sz w:val="20"/>
        <w:szCs w:val="18"/>
      </w:rPr>
      <w:fldChar w:fldCharType="separate"/>
    </w:r>
    <w:r w:rsidRPr="00A411EA">
      <w:rPr>
        <w:rFonts w:ascii="Times New Roman" w:hAnsi="Times New Roman" w:cs="Times New Roman"/>
        <w:noProof/>
        <w:sz w:val="20"/>
        <w:szCs w:val="18"/>
      </w:rPr>
      <w:t>Ó</w:t>
    </w:r>
    <w:r w:rsidRPr="00A411EA">
      <w:rPr>
        <w:rFonts w:ascii="Times New Roman" w:hAnsi="Times New Roman" w:cs="Times New Roman"/>
        <w:noProof/>
        <w:sz w:val="20"/>
        <w:szCs w:val="18"/>
      </w:rPr>
      <w:fldChar w:fldCharType="end"/>
    </w:r>
    <w:r w:rsidRPr="00A411EA">
      <w:rPr>
        <w:rFonts w:ascii="Times New Roman" w:hAnsi="Times New Roman" w:cs="Times New Roman"/>
        <w:noProof/>
        <w:sz w:val="20"/>
        <w:szCs w:val="18"/>
      </w:rPr>
      <w:t xml:space="preserve"> Valsts valodas centrs, 2019</w:t>
    </w:r>
    <w:r w:rsidRPr="00A411EA">
      <w:rPr>
        <w:rFonts w:ascii="Times New Roman" w:hAnsi="Times New Roman" w:cs="Times New Roman"/>
        <w:sz w:val="20"/>
        <w:szCs w:val="18"/>
      </w:rPr>
      <w:tab/>
    </w:r>
    <w:r w:rsidRPr="00A411EA">
      <w:rPr>
        <w:rStyle w:val="Lappusesnumurs"/>
        <w:rFonts w:ascii="Times New Roman" w:hAnsi="Times New Roman" w:cs="Times New Roman"/>
        <w:sz w:val="20"/>
        <w:szCs w:val="18"/>
      </w:rPr>
      <w:fldChar w:fldCharType="begin"/>
    </w:r>
    <w:r w:rsidRPr="00A411EA">
      <w:rPr>
        <w:rStyle w:val="Lappusesnumurs"/>
        <w:rFonts w:ascii="Times New Roman" w:hAnsi="Times New Roman" w:cs="Times New Roman"/>
        <w:sz w:val="20"/>
        <w:szCs w:val="18"/>
      </w:rPr>
      <w:instrText xml:space="preserve">page </w:instrText>
    </w:r>
    <w:r w:rsidRPr="00A411EA">
      <w:rPr>
        <w:rStyle w:val="Lappusesnumurs"/>
        <w:rFonts w:ascii="Times New Roman" w:hAnsi="Times New Roman" w:cs="Times New Roman"/>
        <w:sz w:val="20"/>
        <w:szCs w:val="18"/>
      </w:rPr>
      <w:fldChar w:fldCharType="separate"/>
    </w:r>
    <w:r w:rsidRPr="00A411EA">
      <w:rPr>
        <w:rStyle w:val="Lappusesnumurs"/>
        <w:rFonts w:ascii="Times New Roman" w:hAnsi="Times New Roman" w:cs="Times New Roman"/>
        <w:sz w:val="20"/>
        <w:szCs w:val="18"/>
      </w:rPr>
      <w:t>2</w:t>
    </w:r>
    <w:r w:rsidRPr="00A411EA">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1EA" w:rsidRPr="00A411EA" w:rsidRDefault="00A411EA" w:rsidP="00A411EA">
    <w:pPr>
      <w:pStyle w:val="Galvene"/>
      <w:tabs>
        <w:tab w:val="clear" w:pos="4153"/>
        <w:tab w:val="clear" w:pos="8306"/>
        <w:tab w:val="left" w:pos="9072"/>
      </w:tabs>
      <w:jc w:val="both"/>
      <w:rPr>
        <w:rStyle w:val="Lappusesnumurs"/>
        <w:rFonts w:ascii="Times New Roman" w:hAnsi="Times New Roman" w:cs="Times New Roman"/>
        <w:sz w:val="20"/>
        <w:szCs w:val="18"/>
      </w:rPr>
    </w:pPr>
    <w:bookmarkStart w:id="109" w:name="_Hlk496261764"/>
    <w:bookmarkStart w:id="110" w:name="_Hlk496261765"/>
    <w:bookmarkStart w:id="111" w:name="_Hlk496261766"/>
  </w:p>
  <w:p w:rsidR="00A411EA" w:rsidRPr="00A411EA" w:rsidRDefault="00A411EA" w:rsidP="00A411EA">
    <w:pPr>
      <w:pStyle w:val="Galvene"/>
      <w:tabs>
        <w:tab w:val="clear" w:pos="4153"/>
        <w:tab w:val="clear" w:pos="8306"/>
        <w:tab w:val="left" w:leader="underscore" w:pos="9072"/>
      </w:tabs>
      <w:jc w:val="both"/>
      <w:rPr>
        <w:rStyle w:val="Lappusesnumurs"/>
        <w:rFonts w:ascii="Times New Roman" w:hAnsi="Times New Roman" w:cs="Times New Roman"/>
        <w:sz w:val="20"/>
        <w:szCs w:val="18"/>
      </w:rPr>
    </w:pPr>
    <w:r w:rsidRPr="00A411EA">
      <w:rPr>
        <w:rStyle w:val="Lappusesnumurs"/>
        <w:rFonts w:ascii="Times New Roman" w:hAnsi="Times New Roman" w:cs="Times New Roman"/>
        <w:sz w:val="20"/>
        <w:szCs w:val="18"/>
      </w:rPr>
      <w:tab/>
    </w:r>
  </w:p>
  <w:p w:rsidR="00A411EA" w:rsidRPr="00A411EA" w:rsidRDefault="00A411EA" w:rsidP="00A411EA">
    <w:pPr>
      <w:pStyle w:val="Galvene"/>
      <w:tabs>
        <w:tab w:val="clear" w:pos="4153"/>
        <w:tab w:val="clear" w:pos="8306"/>
        <w:tab w:val="left" w:pos="9072"/>
      </w:tabs>
      <w:jc w:val="both"/>
      <w:rPr>
        <w:rStyle w:val="Lappusesnumurs"/>
        <w:rFonts w:ascii="Times New Roman" w:hAnsi="Times New Roman" w:cs="Times New Roman"/>
        <w:sz w:val="20"/>
        <w:szCs w:val="18"/>
      </w:rPr>
    </w:pPr>
  </w:p>
  <w:p w:rsidR="00A411EA" w:rsidRPr="00A411EA" w:rsidRDefault="00A411EA" w:rsidP="00A411EA">
    <w:pPr>
      <w:pStyle w:val="Kjene"/>
      <w:jc w:val="both"/>
      <w:rPr>
        <w:rFonts w:ascii="Times New Roman" w:hAnsi="Times New Roman" w:cs="Times New Roman"/>
        <w:sz w:val="20"/>
        <w:szCs w:val="18"/>
      </w:rPr>
    </w:pPr>
    <w:r w:rsidRPr="00A411EA">
      <w:rPr>
        <w:rFonts w:ascii="Times New Roman" w:hAnsi="Times New Roman" w:cs="Times New Roman"/>
        <w:noProof/>
        <w:sz w:val="20"/>
        <w:szCs w:val="18"/>
      </w:rPr>
      <w:t xml:space="preserve">Tulkojums </w:t>
    </w:r>
    <w:r w:rsidRPr="00A411EA">
      <w:rPr>
        <w:rFonts w:ascii="Times New Roman" w:hAnsi="Times New Roman" w:cs="Times New Roman"/>
        <w:noProof/>
        <w:sz w:val="20"/>
        <w:szCs w:val="18"/>
      </w:rPr>
      <w:fldChar w:fldCharType="begin"/>
    </w:r>
    <w:r w:rsidRPr="00A411EA">
      <w:rPr>
        <w:rFonts w:ascii="Times New Roman" w:hAnsi="Times New Roman" w:cs="Times New Roman"/>
        <w:noProof/>
        <w:sz w:val="20"/>
        <w:szCs w:val="18"/>
      </w:rPr>
      <w:instrText>symbol 211 \f "Symbol" \s 9</w:instrText>
    </w:r>
    <w:r w:rsidRPr="00A411EA">
      <w:rPr>
        <w:rFonts w:ascii="Times New Roman" w:hAnsi="Times New Roman" w:cs="Times New Roman"/>
        <w:noProof/>
        <w:sz w:val="20"/>
        <w:szCs w:val="18"/>
      </w:rPr>
      <w:fldChar w:fldCharType="separate"/>
    </w:r>
    <w:r w:rsidRPr="00A411EA">
      <w:rPr>
        <w:rFonts w:ascii="Times New Roman" w:hAnsi="Times New Roman" w:cs="Times New Roman"/>
        <w:noProof/>
        <w:sz w:val="20"/>
        <w:szCs w:val="18"/>
      </w:rPr>
      <w:t>Ó</w:t>
    </w:r>
    <w:r w:rsidRPr="00A411EA">
      <w:rPr>
        <w:rFonts w:ascii="Times New Roman" w:hAnsi="Times New Roman" w:cs="Times New Roman"/>
        <w:noProof/>
        <w:sz w:val="20"/>
        <w:szCs w:val="18"/>
      </w:rPr>
      <w:fldChar w:fldCharType="end"/>
    </w:r>
    <w:r w:rsidRPr="00A411EA">
      <w:rPr>
        <w:rFonts w:ascii="Times New Roman" w:hAnsi="Times New Roman" w:cs="Times New Roman"/>
        <w:noProof/>
        <w:sz w:val="20"/>
        <w:szCs w:val="18"/>
      </w:rPr>
      <w:t xml:space="preserve"> Valsts valodas centrs, 201</w:t>
    </w:r>
    <w:bookmarkEnd w:id="109"/>
    <w:bookmarkEnd w:id="110"/>
    <w:bookmarkEnd w:id="111"/>
    <w:r w:rsidRPr="00A411EA">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17" w:rsidRPr="00A05317" w:rsidRDefault="00A05317">
      <w:pPr>
        <w:rPr>
          <w:noProof/>
        </w:rPr>
      </w:pPr>
      <w:r w:rsidRPr="00A05317">
        <w:rPr>
          <w:noProof/>
        </w:rPr>
        <w:separator/>
      </w:r>
    </w:p>
  </w:footnote>
  <w:footnote w:type="continuationSeparator" w:id="0">
    <w:p w:rsidR="00A05317" w:rsidRPr="00A05317" w:rsidRDefault="00A05317">
      <w:pPr>
        <w:rPr>
          <w:noProof/>
        </w:rPr>
      </w:pPr>
      <w:r w:rsidRPr="00A05317">
        <w:rPr>
          <w:noProof/>
        </w:rPr>
        <w:continuationSeparator/>
      </w:r>
    </w:p>
  </w:footnote>
  <w:footnote w:id="1">
    <w:p w:rsidR="004172BE" w:rsidRPr="004172BE" w:rsidRDefault="004172BE">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https://eur-lex.europa.eu/legal-content/EN/TXT/?uri=uriserv:OJ.L_.2018.321.01.0001.01.ENG</w:t>
      </w:r>
    </w:p>
  </w:footnote>
  <w:footnote w:id="2">
    <w:p w:rsidR="004172BE" w:rsidRPr="004172BE" w:rsidRDefault="004172BE">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Atsaucoties uz ES iekšzemes sakariem, tiek ietverti arī sakari ar Islandi, Lihtenšteinu un Norvēģiju (EEZ) un sakari, kas tiek nodrošināti no šīm valstīm.</w:t>
      </w:r>
    </w:p>
  </w:footnote>
  <w:footnote w:id="3">
    <w:p w:rsidR="004172BE" w:rsidRPr="004172BE" w:rsidRDefault="004172BE">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Kopumā šī regula attiecas arī uz publiskajiem taksofoniem.</w:t>
      </w:r>
    </w:p>
  </w:footnote>
  <w:footnote w:id="4">
    <w:p w:rsidR="004172BE" w:rsidRPr="004172BE" w:rsidRDefault="004172BE">
      <w:pPr>
        <w:pStyle w:val="Vresteksts"/>
      </w:pPr>
      <w:r>
        <w:rPr>
          <w:rStyle w:val="Vresatsauce"/>
          <w:rFonts w:ascii="Times New Roman" w:hAnsi="Times New Roman" w:cs="Times New Roman"/>
        </w:rPr>
        <w:footnoteRef/>
      </w:r>
      <w:r>
        <w:rPr>
          <w:rFonts w:ascii="Times New Roman" w:hAnsi="Times New Roman"/>
        </w:rPr>
        <w:t xml:space="preserve"> Eiropas Parlamenta un Padomes DIREKTĪVAS (ES) 2018/1972 (2018. gada 11. decembris) par Eiropas Elektronisko sakaru kodeksa (</w:t>
      </w:r>
      <w:r>
        <w:rPr>
          <w:rFonts w:ascii="Times New Roman" w:hAnsi="Times New Roman"/>
          <w:i/>
          <w:iCs/>
        </w:rPr>
        <w:t>EECC</w:t>
      </w:r>
      <w:r>
        <w:rPr>
          <w:rFonts w:ascii="Times New Roman" w:hAnsi="Times New Roman"/>
        </w:rPr>
        <w:t>) izveidi 2. pants.</w:t>
      </w:r>
    </w:p>
  </w:footnote>
  <w:footnote w:id="5">
    <w:p w:rsidR="004172BE" w:rsidRPr="004172BE" w:rsidRDefault="004172BE" w:rsidP="004172B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Klienti, kas izmanto viesabonēšanas pakalpojumus, ceļojot uz ārvalstīm, piemēram, Itālijas klients, kas ceļo no Beļģijas un zvana uz mobilo sakaru numuru Francijā.</w:t>
      </w:r>
    </w:p>
  </w:footnote>
  <w:footnote w:id="6">
    <w:p w:rsidR="004172BE" w:rsidRPr="004172BE" w:rsidRDefault="004172BE" w:rsidP="004172B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hyperlink r:id="rId1">
        <w:r>
          <w:rPr>
            <w:rFonts w:ascii="Times New Roman" w:hAnsi="Times New Roman"/>
          </w:rPr>
          <w:t>http://www.europarl.europa.eu/factsheets/en/sheet/100/outermost-regions-ors-</w:t>
        </w:r>
      </w:hyperlink>
    </w:p>
  </w:footnote>
  <w:footnote w:id="7">
    <w:p w:rsidR="004172BE" w:rsidRPr="004172BE" w:rsidRDefault="004172BE" w:rsidP="004172B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Ar jaunāko spriedumu telesakaru jomā attiecībā uz 355. panta 2. punktu par aizjūras zemēm un teritorijām (AZT) ir iespējams iepazīties lietas C-327/15 </w:t>
      </w:r>
      <w:r>
        <w:rPr>
          <w:rFonts w:ascii="Times New Roman" w:hAnsi="Times New Roman"/>
          <w:i/>
          <w:iCs/>
        </w:rPr>
        <w:t>TDC</w:t>
      </w:r>
      <w:r>
        <w:rPr>
          <w:rFonts w:ascii="Times New Roman" w:hAnsi="Times New Roman"/>
        </w:rPr>
        <w:t xml:space="preserve"> sprieduma 73. līdz 82. punktā. LESD 355. panta 1. punkts par tālākiem reģioniem skaidrots lietas C-132/14 u. c. spriedumā, kā arī ģenerāladvokāta atzinumā minētajā lietā.</w:t>
      </w:r>
    </w:p>
  </w:footnote>
  <w:footnote w:id="8">
    <w:p w:rsidR="004172BE" w:rsidRPr="004172BE" w:rsidRDefault="004172BE" w:rsidP="004172BE">
      <w:pPr>
        <w:pStyle w:val="Vresteksts"/>
        <w:jc w:val="both"/>
      </w:pPr>
      <w:r>
        <w:rPr>
          <w:rStyle w:val="Vresatsauce"/>
          <w:rFonts w:ascii="Times New Roman" w:hAnsi="Times New Roman" w:cs="Times New Roman"/>
        </w:rPr>
        <w:footnoteRef/>
      </w:r>
      <w:r>
        <w:rPr>
          <w:rFonts w:ascii="Times New Roman" w:hAnsi="Times New Roman"/>
        </w:rPr>
        <w:t xml:space="preserve"> Norvēģijā šī regula tiks valsts līmenī īstenota no 2019. gada 15. maija, nosakot identiskas saistības Norvēģijas starptautisko sakaru pakalpojumu sniedzējiem.</w:t>
      </w:r>
    </w:p>
  </w:footnote>
  <w:footnote w:id="9">
    <w:p w:rsidR="00D313FD" w:rsidRPr="00D313FD" w:rsidRDefault="00D313FD" w:rsidP="00D313F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Vispārējie starptautiskie bezmaksas numuri ir Starptautiskās Telekomunikāciju savienības (</w:t>
      </w:r>
      <w:r>
        <w:rPr>
          <w:rFonts w:ascii="Times New Roman" w:hAnsi="Times New Roman"/>
          <w:i/>
          <w:iCs/>
        </w:rPr>
        <w:t>ITU</w:t>
      </w:r>
      <w:r>
        <w:rPr>
          <w:rFonts w:ascii="Times New Roman" w:hAnsi="Times New Roman"/>
        </w:rPr>
        <w:t>) piešķirti numuri, kas dod iespēju piešķirt starptautisko bezmaksas pakalpojumu (</w:t>
      </w:r>
      <w:r>
        <w:rPr>
          <w:rFonts w:ascii="Times New Roman" w:hAnsi="Times New Roman"/>
          <w:i/>
          <w:iCs/>
        </w:rPr>
        <w:t>IFS</w:t>
      </w:r>
      <w:r>
        <w:rPr>
          <w:rFonts w:ascii="Times New Roman" w:hAnsi="Times New Roman"/>
        </w:rPr>
        <w:t>) klientam unikālu(-s) bezmaksas tālruņa numuru(-s), kas ir vienāds(-i) visā pasaulē.</w:t>
      </w:r>
    </w:p>
  </w:footnote>
  <w:footnote w:id="10">
    <w:p w:rsidR="00D313FD" w:rsidRPr="00D313FD" w:rsidRDefault="00D313FD" w:rsidP="00D313FD">
      <w:pPr>
        <w:pStyle w:val="Vresteksts"/>
        <w:jc w:val="both"/>
      </w:pPr>
      <w:r>
        <w:rPr>
          <w:rStyle w:val="Vresatsauce"/>
          <w:rFonts w:ascii="Times New Roman" w:hAnsi="Times New Roman" w:cs="Times New Roman"/>
        </w:rPr>
        <w:footnoteRef/>
      </w:r>
      <w:r>
        <w:rPr>
          <w:rFonts w:ascii="Times New Roman" w:hAnsi="Times New Roman"/>
        </w:rPr>
        <w:t xml:space="preserve"> </w:t>
      </w:r>
      <w:hyperlink r:id="rId2">
        <w:r>
          <w:rPr>
            <w:rFonts w:ascii="Times New Roman" w:hAnsi="Times New Roman"/>
          </w:rPr>
          <w:t>BoR (13) 37. Universālās pakalpojuma direktīvas 28. panta 2. punkts: saskaņotais BEREC sadarbības process –</w:t>
        </w:r>
      </w:hyperlink>
      <w:r>
        <w:rPr>
          <w:rFonts w:ascii="Times New Roman" w:hAnsi="Times New Roman"/>
        </w:rPr>
        <w:t xml:space="preserve"> </w:t>
      </w:r>
      <w:hyperlink r:id="rId3">
        <w:r>
          <w:rPr>
            <w:rFonts w:ascii="Times New Roman" w:hAnsi="Times New Roman"/>
          </w:rPr>
          <w:t>BEREC norādījumu dokuments.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1EA" w:rsidRPr="00A411EA" w:rsidRDefault="00A411EA" w:rsidP="00A411EA">
    <w:pPr>
      <w:pStyle w:val="Galvene"/>
      <w:tabs>
        <w:tab w:val="clear" w:pos="4153"/>
        <w:tab w:val="clear" w:pos="8306"/>
      </w:tabs>
      <w:rPr>
        <w:rStyle w:val="Lappusesnumurs"/>
        <w:rFonts w:ascii="Times New Roman" w:hAnsi="Times New Roman" w:cs="Times New Roman"/>
        <w:sz w:val="20"/>
        <w:szCs w:val="20"/>
      </w:rPr>
    </w:pPr>
    <w:bookmarkStart w:id="99" w:name="_Hlk496261784"/>
    <w:bookmarkStart w:id="100" w:name="_Hlk496261785"/>
    <w:bookmarkStart w:id="101" w:name="_Hlk496261786"/>
    <w:bookmarkStart w:id="102" w:name="_Hlk502757728"/>
    <w:bookmarkStart w:id="103" w:name="_Hlk502757729"/>
    <w:bookmarkStart w:id="104" w:name="_Hlk502757738"/>
    <w:bookmarkStart w:id="105" w:name="_Hlk502757739"/>
  </w:p>
  <w:p w:rsidR="00A411EA" w:rsidRPr="00A411EA" w:rsidRDefault="00A411EA" w:rsidP="00A411EA">
    <w:pPr>
      <w:pStyle w:val="Galvene"/>
      <w:tabs>
        <w:tab w:val="clear" w:pos="4153"/>
        <w:tab w:val="clear" w:pos="8306"/>
        <w:tab w:val="right" w:leader="underscore" w:pos="9072"/>
      </w:tabs>
      <w:rPr>
        <w:rStyle w:val="Lappusesnumurs"/>
        <w:rFonts w:ascii="Times New Roman" w:hAnsi="Times New Roman" w:cs="Times New Roman"/>
        <w:sz w:val="20"/>
        <w:szCs w:val="20"/>
      </w:rPr>
    </w:pPr>
    <w:r w:rsidRPr="00A411EA">
      <w:rPr>
        <w:rStyle w:val="Lappusesnumurs"/>
        <w:rFonts w:ascii="Times New Roman" w:hAnsi="Times New Roman" w:cs="Times New Roman"/>
        <w:sz w:val="20"/>
        <w:szCs w:val="20"/>
      </w:rPr>
      <w:tab/>
    </w:r>
  </w:p>
  <w:bookmarkEnd w:id="99"/>
  <w:bookmarkEnd w:id="100"/>
  <w:bookmarkEnd w:id="101"/>
  <w:bookmarkEnd w:id="102"/>
  <w:bookmarkEnd w:id="103"/>
  <w:bookmarkEnd w:id="104"/>
  <w:bookmarkEnd w:id="105"/>
  <w:p w:rsidR="00A411EA" w:rsidRPr="00A411EA" w:rsidRDefault="00A411EA" w:rsidP="00A411EA">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1EA" w:rsidRPr="00A411EA" w:rsidRDefault="00A411EA" w:rsidP="00A411EA">
    <w:pPr>
      <w:pBdr>
        <w:bottom w:val="single" w:sz="12" w:space="5" w:color="auto"/>
      </w:pBdr>
      <w:rPr>
        <w:rFonts w:ascii="Times New Roman" w:hAnsi="Times New Roman" w:cs="Times New Roman"/>
        <w:spacing w:val="-2"/>
        <w:sz w:val="20"/>
        <w:szCs w:val="20"/>
      </w:rPr>
    </w:pPr>
    <w:bookmarkStart w:id="106" w:name="_Hlk496261745"/>
    <w:bookmarkStart w:id="107" w:name="_Hlk496261746"/>
    <w:bookmarkStart w:id="108" w:name="_Hlk496261747"/>
  </w:p>
  <w:bookmarkEnd w:id="106"/>
  <w:bookmarkEnd w:id="107"/>
  <w:bookmarkEnd w:id="108"/>
  <w:p w:rsidR="00A411EA" w:rsidRPr="00A411EA" w:rsidRDefault="00A411EA" w:rsidP="00A411EA">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A79"/>
    <w:multiLevelType w:val="hybridMultilevel"/>
    <w:tmpl w:val="505087FA"/>
    <w:lvl w:ilvl="0" w:tplc="15E8CAE4">
      <w:start w:val="1"/>
      <w:numFmt w:val="upperLetter"/>
      <w:lvlText w:val="%1."/>
      <w:lvlJc w:val="left"/>
      <w:pPr>
        <w:ind w:left="686" w:hanging="564"/>
      </w:pPr>
      <w:rPr>
        <w:rFonts w:ascii="Arial" w:eastAsia="Arial" w:hAnsi="Arial" w:hint="default"/>
        <w:b/>
        <w:bCs/>
        <w:spacing w:val="-5"/>
        <w:w w:val="99"/>
        <w:sz w:val="20"/>
        <w:szCs w:val="20"/>
      </w:rPr>
    </w:lvl>
    <w:lvl w:ilvl="1" w:tplc="2D08012E">
      <w:start w:val="1"/>
      <w:numFmt w:val="bullet"/>
      <w:lvlText w:val="•"/>
      <w:lvlJc w:val="left"/>
      <w:pPr>
        <w:ind w:left="1472" w:hanging="564"/>
      </w:pPr>
      <w:rPr>
        <w:rFonts w:hint="default"/>
      </w:rPr>
    </w:lvl>
    <w:lvl w:ilvl="2" w:tplc="C0A2BF7C">
      <w:start w:val="1"/>
      <w:numFmt w:val="bullet"/>
      <w:lvlText w:val="•"/>
      <w:lvlJc w:val="left"/>
      <w:pPr>
        <w:ind w:left="2258" w:hanging="564"/>
      </w:pPr>
      <w:rPr>
        <w:rFonts w:hint="default"/>
      </w:rPr>
    </w:lvl>
    <w:lvl w:ilvl="3" w:tplc="750A8412">
      <w:start w:val="1"/>
      <w:numFmt w:val="bullet"/>
      <w:lvlText w:val="•"/>
      <w:lvlJc w:val="left"/>
      <w:pPr>
        <w:ind w:left="3044" w:hanging="564"/>
      </w:pPr>
      <w:rPr>
        <w:rFonts w:hint="default"/>
      </w:rPr>
    </w:lvl>
    <w:lvl w:ilvl="4" w:tplc="2E76F2C4">
      <w:start w:val="1"/>
      <w:numFmt w:val="bullet"/>
      <w:lvlText w:val="•"/>
      <w:lvlJc w:val="left"/>
      <w:pPr>
        <w:ind w:left="3830" w:hanging="564"/>
      </w:pPr>
      <w:rPr>
        <w:rFonts w:hint="default"/>
      </w:rPr>
    </w:lvl>
    <w:lvl w:ilvl="5" w:tplc="1220A4A2">
      <w:start w:val="1"/>
      <w:numFmt w:val="bullet"/>
      <w:lvlText w:val="•"/>
      <w:lvlJc w:val="left"/>
      <w:pPr>
        <w:ind w:left="4616" w:hanging="564"/>
      </w:pPr>
      <w:rPr>
        <w:rFonts w:hint="default"/>
      </w:rPr>
    </w:lvl>
    <w:lvl w:ilvl="6" w:tplc="4E220562">
      <w:start w:val="1"/>
      <w:numFmt w:val="bullet"/>
      <w:lvlText w:val="•"/>
      <w:lvlJc w:val="left"/>
      <w:pPr>
        <w:ind w:left="5402" w:hanging="564"/>
      </w:pPr>
      <w:rPr>
        <w:rFonts w:hint="default"/>
      </w:rPr>
    </w:lvl>
    <w:lvl w:ilvl="7" w:tplc="CCCC2C78">
      <w:start w:val="1"/>
      <w:numFmt w:val="bullet"/>
      <w:lvlText w:val="•"/>
      <w:lvlJc w:val="left"/>
      <w:pPr>
        <w:ind w:left="6188" w:hanging="564"/>
      </w:pPr>
      <w:rPr>
        <w:rFonts w:hint="default"/>
      </w:rPr>
    </w:lvl>
    <w:lvl w:ilvl="8" w:tplc="670CA1C4">
      <w:start w:val="1"/>
      <w:numFmt w:val="bullet"/>
      <w:lvlText w:val="•"/>
      <w:lvlJc w:val="left"/>
      <w:pPr>
        <w:ind w:left="6974" w:hanging="564"/>
      </w:pPr>
      <w:rPr>
        <w:rFonts w:hint="default"/>
      </w:rPr>
    </w:lvl>
  </w:abstractNum>
  <w:abstractNum w:abstractNumId="1" w15:restartNumberingAfterBreak="0">
    <w:nsid w:val="013A390B"/>
    <w:multiLevelType w:val="hybridMultilevel"/>
    <w:tmpl w:val="56CC30D4"/>
    <w:lvl w:ilvl="0" w:tplc="C5A02C6C">
      <w:start w:val="1"/>
      <w:numFmt w:val="lowerRoman"/>
      <w:lvlText w:val="%1)"/>
      <w:lvlJc w:val="left"/>
      <w:pPr>
        <w:ind w:left="1200" w:hanging="721"/>
      </w:pPr>
      <w:rPr>
        <w:rFonts w:ascii="Arial" w:eastAsia="Arial" w:hAnsi="Arial" w:hint="default"/>
        <w:spacing w:val="-2"/>
        <w:sz w:val="22"/>
        <w:szCs w:val="22"/>
      </w:rPr>
    </w:lvl>
    <w:lvl w:ilvl="1" w:tplc="9E603734">
      <w:start w:val="1"/>
      <w:numFmt w:val="bullet"/>
      <w:lvlText w:val="•"/>
      <w:lvlJc w:val="left"/>
      <w:pPr>
        <w:ind w:left="1934" w:hanging="721"/>
      </w:pPr>
      <w:rPr>
        <w:rFonts w:hint="default"/>
      </w:rPr>
    </w:lvl>
    <w:lvl w:ilvl="2" w:tplc="53F20284">
      <w:start w:val="1"/>
      <w:numFmt w:val="bullet"/>
      <w:lvlText w:val="•"/>
      <w:lvlJc w:val="left"/>
      <w:pPr>
        <w:ind w:left="2669" w:hanging="721"/>
      </w:pPr>
      <w:rPr>
        <w:rFonts w:hint="default"/>
      </w:rPr>
    </w:lvl>
    <w:lvl w:ilvl="3" w:tplc="FE2EF960">
      <w:start w:val="1"/>
      <w:numFmt w:val="bullet"/>
      <w:lvlText w:val="•"/>
      <w:lvlJc w:val="left"/>
      <w:pPr>
        <w:ind w:left="3404" w:hanging="721"/>
      </w:pPr>
      <w:rPr>
        <w:rFonts w:hint="default"/>
      </w:rPr>
    </w:lvl>
    <w:lvl w:ilvl="4" w:tplc="65F6EFF8">
      <w:start w:val="1"/>
      <w:numFmt w:val="bullet"/>
      <w:lvlText w:val="•"/>
      <w:lvlJc w:val="left"/>
      <w:pPr>
        <w:ind w:left="4138" w:hanging="721"/>
      </w:pPr>
      <w:rPr>
        <w:rFonts w:hint="default"/>
      </w:rPr>
    </w:lvl>
    <w:lvl w:ilvl="5" w:tplc="A45E3E3A">
      <w:start w:val="1"/>
      <w:numFmt w:val="bullet"/>
      <w:lvlText w:val="•"/>
      <w:lvlJc w:val="left"/>
      <w:pPr>
        <w:ind w:left="4873" w:hanging="721"/>
      </w:pPr>
      <w:rPr>
        <w:rFonts w:hint="default"/>
      </w:rPr>
    </w:lvl>
    <w:lvl w:ilvl="6" w:tplc="AEDA6E92">
      <w:start w:val="1"/>
      <w:numFmt w:val="bullet"/>
      <w:lvlText w:val="•"/>
      <w:lvlJc w:val="left"/>
      <w:pPr>
        <w:ind w:left="5607" w:hanging="721"/>
      </w:pPr>
      <w:rPr>
        <w:rFonts w:hint="default"/>
      </w:rPr>
    </w:lvl>
    <w:lvl w:ilvl="7" w:tplc="4CF6EF66">
      <w:start w:val="1"/>
      <w:numFmt w:val="bullet"/>
      <w:lvlText w:val="•"/>
      <w:lvlJc w:val="left"/>
      <w:pPr>
        <w:ind w:left="6342" w:hanging="721"/>
      </w:pPr>
      <w:rPr>
        <w:rFonts w:hint="default"/>
      </w:rPr>
    </w:lvl>
    <w:lvl w:ilvl="8" w:tplc="E3721122">
      <w:start w:val="1"/>
      <w:numFmt w:val="bullet"/>
      <w:lvlText w:val="•"/>
      <w:lvlJc w:val="left"/>
      <w:pPr>
        <w:ind w:left="7077" w:hanging="721"/>
      </w:pPr>
      <w:rPr>
        <w:rFonts w:hint="default"/>
      </w:rPr>
    </w:lvl>
  </w:abstractNum>
  <w:abstractNum w:abstractNumId="2" w15:restartNumberingAfterBreak="0">
    <w:nsid w:val="0EA926DD"/>
    <w:multiLevelType w:val="hybridMultilevel"/>
    <w:tmpl w:val="61D82B1A"/>
    <w:lvl w:ilvl="0" w:tplc="CB0C231A">
      <w:start w:val="1"/>
      <w:numFmt w:val="lowerLetter"/>
      <w:lvlText w:val="%1."/>
      <w:lvlJc w:val="left"/>
      <w:pPr>
        <w:ind w:left="1252" w:hanging="567"/>
      </w:pPr>
      <w:rPr>
        <w:rFonts w:ascii="Arial" w:eastAsia="Arial" w:hAnsi="Arial" w:hint="default"/>
        <w:spacing w:val="-1"/>
        <w:sz w:val="22"/>
        <w:szCs w:val="22"/>
      </w:rPr>
    </w:lvl>
    <w:lvl w:ilvl="1" w:tplc="19A41542">
      <w:start w:val="1"/>
      <w:numFmt w:val="bullet"/>
      <w:lvlText w:val="•"/>
      <w:lvlJc w:val="left"/>
      <w:pPr>
        <w:ind w:left="1982" w:hanging="567"/>
      </w:pPr>
      <w:rPr>
        <w:rFonts w:hint="default"/>
      </w:rPr>
    </w:lvl>
    <w:lvl w:ilvl="2" w:tplc="DDCC99A4">
      <w:start w:val="1"/>
      <w:numFmt w:val="bullet"/>
      <w:lvlText w:val="•"/>
      <w:lvlJc w:val="left"/>
      <w:pPr>
        <w:ind w:left="2711" w:hanging="567"/>
      </w:pPr>
      <w:rPr>
        <w:rFonts w:hint="default"/>
      </w:rPr>
    </w:lvl>
    <w:lvl w:ilvl="3" w:tplc="D9146E5C">
      <w:start w:val="1"/>
      <w:numFmt w:val="bullet"/>
      <w:lvlText w:val="•"/>
      <w:lvlJc w:val="left"/>
      <w:pPr>
        <w:ind w:left="3440" w:hanging="567"/>
      </w:pPr>
      <w:rPr>
        <w:rFonts w:hint="default"/>
      </w:rPr>
    </w:lvl>
    <w:lvl w:ilvl="4" w:tplc="512EE0FC">
      <w:start w:val="1"/>
      <w:numFmt w:val="bullet"/>
      <w:lvlText w:val="•"/>
      <w:lvlJc w:val="left"/>
      <w:pPr>
        <w:ind w:left="4170" w:hanging="567"/>
      </w:pPr>
      <w:rPr>
        <w:rFonts w:hint="default"/>
      </w:rPr>
    </w:lvl>
    <w:lvl w:ilvl="5" w:tplc="DE586B5E">
      <w:start w:val="1"/>
      <w:numFmt w:val="bullet"/>
      <w:lvlText w:val="•"/>
      <w:lvlJc w:val="left"/>
      <w:pPr>
        <w:ind w:left="4899" w:hanging="567"/>
      </w:pPr>
      <w:rPr>
        <w:rFonts w:hint="default"/>
      </w:rPr>
    </w:lvl>
    <w:lvl w:ilvl="6" w:tplc="601A20A0">
      <w:start w:val="1"/>
      <w:numFmt w:val="bullet"/>
      <w:lvlText w:val="•"/>
      <w:lvlJc w:val="left"/>
      <w:pPr>
        <w:ind w:left="5628" w:hanging="567"/>
      </w:pPr>
      <w:rPr>
        <w:rFonts w:hint="default"/>
      </w:rPr>
    </w:lvl>
    <w:lvl w:ilvl="7" w:tplc="03A8B436">
      <w:start w:val="1"/>
      <w:numFmt w:val="bullet"/>
      <w:lvlText w:val="•"/>
      <w:lvlJc w:val="left"/>
      <w:pPr>
        <w:ind w:left="6358" w:hanging="567"/>
      </w:pPr>
      <w:rPr>
        <w:rFonts w:hint="default"/>
      </w:rPr>
    </w:lvl>
    <w:lvl w:ilvl="8" w:tplc="04823E5C">
      <w:start w:val="1"/>
      <w:numFmt w:val="bullet"/>
      <w:lvlText w:val="•"/>
      <w:lvlJc w:val="left"/>
      <w:pPr>
        <w:ind w:left="7087" w:hanging="567"/>
      </w:pPr>
      <w:rPr>
        <w:rFonts w:hint="default"/>
      </w:rPr>
    </w:lvl>
  </w:abstractNum>
  <w:abstractNum w:abstractNumId="3" w15:restartNumberingAfterBreak="0">
    <w:nsid w:val="279238B3"/>
    <w:multiLevelType w:val="hybridMultilevel"/>
    <w:tmpl w:val="C930EF2E"/>
    <w:lvl w:ilvl="0" w:tplc="402C4136">
      <w:start w:val="1"/>
      <w:numFmt w:val="lowerLetter"/>
      <w:lvlText w:val="(%1)"/>
      <w:lvlJc w:val="left"/>
      <w:pPr>
        <w:ind w:left="1199" w:hanging="360"/>
      </w:pPr>
      <w:rPr>
        <w:rFonts w:ascii="Arial" w:eastAsia="Arial" w:hAnsi="Arial" w:hint="default"/>
        <w:sz w:val="22"/>
        <w:szCs w:val="22"/>
      </w:rPr>
    </w:lvl>
    <w:lvl w:ilvl="1" w:tplc="1C404C9A">
      <w:start w:val="1"/>
      <w:numFmt w:val="bullet"/>
      <w:lvlText w:val="•"/>
      <w:lvlJc w:val="left"/>
      <w:pPr>
        <w:ind w:left="1934" w:hanging="360"/>
      </w:pPr>
      <w:rPr>
        <w:rFonts w:hint="default"/>
      </w:rPr>
    </w:lvl>
    <w:lvl w:ilvl="2" w:tplc="36F6F1A2">
      <w:start w:val="1"/>
      <w:numFmt w:val="bullet"/>
      <w:lvlText w:val="•"/>
      <w:lvlJc w:val="left"/>
      <w:pPr>
        <w:ind w:left="2668" w:hanging="360"/>
      </w:pPr>
      <w:rPr>
        <w:rFonts w:hint="default"/>
      </w:rPr>
    </w:lvl>
    <w:lvl w:ilvl="3" w:tplc="9C8C13DC">
      <w:start w:val="1"/>
      <w:numFmt w:val="bullet"/>
      <w:lvlText w:val="•"/>
      <w:lvlJc w:val="left"/>
      <w:pPr>
        <w:ind w:left="3403" w:hanging="360"/>
      </w:pPr>
      <w:rPr>
        <w:rFonts w:hint="default"/>
      </w:rPr>
    </w:lvl>
    <w:lvl w:ilvl="4" w:tplc="35CE93CA">
      <w:start w:val="1"/>
      <w:numFmt w:val="bullet"/>
      <w:lvlText w:val="•"/>
      <w:lvlJc w:val="left"/>
      <w:pPr>
        <w:ind w:left="4138" w:hanging="360"/>
      </w:pPr>
      <w:rPr>
        <w:rFonts w:hint="default"/>
      </w:rPr>
    </w:lvl>
    <w:lvl w:ilvl="5" w:tplc="34945FBC">
      <w:start w:val="1"/>
      <w:numFmt w:val="bullet"/>
      <w:lvlText w:val="•"/>
      <w:lvlJc w:val="left"/>
      <w:pPr>
        <w:ind w:left="4872" w:hanging="360"/>
      </w:pPr>
      <w:rPr>
        <w:rFonts w:hint="default"/>
      </w:rPr>
    </w:lvl>
    <w:lvl w:ilvl="6" w:tplc="40DA5262">
      <w:start w:val="1"/>
      <w:numFmt w:val="bullet"/>
      <w:lvlText w:val="•"/>
      <w:lvlJc w:val="left"/>
      <w:pPr>
        <w:ind w:left="5607" w:hanging="360"/>
      </w:pPr>
      <w:rPr>
        <w:rFonts w:hint="default"/>
      </w:rPr>
    </w:lvl>
    <w:lvl w:ilvl="7" w:tplc="E0363B1A">
      <w:start w:val="1"/>
      <w:numFmt w:val="bullet"/>
      <w:lvlText w:val="•"/>
      <w:lvlJc w:val="left"/>
      <w:pPr>
        <w:ind w:left="6342" w:hanging="360"/>
      </w:pPr>
      <w:rPr>
        <w:rFonts w:hint="default"/>
      </w:rPr>
    </w:lvl>
    <w:lvl w:ilvl="8" w:tplc="DF1EFB00">
      <w:start w:val="1"/>
      <w:numFmt w:val="bullet"/>
      <w:lvlText w:val="•"/>
      <w:lvlJc w:val="left"/>
      <w:pPr>
        <w:ind w:left="7077" w:hanging="360"/>
      </w:pPr>
      <w:rPr>
        <w:rFonts w:hint="default"/>
      </w:rPr>
    </w:lvl>
  </w:abstractNum>
  <w:abstractNum w:abstractNumId="4" w15:restartNumberingAfterBreak="0">
    <w:nsid w:val="366A3B1F"/>
    <w:multiLevelType w:val="hybridMultilevel"/>
    <w:tmpl w:val="82928202"/>
    <w:lvl w:ilvl="0" w:tplc="1994C976">
      <w:start w:val="1"/>
      <w:numFmt w:val="upperLetter"/>
      <w:lvlText w:val="%1."/>
      <w:lvlJc w:val="left"/>
      <w:pPr>
        <w:ind w:left="479" w:hanging="360"/>
      </w:pPr>
      <w:rPr>
        <w:rFonts w:ascii="Arial" w:eastAsia="Arial" w:hAnsi="Arial" w:hint="default"/>
        <w:b/>
        <w:bCs/>
        <w:i/>
        <w:color w:val="18276E"/>
        <w:spacing w:val="-2"/>
        <w:sz w:val="28"/>
        <w:szCs w:val="28"/>
      </w:rPr>
    </w:lvl>
    <w:lvl w:ilvl="1" w:tplc="5F9A17C4">
      <w:start w:val="1"/>
      <w:numFmt w:val="bullet"/>
      <w:lvlText w:val="-"/>
      <w:lvlJc w:val="left"/>
      <w:pPr>
        <w:ind w:left="1188" w:hanging="360"/>
      </w:pPr>
      <w:rPr>
        <w:rFonts w:ascii="Arial" w:eastAsia="Arial" w:hAnsi="Arial" w:hint="default"/>
        <w:sz w:val="22"/>
        <w:szCs w:val="22"/>
      </w:rPr>
    </w:lvl>
    <w:lvl w:ilvl="2" w:tplc="F98CFB2A">
      <w:start w:val="1"/>
      <w:numFmt w:val="bullet"/>
      <w:lvlText w:val="•"/>
      <w:lvlJc w:val="left"/>
      <w:pPr>
        <w:ind w:left="2005" w:hanging="360"/>
      </w:pPr>
      <w:rPr>
        <w:rFonts w:hint="default"/>
      </w:rPr>
    </w:lvl>
    <w:lvl w:ilvl="3" w:tplc="0442D2C6">
      <w:start w:val="1"/>
      <w:numFmt w:val="bullet"/>
      <w:lvlText w:val="•"/>
      <w:lvlJc w:val="left"/>
      <w:pPr>
        <w:ind w:left="2823" w:hanging="360"/>
      </w:pPr>
      <w:rPr>
        <w:rFonts w:hint="default"/>
      </w:rPr>
    </w:lvl>
    <w:lvl w:ilvl="4" w:tplc="A7166054">
      <w:start w:val="1"/>
      <w:numFmt w:val="bullet"/>
      <w:lvlText w:val="•"/>
      <w:lvlJc w:val="left"/>
      <w:pPr>
        <w:ind w:left="3640" w:hanging="360"/>
      </w:pPr>
      <w:rPr>
        <w:rFonts w:hint="default"/>
      </w:rPr>
    </w:lvl>
    <w:lvl w:ilvl="5" w:tplc="D4BA8D60">
      <w:start w:val="1"/>
      <w:numFmt w:val="bullet"/>
      <w:lvlText w:val="•"/>
      <w:lvlJc w:val="left"/>
      <w:pPr>
        <w:ind w:left="4458" w:hanging="360"/>
      </w:pPr>
      <w:rPr>
        <w:rFonts w:hint="default"/>
      </w:rPr>
    </w:lvl>
    <w:lvl w:ilvl="6" w:tplc="0B844626">
      <w:start w:val="1"/>
      <w:numFmt w:val="bullet"/>
      <w:lvlText w:val="•"/>
      <w:lvlJc w:val="left"/>
      <w:pPr>
        <w:ind w:left="5276" w:hanging="360"/>
      </w:pPr>
      <w:rPr>
        <w:rFonts w:hint="default"/>
      </w:rPr>
    </w:lvl>
    <w:lvl w:ilvl="7" w:tplc="9070AF5E">
      <w:start w:val="1"/>
      <w:numFmt w:val="bullet"/>
      <w:lvlText w:val="•"/>
      <w:lvlJc w:val="left"/>
      <w:pPr>
        <w:ind w:left="6093" w:hanging="360"/>
      </w:pPr>
      <w:rPr>
        <w:rFonts w:hint="default"/>
      </w:rPr>
    </w:lvl>
    <w:lvl w:ilvl="8" w:tplc="1B58658C">
      <w:start w:val="1"/>
      <w:numFmt w:val="bullet"/>
      <w:lvlText w:val="•"/>
      <w:lvlJc w:val="left"/>
      <w:pPr>
        <w:ind w:left="6911" w:hanging="360"/>
      </w:pPr>
      <w:rPr>
        <w:rFonts w:hint="default"/>
      </w:rPr>
    </w:lvl>
  </w:abstractNum>
  <w:abstractNum w:abstractNumId="5" w15:restartNumberingAfterBreak="0">
    <w:nsid w:val="56151E61"/>
    <w:multiLevelType w:val="hybridMultilevel"/>
    <w:tmpl w:val="69685A90"/>
    <w:lvl w:ilvl="0" w:tplc="AC9EA1D8">
      <w:start w:val="1"/>
      <w:numFmt w:val="lowerLetter"/>
      <w:lvlText w:val="%1."/>
      <w:lvlJc w:val="left"/>
      <w:pPr>
        <w:ind w:left="1252" w:hanging="567"/>
      </w:pPr>
      <w:rPr>
        <w:rFonts w:ascii="Arial" w:eastAsia="Arial" w:hAnsi="Arial" w:hint="default"/>
        <w:spacing w:val="-1"/>
        <w:sz w:val="22"/>
        <w:szCs w:val="22"/>
      </w:rPr>
    </w:lvl>
    <w:lvl w:ilvl="1" w:tplc="4984C280">
      <w:start w:val="1"/>
      <w:numFmt w:val="bullet"/>
      <w:lvlText w:val="•"/>
      <w:lvlJc w:val="left"/>
      <w:pPr>
        <w:ind w:left="1982" w:hanging="567"/>
      </w:pPr>
      <w:rPr>
        <w:rFonts w:hint="default"/>
      </w:rPr>
    </w:lvl>
    <w:lvl w:ilvl="2" w:tplc="31B2C798">
      <w:start w:val="1"/>
      <w:numFmt w:val="bullet"/>
      <w:lvlText w:val="•"/>
      <w:lvlJc w:val="left"/>
      <w:pPr>
        <w:ind w:left="2711" w:hanging="567"/>
      </w:pPr>
      <w:rPr>
        <w:rFonts w:hint="default"/>
      </w:rPr>
    </w:lvl>
    <w:lvl w:ilvl="3" w:tplc="8CA4EBE2">
      <w:start w:val="1"/>
      <w:numFmt w:val="bullet"/>
      <w:lvlText w:val="•"/>
      <w:lvlJc w:val="left"/>
      <w:pPr>
        <w:ind w:left="3440" w:hanging="567"/>
      </w:pPr>
      <w:rPr>
        <w:rFonts w:hint="default"/>
      </w:rPr>
    </w:lvl>
    <w:lvl w:ilvl="4" w:tplc="E2C8A394">
      <w:start w:val="1"/>
      <w:numFmt w:val="bullet"/>
      <w:lvlText w:val="•"/>
      <w:lvlJc w:val="left"/>
      <w:pPr>
        <w:ind w:left="4170" w:hanging="567"/>
      </w:pPr>
      <w:rPr>
        <w:rFonts w:hint="default"/>
      </w:rPr>
    </w:lvl>
    <w:lvl w:ilvl="5" w:tplc="E048EEA4">
      <w:start w:val="1"/>
      <w:numFmt w:val="bullet"/>
      <w:lvlText w:val="•"/>
      <w:lvlJc w:val="left"/>
      <w:pPr>
        <w:ind w:left="4899" w:hanging="567"/>
      </w:pPr>
      <w:rPr>
        <w:rFonts w:hint="default"/>
      </w:rPr>
    </w:lvl>
    <w:lvl w:ilvl="6" w:tplc="87E62028">
      <w:start w:val="1"/>
      <w:numFmt w:val="bullet"/>
      <w:lvlText w:val="•"/>
      <w:lvlJc w:val="left"/>
      <w:pPr>
        <w:ind w:left="5628" w:hanging="567"/>
      </w:pPr>
      <w:rPr>
        <w:rFonts w:hint="default"/>
      </w:rPr>
    </w:lvl>
    <w:lvl w:ilvl="7" w:tplc="091E1C3C">
      <w:start w:val="1"/>
      <w:numFmt w:val="bullet"/>
      <w:lvlText w:val="•"/>
      <w:lvlJc w:val="left"/>
      <w:pPr>
        <w:ind w:left="6358" w:hanging="567"/>
      </w:pPr>
      <w:rPr>
        <w:rFonts w:hint="default"/>
      </w:rPr>
    </w:lvl>
    <w:lvl w:ilvl="8" w:tplc="71A2BC00">
      <w:start w:val="1"/>
      <w:numFmt w:val="bullet"/>
      <w:lvlText w:val="•"/>
      <w:lvlJc w:val="left"/>
      <w:pPr>
        <w:ind w:left="7087" w:hanging="567"/>
      </w:pPr>
      <w:rPr>
        <w:rFonts w:hint="default"/>
      </w:rPr>
    </w:lvl>
  </w:abstractNum>
  <w:abstractNum w:abstractNumId="6" w15:restartNumberingAfterBreak="0">
    <w:nsid w:val="56990535"/>
    <w:multiLevelType w:val="hybridMultilevel"/>
    <w:tmpl w:val="00483614"/>
    <w:lvl w:ilvl="0" w:tplc="F7DEAB80">
      <w:start w:val="1"/>
      <w:numFmt w:val="decimal"/>
      <w:lvlText w:val="%1."/>
      <w:lvlJc w:val="left"/>
      <w:pPr>
        <w:ind w:left="120" w:hanging="721"/>
      </w:pPr>
      <w:rPr>
        <w:rFonts w:ascii="Arial" w:eastAsia="Arial" w:hAnsi="Arial" w:hint="default"/>
        <w:spacing w:val="-1"/>
        <w:sz w:val="22"/>
        <w:szCs w:val="22"/>
      </w:rPr>
    </w:lvl>
    <w:lvl w:ilvl="1" w:tplc="F088545A">
      <w:start w:val="1"/>
      <w:numFmt w:val="bullet"/>
      <w:lvlText w:val="o"/>
      <w:lvlJc w:val="left"/>
      <w:pPr>
        <w:ind w:left="1253" w:hanging="425"/>
      </w:pPr>
      <w:rPr>
        <w:rFonts w:ascii="Courier New" w:eastAsia="Courier New" w:hAnsi="Courier New" w:hint="default"/>
        <w:sz w:val="22"/>
        <w:szCs w:val="22"/>
      </w:rPr>
    </w:lvl>
    <w:lvl w:ilvl="2" w:tplc="7B341FB0">
      <w:start w:val="1"/>
      <w:numFmt w:val="bullet"/>
      <w:lvlText w:val="•"/>
      <w:lvlJc w:val="left"/>
      <w:pPr>
        <w:ind w:left="1253" w:hanging="425"/>
      </w:pPr>
      <w:rPr>
        <w:rFonts w:hint="default"/>
      </w:rPr>
    </w:lvl>
    <w:lvl w:ilvl="3" w:tplc="15469408">
      <w:start w:val="1"/>
      <w:numFmt w:val="bullet"/>
      <w:lvlText w:val="•"/>
      <w:lvlJc w:val="left"/>
      <w:pPr>
        <w:ind w:left="2164" w:hanging="425"/>
      </w:pPr>
      <w:rPr>
        <w:rFonts w:hint="default"/>
      </w:rPr>
    </w:lvl>
    <w:lvl w:ilvl="4" w:tplc="7A86DE4C">
      <w:start w:val="1"/>
      <w:numFmt w:val="bullet"/>
      <w:lvlText w:val="•"/>
      <w:lvlJc w:val="left"/>
      <w:pPr>
        <w:ind w:left="3076" w:hanging="425"/>
      </w:pPr>
      <w:rPr>
        <w:rFonts w:hint="default"/>
      </w:rPr>
    </w:lvl>
    <w:lvl w:ilvl="5" w:tplc="CAD4A30C">
      <w:start w:val="1"/>
      <w:numFmt w:val="bullet"/>
      <w:lvlText w:val="•"/>
      <w:lvlJc w:val="left"/>
      <w:pPr>
        <w:ind w:left="3988" w:hanging="425"/>
      </w:pPr>
      <w:rPr>
        <w:rFonts w:hint="default"/>
      </w:rPr>
    </w:lvl>
    <w:lvl w:ilvl="6" w:tplc="858489F6">
      <w:start w:val="1"/>
      <w:numFmt w:val="bullet"/>
      <w:lvlText w:val="•"/>
      <w:lvlJc w:val="left"/>
      <w:pPr>
        <w:ind w:left="4899" w:hanging="425"/>
      </w:pPr>
      <w:rPr>
        <w:rFonts w:hint="default"/>
      </w:rPr>
    </w:lvl>
    <w:lvl w:ilvl="7" w:tplc="065EA668">
      <w:start w:val="1"/>
      <w:numFmt w:val="bullet"/>
      <w:lvlText w:val="•"/>
      <w:lvlJc w:val="left"/>
      <w:pPr>
        <w:ind w:left="5811" w:hanging="425"/>
      </w:pPr>
      <w:rPr>
        <w:rFonts w:hint="default"/>
      </w:rPr>
    </w:lvl>
    <w:lvl w:ilvl="8" w:tplc="684829F8">
      <w:start w:val="1"/>
      <w:numFmt w:val="bullet"/>
      <w:lvlText w:val="•"/>
      <w:lvlJc w:val="left"/>
      <w:pPr>
        <w:ind w:left="6723" w:hanging="425"/>
      </w:pPr>
      <w:rPr>
        <w:rFonts w:hint="default"/>
      </w:rPr>
    </w:lvl>
  </w:abstractNum>
  <w:abstractNum w:abstractNumId="7" w15:restartNumberingAfterBreak="0">
    <w:nsid w:val="60D21A7F"/>
    <w:multiLevelType w:val="hybridMultilevel"/>
    <w:tmpl w:val="724066D4"/>
    <w:lvl w:ilvl="0" w:tplc="56D22542">
      <w:start w:val="1"/>
      <w:numFmt w:val="lowerLetter"/>
      <w:lvlText w:val="(%1)"/>
      <w:lvlJc w:val="left"/>
      <w:pPr>
        <w:ind w:left="1199" w:hanging="514"/>
      </w:pPr>
      <w:rPr>
        <w:rFonts w:ascii="Arial" w:eastAsia="Arial" w:hAnsi="Arial" w:hint="default"/>
        <w:sz w:val="22"/>
        <w:szCs w:val="22"/>
      </w:rPr>
    </w:lvl>
    <w:lvl w:ilvl="1" w:tplc="D4A8AF12">
      <w:start w:val="1"/>
      <w:numFmt w:val="bullet"/>
      <w:lvlText w:val="•"/>
      <w:lvlJc w:val="left"/>
      <w:pPr>
        <w:ind w:left="1934" w:hanging="514"/>
      </w:pPr>
      <w:rPr>
        <w:rFonts w:hint="default"/>
      </w:rPr>
    </w:lvl>
    <w:lvl w:ilvl="2" w:tplc="B1020554">
      <w:start w:val="1"/>
      <w:numFmt w:val="bullet"/>
      <w:lvlText w:val="•"/>
      <w:lvlJc w:val="left"/>
      <w:pPr>
        <w:ind w:left="2669" w:hanging="514"/>
      </w:pPr>
      <w:rPr>
        <w:rFonts w:hint="default"/>
      </w:rPr>
    </w:lvl>
    <w:lvl w:ilvl="3" w:tplc="EB1E7428">
      <w:start w:val="1"/>
      <w:numFmt w:val="bullet"/>
      <w:lvlText w:val="•"/>
      <w:lvlJc w:val="left"/>
      <w:pPr>
        <w:ind w:left="3403" w:hanging="514"/>
      </w:pPr>
      <w:rPr>
        <w:rFonts w:hint="default"/>
      </w:rPr>
    </w:lvl>
    <w:lvl w:ilvl="4" w:tplc="B4C8D262">
      <w:start w:val="1"/>
      <w:numFmt w:val="bullet"/>
      <w:lvlText w:val="•"/>
      <w:lvlJc w:val="left"/>
      <w:pPr>
        <w:ind w:left="4138" w:hanging="514"/>
      </w:pPr>
      <w:rPr>
        <w:rFonts w:hint="default"/>
      </w:rPr>
    </w:lvl>
    <w:lvl w:ilvl="5" w:tplc="818A0598">
      <w:start w:val="1"/>
      <w:numFmt w:val="bullet"/>
      <w:lvlText w:val="•"/>
      <w:lvlJc w:val="left"/>
      <w:pPr>
        <w:ind w:left="4873" w:hanging="514"/>
      </w:pPr>
      <w:rPr>
        <w:rFonts w:hint="default"/>
      </w:rPr>
    </w:lvl>
    <w:lvl w:ilvl="6" w:tplc="D02A8374">
      <w:start w:val="1"/>
      <w:numFmt w:val="bullet"/>
      <w:lvlText w:val="•"/>
      <w:lvlJc w:val="left"/>
      <w:pPr>
        <w:ind w:left="5607" w:hanging="514"/>
      </w:pPr>
      <w:rPr>
        <w:rFonts w:hint="default"/>
      </w:rPr>
    </w:lvl>
    <w:lvl w:ilvl="7" w:tplc="8C2AC138">
      <w:start w:val="1"/>
      <w:numFmt w:val="bullet"/>
      <w:lvlText w:val="•"/>
      <w:lvlJc w:val="left"/>
      <w:pPr>
        <w:ind w:left="6342" w:hanging="514"/>
      </w:pPr>
      <w:rPr>
        <w:rFonts w:hint="default"/>
      </w:rPr>
    </w:lvl>
    <w:lvl w:ilvl="8" w:tplc="1794FA8E">
      <w:start w:val="1"/>
      <w:numFmt w:val="bullet"/>
      <w:lvlText w:val="•"/>
      <w:lvlJc w:val="left"/>
      <w:pPr>
        <w:ind w:left="7077" w:hanging="514"/>
      </w:pPr>
      <w:rPr>
        <w:rFonts w:hint="default"/>
      </w:rPr>
    </w:lvl>
  </w:abstractNum>
  <w:abstractNum w:abstractNumId="8" w15:restartNumberingAfterBreak="0">
    <w:nsid w:val="61C16747"/>
    <w:multiLevelType w:val="hybridMultilevel"/>
    <w:tmpl w:val="AA028DA2"/>
    <w:lvl w:ilvl="0" w:tplc="1BD06BD0">
      <w:start w:val="1"/>
      <w:numFmt w:val="lowerRoman"/>
      <w:lvlText w:val="(%1)"/>
      <w:lvlJc w:val="left"/>
      <w:pPr>
        <w:ind w:left="1963" w:hanging="711"/>
      </w:pPr>
      <w:rPr>
        <w:rFonts w:ascii="Arial" w:eastAsia="Arial" w:hAnsi="Arial" w:hint="default"/>
        <w:sz w:val="22"/>
        <w:szCs w:val="22"/>
      </w:rPr>
    </w:lvl>
    <w:lvl w:ilvl="1" w:tplc="AA8C63C2">
      <w:start w:val="1"/>
      <w:numFmt w:val="bullet"/>
      <w:lvlText w:val="•"/>
      <w:lvlJc w:val="left"/>
      <w:pPr>
        <w:ind w:left="2667" w:hanging="711"/>
      </w:pPr>
      <w:rPr>
        <w:rFonts w:hint="default"/>
      </w:rPr>
    </w:lvl>
    <w:lvl w:ilvl="2" w:tplc="8F0A1484">
      <w:start w:val="1"/>
      <w:numFmt w:val="bullet"/>
      <w:lvlText w:val="•"/>
      <w:lvlJc w:val="left"/>
      <w:pPr>
        <w:ind w:left="3371" w:hanging="711"/>
      </w:pPr>
      <w:rPr>
        <w:rFonts w:hint="default"/>
      </w:rPr>
    </w:lvl>
    <w:lvl w:ilvl="3" w:tplc="528AE0E8">
      <w:start w:val="1"/>
      <w:numFmt w:val="bullet"/>
      <w:lvlText w:val="•"/>
      <w:lvlJc w:val="left"/>
      <w:pPr>
        <w:ind w:left="4076" w:hanging="711"/>
      </w:pPr>
      <w:rPr>
        <w:rFonts w:hint="default"/>
      </w:rPr>
    </w:lvl>
    <w:lvl w:ilvl="4" w:tplc="CD48D70A">
      <w:start w:val="1"/>
      <w:numFmt w:val="bullet"/>
      <w:lvlText w:val="•"/>
      <w:lvlJc w:val="left"/>
      <w:pPr>
        <w:ind w:left="4780" w:hanging="711"/>
      </w:pPr>
      <w:rPr>
        <w:rFonts w:hint="default"/>
      </w:rPr>
    </w:lvl>
    <w:lvl w:ilvl="5" w:tplc="16FADF76">
      <w:start w:val="1"/>
      <w:numFmt w:val="bullet"/>
      <w:lvlText w:val="•"/>
      <w:lvlJc w:val="left"/>
      <w:pPr>
        <w:ind w:left="5484" w:hanging="711"/>
      </w:pPr>
      <w:rPr>
        <w:rFonts w:hint="default"/>
      </w:rPr>
    </w:lvl>
    <w:lvl w:ilvl="6" w:tplc="3EDCCE14">
      <w:start w:val="1"/>
      <w:numFmt w:val="bullet"/>
      <w:lvlText w:val="•"/>
      <w:lvlJc w:val="left"/>
      <w:pPr>
        <w:ind w:left="6189" w:hanging="711"/>
      </w:pPr>
      <w:rPr>
        <w:rFonts w:hint="default"/>
      </w:rPr>
    </w:lvl>
    <w:lvl w:ilvl="7" w:tplc="623C17E0">
      <w:start w:val="1"/>
      <w:numFmt w:val="bullet"/>
      <w:lvlText w:val="•"/>
      <w:lvlJc w:val="left"/>
      <w:pPr>
        <w:ind w:left="6893" w:hanging="711"/>
      </w:pPr>
      <w:rPr>
        <w:rFonts w:hint="default"/>
      </w:rPr>
    </w:lvl>
    <w:lvl w:ilvl="8" w:tplc="5A9CA106">
      <w:start w:val="1"/>
      <w:numFmt w:val="bullet"/>
      <w:lvlText w:val="•"/>
      <w:lvlJc w:val="left"/>
      <w:pPr>
        <w:ind w:left="7597" w:hanging="711"/>
      </w:pPr>
      <w:rPr>
        <w:rFonts w:hint="default"/>
      </w:rPr>
    </w:lvl>
  </w:abstractNum>
  <w:abstractNum w:abstractNumId="9" w15:restartNumberingAfterBreak="0">
    <w:nsid w:val="624077AD"/>
    <w:multiLevelType w:val="hybridMultilevel"/>
    <w:tmpl w:val="CF02039C"/>
    <w:lvl w:ilvl="0" w:tplc="E27085A0">
      <w:start w:val="1"/>
      <w:numFmt w:val="lowerLetter"/>
      <w:lvlText w:val="%1."/>
      <w:lvlJc w:val="left"/>
      <w:pPr>
        <w:ind w:left="1252" w:hanging="567"/>
      </w:pPr>
      <w:rPr>
        <w:rFonts w:ascii="Arial" w:eastAsia="Arial" w:hAnsi="Arial" w:hint="default"/>
        <w:spacing w:val="-1"/>
        <w:sz w:val="22"/>
        <w:szCs w:val="22"/>
      </w:rPr>
    </w:lvl>
    <w:lvl w:ilvl="1" w:tplc="C2D27F90">
      <w:start w:val="1"/>
      <w:numFmt w:val="bullet"/>
      <w:lvlText w:val="•"/>
      <w:lvlJc w:val="left"/>
      <w:pPr>
        <w:ind w:left="1982" w:hanging="567"/>
      </w:pPr>
      <w:rPr>
        <w:rFonts w:hint="default"/>
      </w:rPr>
    </w:lvl>
    <w:lvl w:ilvl="2" w:tplc="491AC866">
      <w:start w:val="1"/>
      <w:numFmt w:val="bullet"/>
      <w:lvlText w:val="•"/>
      <w:lvlJc w:val="left"/>
      <w:pPr>
        <w:ind w:left="2711" w:hanging="567"/>
      </w:pPr>
      <w:rPr>
        <w:rFonts w:hint="default"/>
      </w:rPr>
    </w:lvl>
    <w:lvl w:ilvl="3" w:tplc="8216ED34">
      <w:start w:val="1"/>
      <w:numFmt w:val="bullet"/>
      <w:lvlText w:val="•"/>
      <w:lvlJc w:val="left"/>
      <w:pPr>
        <w:ind w:left="3440" w:hanging="567"/>
      </w:pPr>
      <w:rPr>
        <w:rFonts w:hint="default"/>
      </w:rPr>
    </w:lvl>
    <w:lvl w:ilvl="4" w:tplc="721ADDB4">
      <w:start w:val="1"/>
      <w:numFmt w:val="bullet"/>
      <w:lvlText w:val="•"/>
      <w:lvlJc w:val="left"/>
      <w:pPr>
        <w:ind w:left="4170" w:hanging="567"/>
      </w:pPr>
      <w:rPr>
        <w:rFonts w:hint="default"/>
      </w:rPr>
    </w:lvl>
    <w:lvl w:ilvl="5" w:tplc="CD3E5F48">
      <w:start w:val="1"/>
      <w:numFmt w:val="bullet"/>
      <w:lvlText w:val="•"/>
      <w:lvlJc w:val="left"/>
      <w:pPr>
        <w:ind w:left="4899" w:hanging="567"/>
      </w:pPr>
      <w:rPr>
        <w:rFonts w:hint="default"/>
      </w:rPr>
    </w:lvl>
    <w:lvl w:ilvl="6" w:tplc="D7EE7302">
      <w:start w:val="1"/>
      <w:numFmt w:val="bullet"/>
      <w:lvlText w:val="•"/>
      <w:lvlJc w:val="left"/>
      <w:pPr>
        <w:ind w:left="5628" w:hanging="567"/>
      </w:pPr>
      <w:rPr>
        <w:rFonts w:hint="default"/>
      </w:rPr>
    </w:lvl>
    <w:lvl w:ilvl="7" w:tplc="8092DB5A">
      <w:start w:val="1"/>
      <w:numFmt w:val="bullet"/>
      <w:lvlText w:val="•"/>
      <w:lvlJc w:val="left"/>
      <w:pPr>
        <w:ind w:left="6358" w:hanging="567"/>
      </w:pPr>
      <w:rPr>
        <w:rFonts w:hint="default"/>
      </w:rPr>
    </w:lvl>
    <w:lvl w:ilvl="8" w:tplc="CA48C256">
      <w:start w:val="1"/>
      <w:numFmt w:val="bullet"/>
      <w:lvlText w:val="•"/>
      <w:lvlJc w:val="left"/>
      <w:pPr>
        <w:ind w:left="7087" w:hanging="567"/>
      </w:pPr>
      <w:rPr>
        <w:rFonts w:hint="default"/>
      </w:rPr>
    </w:lvl>
  </w:abstractNum>
  <w:abstractNum w:abstractNumId="10" w15:restartNumberingAfterBreak="0">
    <w:nsid w:val="68E13E04"/>
    <w:multiLevelType w:val="hybridMultilevel"/>
    <w:tmpl w:val="A8E4C2AC"/>
    <w:lvl w:ilvl="0" w:tplc="F3F0FD34">
      <w:start w:val="1"/>
      <w:numFmt w:val="lowerLetter"/>
      <w:lvlText w:val="%1."/>
      <w:lvlJc w:val="left"/>
      <w:pPr>
        <w:ind w:left="1252" w:hanging="567"/>
      </w:pPr>
      <w:rPr>
        <w:rFonts w:ascii="Arial" w:eastAsia="Arial" w:hAnsi="Arial" w:hint="default"/>
        <w:spacing w:val="-1"/>
        <w:sz w:val="22"/>
        <w:szCs w:val="22"/>
      </w:rPr>
    </w:lvl>
    <w:lvl w:ilvl="1" w:tplc="3B8A9CF0">
      <w:start w:val="1"/>
      <w:numFmt w:val="bullet"/>
      <w:lvlText w:val="•"/>
      <w:lvlJc w:val="left"/>
      <w:pPr>
        <w:ind w:left="1982" w:hanging="567"/>
      </w:pPr>
      <w:rPr>
        <w:rFonts w:hint="default"/>
      </w:rPr>
    </w:lvl>
    <w:lvl w:ilvl="2" w:tplc="140EB99E">
      <w:start w:val="1"/>
      <w:numFmt w:val="bullet"/>
      <w:lvlText w:val="•"/>
      <w:lvlJc w:val="left"/>
      <w:pPr>
        <w:ind w:left="2711" w:hanging="567"/>
      </w:pPr>
      <w:rPr>
        <w:rFonts w:hint="default"/>
      </w:rPr>
    </w:lvl>
    <w:lvl w:ilvl="3" w:tplc="99E0D1F6">
      <w:start w:val="1"/>
      <w:numFmt w:val="bullet"/>
      <w:lvlText w:val="•"/>
      <w:lvlJc w:val="left"/>
      <w:pPr>
        <w:ind w:left="3440" w:hanging="567"/>
      </w:pPr>
      <w:rPr>
        <w:rFonts w:hint="default"/>
      </w:rPr>
    </w:lvl>
    <w:lvl w:ilvl="4" w:tplc="55D089A8">
      <w:start w:val="1"/>
      <w:numFmt w:val="bullet"/>
      <w:lvlText w:val="•"/>
      <w:lvlJc w:val="left"/>
      <w:pPr>
        <w:ind w:left="4170" w:hanging="567"/>
      </w:pPr>
      <w:rPr>
        <w:rFonts w:hint="default"/>
      </w:rPr>
    </w:lvl>
    <w:lvl w:ilvl="5" w:tplc="578AC658">
      <w:start w:val="1"/>
      <w:numFmt w:val="bullet"/>
      <w:lvlText w:val="•"/>
      <w:lvlJc w:val="left"/>
      <w:pPr>
        <w:ind w:left="4899" w:hanging="567"/>
      </w:pPr>
      <w:rPr>
        <w:rFonts w:hint="default"/>
      </w:rPr>
    </w:lvl>
    <w:lvl w:ilvl="6" w:tplc="9154EACC">
      <w:start w:val="1"/>
      <w:numFmt w:val="bullet"/>
      <w:lvlText w:val="•"/>
      <w:lvlJc w:val="left"/>
      <w:pPr>
        <w:ind w:left="5628" w:hanging="567"/>
      </w:pPr>
      <w:rPr>
        <w:rFonts w:hint="default"/>
      </w:rPr>
    </w:lvl>
    <w:lvl w:ilvl="7" w:tplc="3692E962">
      <w:start w:val="1"/>
      <w:numFmt w:val="bullet"/>
      <w:lvlText w:val="•"/>
      <w:lvlJc w:val="left"/>
      <w:pPr>
        <w:ind w:left="6358" w:hanging="567"/>
      </w:pPr>
      <w:rPr>
        <w:rFonts w:hint="default"/>
      </w:rPr>
    </w:lvl>
    <w:lvl w:ilvl="8" w:tplc="FE6400F6">
      <w:start w:val="1"/>
      <w:numFmt w:val="bullet"/>
      <w:lvlText w:val="•"/>
      <w:lvlJc w:val="left"/>
      <w:pPr>
        <w:ind w:left="7087" w:hanging="567"/>
      </w:pPr>
      <w:rPr>
        <w:rFonts w:hint="default"/>
      </w:rPr>
    </w:lvl>
  </w:abstractNum>
  <w:abstractNum w:abstractNumId="11" w15:restartNumberingAfterBreak="0">
    <w:nsid w:val="7BAC4FF7"/>
    <w:multiLevelType w:val="hybridMultilevel"/>
    <w:tmpl w:val="0F00BB12"/>
    <w:lvl w:ilvl="0" w:tplc="50289064">
      <w:start w:val="1"/>
      <w:numFmt w:val="lowerLetter"/>
      <w:lvlText w:val="%1."/>
      <w:lvlJc w:val="left"/>
      <w:pPr>
        <w:ind w:left="1250" w:hanging="567"/>
      </w:pPr>
      <w:rPr>
        <w:rFonts w:ascii="Arial" w:eastAsia="Arial" w:hAnsi="Arial" w:hint="default"/>
        <w:spacing w:val="-1"/>
        <w:sz w:val="22"/>
        <w:szCs w:val="22"/>
      </w:rPr>
    </w:lvl>
    <w:lvl w:ilvl="1" w:tplc="B8808CC2">
      <w:start w:val="1"/>
      <w:numFmt w:val="bullet"/>
      <w:lvlText w:val="-"/>
      <w:lvlJc w:val="left"/>
      <w:pPr>
        <w:ind w:left="1252" w:hanging="212"/>
      </w:pPr>
      <w:rPr>
        <w:rFonts w:ascii="Arial" w:eastAsia="Arial" w:hAnsi="Arial" w:hint="default"/>
        <w:sz w:val="22"/>
        <w:szCs w:val="22"/>
      </w:rPr>
    </w:lvl>
    <w:lvl w:ilvl="2" w:tplc="6D28FEF8">
      <w:start w:val="1"/>
      <w:numFmt w:val="bullet"/>
      <w:lvlText w:val="•"/>
      <w:lvlJc w:val="left"/>
      <w:pPr>
        <w:ind w:left="2063" w:hanging="212"/>
      </w:pPr>
      <w:rPr>
        <w:rFonts w:hint="default"/>
      </w:rPr>
    </w:lvl>
    <w:lvl w:ilvl="3" w:tplc="19C4CEF0">
      <w:start w:val="1"/>
      <w:numFmt w:val="bullet"/>
      <w:lvlText w:val="•"/>
      <w:lvlJc w:val="left"/>
      <w:pPr>
        <w:ind w:left="2873" w:hanging="212"/>
      </w:pPr>
      <w:rPr>
        <w:rFonts w:hint="default"/>
      </w:rPr>
    </w:lvl>
    <w:lvl w:ilvl="4" w:tplc="6DF24E34">
      <w:start w:val="1"/>
      <w:numFmt w:val="bullet"/>
      <w:lvlText w:val="•"/>
      <w:lvlJc w:val="left"/>
      <w:pPr>
        <w:ind w:left="3684" w:hanging="212"/>
      </w:pPr>
      <w:rPr>
        <w:rFonts w:hint="default"/>
      </w:rPr>
    </w:lvl>
    <w:lvl w:ilvl="5" w:tplc="733EAE2C">
      <w:start w:val="1"/>
      <w:numFmt w:val="bullet"/>
      <w:lvlText w:val="•"/>
      <w:lvlJc w:val="left"/>
      <w:pPr>
        <w:ind w:left="4494" w:hanging="212"/>
      </w:pPr>
      <w:rPr>
        <w:rFonts w:hint="default"/>
      </w:rPr>
    </w:lvl>
    <w:lvl w:ilvl="6" w:tplc="6296B00A">
      <w:start w:val="1"/>
      <w:numFmt w:val="bullet"/>
      <w:lvlText w:val="•"/>
      <w:lvlJc w:val="left"/>
      <w:pPr>
        <w:ind w:left="5304" w:hanging="212"/>
      </w:pPr>
      <w:rPr>
        <w:rFonts w:hint="default"/>
      </w:rPr>
    </w:lvl>
    <w:lvl w:ilvl="7" w:tplc="1DE678AA">
      <w:start w:val="1"/>
      <w:numFmt w:val="bullet"/>
      <w:lvlText w:val="•"/>
      <w:lvlJc w:val="left"/>
      <w:pPr>
        <w:ind w:left="6115" w:hanging="212"/>
      </w:pPr>
      <w:rPr>
        <w:rFonts w:hint="default"/>
      </w:rPr>
    </w:lvl>
    <w:lvl w:ilvl="8" w:tplc="A55EA2E2">
      <w:start w:val="1"/>
      <w:numFmt w:val="bullet"/>
      <w:lvlText w:val="•"/>
      <w:lvlJc w:val="left"/>
      <w:pPr>
        <w:ind w:left="6925" w:hanging="212"/>
      </w:pPr>
      <w:rPr>
        <w:rFonts w:hint="default"/>
      </w:rPr>
    </w:lvl>
  </w:abstractNum>
  <w:num w:numId="1">
    <w:abstractNumId w:val="1"/>
  </w:num>
  <w:num w:numId="2">
    <w:abstractNumId w:val="5"/>
  </w:num>
  <w:num w:numId="3">
    <w:abstractNumId w:val="8"/>
  </w:num>
  <w:num w:numId="4">
    <w:abstractNumId w:val="11"/>
  </w:num>
  <w:num w:numId="5">
    <w:abstractNumId w:val="3"/>
  </w:num>
  <w:num w:numId="6">
    <w:abstractNumId w:val="7"/>
  </w:num>
  <w:num w:numId="7">
    <w:abstractNumId w:val="9"/>
  </w:num>
  <w:num w:numId="8">
    <w:abstractNumId w:val="10"/>
  </w:num>
  <w:num w:numId="9">
    <w:abstractNumId w:val="2"/>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0496F"/>
    <w:rsid w:val="003824FF"/>
    <w:rsid w:val="004172BE"/>
    <w:rsid w:val="0052747B"/>
    <w:rsid w:val="0070496F"/>
    <w:rsid w:val="00945E4A"/>
    <w:rsid w:val="00A05317"/>
    <w:rsid w:val="00A411EA"/>
    <w:rsid w:val="00C14B4E"/>
    <w:rsid w:val="00D31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1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uiPriority w:val="1"/>
    <w:qFormat/>
  </w:style>
  <w:style w:type="paragraph" w:styleId="Virsraksts1">
    <w:name w:val="heading 1"/>
    <w:basedOn w:val="Parasts"/>
    <w:uiPriority w:val="1"/>
    <w:qFormat/>
    <w:pPr>
      <w:spacing w:before="230"/>
      <w:ind w:left="480" w:hanging="360"/>
      <w:outlineLvl w:val="0"/>
    </w:pPr>
    <w:rPr>
      <w:rFonts w:ascii="Arial" w:eastAsia="Arial" w:hAnsi="Arial"/>
      <w:b/>
      <w:bCs/>
      <w:i/>
      <w:sz w:val="28"/>
      <w:szCs w:val="28"/>
    </w:rPr>
  </w:style>
  <w:style w:type="paragraph" w:styleId="Virsraksts2">
    <w:name w:val="heading 2"/>
    <w:basedOn w:val="Parasts"/>
    <w:uiPriority w:val="1"/>
    <w:qFormat/>
    <w:pPr>
      <w:ind w:left="480"/>
      <w:outlineLvl w:val="1"/>
    </w:pPr>
    <w:rPr>
      <w:rFonts w:ascii="Arial" w:eastAsia="Arial" w:hAnsi="Arial"/>
      <w:b/>
      <w:bCs/>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240"/>
      <w:ind w:left="686" w:hanging="566"/>
    </w:pPr>
    <w:rPr>
      <w:rFonts w:ascii="Arial" w:eastAsia="Arial" w:hAnsi="Arial"/>
      <w:b/>
      <w:bCs/>
      <w:sz w:val="20"/>
      <w:szCs w:val="20"/>
    </w:rPr>
  </w:style>
  <w:style w:type="paragraph" w:styleId="Saturs2">
    <w:name w:val="toc 2"/>
    <w:basedOn w:val="Parasts"/>
    <w:uiPriority w:val="39"/>
    <w:qFormat/>
    <w:pPr>
      <w:ind w:left="686"/>
    </w:pPr>
    <w:rPr>
      <w:rFonts w:ascii="Arial" w:eastAsia="Arial" w:hAnsi="Arial"/>
      <w:sz w:val="20"/>
      <w:szCs w:val="20"/>
    </w:rPr>
  </w:style>
  <w:style w:type="paragraph" w:styleId="Pamatteksts">
    <w:name w:val="Body Text"/>
    <w:basedOn w:val="Parasts"/>
    <w:uiPriority w:val="1"/>
    <w:qFormat/>
    <w:pPr>
      <w:spacing w:before="120"/>
      <w:ind w:left="119"/>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05317"/>
    <w:pPr>
      <w:tabs>
        <w:tab w:val="center" w:pos="4153"/>
        <w:tab w:val="right" w:pos="8306"/>
      </w:tabs>
    </w:pPr>
  </w:style>
  <w:style w:type="character" w:customStyle="1" w:styleId="GalveneRakstz">
    <w:name w:val="Galvene Rakstz."/>
    <w:basedOn w:val="Noklusjumarindkopasfonts"/>
    <w:link w:val="Galvene"/>
    <w:uiPriority w:val="99"/>
    <w:rsid w:val="00A05317"/>
  </w:style>
  <w:style w:type="paragraph" w:styleId="Kjene">
    <w:name w:val="footer"/>
    <w:basedOn w:val="Parasts"/>
    <w:link w:val="KjeneRakstz"/>
    <w:unhideWhenUsed/>
    <w:rsid w:val="00A05317"/>
    <w:pPr>
      <w:tabs>
        <w:tab w:val="center" w:pos="4153"/>
        <w:tab w:val="right" w:pos="8306"/>
      </w:tabs>
    </w:pPr>
  </w:style>
  <w:style w:type="character" w:customStyle="1" w:styleId="KjeneRakstz">
    <w:name w:val="Kājene Rakstz."/>
    <w:basedOn w:val="Noklusjumarindkopasfonts"/>
    <w:link w:val="Kjene"/>
    <w:uiPriority w:val="99"/>
    <w:rsid w:val="00A05317"/>
  </w:style>
  <w:style w:type="character" w:styleId="Hipersaite">
    <w:name w:val="Hyperlink"/>
    <w:basedOn w:val="Noklusjumarindkopasfonts"/>
    <w:uiPriority w:val="99"/>
    <w:rsid w:val="00A05317"/>
    <w:rPr>
      <w:color w:val="2B3ECD"/>
      <w:u w:val="single"/>
    </w:rPr>
  </w:style>
  <w:style w:type="paragraph" w:styleId="Saturs3">
    <w:name w:val="toc 3"/>
    <w:basedOn w:val="Saturs2"/>
    <w:uiPriority w:val="39"/>
    <w:rsid w:val="00A05317"/>
    <w:pPr>
      <w:ind w:left="1134" w:hanging="1134"/>
    </w:pPr>
  </w:style>
  <w:style w:type="paragraph" w:styleId="Vresteksts">
    <w:name w:val="footnote text"/>
    <w:basedOn w:val="Parasts"/>
    <w:link w:val="VrestekstsRakstz"/>
    <w:uiPriority w:val="99"/>
    <w:semiHidden/>
    <w:unhideWhenUsed/>
    <w:rsid w:val="004172BE"/>
    <w:rPr>
      <w:sz w:val="20"/>
      <w:szCs w:val="20"/>
    </w:rPr>
  </w:style>
  <w:style w:type="character" w:customStyle="1" w:styleId="VrestekstsRakstz">
    <w:name w:val="Vēres teksts Rakstz."/>
    <w:basedOn w:val="Noklusjumarindkopasfonts"/>
    <w:link w:val="Vresteksts"/>
    <w:uiPriority w:val="99"/>
    <w:semiHidden/>
    <w:rsid w:val="004172BE"/>
    <w:rPr>
      <w:sz w:val="20"/>
      <w:szCs w:val="20"/>
    </w:rPr>
  </w:style>
  <w:style w:type="character" w:styleId="Vresatsauce">
    <w:name w:val="footnote reference"/>
    <w:basedOn w:val="Noklusjumarindkopasfonts"/>
    <w:uiPriority w:val="99"/>
    <w:semiHidden/>
    <w:unhideWhenUsed/>
    <w:rsid w:val="004172BE"/>
    <w:rPr>
      <w:vertAlign w:val="superscript"/>
    </w:rPr>
  </w:style>
  <w:style w:type="table" w:styleId="Reatabula">
    <w:name w:val="Table Grid"/>
    <w:basedOn w:val="Parastatabula"/>
    <w:uiPriority w:val="39"/>
    <w:rsid w:val="00D3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A411EA"/>
  </w:style>
  <w:style w:type="paragraph" w:styleId="Saturardtjavirsraksts">
    <w:name w:val="TOC Heading"/>
    <w:basedOn w:val="Virsraksts1"/>
    <w:next w:val="Parasts"/>
    <w:uiPriority w:val="39"/>
    <w:unhideWhenUsed/>
    <w:qFormat/>
    <w:rsid w:val="00A411EA"/>
    <w:pPr>
      <w:keepNext/>
      <w:keepLines/>
      <w:widowControl/>
      <w:spacing w:before="240" w:line="259" w:lineRule="auto"/>
      <w:ind w:left="0" w:firstLine="0"/>
      <w:outlineLvl w:val="9"/>
    </w:pPr>
    <w:rPr>
      <w:rFonts w:asciiTheme="majorHAnsi" w:eastAsiaTheme="majorEastAsia" w:hAnsiTheme="majorHAnsi" w:cstheme="majorBidi"/>
      <w:b w:val="0"/>
      <w:bCs w:val="0"/>
      <w:i w:val="0"/>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erec.europa.eu/eng/document_register/subject_matter/berec/regulatory_best_practices/guidelines/1226-article-282-universal-service-directive-a-harmonised-berec-cooperation-process-berec-guidance-paper" TargetMode="External"/><Relationship Id="rId2" Type="http://schemas.openxmlformats.org/officeDocument/2006/relationships/hyperlink" Target="https://berec.europa.eu/eng/document_register/subject_matter/berec/regulatory_best_practices/guidelines/1226-article-282-universal-service-directive-a-harmonised-berec-cooperation-process-berec-guidance-paper" TargetMode="External"/><Relationship Id="rId1" Type="http://schemas.openxmlformats.org/officeDocument/2006/relationships/hyperlink" Target="http://www.europarl.europa.eu/factsheets/en/sheet/100/outermost-region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37D4-51BE-446D-A227-7572E48C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29847</Words>
  <Characters>17014</Characters>
  <Application>Microsoft Office Word</Application>
  <DocSecurity>0</DocSecurity>
  <Lines>141</Lines>
  <Paragraphs>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2019-08-21T06:14:00Z</dcterms:created>
  <dcterms:modified xsi:type="dcterms:W3CDTF">2019-09-17T12:44:00Z</dcterms:modified>
</cp:coreProperties>
</file>