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762" w:rsidRPr="005B7649" w:rsidRDefault="00422762" w:rsidP="005B7649">
      <w:pPr>
        <w:jc w:val="both"/>
        <w:rPr>
          <w:rFonts w:ascii="Times New Roman" w:eastAsia="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3033"/>
        <w:gridCol w:w="1401"/>
        <w:gridCol w:w="3243"/>
      </w:tblGrid>
      <w:tr w:rsidR="00422762" w:rsidRPr="005B7649" w:rsidTr="00422762">
        <w:tc>
          <w:tcPr>
            <w:tcW w:w="1668" w:type="dxa"/>
          </w:tcPr>
          <w:p w:rsidR="00422762" w:rsidRPr="005B7649" w:rsidRDefault="00422762" w:rsidP="005B7649">
            <w:pPr>
              <w:jc w:val="both"/>
              <w:rPr>
                <w:rFonts w:ascii="Times New Roman" w:eastAsia="Times New Roman" w:hAnsi="Times New Roman" w:cs="Times New Roman"/>
                <w:noProof/>
                <w:sz w:val="24"/>
                <w:szCs w:val="24"/>
              </w:rPr>
            </w:pPr>
            <w:r w:rsidRPr="005B7649">
              <w:rPr>
                <w:rFonts w:ascii="Times New Roman" w:eastAsia="Times New Roman" w:hAnsi="Times New Roman" w:cs="Times New Roman"/>
                <w:noProof/>
                <w:sz w:val="24"/>
                <w:szCs w:val="24"/>
                <w:lang w:bidi="ar-SA"/>
              </w:rPr>
              <w:drawing>
                <wp:inline distT="0" distB="0" distL="0" distR="0">
                  <wp:extent cx="752475"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81050"/>
                          </a:xfrm>
                          <a:prstGeom prst="rect">
                            <a:avLst/>
                          </a:prstGeom>
                          <a:noFill/>
                          <a:ln>
                            <a:noFill/>
                          </a:ln>
                        </pic:spPr>
                      </pic:pic>
                    </a:graphicData>
                  </a:graphic>
                </wp:inline>
              </w:drawing>
            </w:r>
          </w:p>
        </w:tc>
        <w:tc>
          <w:tcPr>
            <w:tcW w:w="3434" w:type="dxa"/>
          </w:tcPr>
          <w:p w:rsidR="00422762" w:rsidRPr="005B7649" w:rsidRDefault="00422762" w:rsidP="00353FB0">
            <w:pPr>
              <w:rPr>
                <w:rFonts w:ascii="Times New Roman" w:eastAsia="Times New Roman" w:hAnsi="Times New Roman" w:cs="Times New Roman"/>
                <w:noProof/>
                <w:sz w:val="24"/>
                <w:szCs w:val="24"/>
              </w:rPr>
            </w:pPr>
            <w:r w:rsidRPr="005B7649">
              <w:rPr>
                <w:rFonts w:ascii="Times New Roman" w:hAnsi="Times New Roman"/>
                <w:noProof/>
                <w:sz w:val="24"/>
              </w:rPr>
              <w:t>Latvijas prezidentūra Eiropas Savienības Padomē</w:t>
            </w:r>
          </w:p>
        </w:tc>
        <w:tc>
          <w:tcPr>
            <w:tcW w:w="1401" w:type="dxa"/>
          </w:tcPr>
          <w:p w:rsidR="00422762" w:rsidRPr="005B7649" w:rsidRDefault="00422762" w:rsidP="005B7649">
            <w:pPr>
              <w:jc w:val="both"/>
              <w:rPr>
                <w:rFonts w:ascii="Times New Roman" w:eastAsia="Times New Roman" w:hAnsi="Times New Roman" w:cs="Times New Roman"/>
                <w:noProof/>
                <w:sz w:val="24"/>
                <w:szCs w:val="24"/>
              </w:rPr>
            </w:pPr>
            <w:r w:rsidRPr="005B7649">
              <w:rPr>
                <w:rFonts w:ascii="Times New Roman" w:eastAsia="Times New Roman" w:hAnsi="Times New Roman" w:cs="Times New Roman"/>
                <w:noProof/>
                <w:sz w:val="24"/>
                <w:szCs w:val="24"/>
                <w:lang w:bidi="ar-SA"/>
              </w:rPr>
              <w:drawing>
                <wp:inline distT="0" distB="0" distL="0" distR="0">
                  <wp:extent cx="752475" cy="752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3703" w:type="dxa"/>
          </w:tcPr>
          <w:p w:rsidR="00422762" w:rsidRPr="005B7649" w:rsidRDefault="00422762" w:rsidP="00353FB0">
            <w:pPr>
              <w:rPr>
                <w:rFonts w:ascii="Times New Roman" w:eastAsia="Times New Roman" w:hAnsi="Times New Roman" w:cs="Times New Roman"/>
                <w:noProof/>
                <w:sz w:val="24"/>
                <w:szCs w:val="24"/>
              </w:rPr>
            </w:pPr>
            <w:r w:rsidRPr="005B7649">
              <w:rPr>
                <w:rFonts w:ascii="Times New Roman" w:hAnsi="Times New Roman"/>
                <w:noProof/>
                <w:sz w:val="24"/>
              </w:rPr>
              <w:t>Vides aizsardzības un reģionālās attīstības ministrija</w:t>
            </w:r>
          </w:p>
        </w:tc>
      </w:tr>
      <w:tr w:rsidR="00422762" w:rsidRPr="005B7649" w:rsidTr="00422762">
        <w:tc>
          <w:tcPr>
            <w:tcW w:w="1668" w:type="dxa"/>
            <w:tcBorders>
              <w:bottom w:val="single" w:sz="4" w:space="0" w:color="auto"/>
            </w:tcBorders>
          </w:tcPr>
          <w:p w:rsidR="00422762" w:rsidRPr="005B7649" w:rsidRDefault="00422762" w:rsidP="005B7649">
            <w:pPr>
              <w:jc w:val="both"/>
              <w:rPr>
                <w:rFonts w:ascii="Times New Roman" w:eastAsia="Times New Roman" w:hAnsi="Times New Roman" w:cs="Times New Roman"/>
                <w:noProof/>
                <w:sz w:val="24"/>
                <w:szCs w:val="24"/>
              </w:rPr>
            </w:pPr>
          </w:p>
        </w:tc>
        <w:tc>
          <w:tcPr>
            <w:tcW w:w="3434" w:type="dxa"/>
            <w:tcBorders>
              <w:bottom w:val="single" w:sz="4" w:space="0" w:color="auto"/>
            </w:tcBorders>
          </w:tcPr>
          <w:p w:rsidR="00422762" w:rsidRPr="005B7649" w:rsidRDefault="00422762" w:rsidP="005B7649">
            <w:pPr>
              <w:jc w:val="both"/>
              <w:rPr>
                <w:rFonts w:ascii="Times New Roman" w:eastAsia="Times New Roman" w:hAnsi="Times New Roman" w:cs="Times New Roman"/>
                <w:noProof/>
                <w:sz w:val="24"/>
                <w:szCs w:val="24"/>
              </w:rPr>
            </w:pPr>
          </w:p>
        </w:tc>
        <w:tc>
          <w:tcPr>
            <w:tcW w:w="1401" w:type="dxa"/>
            <w:tcBorders>
              <w:bottom w:val="single" w:sz="4" w:space="0" w:color="auto"/>
            </w:tcBorders>
          </w:tcPr>
          <w:p w:rsidR="00422762" w:rsidRPr="005B7649" w:rsidRDefault="00422762" w:rsidP="005B7649">
            <w:pPr>
              <w:jc w:val="both"/>
              <w:rPr>
                <w:rFonts w:ascii="Times New Roman" w:eastAsia="Times New Roman" w:hAnsi="Times New Roman" w:cs="Times New Roman"/>
                <w:noProof/>
                <w:sz w:val="24"/>
                <w:szCs w:val="24"/>
              </w:rPr>
            </w:pPr>
          </w:p>
        </w:tc>
        <w:tc>
          <w:tcPr>
            <w:tcW w:w="3703" w:type="dxa"/>
            <w:tcBorders>
              <w:bottom w:val="single" w:sz="4" w:space="0" w:color="auto"/>
            </w:tcBorders>
          </w:tcPr>
          <w:p w:rsidR="00422762" w:rsidRPr="005B7649" w:rsidRDefault="00422762" w:rsidP="005B7649">
            <w:pPr>
              <w:jc w:val="both"/>
              <w:rPr>
                <w:rFonts w:ascii="Times New Roman" w:eastAsia="Times New Roman" w:hAnsi="Times New Roman" w:cs="Times New Roman"/>
                <w:noProof/>
                <w:sz w:val="24"/>
                <w:szCs w:val="24"/>
              </w:rPr>
            </w:pPr>
          </w:p>
        </w:tc>
      </w:tr>
    </w:tbl>
    <w:p w:rsidR="00422762" w:rsidRPr="005B7649" w:rsidRDefault="00422762" w:rsidP="005B7649">
      <w:pPr>
        <w:jc w:val="both"/>
        <w:rPr>
          <w:rFonts w:ascii="Times New Roman" w:eastAsia="Times New Roman" w:hAnsi="Times New Roman" w:cs="Times New Roman"/>
          <w:noProof/>
          <w:sz w:val="24"/>
          <w:szCs w:val="24"/>
        </w:rPr>
      </w:pPr>
    </w:p>
    <w:p w:rsidR="000027A0" w:rsidRPr="005B7649" w:rsidRDefault="000027A0" w:rsidP="005B7649">
      <w:pPr>
        <w:jc w:val="both"/>
        <w:rPr>
          <w:rFonts w:ascii="Times New Roman" w:eastAsia="Times New Roman" w:hAnsi="Times New Roman" w:cs="Times New Roman"/>
          <w:noProof/>
          <w:sz w:val="24"/>
          <w:szCs w:val="23"/>
        </w:rPr>
      </w:pPr>
    </w:p>
    <w:p w:rsidR="000027A0" w:rsidRPr="00353FB0" w:rsidRDefault="000027A0" w:rsidP="00353FB0">
      <w:pPr>
        <w:jc w:val="center"/>
        <w:rPr>
          <w:rFonts w:ascii="Times New Roman" w:hAnsi="Times New Roman"/>
          <w:b/>
          <w:noProof/>
          <w:sz w:val="28"/>
          <w:szCs w:val="28"/>
        </w:rPr>
      </w:pPr>
      <w:r w:rsidRPr="00353FB0">
        <w:rPr>
          <w:rFonts w:ascii="Times New Roman" w:hAnsi="Times New Roman"/>
          <w:b/>
          <w:noProof/>
          <w:sz w:val="28"/>
          <w:szCs w:val="28"/>
        </w:rPr>
        <w:t>Ministru deklarācija “Ceļā uz ES pilsētprogrammu”</w:t>
      </w:r>
      <w:bookmarkStart w:id="0" w:name="_GoBack"/>
      <w:bookmarkEnd w:id="0"/>
    </w:p>
    <w:p w:rsidR="000027A0" w:rsidRPr="005B7649" w:rsidRDefault="000027A0" w:rsidP="005B7649">
      <w:pPr>
        <w:jc w:val="both"/>
        <w:rPr>
          <w:rFonts w:ascii="Times New Roman" w:eastAsia="Arial" w:hAnsi="Times New Roman" w:cs="Arial"/>
          <w:b/>
          <w:bCs/>
          <w:noProof/>
          <w:sz w:val="24"/>
          <w:szCs w:val="30"/>
        </w:rPr>
      </w:pPr>
    </w:p>
    <w:p w:rsidR="000027A0" w:rsidRPr="005B7649" w:rsidRDefault="000027A0" w:rsidP="00353FB0">
      <w:pPr>
        <w:pStyle w:val="Heading1"/>
        <w:ind w:left="0"/>
        <w:jc w:val="center"/>
        <w:rPr>
          <w:rFonts w:ascii="Times New Roman" w:hAnsi="Times New Roman"/>
          <w:noProof/>
        </w:rPr>
      </w:pPr>
      <w:r w:rsidRPr="005B7649">
        <w:rPr>
          <w:rFonts w:ascii="Times New Roman" w:hAnsi="Times New Roman"/>
          <w:noProof/>
        </w:rPr>
        <w:t>Saskaņota par teritoriālās kohēzijas un pilsētu attīstības jautājumiem atbildīgo Eiropas Savienības ministru neformālajā sanāksmē</w:t>
      </w:r>
    </w:p>
    <w:p w:rsidR="000027A0" w:rsidRPr="005B7649" w:rsidRDefault="000027A0" w:rsidP="00353FB0">
      <w:pPr>
        <w:jc w:val="center"/>
        <w:rPr>
          <w:rFonts w:ascii="Times New Roman" w:hAnsi="Times New Roman"/>
          <w:b/>
          <w:noProof/>
          <w:sz w:val="24"/>
        </w:rPr>
      </w:pPr>
      <w:r w:rsidRPr="005B7649">
        <w:rPr>
          <w:rFonts w:ascii="Times New Roman" w:hAnsi="Times New Roman"/>
          <w:b/>
          <w:noProof/>
          <w:sz w:val="24"/>
        </w:rPr>
        <w:t>2015. gada 10. jūnijā Rīgā, Latvijā</w:t>
      </w:r>
    </w:p>
    <w:p w:rsidR="000027A0" w:rsidRPr="005B7649" w:rsidRDefault="000027A0" w:rsidP="005B7649">
      <w:pPr>
        <w:jc w:val="both"/>
        <w:rPr>
          <w:rFonts w:ascii="Times New Roman" w:eastAsia="Arial" w:hAnsi="Times New Roman" w:cs="Arial"/>
          <w:b/>
          <w:bCs/>
          <w:noProof/>
          <w:sz w:val="24"/>
          <w:szCs w:val="20"/>
        </w:rPr>
      </w:pPr>
    </w:p>
    <w:p w:rsidR="000027A0" w:rsidRPr="005B7649" w:rsidRDefault="000027A0" w:rsidP="005B7649">
      <w:pPr>
        <w:jc w:val="both"/>
        <w:rPr>
          <w:rFonts w:ascii="Times New Roman" w:eastAsia="Arial" w:hAnsi="Times New Roman" w:cs="Arial"/>
          <w:b/>
          <w:bCs/>
          <w:noProof/>
          <w:sz w:val="24"/>
          <w:szCs w:val="25"/>
        </w:rPr>
      </w:pPr>
    </w:p>
    <w:p w:rsidR="000027A0" w:rsidRPr="005B7649" w:rsidRDefault="000027A0" w:rsidP="005B7649">
      <w:pPr>
        <w:jc w:val="both"/>
        <w:rPr>
          <w:rFonts w:ascii="Times New Roman" w:hAnsi="Times New Roman"/>
          <w:b/>
          <w:noProof/>
          <w:sz w:val="24"/>
        </w:rPr>
      </w:pPr>
      <w:r w:rsidRPr="005B7649">
        <w:rPr>
          <w:rFonts w:ascii="Times New Roman" w:hAnsi="Times New Roman"/>
          <w:b/>
          <w:noProof/>
          <w:sz w:val="24"/>
        </w:rPr>
        <w:t>Preambula</w:t>
      </w:r>
    </w:p>
    <w:p w:rsidR="000027A0" w:rsidRPr="005B7649" w:rsidRDefault="000027A0" w:rsidP="005B7649">
      <w:pPr>
        <w:jc w:val="both"/>
        <w:rPr>
          <w:rFonts w:ascii="Times New Roman" w:eastAsia="Arial" w:hAnsi="Times New Roman" w:cs="Arial"/>
          <w:b/>
          <w:bCs/>
          <w:noProof/>
          <w:sz w:val="24"/>
          <w:szCs w:val="30"/>
        </w:rPr>
      </w:pPr>
    </w:p>
    <w:p w:rsidR="000027A0" w:rsidRPr="005B7649" w:rsidRDefault="000027A0" w:rsidP="005B7649">
      <w:pPr>
        <w:pStyle w:val="BodyText"/>
        <w:spacing w:before="0"/>
        <w:ind w:left="0" w:firstLine="0"/>
        <w:jc w:val="both"/>
        <w:rPr>
          <w:rFonts w:ascii="Times New Roman" w:hAnsi="Times New Roman"/>
          <w:noProof/>
        </w:rPr>
      </w:pPr>
      <w:r w:rsidRPr="005B7649">
        <w:rPr>
          <w:rFonts w:ascii="Times New Roman" w:hAnsi="Times New Roman"/>
          <w:noProof/>
        </w:rPr>
        <w:t>Pēc Latvijas prezidentūras Eiropas Savienības (ES) Padomē uzaicinājuma 2015. gada 10. jūnijā Rīgā (Latvijā) notika par teritoriālās kohēzijas un pilsētu attīstības jautājumiem atbildīgo ministru neformālā sanāksme.</w:t>
      </w:r>
    </w:p>
    <w:p w:rsidR="00422762" w:rsidRPr="005B7649" w:rsidRDefault="00422762" w:rsidP="005B7649">
      <w:pPr>
        <w:pStyle w:val="BodyText"/>
        <w:spacing w:before="0"/>
        <w:ind w:left="0" w:firstLine="0"/>
        <w:jc w:val="both"/>
        <w:rPr>
          <w:rFonts w:ascii="Times New Roman" w:hAnsi="Times New Roman"/>
          <w:noProof/>
        </w:rPr>
      </w:pPr>
    </w:p>
    <w:p w:rsidR="000027A0" w:rsidRPr="005B7649" w:rsidRDefault="000027A0" w:rsidP="005B7649">
      <w:pPr>
        <w:pStyle w:val="BodyText"/>
        <w:spacing w:before="0"/>
        <w:ind w:left="0" w:firstLine="0"/>
        <w:jc w:val="both"/>
        <w:rPr>
          <w:rFonts w:ascii="Times New Roman" w:hAnsi="Times New Roman"/>
          <w:noProof/>
        </w:rPr>
      </w:pPr>
      <w:r w:rsidRPr="005B7649">
        <w:rPr>
          <w:rFonts w:ascii="Times New Roman" w:hAnsi="Times New Roman"/>
          <w:noProof/>
        </w:rPr>
        <w:t>Sanāksmi apmeklēja arī Eiropas reģionālās politikas komisārs un pārstāvji no Eiropas Parlamenta (EP), Reģionu komitejas (RK), Eiropas Ekonomikas un sociālo lietu komitejas (EESK), Eiropas Investīciju bankas (EIB), kā arī ES kandidātvalstu, Norvēģijas un Šveices, nozīmīgu ieinteresēto pušu organizāciju pārstāvji un vairāki novērotāji.</w:t>
      </w:r>
    </w:p>
    <w:p w:rsidR="00422762" w:rsidRPr="005B7649" w:rsidRDefault="00422762" w:rsidP="005B7649">
      <w:pPr>
        <w:pStyle w:val="BodyText"/>
        <w:spacing w:before="0"/>
        <w:ind w:left="0" w:firstLine="0"/>
        <w:jc w:val="both"/>
        <w:rPr>
          <w:rFonts w:ascii="Times New Roman" w:hAnsi="Times New Roman"/>
          <w:noProof/>
        </w:rPr>
      </w:pPr>
    </w:p>
    <w:p w:rsidR="000027A0" w:rsidRPr="005B7649" w:rsidRDefault="000027A0" w:rsidP="005B7649">
      <w:pPr>
        <w:pStyle w:val="BodyText"/>
        <w:spacing w:before="0"/>
        <w:ind w:left="0" w:firstLine="0"/>
        <w:jc w:val="both"/>
        <w:rPr>
          <w:rFonts w:ascii="Times New Roman" w:hAnsi="Times New Roman"/>
          <w:noProof/>
        </w:rPr>
      </w:pPr>
      <w:r w:rsidRPr="005B7649">
        <w:rPr>
          <w:rFonts w:ascii="Times New Roman" w:hAnsi="Times New Roman"/>
          <w:noProof/>
        </w:rPr>
        <w:t>Arvien vairāk vērojama iedzīvotāju, pakalpojumu, mājokļu, saimniecisko darbību un transporta mezglu koncentrācija pilsētās, tāpēc tām ir būtiska nozīme ES teritoriālajā attīstībā, kā arī stratēģijas “Eiropa 2020” mērķu īstenošanā. Tās ir pirmās un galvenās apdzīvotās vietas, kas jāattīsta, lai uzlabotu pašreizējo un nākamo iedzīvotāju dzīves apstākļus un vidi. No otras puses, pilsētas saskaras ar dažādiem izaicinājumiem, kuru risināšanai nepieciešama mērķtiecīga un saskaņota rīcība visos pārvaldības līmeņos. Par pilsētu attīstību galvenokārt ir atbildīgas dalībvalstis. Tomēr arī ES politikām ir svarīga nozīme, lai izveidotu pareizu ietvaru, kurā Eiropas pilsētu teritorijas varētu risināt pilsētvidei raksturīgos izaicinājumus un atsvabināt savu izaugsmes potenciālu. Tādēļ ir svarīgi izstrādāt pilsētprogrammu ES līmenī, lai panāktu labākas politikas pilsētu teritorijām, saskaņotākus un efektīvākus pasākumus ilgtspējīgas attīstības atbalstam, pilsētu teritoriju lielāku līdzdalību un ieguldījumu ES kopējo mērķu sasniegšanā, kā arī zināšanu apmaiņu un intensīvāku mācīšanos. Vienlaikus ir būtiski nodrošināt, lai ES pilsētprogramma būtu izstrādāta, pilnībā ievērojot ES līgumos paredzēto subsidiaritātes principu un kompetences, ņemot vērā starpvaldību sadarbību šajā jautājumā un saskaņā ar Vispārējo lietu padomes 2014. gada 19. novembra secinājumiem. Turklāt saskaņā ar Eiropadomes secinājumiem, kas pieņemti 2014. gada 26. un 27. jūnijā, un subsidiaritātes un proporcionalitātes principu, Savienībai savā darbībā galvenā uzmanība jāpievērš tām jomām, kur tā rada patiesas pārmaiņas. Tai jāatturas no rīcības, ja dalībvalstis var labāk sasniegt tos pašus mērķus.</w:t>
      </w:r>
    </w:p>
    <w:p w:rsidR="00422762" w:rsidRPr="005B7649" w:rsidRDefault="00422762" w:rsidP="005B7649">
      <w:pPr>
        <w:pStyle w:val="BodyText"/>
        <w:spacing w:before="0"/>
        <w:ind w:left="0" w:firstLine="0"/>
        <w:jc w:val="both"/>
        <w:rPr>
          <w:rFonts w:ascii="Times New Roman" w:hAnsi="Times New Roman"/>
          <w:noProof/>
        </w:rPr>
      </w:pPr>
    </w:p>
    <w:p w:rsidR="000027A0" w:rsidRPr="005B7649" w:rsidRDefault="000027A0" w:rsidP="005B7649">
      <w:pPr>
        <w:pStyle w:val="BodyText"/>
        <w:spacing w:before="0"/>
        <w:ind w:left="0" w:firstLine="0"/>
        <w:jc w:val="both"/>
        <w:rPr>
          <w:rFonts w:ascii="Times New Roman" w:hAnsi="Times New Roman"/>
          <w:noProof/>
        </w:rPr>
      </w:pPr>
      <w:r w:rsidRPr="005B7649">
        <w:rPr>
          <w:rFonts w:ascii="Times New Roman" w:hAnsi="Times New Roman"/>
          <w:noProof/>
        </w:rPr>
        <w:t>Šī deklarācija nodrošina politisko atbalstu ES pilsētprogrammas izstrādei, pilnīgi ievērojot subsidiaritātes un proporcionalitātes principu, un tajā ņemts vērā dalībvalstu starpvaldību līdzšinējais darbs pilsētu jautājumos (</w:t>
      </w:r>
      <w:r w:rsidRPr="005B7649">
        <w:rPr>
          <w:rFonts w:ascii="Times New Roman" w:hAnsi="Times New Roman"/>
          <w:i/>
          <w:noProof/>
        </w:rPr>
        <w:t>urban acquis</w:t>
      </w:r>
      <w:r w:rsidRPr="005B7649">
        <w:rPr>
          <w:rFonts w:ascii="Times New Roman" w:hAnsi="Times New Roman"/>
          <w:noProof/>
        </w:rPr>
        <w:t>)</w:t>
      </w:r>
      <w:r w:rsidRPr="005B7649">
        <w:rPr>
          <w:rFonts w:ascii="Times New Roman" w:hAnsi="Times New Roman"/>
          <w:i/>
          <w:noProof/>
        </w:rPr>
        <w:t>.</w:t>
      </w:r>
      <w:r w:rsidRPr="005B7649">
        <w:rPr>
          <w:rFonts w:ascii="Times New Roman" w:hAnsi="Times New Roman"/>
          <w:noProof/>
        </w:rPr>
        <w:t xml:space="preserve"> Deklarācijā īpaša uzmanība pievērsta prezidentvalstu trijotnes (Itālijas, Latvijas, Luksemburgas) kopējai prioritātei – mazo un vidēji </w:t>
      </w:r>
      <w:r w:rsidRPr="005B7649">
        <w:rPr>
          <w:rFonts w:ascii="Times New Roman" w:hAnsi="Times New Roman"/>
          <w:noProof/>
        </w:rPr>
        <w:lastRenderedPageBreak/>
        <w:t>lielo pilsētu teritorijām kā ES pilsētprogrammas neatņemamai daļai, atzīstot to būtisko nozīmi un potenciālu, lai panāktu līdzsvarotu teritoriālo attīstību un sasniegtu Eiropas kopējos mērķus.</w:t>
      </w:r>
    </w:p>
    <w:p w:rsidR="000027A0" w:rsidRPr="005B7649" w:rsidRDefault="000027A0" w:rsidP="005B7649">
      <w:pPr>
        <w:jc w:val="both"/>
        <w:rPr>
          <w:rFonts w:ascii="Times New Roman" w:eastAsia="Arial" w:hAnsi="Times New Roman" w:cs="Arial"/>
          <w:noProof/>
          <w:sz w:val="24"/>
          <w:szCs w:val="31"/>
        </w:rPr>
      </w:pPr>
    </w:p>
    <w:p w:rsidR="000027A0" w:rsidRPr="005B7649" w:rsidRDefault="000027A0" w:rsidP="005B7649">
      <w:pPr>
        <w:pStyle w:val="Heading1"/>
        <w:ind w:left="0"/>
        <w:jc w:val="both"/>
        <w:rPr>
          <w:rFonts w:ascii="Times New Roman" w:hAnsi="Times New Roman"/>
          <w:noProof/>
        </w:rPr>
      </w:pPr>
      <w:r w:rsidRPr="005B7649">
        <w:rPr>
          <w:rFonts w:ascii="Times New Roman" w:hAnsi="Times New Roman"/>
          <w:noProof/>
        </w:rPr>
        <w:t>Ministri atzīst</w:t>
      </w:r>
    </w:p>
    <w:p w:rsidR="00422762" w:rsidRPr="005B7649" w:rsidRDefault="00422762" w:rsidP="005B7649">
      <w:pPr>
        <w:pStyle w:val="Heading1"/>
        <w:ind w:left="0"/>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pilsētu teritoriju nozīmi Eiropas Savienības ilgtspējīgas ekonomiskās, sociālās un teritoriālās kohēzijas veicināšanā, ES pilsētprogrammas izstrādē, kā arī ES un nacionālo politiku īstenošanā;</w:t>
      </w:r>
    </w:p>
    <w:p w:rsidR="00422762" w:rsidRPr="005B7649" w:rsidRDefault="00422762" w:rsidP="00353FB0">
      <w:pPr>
        <w:pStyle w:val="BodyText"/>
        <w:tabs>
          <w:tab w:val="left" w:pos="474"/>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ES policentriskas pilsētu struktūras svarīgumu un ieguldījumu ES Teritoriālās attīstības programmas 2020 mērķu sasniegšanā, kā arī visu veidu pilsētu nozīmīgumu, jo tās ir pakalpojumu, ekonomisko iespēju un kultūras centri apkārtējām teritorijām;</w:t>
      </w:r>
    </w:p>
    <w:p w:rsidR="00422762" w:rsidRPr="005B7649" w:rsidRDefault="00422762" w:rsidP="00353FB0">
      <w:pPr>
        <w:pStyle w:val="BodyText"/>
        <w:tabs>
          <w:tab w:val="left" w:pos="474"/>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pilsētu teritoriju būtiskās nozīmes saglabāšanos universāli piemērojamā attīstības programmā laikposmam pēc 2015. gada un ilgtspējīgas attīstības mērķos, lai tās padarītu drošākas, noturīgākas, iekļaujošākas un ilgtspējīgākas;</w:t>
      </w:r>
    </w:p>
    <w:p w:rsidR="00422762" w:rsidRPr="005B7649" w:rsidRDefault="00422762" w:rsidP="00353FB0">
      <w:pPr>
        <w:pStyle w:val="BodyText"/>
        <w:tabs>
          <w:tab w:val="left" w:pos="474"/>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secīgo prezidentvalstu paveikto darbu starpvaldību sadarbības jomā, lai panāktu ilgtspējīgu un integrētu pilsētu attīstību, kā arī to ieguldījumu politiskajās debatēs par ilgtspējīgām pilsētām, klimata pārmaiņām un energoefektivitāti, integrētu pilsētu atjaunošanu, demogrāfiskiem izaicinājumiem, ES iekšējo mobilitāti un migrāciju, nabadzību pilsētās, bērnu nabadzību un iekšējo teritoriju izaicinājumiem;</w:t>
      </w:r>
    </w:p>
    <w:p w:rsidR="00422762" w:rsidRPr="005B7649" w:rsidRDefault="00422762" w:rsidP="00353FB0">
      <w:pPr>
        <w:pStyle w:val="BodyText"/>
        <w:tabs>
          <w:tab w:val="left" w:pos="474"/>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prezidentvalstu trijotnes (Itālijas, Latvijas, Luksemburgas) veikumu attiecībā uz mazām un vidēji lielām pilsētu teritorijām, atzīstot to nozīmīgo lomu un potenciālu līdzsvarotā teritoriālajā attīstībā un kopējo Eiropas mērķu sasniegšanā, un atbalstot šai deklarācijai pievienotos secinājumus (I pielikums);</w:t>
      </w:r>
    </w:p>
    <w:p w:rsidR="00422762" w:rsidRPr="005B7649" w:rsidRDefault="00422762" w:rsidP="00353FB0">
      <w:pPr>
        <w:pStyle w:val="BodyText"/>
        <w:tabs>
          <w:tab w:val="left" w:pos="474"/>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 xml:space="preserve">Reģionu komitejas, </w:t>
      </w:r>
      <w:r w:rsidRPr="005B7649">
        <w:rPr>
          <w:rFonts w:ascii="Times New Roman" w:hAnsi="Times New Roman"/>
          <w:i/>
          <w:noProof/>
        </w:rPr>
        <w:t>EUROCITIES</w:t>
      </w:r>
      <w:r w:rsidRPr="005B7649">
        <w:rPr>
          <w:rFonts w:ascii="Times New Roman" w:hAnsi="Times New Roman"/>
          <w:noProof/>
        </w:rPr>
        <w:t xml:space="preserve">, Eiropas Pašvaldību un reģionu padomes, Eiropas Ekonomikas un sociālo lietu komitejas svarīgo nozīmi pilsētu teritoriju un reģionu interešu pārstāvēšanā; kā arī </w:t>
      </w:r>
      <w:r w:rsidRPr="005B7649">
        <w:rPr>
          <w:rFonts w:ascii="Times New Roman" w:hAnsi="Times New Roman"/>
          <w:i/>
          <w:noProof/>
        </w:rPr>
        <w:t>URBACT</w:t>
      </w:r>
      <w:r w:rsidRPr="005B7649">
        <w:rPr>
          <w:rFonts w:ascii="Times New Roman" w:hAnsi="Times New Roman"/>
          <w:noProof/>
        </w:rPr>
        <w:t xml:space="preserve">, </w:t>
      </w:r>
      <w:r w:rsidRPr="005B7649">
        <w:rPr>
          <w:rFonts w:ascii="Times New Roman" w:hAnsi="Times New Roman"/>
          <w:i/>
          <w:noProof/>
        </w:rPr>
        <w:t>ESPON</w:t>
      </w:r>
      <w:r w:rsidRPr="005B7649">
        <w:rPr>
          <w:rFonts w:ascii="Times New Roman" w:hAnsi="Times New Roman"/>
          <w:noProof/>
        </w:rPr>
        <w:t xml:space="preserve">, </w:t>
      </w:r>
      <w:r w:rsidRPr="005B7649">
        <w:rPr>
          <w:rFonts w:ascii="Times New Roman" w:hAnsi="Times New Roman"/>
          <w:i/>
          <w:noProof/>
        </w:rPr>
        <w:t>EUKN</w:t>
      </w:r>
      <w:r w:rsidRPr="005B7649">
        <w:rPr>
          <w:rFonts w:ascii="Times New Roman" w:hAnsi="Times New Roman"/>
          <w:noProof/>
        </w:rPr>
        <w:t xml:space="preserve"> u. c. pastāvīgo svarīgo ieguldījumu.</w:t>
      </w:r>
    </w:p>
    <w:p w:rsidR="000027A0" w:rsidRPr="005B7649" w:rsidRDefault="000027A0" w:rsidP="005B7649">
      <w:pPr>
        <w:jc w:val="both"/>
        <w:rPr>
          <w:rFonts w:ascii="Times New Roman" w:eastAsia="Arial" w:hAnsi="Times New Roman" w:cs="Arial"/>
          <w:noProof/>
          <w:sz w:val="24"/>
          <w:szCs w:val="30"/>
        </w:rPr>
      </w:pPr>
    </w:p>
    <w:p w:rsidR="000027A0" w:rsidRPr="005B7649" w:rsidRDefault="000027A0" w:rsidP="005B7649">
      <w:pPr>
        <w:pStyle w:val="Heading1"/>
        <w:ind w:left="0"/>
        <w:jc w:val="both"/>
        <w:rPr>
          <w:rFonts w:ascii="Times New Roman" w:hAnsi="Times New Roman"/>
          <w:noProof/>
        </w:rPr>
      </w:pPr>
      <w:r w:rsidRPr="005B7649">
        <w:rPr>
          <w:rFonts w:ascii="Times New Roman" w:hAnsi="Times New Roman"/>
          <w:noProof/>
        </w:rPr>
        <w:t>Ministri atzīst nepieciešamību</w:t>
      </w:r>
    </w:p>
    <w:p w:rsidR="00422762" w:rsidRPr="005B7649" w:rsidRDefault="00422762" w:rsidP="005B7649">
      <w:pPr>
        <w:pStyle w:val="Heading1"/>
        <w:ind w:left="0"/>
        <w:jc w:val="both"/>
        <w:rPr>
          <w:rFonts w:ascii="Times New Roman" w:hAnsi="Times New Roman"/>
          <w:noProof/>
        </w:rPr>
      </w:pPr>
    </w:p>
    <w:p w:rsidR="00353FB0"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turpināt tādas ES pilsētprogrammas izstrādi, kas apsver pilsētu dimensijas iekļaušanu Eiropas un nacionālajās politikās integrētā veidā, lai palīdzētu pilnībā realizēt visu lielumu, tostarp mazu un vidēji lielu, pilsētu potenciālu un ieguldījumu Eiropas kopējo un nacionālo mērķu sasniegšanā, pilnībā ievērojot subsidiaritāti un proporcionalitāti;</w:t>
      </w:r>
    </w:p>
    <w:p w:rsidR="00422762" w:rsidRPr="005B7649" w:rsidRDefault="00422762" w:rsidP="00353FB0">
      <w:pPr>
        <w:pStyle w:val="BodyText"/>
        <w:tabs>
          <w:tab w:val="left" w:pos="567"/>
        </w:tabs>
        <w:spacing w:before="0"/>
        <w:ind w:left="567" w:hanging="567"/>
        <w:jc w:val="both"/>
        <w:rPr>
          <w:rFonts w:ascii="Times New Roman" w:hAnsi="Times New Roman"/>
          <w:noProof/>
        </w:rPr>
      </w:pPr>
    </w:p>
    <w:p w:rsidR="00353FB0"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Eiropas Komisijā efektīvi koordinēt tās ES politikas, kurām ir ietekme uz pilsētu attīstību, atspoguļojot pilsētu jautājumu horizontālo, starpnozaru un teritoriālo dabu;</w:t>
      </w:r>
    </w:p>
    <w:p w:rsidR="00422762" w:rsidRPr="005B7649" w:rsidRDefault="00422762" w:rsidP="00353FB0">
      <w:pPr>
        <w:pStyle w:val="BodyText"/>
        <w:tabs>
          <w:tab w:val="left" w:pos="567"/>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uzlabot pašreizējo tiesisko regulējumu, kas ietekmē pilsētas, un izmantot ES līmenī esošās struktūras, nevis veidot jaunas, lai veicinātu efektīvāku politiku izstrādi ilgtspējīgas un integrētas pilsētu attīstības atbalstam;</w:t>
      </w:r>
    </w:p>
    <w:p w:rsidR="00422762" w:rsidRPr="005B7649" w:rsidRDefault="00422762" w:rsidP="00353FB0">
      <w:pPr>
        <w:pStyle w:val="BodyText"/>
        <w:tabs>
          <w:tab w:val="left" w:pos="567"/>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izstrādāt integrētas un konkrētai vietai paredzētas politikas, kas pielāgojamas pilsētu teritoriju un to iedzīvotāju dažādajām vajadzībām, vislabākajā veidā izmantojot teritoriālo potenciālu visā Eiropā;</w:t>
      </w:r>
    </w:p>
    <w:p w:rsidR="00422762" w:rsidRPr="005B7649" w:rsidRDefault="00422762" w:rsidP="00353FB0">
      <w:pPr>
        <w:pStyle w:val="BodyText"/>
        <w:tabs>
          <w:tab w:val="left" w:pos="567"/>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panākt pilsētu un citu teritoriālo jautājumu saskaņotību, kas balstīta uz pilsētu, tai skaitā mazo un vidēji lielo pilsētu, nozīmīgo lomu labākas teritoriālās attīstības nodrošināšanā.</w:t>
      </w:r>
    </w:p>
    <w:p w:rsidR="00422762" w:rsidRPr="005B7649" w:rsidRDefault="00422762" w:rsidP="00353FB0">
      <w:pPr>
        <w:pStyle w:val="BodyText"/>
        <w:tabs>
          <w:tab w:val="left" w:pos="474"/>
        </w:tabs>
        <w:spacing w:before="0"/>
        <w:ind w:left="0" w:firstLine="0"/>
        <w:jc w:val="both"/>
        <w:rPr>
          <w:rFonts w:ascii="Times New Roman" w:hAnsi="Times New Roman"/>
          <w:noProof/>
        </w:rPr>
      </w:pPr>
    </w:p>
    <w:p w:rsidR="000027A0" w:rsidRPr="005B7649" w:rsidRDefault="000027A0" w:rsidP="005B7649">
      <w:pPr>
        <w:pStyle w:val="Heading1"/>
        <w:ind w:left="0"/>
        <w:jc w:val="both"/>
        <w:rPr>
          <w:rFonts w:ascii="Times New Roman" w:hAnsi="Times New Roman"/>
          <w:noProof/>
        </w:rPr>
      </w:pPr>
      <w:r w:rsidRPr="005B7649">
        <w:rPr>
          <w:rFonts w:ascii="Times New Roman" w:hAnsi="Times New Roman"/>
          <w:noProof/>
        </w:rPr>
        <w:t>Ministri vienojas</w:t>
      </w:r>
    </w:p>
    <w:p w:rsidR="00422762" w:rsidRPr="005B7649" w:rsidRDefault="00422762" w:rsidP="005B7649">
      <w:pPr>
        <w:pStyle w:val="Heading1"/>
        <w:ind w:left="0"/>
        <w:jc w:val="both"/>
        <w:rPr>
          <w:rFonts w:ascii="Times New Roman" w:hAnsi="Times New Roman"/>
          <w:noProof/>
        </w:rPr>
      </w:pPr>
    </w:p>
    <w:p w:rsidR="000027A0" w:rsidRPr="005B7649" w:rsidRDefault="000027A0" w:rsidP="00353FB0">
      <w:pPr>
        <w:pStyle w:val="BodyText"/>
        <w:numPr>
          <w:ilvl w:val="0"/>
          <w:numId w:val="4"/>
        </w:numPr>
        <w:spacing w:before="0"/>
        <w:ind w:left="567" w:hanging="567"/>
        <w:jc w:val="both"/>
        <w:rPr>
          <w:rFonts w:ascii="Times New Roman" w:hAnsi="Times New Roman"/>
          <w:noProof/>
        </w:rPr>
      </w:pPr>
      <w:r w:rsidRPr="005B7649">
        <w:rPr>
          <w:rFonts w:ascii="Times New Roman" w:hAnsi="Times New Roman"/>
          <w:noProof/>
        </w:rPr>
        <w:t>atbalstīt tādas ES pilsētprogrammas izstrādi, kas</w:t>
      </w:r>
    </w:p>
    <w:p w:rsidR="000027A0" w:rsidRPr="005B7649" w:rsidRDefault="000027A0" w:rsidP="00353FB0">
      <w:pPr>
        <w:pStyle w:val="BodyText"/>
        <w:numPr>
          <w:ilvl w:val="1"/>
          <w:numId w:val="4"/>
        </w:numPr>
        <w:tabs>
          <w:tab w:val="left" w:pos="1134"/>
        </w:tabs>
        <w:spacing w:before="0"/>
        <w:ind w:left="1134" w:hanging="567"/>
        <w:jc w:val="both"/>
        <w:rPr>
          <w:rFonts w:ascii="Times New Roman" w:hAnsi="Times New Roman"/>
          <w:noProof/>
        </w:rPr>
      </w:pPr>
      <w:r w:rsidRPr="005B7649">
        <w:rPr>
          <w:rFonts w:ascii="Times New Roman" w:hAnsi="Times New Roman"/>
          <w:noProof/>
        </w:rPr>
        <w:t>īstenojama ciešā sadarbībā starp dalībvalstīm, Komisiju, EIB, reģioniem, pilsētu iestādēm un citām iesaistītajām ieinteresētajām pusēm saskaņā ar subsidiaritātes un proporcionalitātes principu;</w:t>
      </w:r>
    </w:p>
    <w:p w:rsidR="000027A0" w:rsidRPr="005B7649" w:rsidRDefault="000027A0" w:rsidP="00353FB0">
      <w:pPr>
        <w:pStyle w:val="BodyText"/>
        <w:numPr>
          <w:ilvl w:val="1"/>
          <w:numId w:val="4"/>
        </w:numPr>
        <w:tabs>
          <w:tab w:val="left" w:pos="1134"/>
        </w:tabs>
        <w:spacing w:before="0"/>
        <w:ind w:left="1134" w:hanging="567"/>
        <w:jc w:val="both"/>
        <w:rPr>
          <w:rFonts w:ascii="Times New Roman" w:hAnsi="Times New Roman"/>
          <w:noProof/>
        </w:rPr>
      </w:pPr>
      <w:r w:rsidRPr="005B7649">
        <w:rPr>
          <w:rFonts w:ascii="Times New Roman" w:hAnsi="Times New Roman"/>
          <w:noProof/>
        </w:rPr>
        <w:t>respektē pilsētu daudzveidību un specifiskumu, kā arī palīdz atsvabināt visu veidu pilsētu, tostarp mazo un vidēji lielo pilsētu, kā arī visneaizsargātāko un visvairāk degradēto piepilsētu, potenciālu;</w:t>
      </w:r>
    </w:p>
    <w:p w:rsidR="000027A0" w:rsidRPr="005B7649" w:rsidRDefault="000027A0" w:rsidP="00353FB0">
      <w:pPr>
        <w:pStyle w:val="BodyText"/>
        <w:numPr>
          <w:ilvl w:val="1"/>
          <w:numId w:val="4"/>
        </w:numPr>
        <w:tabs>
          <w:tab w:val="left" w:pos="1134"/>
        </w:tabs>
        <w:spacing w:before="0"/>
        <w:ind w:left="1134" w:hanging="567"/>
        <w:jc w:val="both"/>
        <w:rPr>
          <w:rFonts w:ascii="Times New Roman" w:hAnsi="Times New Roman"/>
          <w:noProof/>
        </w:rPr>
      </w:pPr>
      <w:r w:rsidRPr="005B7649">
        <w:rPr>
          <w:rFonts w:ascii="Times New Roman" w:hAnsi="Times New Roman"/>
          <w:noProof/>
        </w:rPr>
        <w:t>vērsta ne tikai uz pilsētu teritoriju izaicinājumu risināšanu, bet arī to piedāvāto iespēju izmantošanu plašākas teritoriālās attīstības, nodarbinātības, izaugsmes un inovāciju jomā;</w:t>
      </w:r>
    </w:p>
    <w:p w:rsidR="000027A0" w:rsidRPr="005B7649" w:rsidRDefault="000027A0" w:rsidP="00353FB0">
      <w:pPr>
        <w:pStyle w:val="BodyText"/>
        <w:numPr>
          <w:ilvl w:val="1"/>
          <w:numId w:val="4"/>
        </w:numPr>
        <w:tabs>
          <w:tab w:val="left" w:pos="1134"/>
        </w:tabs>
        <w:spacing w:before="0"/>
        <w:ind w:left="1134" w:hanging="567"/>
        <w:jc w:val="both"/>
        <w:rPr>
          <w:rFonts w:ascii="Times New Roman" w:hAnsi="Times New Roman"/>
          <w:noProof/>
        </w:rPr>
      </w:pPr>
      <w:r w:rsidRPr="005B7649">
        <w:rPr>
          <w:rFonts w:ascii="Times New Roman" w:hAnsi="Times New Roman"/>
          <w:noProof/>
        </w:rPr>
        <w:t>demonstrē kopīgu izpratni par ilgtspējīgu un integrētu pilsētu attīstību un tiecas nodrošināt labu dzīves un darba vides kvalitāti iedzīvotājiem;</w:t>
      </w:r>
    </w:p>
    <w:p w:rsidR="000027A0" w:rsidRPr="005B7649" w:rsidRDefault="000027A0" w:rsidP="00353FB0">
      <w:pPr>
        <w:pStyle w:val="BodyText"/>
        <w:numPr>
          <w:ilvl w:val="1"/>
          <w:numId w:val="4"/>
        </w:numPr>
        <w:tabs>
          <w:tab w:val="left" w:pos="1134"/>
        </w:tabs>
        <w:spacing w:before="0"/>
        <w:ind w:left="1134" w:hanging="567"/>
        <w:jc w:val="both"/>
        <w:rPr>
          <w:rFonts w:ascii="Times New Roman" w:hAnsi="Times New Roman"/>
          <w:noProof/>
        </w:rPr>
      </w:pPr>
      <w:r w:rsidRPr="005B7649">
        <w:rPr>
          <w:rFonts w:ascii="Times New Roman" w:hAnsi="Times New Roman"/>
          <w:noProof/>
        </w:rPr>
        <w:t>nodrošina operatīvu ietvaru un efektīvus instrumentus, lai uzlabotu pilsētas dimensijas horizontālu iekļaušanu Eiropas politikas veidošanā, tostarp izstrādātu labākas politikas, teritoriālās ietekmes novērtējumu, izmantotu vairāk pielāgotus un vietai piemērotus ES fondus, ieskaitot EIB finansējumu, radītu iespējas apmainīties ar zināšanām un paraugpraksi, kā arī veikt pētījumus un sadarboties;</w:t>
      </w:r>
    </w:p>
    <w:p w:rsidR="000027A0" w:rsidRPr="005B7649" w:rsidRDefault="000027A0" w:rsidP="00353FB0">
      <w:pPr>
        <w:pStyle w:val="BodyText"/>
        <w:numPr>
          <w:ilvl w:val="1"/>
          <w:numId w:val="4"/>
        </w:numPr>
        <w:tabs>
          <w:tab w:val="left" w:pos="1134"/>
        </w:tabs>
        <w:spacing w:before="0"/>
        <w:ind w:left="1134" w:hanging="567"/>
        <w:jc w:val="both"/>
        <w:rPr>
          <w:rFonts w:ascii="Times New Roman" w:hAnsi="Times New Roman"/>
          <w:noProof/>
        </w:rPr>
      </w:pPr>
      <w:r w:rsidRPr="005B7649">
        <w:rPr>
          <w:rFonts w:ascii="Times New Roman" w:hAnsi="Times New Roman"/>
          <w:noProof/>
        </w:rPr>
        <w:t>nerada administratīvo slogu nacionālai, reģionālai un vietējai pārvaldei;</w:t>
      </w:r>
    </w:p>
    <w:p w:rsidR="000027A0" w:rsidRPr="005B7649" w:rsidRDefault="000027A0" w:rsidP="00353FB0">
      <w:pPr>
        <w:pStyle w:val="BodyText"/>
        <w:numPr>
          <w:ilvl w:val="1"/>
          <w:numId w:val="4"/>
        </w:numPr>
        <w:tabs>
          <w:tab w:val="left" w:pos="1134"/>
        </w:tabs>
        <w:spacing w:before="0"/>
        <w:ind w:left="1134" w:hanging="567"/>
        <w:jc w:val="both"/>
        <w:rPr>
          <w:rFonts w:ascii="Times New Roman" w:hAnsi="Times New Roman"/>
          <w:noProof/>
        </w:rPr>
      </w:pPr>
      <w:r w:rsidRPr="005B7649">
        <w:rPr>
          <w:rFonts w:ascii="Times New Roman" w:hAnsi="Times New Roman"/>
          <w:noProof/>
        </w:rPr>
        <w:t>veicina sadarbību starp visu lielumu pilsētu teritorijām, kā arī sadarbību funkcionālajās pilsētu teritorijās un reģionos, tostarp iekšējās teritorijās un pārrobežu policentriskajos metropoļu reģionos.</w:t>
      </w:r>
    </w:p>
    <w:p w:rsidR="00422762" w:rsidRPr="005B7649" w:rsidRDefault="00422762" w:rsidP="00353FB0">
      <w:pPr>
        <w:pStyle w:val="BodyText"/>
        <w:tabs>
          <w:tab w:val="left" w:pos="1117"/>
        </w:tabs>
        <w:spacing w:before="0"/>
        <w:ind w:left="0" w:firstLine="0"/>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Pastiprināt starpvaldību sadarbību pilsētu un teritoriālās attīstības jautājumos, lai sniegtu skaidru ieguldījumu ES pilsētprogrammas izstrādē un īstenošanā.</w:t>
      </w:r>
    </w:p>
    <w:p w:rsidR="00DA238F" w:rsidRPr="005B7649" w:rsidRDefault="00DA238F" w:rsidP="00353FB0">
      <w:pPr>
        <w:pStyle w:val="BodyText"/>
        <w:tabs>
          <w:tab w:val="left" w:pos="471"/>
        </w:tabs>
        <w:spacing w:before="0"/>
        <w:ind w:left="0" w:firstLine="0"/>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Veicināt zināšanas un datu ieguvi par pilsētu attīstības jautājumiem, attiecinot uz dažādu veidu</w:t>
      </w:r>
      <w:r w:rsidR="00353FB0">
        <w:rPr>
          <w:rFonts w:ascii="Times New Roman" w:hAnsi="Times New Roman"/>
          <w:noProof/>
        </w:rPr>
        <w:t xml:space="preserve"> </w:t>
      </w:r>
      <w:r w:rsidRPr="005B7649">
        <w:rPr>
          <w:rFonts w:ascii="Times New Roman" w:hAnsi="Times New Roman"/>
          <w:noProof/>
        </w:rPr>
        <w:t>pilsētu vienībām.</w:t>
      </w:r>
    </w:p>
    <w:p w:rsidR="00DA238F" w:rsidRPr="005B7649" w:rsidRDefault="00DA238F" w:rsidP="00353FB0">
      <w:pPr>
        <w:pStyle w:val="BodyText"/>
        <w:tabs>
          <w:tab w:val="left" w:pos="567"/>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Valsts un reģiona līmenī atbalstīt politikas, kas ietekmē un veicina ilgtspējīgu un integrētu pilsētu attīstību un teritoriālo kohēziju, un sniedz ieguldījumu kopējo ES stratēģisko mērķu sasniegšanā, veidojot izpratni un sekmējot nozaru koordināciju.</w:t>
      </w:r>
    </w:p>
    <w:p w:rsidR="00DA238F" w:rsidRPr="005B7649" w:rsidRDefault="00DA238F" w:rsidP="00353FB0">
      <w:pPr>
        <w:pStyle w:val="BodyText"/>
        <w:tabs>
          <w:tab w:val="left" w:pos="567"/>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Saskaņā ar dalībvalstu tiesisko un institucionālo ietvaru, izmantojot piemērotus līdzekļus:</w:t>
      </w:r>
    </w:p>
    <w:p w:rsidR="000027A0" w:rsidRPr="005B7649" w:rsidRDefault="000027A0" w:rsidP="00353FB0">
      <w:pPr>
        <w:pStyle w:val="BodyText"/>
        <w:numPr>
          <w:ilvl w:val="1"/>
          <w:numId w:val="4"/>
        </w:numPr>
        <w:tabs>
          <w:tab w:val="left" w:pos="1134"/>
        </w:tabs>
        <w:spacing w:before="0"/>
        <w:ind w:left="1134" w:hanging="567"/>
        <w:jc w:val="both"/>
        <w:rPr>
          <w:rFonts w:ascii="Times New Roman" w:hAnsi="Times New Roman"/>
          <w:noProof/>
        </w:rPr>
      </w:pPr>
      <w:r w:rsidRPr="005B7649">
        <w:rPr>
          <w:rFonts w:ascii="Times New Roman" w:hAnsi="Times New Roman"/>
          <w:noProof/>
        </w:rPr>
        <w:t>atbalstīt efektīvu daudzlīmeņu pārvaldību un iesaistīt vietējās un reģionālās iestādes politikas veidošanā, tostarp pilsētu politiku un politiku ar nepārprotamu ietekmi uz pilsētām izstrādē, īstenošanā un uzraudzībā;</w:t>
      </w:r>
    </w:p>
    <w:p w:rsidR="000027A0" w:rsidRPr="005B7649" w:rsidRDefault="000027A0" w:rsidP="00353FB0">
      <w:pPr>
        <w:pStyle w:val="BodyText"/>
        <w:numPr>
          <w:ilvl w:val="1"/>
          <w:numId w:val="4"/>
        </w:numPr>
        <w:tabs>
          <w:tab w:val="left" w:pos="1134"/>
        </w:tabs>
        <w:spacing w:before="0"/>
        <w:ind w:left="1134" w:hanging="567"/>
        <w:jc w:val="both"/>
        <w:rPr>
          <w:rFonts w:ascii="Times New Roman" w:hAnsi="Times New Roman"/>
          <w:noProof/>
        </w:rPr>
      </w:pPr>
      <w:r w:rsidRPr="005B7649">
        <w:rPr>
          <w:rFonts w:ascii="Times New Roman" w:hAnsi="Times New Roman"/>
          <w:noProof/>
        </w:rPr>
        <w:t>stiprināt vietējo un reģionālo iestāžu pietiekamu kompetenci, tostarp ES Eiropas teritoriālās sadarbības programmu plašāku izmantojumu un līdzdalību tajās, dot tām iespēju izstrādāt un īstenot integrētas attīstības stratēģijas un perspektīvas, kur nepieciešams, un sekmēt labvēlīgus priekšnosacījumus sadarbībai starp dažādām teritorijām, nolūkā pārvaldīt teritoriālās saiknes un papildinātību;</w:t>
      </w:r>
    </w:p>
    <w:p w:rsidR="000027A0" w:rsidRPr="005B7649" w:rsidRDefault="000027A0" w:rsidP="00353FB0">
      <w:pPr>
        <w:pStyle w:val="BodyText"/>
        <w:numPr>
          <w:ilvl w:val="1"/>
          <w:numId w:val="4"/>
        </w:numPr>
        <w:tabs>
          <w:tab w:val="left" w:pos="1134"/>
        </w:tabs>
        <w:spacing w:before="0"/>
        <w:ind w:left="1134" w:hanging="567"/>
        <w:jc w:val="both"/>
        <w:rPr>
          <w:rFonts w:ascii="Times New Roman" w:hAnsi="Times New Roman"/>
          <w:noProof/>
        </w:rPr>
      </w:pPr>
      <w:r w:rsidRPr="005B7649">
        <w:rPr>
          <w:rFonts w:ascii="Times New Roman" w:hAnsi="Times New Roman"/>
          <w:noProof/>
        </w:rPr>
        <w:t xml:space="preserve">veicināt integrētus un konkrētai vietai atbilstošus teritoriālos atbalsta pasākumus, kas dotu iespēju jebkurai teritorijai pilnībā izmantot teritoriālo potenciālu un risināt savus specifiskos izaicinājumus, tostarp mazām un vidēji lielām pilsētām, </w:t>
      </w:r>
      <w:r w:rsidRPr="005B7649">
        <w:rPr>
          <w:rFonts w:ascii="Times New Roman" w:hAnsi="Times New Roman"/>
          <w:noProof/>
        </w:rPr>
        <w:lastRenderedPageBreak/>
        <w:t>neatkarīgi no to ģeogrāfiskās atrašanās vietas.</w:t>
      </w:r>
    </w:p>
    <w:p w:rsidR="00DA238F" w:rsidRPr="005B7649" w:rsidRDefault="00DA238F" w:rsidP="00353FB0">
      <w:pPr>
        <w:pStyle w:val="BodyText"/>
        <w:tabs>
          <w:tab w:val="left" w:pos="1418"/>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Nodrošināt ES pilsētprogrammas pilnveidošanas nepārtrauktību nākamo prezidentūru laikā un noteikt vissvarīgākos starpposma mērķus pilsētprogrammas izstrādē, kā arī censties panākt politisku vienošanos Nīderlandes prezidentūras laikā par operacionālu ES pilsētprogrammu;</w:t>
      </w:r>
    </w:p>
    <w:p w:rsidR="00DA238F" w:rsidRPr="005B7649" w:rsidRDefault="00DA238F" w:rsidP="00353FB0">
      <w:pPr>
        <w:pStyle w:val="BodyText"/>
        <w:tabs>
          <w:tab w:val="left" w:pos="474"/>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 xml:space="preserve">Sniegt ieguldījumu </w:t>
      </w:r>
      <w:r w:rsidRPr="005B7649">
        <w:rPr>
          <w:rFonts w:ascii="Times New Roman" w:hAnsi="Times New Roman"/>
          <w:i/>
          <w:noProof/>
        </w:rPr>
        <w:t>UN-Habitat</w:t>
      </w:r>
      <w:r w:rsidRPr="005B7649">
        <w:rPr>
          <w:rFonts w:ascii="Times New Roman" w:hAnsi="Times New Roman"/>
          <w:noProof/>
        </w:rPr>
        <w:t xml:space="preserve"> Jaunās pilsētprogrammas izstrādē, lai nodrošinātu, ka integrētas pilsētu attīstības principi un nākamie ilgtspējīgas attīstības mērķi, kas attiecas uz pilsētu attīstību, ir atspoguļoti ANO Trešās konferences par mājokļu un ilgtspējīgas attīstības jautājumiem [</w:t>
      </w:r>
      <w:r w:rsidRPr="005B7649">
        <w:rPr>
          <w:rFonts w:ascii="Times New Roman" w:hAnsi="Times New Roman"/>
          <w:i/>
          <w:noProof/>
        </w:rPr>
        <w:t>Habitat III</w:t>
      </w:r>
      <w:r w:rsidRPr="005B7649">
        <w:rPr>
          <w:rFonts w:ascii="Times New Roman" w:hAnsi="Times New Roman"/>
          <w:noProof/>
        </w:rPr>
        <w:t>] deklarācijā.</w:t>
      </w:r>
    </w:p>
    <w:p w:rsidR="000027A0" w:rsidRPr="005B7649" w:rsidRDefault="000027A0" w:rsidP="005B7649">
      <w:pPr>
        <w:jc w:val="both"/>
        <w:rPr>
          <w:rFonts w:ascii="Times New Roman" w:eastAsia="Arial" w:hAnsi="Times New Roman" w:cs="Arial"/>
          <w:noProof/>
          <w:sz w:val="24"/>
          <w:szCs w:val="30"/>
        </w:rPr>
      </w:pPr>
    </w:p>
    <w:p w:rsidR="000027A0" w:rsidRPr="005B7649" w:rsidRDefault="000027A0" w:rsidP="005B7649">
      <w:pPr>
        <w:pStyle w:val="Heading1"/>
        <w:ind w:left="0"/>
        <w:jc w:val="both"/>
        <w:rPr>
          <w:rFonts w:ascii="Times New Roman" w:hAnsi="Times New Roman"/>
          <w:noProof/>
        </w:rPr>
      </w:pPr>
      <w:r w:rsidRPr="005B7649">
        <w:rPr>
          <w:rFonts w:ascii="Times New Roman" w:hAnsi="Times New Roman"/>
          <w:noProof/>
        </w:rPr>
        <w:t>Ministri aicina Eiropas Komisiju</w:t>
      </w:r>
    </w:p>
    <w:p w:rsidR="00DA238F" w:rsidRPr="005B7649" w:rsidRDefault="00DA238F" w:rsidP="005B7649">
      <w:pPr>
        <w:pStyle w:val="Heading1"/>
        <w:ind w:left="0"/>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atzīt ES pilsētprogrammu par prioritāti un veikt tūlītējus un konkrētus pasākumus, lai</w:t>
      </w:r>
    </w:p>
    <w:p w:rsidR="000027A0" w:rsidRPr="005B7649" w:rsidRDefault="00353FB0" w:rsidP="00353FB0">
      <w:pPr>
        <w:pStyle w:val="BodyText"/>
        <w:spacing w:before="0"/>
        <w:ind w:left="1134" w:hanging="567"/>
        <w:jc w:val="both"/>
        <w:rPr>
          <w:rFonts w:ascii="Times New Roman" w:hAnsi="Times New Roman"/>
          <w:noProof/>
        </w:rPr>
      </w:pPr>
      <w:r>
        <w:rPr>
          <w:rFonts w:ascii="Times New Roman" w:hAnsi="Times New Roman"/>
          <w:noProof/>
        </w:rPr>
        <w:t>19.1.</w:t>
      </w:r>
      <w:r w:rsidR="000027A0" w:rsidRPr="005B7649">
        <w:rPr>
          <w:rFonts w:ascii="Times New Roman" w:hAnsi="Times New Roman"/>
        </w:rPr>
        <w:tab/>
      </w:r>
      <w:r w:rsidR="000027A0" w:rsidRPr="005B7649">
        <w:rPr>
          <w:rFonts w:ascii="Times New Roman" w:hAnsi="Times New Roman"/>
          <w:noProof/>
        </w:rPr>
        <w:t>uzlabotu pilsētvidi ietekmējošu ES politiku un instrumentu koordināciju un efektivitāti, lai atbalstītu ilgtspējīgu un integrētu pilsētu attīstību un pilsētu teritoriju ieguldījumu ES prioritātēs;</w:t>
      </w:r>
    </w:p>
    <w:p w:rsidR="000027A0" w:rsidRPr="005B7649" w:rsidRDefault="000027A0" w:rsidP="00353FB0">
      <w:pPr>
        <w:pStyle w:val="BodyText"/>
        <w:numPr>
          <w:ilvl w:val="1"/>
          <w:numId w:val="3"/>
        </w:numPr>
        <w:tabs>
          <w:tab w:val="left" w:pos="1443"/>
        </w:tabs>
        <w:spacing w:before="0"/>
        <w:ind w:left="1134" w:hanging="567"/>
        <w:jc w:val="both"/>
        <w:rPr>
          <w:rFonts w:ascii="Times New Roman" w:hAnsi="Times New Roman"/>
          <w:noProof/>
        </w:rPr>
      </w:pPr>
      <w:r w:rsidRPr="005B7649">
        <w:rPr>
          <w:rFonts w:ascii="Times New Roman" w:hAnsi="Times New Roman"/>
          <w:noProof/>
        </w:rPr>
        <w:t>veicinātu jaunu ES iniciatīvu un tiesību aktu iepriekšēju (</w:t>
      </w:r>
      <w:r w:rsidRPr="005B7649">
        <w:rPr>
          <w:rFonts w:ascii="Times New Roman" w:hAnsi="Times New Roman"/>
          <w:i/>
          <w:noProof/>
        </w:rPr>
        <w:t>ex ante</w:t>
      </w:r>
      <w:r w:rsidRPr="005B7649">
        <w:rPr>
          <w:rFonts w:ascii="Times New Roman" w:hAnsi="Times New Roman"/>
          <w:noProof/>
        </w:rPr>
        <w:t>) izvērtejumu attiecībā uz teritoriālo ietekmi un sekām, ko tie rada vietējām pašvaldībām, kā arī</w:t>
      </w:r>
    </w:p>
    <w:p w:rsidR="000027A0" w:rsidRPr="005B7649" w:rsidRDefault="000027A0" w:rsidP="00353FB0">
      <w:pPr>
        <w:pStyle w:val="BodyText"/>
        <w:numPr>
          <w:ilvl w:val="1"/>
          <w:numId w:val="3"/>
        </w:numPr>
        <w:tabs>
          <w:tab w:val="left" w:pos="1458"/>
        </w:tabs>
        <w:spacing w:before="0"/>
        <w:ind w:left="1134" w:hanging="567"/>
        <w:jc w:val="both"/>
        <w:rPr>
          <w:rFonts w:ascii="Times New Roman" w:hAnsi="Times New Roman"/>
          <w:noProof/>
        </w:rPr>
      </w:pPr>
      <w:r w:rsidRPr="005B7649">
        <w:rPr>
          <w:rFonts w:ascii="Times New Roman" w:hAnsi="Times New Roman"/>
          <w:noProof/>
        </w:rPr>
        <w:t>pastiprinātu, konsolidētu un saskaņotu zināšanas un datus ES līmenī par pilsētu attīstības jautājumiem, kas attiecas uz dažādu veidu pilsētu vienībām.</w:t>
      </w:r>
    </w:p>
    <w:p w:rsidR="00DA238F" w:rsidRPr="005B7649" w:rsidRDefault="00DA238F" w:rsidP="005B7649">
      <w:pPr>
        <w:pStyle w:val="BodyText"/>
        <w:tabs>
          <w:tab w:val="left" w:pos="1458"/>
        </w:tabs>
        <w:spacing w:before="0"/>
        <w:ind w:left="0"/>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Ierosināt un veicināt saskaņotu rīcību ierobežota skaita starpnozaru prioritārajos jautājumos, kas identificēti un atlasīti ciešā sadarbībā starp dalībvalstīm, Komisiju un citām iesaistītajām ieinteresētajām pusēm. To darot:</w:t>
      </w:r>
    </w:p>
    <w:p w:rsidR="000027A0" w:rsidRPr="005B7649" w:rsidRDefault="000027A0" w:rsidP="00353FB0">
      <w:pPr>
        <w:pStyle w:val="BodyText"/>
        <w:spacing w:before="0"/>
        <w:ind w:left="1134" w:hanging="567"/>
        <w:jc w:val="both"/>
        <w:rPr>
          <w:rFonts w:ascii="Times New Roman" w:hAnsi="Times New Roman"/>
          <w:noProof/>
        </w:rPr>
      </w:pPr>
      <w:r w:rsidRPr="005B7649">
        <w:rPr>
          <w:rFonts w:ascii="Times New Roman" w:hAnsi="Times New Roman"/>
          <w:noProof/>
        </w:rPr>
        <w:t>20.1</w:t>
      </w:r>
      <w:r w:rsidR="00353FB0">
        <w:rPr>
          <w:rFonts w:ascii="Times New Roman" w:hAnsi="Times New Roman"/>
        </w:rPr>
        <w:t>.</w:t>
      </w:r>
      <w:r w:rsidRPr="005B7649">
        <w:rPr>
          <w:rFonts w:ascii="Times New Roman" w:hAnsi="Times New Roman"/>
        </w:rPr>
        <w:tab/>
      </w:r>
      <w:r w:rsidRPr="005B7649">
        <w:rPr>
          <w:rFonts w:ascii="Times New Roman" w:hAnsi="Times New Roman"/>
          <w:noProof/>
        </w:rPr>
        <w:t>ņemt vērā arī rekomendācijas, kas sagatavotas starpvaldību līmenī, citu starpā tos, kas attiecas uz mazo un vidēji lielo pilsētu teritorijām, nabadzību pilsētās (tostarp vismazāk attīstītās piepilsētās), mobilitāti ES iekšienē un migrācijas negatīvajām sekām, kā arī</w:t>
      </w:r>
    </w:p>
    <w:p w:rsidR="000027A0" w:rsidRPr="005B7649" w:rsidRDefault="00353FB0" w:rsidP="00353FB0">
      <w:pPr>
        <w:pStyle w:val="BodyText"/>
        <w:spacing w:before="0"/>
        <w:ind w:left="1134" w:hanging="567"/>
        <w:jc w:val="both"/>
        <w:rPr>
          <w:rFonts w:ascii="Times New Roman" w:hAnsi="Times New Roman"/>
          <w:noProof/>
        </w:rPr>
      </w:pPr>
      <w:r>
        <w:rPr>
          <w:rFonts w:ascii="Times New Roman" w:hAnsi="Times New Roman"/>
          <w:noProof/>
        </w:rPr>
        <w:t>20.2.</w:t>
      </w:r>
      <w:r w:rsidR="000027A0" w:rsidRPr="005B7649">
        <w:rPr>
          <w:rFonts w:ascii="Times New Roman" w:hAnsi="Times New Roman"/>
        </w:rPr>
        <w:tab/>
      </w:r>
      <w:r w:rsidR="000027A0" w:rsidRPr="005B7649">
        <w:rPr>
          <w:rFonts w:ascii="Times New Roman" w:hAnsi="Times New Roman"/>
          <w:noProof/>
        </w:rPr>
        <w:t xml:space="preserve">izmantot </w:t>
      </w:r>
      <w:r w:rsidR="000027A0" w:rsidRPr="005B7649">
        <w:rPr>
          <w:rFonts w:ascii="Times New Roman" w:hAnsi="Times New Roman"/>
          <w:i/>
          <w:noProof/>
        </w:rPr>
        <w:t>Urban Audit</w:t>
      </w:r>
      <w:r w:rsidR="000027A0" w:rsidRPr="005B7649">
        <w:rPr>
          <w:rFonts w:ascii="Times New Roman" w:hAnsi="Times New Roman"/>
          <w:noProof/>
        </w:rPr>
        <w:t xml:space="preserve">, </w:t>
      </w:r>
      <w:r w:rsidR="000027A0" w:rsidRPr="005B7649">
        <w:rPr>
          <w:rFonts w:ascii="Times New Roman" w:hAnsi="Times New Roman"/>
          <w:i/>
          <w:noProof/>
        </w:rPr>
        <w:t>URBACT</w:t>
      </w:r>
      <w:r w:rsidR="000027A0" w:rsidRPr="005B7649">
        <w:rPr>
          <w:rFonts w:ascii="Times New Roman" w:hAnsi="Times New Roman"/>
          <w:noProof/>
        </w:rPr>
        <w:t xml:space="preserve">, </w:t>
      </w:r>
      <w:r w:rsidR="000027A0" w:rsidRPr="005B7649">
        <w:rPr>
          <w:rFonts w:ascii="Times New Roman" w:hAnsi="Times New Roman"/>
          <w:i/>
          <w:noProof/>
        </w:rPr>
        <w:t>ESPO</w:t>
      </w:r>
      <w:r w:rsidR="000027A0" w:rsidRPr="005B7649">
        <w:rPr>
          <w:rFonts w:ascii="Times New Roman" w:hAnsi="Times New Roman"/>
          <w:noProof/>
        </w:rPr>
        <w:t xml:space="preserve">, </w:t>
      </w:r>
      <w:r w:rsidR="000027A0" w:rsidRPr="005B7649">
        <w:rPr>
          <w:rFonts w:ascii="Times New Roman" w:hAnsi="Times New Roman"/>
          <w:i/>
          <w:noProof/>
        </w:rPr>
        <w:t>EUKN</w:t>
      </w:r>
      <w:r w:rsidR="000027A0" w:rsidRPr="005B7649">
        <w:rPr>
          <w:rFonts w:ascii="Times New Roman" w:hAnsi="Times New Roman"/>
          <w:noProof/>
        </w:rPr>
        <w:t xml:space="preserve"> u. c. zināšanu bāzes.</w:t>
      </w:r>
    </w:p>
    <w:p w:rsidR="00DA238F" w:rsidRPr="005B7649" w:rsidRDefault="00DA238F" w:rsidP="005B7649">
      <w:pPr>
        <w:pStyle w:val="BodyText"/>
        <w:spacing w:before="0"/>
        <w:ind w:left="0" w:firstLine="709"/>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Uzraudzīt pilsētu teritoriju ieguldījumu Eiropas Savienības stratēģisko mērķu sasniegšanā, sekot progresam starpnozaru prioritārajos jautājumos un regulāri ziņot dalībvalstīm ar pilsētu attīstības darba grupas starpniecību. Veicot uzraudzības aktivitātes, censties samazināt administratīvo slogu dalībvalstīm.</w:t>
      </w:r>
    </w:p>
    <w:p w:rsidR="00DA238F" w:rsidRPr="005B7649" w:rsidRDefault="00DA238F" w:rsidP="00353FB0">
      <w:pPr>
        <w:pStyle w:val="BodyText"/>
        <w:tabs>
          <w:tab w:val="left" w:pos="567"/>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Nodrošināt, lai ES līmeņa regulējums un instrumenti būtu elastīgi un piemēroti vietai un tādējādi dotu dalībvalstīm un reģioniem iespēju īstenot nacionāla un zemāka pārvaldes līmeņa stratēģijas un perspektīvas, kas veicina visu veidu teritoriju, tostarp mazo un vidēji lielo pilsētu, attīstību.</w:t>
      </w:r>
    </w:p>
    <w:p w:rsidR="000027A0" w:rsidRPr="005B7649" w:rsidRDefault="000027A0" w:rsidP="005B7649">
      <w:pPr>
        <w:jc w:val="both"/>
        <w:rPr>
          <w:rFonts w:ascii="Times New Roman" w:eastAsia="Arial" w:hAnsi="Times New Roman" w:cs="Arial"/>
          <w:noProof/>
          <w:sz w:val="24"/>
          <w:szCs w:val="34"/>
        </w:rPr>
      </w:pPr>
    </w:p>
    <w:p w:rsidR="000027A0" w:rsidRPr="005B7649" w:rsidRDefault="000027A0" w:rsidP="005B7649">
      <w:pPr>
        <w:pStyle w:val="Heading1"/>
        <w:ind w:left="0"/>
        <w:jc w:val="both"/>
        <w:rPr>
          <w:rFonts w:ascii="Times New Roman" w:hAnsi="Times New Roman"/>
          <w:noProof/>
        </w:rPr>
      </w:pPr>
      <w:r w:rsidRPr="005B7649">
        <w:rPr>
          <w:rFonts w:ascii="Times New Roman" w:hAnsi="Times New Roman"/>
          <w:noProof/>
        </w:rPr>
        <w:t>Ministri aicina vietējās un reģionālās iestādes</w:t>
      </w:r>
    </w:p>
    <w:p w:rsidR="00DA238F" w:rsidRPr="005B7649" w:rsidRDefault="00DA238F" w:rsidP="005B7649">
      <w:pPr>
        <w:pStyle w:val="Heading1"/>
        <w:ind w:left="0"/>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aktīvi iesaistīties ES pilsētprogrammas izstrādē caur esošiem pārvaldības mehānismiem, identificējot galvenos pilsētu izaicinājums un iespējas, kas balstītas gan uz vietējo stāvokli, gan plaši izplatītas Eiropas pilsētās;</w:t>
      </w:r>
    </w:p>
    <w:p w:rsidR="00DA238F" w:rsidRPr="005B7649" w:rsidRDefault="00DA238F" w:rsidP="00353FB0">
      <w:pPr>
        <w:pStyle w:val="BodyText"/>
        <w:tabs>
          <w:tab w:val="left" w:pos="567"/>
        </w:tabs>
        <w:spacing w:before="0"/>
        <w:ind w:left="567" w:hanging="567"/>
        <w:jc w:val="both"/>
        <w:rPr>
          <w:rFonts w:ascii="Times New Roman" w:hAnsi="Times New Roman"/>
          <w:noProof/>
        </w:rPr>
      </w:pPr>
    </w:p>
    <w:p w:rsidR="000027A0" w:rsidRPr="005B7649" w:rsidRDefault="000027A0" w:rsidP="00353FB0">
      <w:pPr>
        <w:pStyle w:val="BodyText"/>
        <w:numPr>
          <w:ilvl w:val="0"/>
          <w:numId w:val="4"/>
        </w:numPr>
        <w:tabs>
          <w:tab w:val="left" w:pos="567"/>
        </w:tabs>
        <w:spacing w:before="0"/>
        <w:ind w:left="567" w:hanging="567"/>
        <w:jc w:val="both"/>
        <w:rPr>
          <w:rFonts w:ascii="Times New Roman" w:hAnsi="Times New Roman"/>
          <w:noProof/>
        </w:rPr>
      </w:pPr>
      <w:r w:rsidRPr="005B7649">
        <w:rPr>
          <w:rFonts w:ascii="Times New Roman" w:hAnsi="Times New Roman"/>
          <w:noProof/>
        </w:rPr>
        <w:t>saskaņā ar dalībvalstu normatīvo un institucionālo ietvaru, kur piemērots un, kur ir pietiekami resursi:</w:t>
      </w:r>
    </w:p>
    <w:p w:rsidR="000027A0" w:rsidRPr="005B7649" w:rsidRDefault="000027A0" w:rsidP="00353FB0">
      <w:pPr>
        <w:pStyle w:val="BodyText"/>
        <w:numPr>
          <w:ilvl w:val="1"/>
          <w:numId w:val="4"/>
        </w:numPr>
        <w:tabs>
          <w:tab w:val="left" w:pos="1134"/>
        </w:tabs>
        <w:spacing w:before="0"/>
        <w:ind w:left="1134" w:hanging="567"/>
        <w:jc w:val="both"/>
        <w:rPr>
          <w:rFonts w:ascii="Times New Roman" w:hAnsi="Times New Roman"/>
          <w:noProof/>
        </w:rPr>
      </w:pPr>
      <w:r w:rsidRPr="005B7649">
        <w:rPr>
          <w:rFonts w:ascii="Times New Roman" w:hAnsi="Times New Roman"/>
          <w:noProof/>
        </w:rPr>
        <w:t xml:space="preserve">aktīvi piedalīties politikas izstrādē un teritoriālās ietekmes novērtēšanā gadījumos, </w:t>
      </w:r>
      <w:r w:rsidRPr="005B7649">
        <w:rPr>
          <w:rFonts w:ascii="Times New Roman" w:hAnsi="Times New Roman"/>
          <w:noProof/>
        </w:rPr>
        <w:lastRenderedPageBreak/>
        <w:t>kad šīm politikām ir ietekme uz pilsētu teritorijām un, kur sadarbībai Eiropas līmenī ir skaidra pievienotā vērtība;</w:t>
      </w:r>
    </w:p>
    <w:p w:rsidR="000027A0" w:rsidRPr="005B7649" w:rsidRDefault="000027A0" w:rsidP="00353FB0">
      <w:pPr>
        <w:pStyle w:val="BodyText"/>
        <w:numPr>
          <w:ilvl w:val="1"/>
          <w:numId w:val="4"/>
        </w:numPr>
        <w:tabs>
          <w:tab w:val="left" w:pos="752"/>
          <w:tab w:val="left" w:pos="1134"/>
        </w:tabs>
        <w:spacing w:before="0"/>
        <w:ind w:left="1134" w:hanging="567"/>
        <w:jc w:val="both"/>
        <w:rPr>
          <w:rFonts w:ascii="Times New Roman" w:hAnsi="Times New Roman"/>
          <w:noProof/>
        </w:rPr>
      </w:pPr>
      <w:r w:rsidRPr="005B7649">
        <w:rPr>
          <w:rFonts w:ascii="Times New Roman" w:hAnsi="Times New Roman"/>
          <w:noProof/>
        </w:rPr>
        <w:t>nodrošināt partnerību ilgtspējīgas integrētas pilsētu attīstības veicināšanā vietējā līmenī, iesaistot vietējo sabiedrību un ieinteresētās puses, un censties nodrošināt efektīvus risinājumus izaicinājumu pārvarēšanai, kas aptver vairāk nekā vienu jomu un iziet ārpus konkrētas teritorijas administratīvajām robežām;</w:t>
      </w:r>
    </w:p>
    <w:p w:rsidR="000027A0" w:rsidRPr="005B7649" w:rsidRDefault="000027A0" w:rsidP="00353FB0">
      <w:pPr>
        <w:pStyle w:val="BodyText"/>
        <w:numPr>
          <w:ilvl w:val="1"/>
          <w:numId w:val="4"/>
        </w:numPr>
        <w:tabs>
          <w:tab w:val="left" w:pos="838"/>
          <w:tab w:val="left" w:pos="1134"/>
        </w:tabs>
        <w:spacing w:before="0"/>
        <w:ind w:left="1134" w:hanging="567"/>
        <w:jc w:val="both"/>
        <w:rPr>
          <w:rFonts w:ascii="Times New Roman" w:hAnsi="Times New Roman"/>
          <w:noProof/>
        </w:rPr>
      </w:pPr>
      <w:r w:rsidRPr="005B7649">
        <w:rPr>
          <w:rFonts w:ascii="Times New Roman" w:hAnsi="Times New Roman"/>
          <w:noProof/>
        </w:rPr>
        <w:t>izstrādāt un īstenot integrētas vietējās stratēģijas, izmantojot līdzdalības pieeju, kas ir atbildīga un labi līdzsvarota teritoriālās plānošanas ziņā, respektējot vietējās vērtības un izmantojot esošos instrumentus pilsētas teritorijas un tai piegulošo teritoriju ilgtspējīgas attīstības veicināšanai;</w:t>
      </w:r>
    </w:p>
    <w:p w:rsidR="000027A0" w:rsidRPr="005B7649" w:rsidRDefault="000027A0" w:rsidP="00353FB0">
      <w:pPr>
        <w:pStyle w:val="BodyText"/>
        <w:numPr>
          <w:ilvl w:val="1"/>
          <w:numId w:val="4"/>
        </w:numPr>
        <w:tabs>
          <w:tab w:val="left" w:pos="750"/>
          <w:tab w:val="left" w:pos="1134"/>
        </w:tabs>
        <w:spacing w:before="0"/>
        <w:ind w:left="1134" w:hanging="567"/>
        <w:jc w:val="both"/>
        <w:rPr>
          <w:rFonts w:ascii="Times New Roman" w:hAnsi="Times New Roman"/>
          <w:noProof/>
        </w:rPr>
      </w:pPr>
      <w:r w:rsidRPr="005B7649">
        <w:rPr>
          <w:rFonts w:ascii="Times New Roman" w:hAnsi="Times New Roman"/>
          <w:noProof/>
        </w:rPr>
        <w:t>vietējās attīstības stratēģijās ņemt vērā Eiropas stratēģiskos mērķus gudrai, ilgtspējīgai un iekļaujošai izaugsmei, lai veidotu saikni starp ES stratēģijām un politikām, vietējo specifiku un iedzīvotājiem;</w:t>
      </w:r>
    </w:p>
    <w:p w:rsidR="000027A0" w:rsidRPr="005B7649" w:rsidRDefault="000027A0" w:rsidP="00353FB0">
      <w:pPr>
        <w:pStyle w:val="BodyText"/>
        <w:numPr>
          <w:ilvl w:val="1"/>
          <w:numId w:val="4"/>
        </w:numPr>
        <w:tabs>
          <w:tab w:val="left" w:pos="783"/>
          <w:tab w:val="left" w:pos="1134"/>
        </w:tabs>
        <w:spacing w:before="0"/>
        <w:ind w:left="1134" w:hanging="567"/>
        <w:jc w:val="both"/>
        <w:rPr>
          <w:rFonts w:ascii="Times New Roman" w:hAnsi="Times New Roman"/>
          <w:noProof/>
        </w:rPr>
      </w:pPr>
      <w:r w:rsidRPr="005B7649">
        <w:rPr>
          <w:rFonts w:ascii="Times New Roman" w:hAnsi="Times New Roman"/>
          <w:noProof/>
        </w:rPr>
        <w:t>pastiprināt sadarbību un tīklu veidošanu starp pilsētu teritorijām, pilsētu un lauku teritorijām, kā arī ar partneriem Eiropā, meklējot salīdzinošās priekšrocības un sinerģijas kopīgai izmantošanai; apmainīties ar paraugpraksi pilsētu izaicinājumu risināšanā un kopīgi paaugstināt kapacitāti; piedalīties pilsētu attīstības tīklā; izmantot (kur tas ir lietderīgi) Eiropas līmeņa tīmekļa rīku “Pamatprincipu kopums ilgtspējīgām Eiropas pilsētām”, ko izstrādājušas ES dalībvalstis;</w:t>
      </w:r>
    </w:p>
    <w:p w:rsidR="000027A0" w:rsidRPr="005B7649" w:rsidRDefault="000027A0" w:rsidP="00353FB0">
      <w:pPr>
        <w:pStyle w:val="BodyText"/>
        <w:numPr>
          <w:ilvl w:val="1"/>
          <w:numId w:val="4"/>
        </w:numPr>
        <w:tabs>
          <w:tab w:val="left" w:pos="1134"/>
        </w:tabs>
        <w:spacing w:before="0"/>
        <w:ind w:left="1134" w:hanging="567"/>
        <w:jc w:val="both"/>
        <w:rPr>
          <w:rFonts w:ascii="Times New Roman" w:hAnsi="Times New Roman"/>
          <w:noProof/>
        </w:rPr>
      </w:pPr>
      <w:r w:rsidRPr="005B7649">
        <w:rPr>
          <w:rFonts w:ascii="Times New Roman" w:hAnsi="Times New Roman"/>
          <w:noProof/>
        </w:rPr>
        <w:t>apsvērt pievienošanos ES iniciatīvām, kas attiecas uz būtiskiem pilsētu izaicinājumiem, piemēram, Pilsētu mēru deklarācijai par bērnu nabadzības izskaušanu.</w:t>
      </w:r>
    </w:p>
    <w:p w:rsidR="000027A0" w:rsidRPr="005B7649" w:rsidRDefault="000027A0" w:rsidP="005B7649">
      <w:pPr>
        <w:jc w:val="both"/>
        <w:rPr>
          <w:rFonts w:ascii="Times New Roman" w:hAnsi="Times New Roman"/>
          <w:noProof/>
          <w:sz w:val="24"/>
        </w:rPr>
      </w:pPr>
    </w:p>
    <w:p w:rsidR="00DA238F" w:rsidRPr="005B7649" w:rsidRDefault="00DA238F" w:rsidP="005B7649">
      <w:pPr>
        <w:jc w:val="both"/>
        <w:rPr>
          <w:rFonts w:ascii="Times New Roman" w:hAnsi="Times New Roman"/>
          <w:noProof/>
          <w:sz w:val="24"/>
        </w:rPr>
      </w:pPr>
    </w:p>
    <w:p w:rsidR="00DA238F" w:rsidRPr="005B7649" w:rsidRDefault="00DA238F" w:rsidP="005B7649">
      <w:pPr>
        <w:jc w:val="both"/>
        <w:rPr>
          <w:rFonts w:ascii="Times New Roman" w:hAnsi="Times New Roman"/>
          <w:b/>
          <w:i/>
          <w:noProof/>
          <w:sz w:val="24"/>
        </w:rPr>
      </w:pPr>
      <w:r w:rsidRPr="005B7649">
        <w:rPr>
          <w:rFonts w:ascii="Times New Roman" w:hAnsi="Times New Roman"/>
          <w:sz w:val="24"/>
        </w:rPr>
        <w:br w:type="page"/>
      </w:r>
    </w:p>
    <w:p w:rsidR="000027A0" w:rsidRPr="005B7649" w:rsidRDefault="000027A0" w:rsidP="005B7649">
      <w:pPr>
        <w:jc w:val="both"/>
        <w:rPr>
          <w:rFonts w:ascii="Times New Roman" w:hAnsi="Times New Roman"/>
          <w:b/>
          <w:i/>
          <w:noProof/>
          <w:sz w:val="24"/>
        </w:rPr>
      </w:pPr>
      <w:r w:rsidRPr="005B7649">
        <w:rPr>
          <w:rFonts w:ascii="Times New Roman" w:hAnsi="Times New Roman"/>
          <w:b/>
          <w:i/>
          <w:noProof/>
          <w:sz w:val="24"/>
        </w:rPr>
        <w:lastRenderedPageBreak/>
        <w:t>I pielikums</w:t>
      </w:r>
    </w:p>
    <w:p w:rsidR="00DA238F" w:rsidRPr="005B7649" w:rsidRDefault="00DA238F" w:rsidP="005B7649">
      <w:pPr>
        <w:jc w:val="both"/>
        <w:rPr>
          <w:rFonts w:ascii="Times New Roman" w:hAnsi="Times New Roman"/>
          <w:b/>
          <w:i/>
          <w:noProof/>
          <w:sz w:val="24"/>
        </w:rPr>
      </w:pPr>
    </w:p>
    <w:p w:rsidR="000027A0" w:rsidRPr="00353FB0" w:rsidRDefault="000027A0" w:rsidP="00353FB0">
      <w:pPr>
        <w:jc w:val="center"/>
        <w:rPr>
          <w:rFonts w:ascii="Times New Roman" w:eastAsia="Arial" w:hAnsi="Times New Roman" w:cs="Arial"/>
          <w:noProof/>
          <w:sz w:val="28"/>
          <w:szCs w:val="28"/>
        </w:rPr>
      </w:pPr>
      <w:r w:rsidRPr="00353FB0">
        <w:rPr>
          <w:rFonts w:ascii="Times New Roman" w:hAnsi="Times New Roman"/>
          <w:b/>
          <w:noProof/>
          <w:sz w:val="28"/>
          <w:szCs w:val="28"/>
        </w:rPr>
        <w:t>Mazo un vidēji lielo pilsētu teritoriju būtiskās nozīmes atzīšana kopējā teritoriālajā attīstībā</w:t>
      </w:r>
      <w:r w:rsidR="00353FB0">
        <w:rPr>
          <w:rStyle w:val="FootnoteReference"/>
          <w:rFonts w:ascii="Times New Roman" w:hAnsi="Times New Roman"/>
          <w:b/>
          <w:noProof/>
          <w:sz w:val="28"/>
          <w:szCs w:val="28"/>
        </w:rPr>
        <w:footnoteReference w:id="1"/>
      </w:r>
    </w:p>
    <w:p w:rsidR="00DA238F" w:rsidRPr="005B7649" w:rsidRDefault="00DA238F" w:rsidP="005B7649">
      <w:pPr>
        <w:jc w:val="both"/>
        <w:rPr>
          <w:rFonts w:ascii="Times New Roman" w:eastAsia="Arial" w:hAnsi="Times New Roman" w:cs="Arial"/>
          <w:b/>
          <w:bCs/>
          <w:noProof/>
          <w:sz w:val="24"/>
          <w:szCs w:val="30"/>
        </w:rPr>
      </w:pPr>
    </w:p>
    <w:p w:rsidR="000027A0" w:rsidRPr="005B7649" w:rsidRDefault="000027A0" w:rsidP="00353FB0">
      <w:pPr>
        <w:numPr>
          <w:ilvl w:val="0"/>
          <w:numId w:val="2"/>
        </w:numPr>
        <w:tabs>
          <w:tab w:val="left" w:pos="567"/>
        </w:tabs>
        <w:ind w:left="567" w:hanging="567"/>
        <w:jc w:val="both"/>
        <w:rPr>
          <w:rFonts w:ascii="Times New Roman" w:hAnsi="Times New Roman"/>
          <w:noProof/>
          <w:sz w:val="24"/>
        </w:rPr>
      </w:pPr>
      <w:r w:rsidRPr="005B7649">
        <w:rPr>
          <w:rFonts w:ascii="Times New Roman" w:hAnsi="Times New Roman"/>
          <w:b/>
          <w:noProof/>
          <w:sz w:val="24"/>
        </w:rPr>
        <w:t xml:space="preserve">Mazo un vidēji lielo pilsētu teritoriju (MVPT) būtiskā nozīme līdz šim ir bijusi mazāk izpētīta politikās un pētījumos, </w:t>
      </w:r>
      <w:r w:rsidRPr="005B7649">
        <w:rPr>
          <w:rFonts w:ascii="Times New Roman" w:hAnsi="Times New Roman"/>
          <w:noProof/>
          <w:sz w:val="24"/>
        </w:rPr>
        <w:t>kuros galvenā uzmanība bija pievērsta metropoļu teritorijām un lielām pilsētām. Eiropā 24,2 % iedzīvotāju dzīvo MVPT ar iedzīvotāju skaitu no 5000 līdz 50 000. Kopā Eiropā ir 8350 MVPT.</w:t>
      </w:r>
    </w:p>
    <w:p w:rsidR="00DA238F" w:rsidRPr="005B7649" w:rsidRDefault="00DA238F" w:rsidP="00353FB0">
      <w:pPr>
        <w:tabs>
          <w:tab w:val="left" w:pos="567"/>
        </w:tabs>
        <w:ind w:left="567" w:hanging="567"/>
        <w:jc w:val="both"/>
        <w:rPr>
          <w:rFonts w:ascii="Times New Roman" w:hAnsi="Times New Roman"/>
          <w:noProof/>
          <w:sz w:val="24"/>
        </w:rPr>
      </w:pPr>
    </w:p>
    <w:p w:rsidR="000027A0" w:rsidRPr="005B7649" w:rsidRDefault="000027A0" w:rsidP="00353FB0">
      <w:pPr>
        <w:pStyle w:val="BodyText"/>
        <w:numPr>
          <w:ilvl w:val="0"/>
          <w:numId w:val="2"/>
        </w:numPr>
        <w:tabs>
          <w:tab w:val="left" w:pos="567"/>
        </w:tabs>
        <w:spacing w:before="0"/>
        <w:ind w:left="567" w:hanging="567"/>
        <w:jc w:val="both"/>
        <w:rPr>
          <w:rFonts w:ascii="Times New Roman" w:hAnsi="Times New Roman"/>
          <w:noProof/>
        </w:rPr>
      </w:pPr>
      <w:r w:rsidRPr="005B7649">
        <w:rPr>
          <w:rFonts w:ascii="Times New Roman" w:hAnsi="Times New Roman"/>
          <w:b/>
          <w:noProof/>
        </w:rPr>
        <w:t>MVPT pilda svarīgas ekonomiskās un sociālās funkcijas</w:t>
      </w:r>
      <w:r w:rsidRPr="005B7649">
        <w:rPr>
          <w:rFonts w:ascii="Times New Roman" w:hAnsi="Times New Roman"/>
          <w:noProof/>
        </w:rPr>
        <w:t>, jo tās ir darbvietu, valsts un privāto pakalpojumu centri, vietējā transporta mezgli, kā arī vietējo un reģionālo zināšanu radīšanas, inovāciju un infrastruktūras centri lielai daļai Eiropas iedzīvotāju.</w:t>
      </w:r>
    </w:p>
    <w:p w:rsidR="00DA238F" w:rsidRPr="005B7649" w:rsidRDefault="00DA238F" w:rsidP="00353FB0">
      <w:pPr>
        <w:pStyle w:val="ListParagraph"/>
        <w:tabs>
          <w:tab w:val="left" w:pos="567"/>
        </w:tabs>
        <w:ind w:left="567" w:hanging="567"/>
        <w:jc w:val="both"/>
        <w:rPr>
          <w:rFonts w:ascii="Times New Roman" w:hAnsi="Times New Roman"/>
          <w:noProof/>
          <w:sz w:val="24"/>
        </w:rPr>
      </w:pPr>
    </w:p>
    <w:p w:rsidR="00DA238F" w:rsidRPr="005B7649" w:rsidRDefault="00DA238F" w:rsidP="00353FB0">
      <w:pPr>
        <w:pStyle w:val="BodyText"/>
        <w:tabs>
          <w:tab w:val="left" w:pos="567"/>
        </w:tabs>
        <w:spacing w:before="0"/>
        <w:ind w:left="567" w:hanging="567"/>
        <w:jc w:val="both"/>
        <w:rPr>
          <w:rFonts w:ascii="Times New Roman" w:hAnsi="Times New Roman"/>
          <w:noProof/>
        </w:rPr>
      </w:pPr>
    </w:p>
    <w:p w:rsidR="000027A0" w:rsidRPr="005B7649" w:rsidRDefault="000027A0" w:rsidP="00353FB0">
      <w:pPr>
        <w:numPr>
          <w:ilvl w:val="0"/>
          <w:numId w:val="2"/>
        </w:numPr>
        <w:tabs>
          <w:tab w:val="left" w:pos="567"/>
        </w:tabs>
        <w:ind w:left="567" w:hanging="567"/>
        <w:jc w:val="both"/>
        <w:rPr>
          <w:rFonts w:ascii="Times New Roman" w:eastAsia="Arial" w:hAnsi="Times New Roman" w:cs="Arial"/>
          <w:noProof/>
          <w:sz w:val="24"/>
          <w:szCs w:val="24"/>
        </w:rPr>
      </w:pPr>
      <w:r w:rsidRPr="005B7649">
        <w:rPr>
          <w:rFonts w:ascii="Times New Roman" w:hAnsi="Times New Roman"/>
          <w:b/>
          <w:noProof/>
          <w:sz w:val="24"/>
        </w:rPr>
        <w:t>Tādēļ MVPT ir svarīgas, lai novērstu iedzīvotāju aizceļošanu no laukiem un aizplūšanu uz pilsētām,</w:t>
      </w:r>
      <w:r w:rsidRPr="005B7649">
        <w:rPr>
          <w:rFonts w:ascii="Times New Roman" w:hAnsi="Times New Roman"/>
          <w:noProof/>
          <w:sz w:val="24"/>
        </w:rPr>
        <w:t xml:space="preserve"> veicinot līdzsvarotāku kopējo reģionālo attīstību. </w:t>
      </w:r>
      <w:r w:rsidRPr="005B7649">
        <w:rPr>
          <w:rFonts w:ascii="Times New Roman" w:hAnsi="Times New Roman"/>
          <w:b/>
          <w:noProof/>
          <w:sz w:val="24"/>
        </w:rPr>
        <w:t>Vienlaikus tās dod ieguldījumu arī metropoļu teritoriju attīstībā</w:t>
      </w:r>
      <w:r w:rsidRPr="005B7649">
        <w:rPr>
          <w:rFonts w:ascii="Times New Roman" w:hAnsi="Times New Roman"/>
          <w:noProof/>
          <w:sz w:val="24"/>
        </w:rPr>
        <w:t>, jo ir savienotas policentriskā tīklā.</w:t>
      </w:r>
    </w:p>
    <w:p w:rsidR="00DA238F" w:rsidRPr="005B7649" w:rsidRDefault="00DA238F" w:rsidP="00353FB0">
      <w:pPr>
        <w:tabs>
          <w:tab w:val="left" w:pos="567"/>
        </w:tabs>
        <w:ind w:left="567" w:hanging="567"/>
        <w:jc w:val="both"/>
        <w:rPr>
          <w:rFonts w:ascii="Times New Roman" w:eastAsia="Arial" w:hAnsi="Times New Roman" w:cs="Arial"/>
          <w:noProof/>
          <w:sz w:val="24"/>
          <w:szCs w:val="24"/>
        </w:rPr>
      </w:pPr>
    </w:p>
    <w:p w:rsidR="000027A0" w:rsidRPr="005B7649" w:rsidRDefault="000027A0" w:rsidP="00353FB0">
      <w:pPr>
        <w:numPr>
          <w:ilvl w:val="0"/>
          <w:numId w:val="2"/>
        </w:numPr>
        <w:tabs>
          <w:tab w:val="left" w:pos="567"/>
        </w:tabs>
        <w:ind w:left="567" w:hanging="567"/>
        <w:jc w:val="both"/>
        <w:rPr>
          <w:rFonts w:ascii="Times New Roman" w:eastAsia="Arial" w:hAnsi="Times New Roman" w:cs="Arial"/>
          <w:noProof/>
          <w:sz w:val="24"/>
          <w:szCs w:val="24"/>
        </w:rPr>
      </w:pPr>
      <w:r w:rsidRPr="005B7649">
        <w:rPr>
          <w:rFonts w:ascii="Times New Roman" w:hAnsi="Times New Roman"/>
          <w:b/>
          <w:noProof/>
          <w:sz w:val="24"/>
        </w:rPr>
        <w:t xml:space="preserve">MVPT gan pašreiz sniedz, gan turpmāk sniegs nozīmīgu kolektīvo ieguldījumu ES kopējo stratēģisko mērķu sasniegšanā, </w:t>
      </w:r>
      <w:r w:rsidRPr="005B7649">
        <w:rPr>
          <w:rFonts w:ascii="Times New Roman" w:hAnsi="Times New Roman"/>
          <w:noProof/>
          <w:sz w:val="24"/>
        </w:rPr>
        <w:t>jo īpaši attiecībā uz nodarbinātību, klimata pārmaiņām un energoresursu ilgtspējīgu izmantošanu, kā arī nabadzības un sociālās atstumtības izskaušanu.</w:t>
      </w:r>
    </w:p>
    <w:p w:rsidR="00DA238F" w:rsidRPr="005B7649" w:rsidRDefault="00DA238F" w:rsidP="00353FB0">
      <w:pPr>
        <w:pStyle w:val="ListParagraph"/>
        <w:tabs>
          <w:tab w:val="left" w:pos="567"/>
        </w:tabs>
        <w:ind w:left="567" w:hanging="567"/>
        <w:jc w:val="both"/>
        <w:rPr>
          <w:rFonts w:ascii="Times New Roman" w:eastAsia="Arial" w:hAnsi="Times New Roman" w:cs="Arial"/>
          <w:noProof/>
          <w:sz w:val="24"/>
          <w:szCs w:val="24"/>
        </w:rPr>
      </w:pPr>
    </w:p>
    <w:p w:rsidR="000027A0" w:rsidRPr="005B7649" w:rsidRDefault="000027A0" w:rsidP="00353FB0">
      <w:pPr>
        <w:pStyle w:val="BodyText"/>
        <w:numPr>
          <w:ilvl w:val="0"/>
          <w:numId w:val="2"/>
        </w:numPr>
        <w:tabs>
          <w:tab w:val="left" w:pos="567"/>
        </w:tabs>
        <w:spacing w:before="0"/>
        <w:ind w:left="567" w:hanging="567"/>
        <w:jc w:val="both"/>
        <w:rPr>
          <w:rFonts w:ascii="Times New Roman" w:hAnsi="Times New Roman"/>
          <w:noProof/>
        </w:rPr>
      </w:pPr>
      <w:r w:rsidRPr="005B7649">
        <w:rPr>
          <w:rFonts w:ascii="Times New Roman" w:hAnsi="Times New Roman"/>
          <w:b/>
        </w:rPr>
        <w:t xml:space="preserve">Daudzas MVPT saskaras ar vairākiem kopējiem izaicinājumiem, kas jārisina </w:t>
      </w:r>
      <w:r w:rsidRPr="005B7649">
        <w:rPr>
          <w:rFonts w:ascii="Times New Roman" w:hAnsi="Times New Roman"/>
        </w:rPr>
        <w:t>dažādos pārvaldības līmeņos, – iedzīvotāju skaita samazināšanos un novecošanu, jauniešu emigrāciju, zemu ekonomisko aktivitāti un vienveidību, augsti izglītota un kvalificēta darbaspēka trūkumu, darbavietu radīšanu, pakalpojumu sniegšanu un piekļuvi tiem, nepietiekamu savienojamību, piekļuves trūkumu finanšu resursiem un kapitāla ieguldījumiem, nepietiekamu administratīvo un tehnisko kapacitāti, pāreju uz alternatīvu enerģijas veidu izmantošanu un klimata pārmaiņām.</w:t>
      </w:r>
    </w:p>
    <w:p w:rsidR="00DA238F" w:rsidRPr="005B7649" w:rsidRDefault="00DA238F" w:rsidP="00353FB0">
      <w:pPr>
        <w:pStyle w:val="ListParagraph"/>
        <w:tabs>
          <w:tab w:val="left" w:pos="567"/>
        </w:tabs>
        <w:ind w:left="567" w:hanging="567"/>
        <w:jc w:val="both"/>
        <w:rPr>
          <w:rFonts w:ascii="Times New Roman" w:hAnsi="Times New Roman"/>
          <w:noProof/>
          <w:sz w:val="24"/>
        </w:rPr>
      </w:pPr>
    </w:p>
    <w:p w:rsidR="00DA238F" w:rsidRPr="005B7649" w:rsidRDefault="00DA238F" w:rsidP="00353FB0">
      <w:pPr>
        <w:pStyle w:val="BodyText"/>
        <w:tabs>
          <w:tab w:val="left" w:pos="567"/>
        </w:tabs>
        <w:spacing w:before="0"/>
        <w:ind w:left="567" w:hanging="567"/>
        <w:jc w:val="both"/>
        <w:rPr>
          <w:rFonts w:ascii="Times New Roman" w:hAnsi="Times New Roman"/>
          <w:noProof/>
        </w:rPr>
      </w:pPr>
    </w:p>
    <w:p w:rsidR="000027A0" w:rsidRPr="005B7649" w:rsidRDefault="000027A0" w:rsidP="00353FB0">
      <w:pPr>
        <w:pStyle w:val="BodyText"/>
        <w:numPr>
          <w:ilvl w:val="0"/>
          <w:numId w:val="2"/>
        </w:numPr>
        <w:tabs>
          <w:tab w:val="left" w:pos="567"/>
        </w:tabs>
        <w:spacing w:before="0"/>
        <w:ind w:left="567" w:hanging="567"/>
        <w:jc w:val="both"/>
        <w:rPr>
          <w:rFonts w:ascii="Times New Roman" w:hAnsi="Times New Roman"/>
          <w:noProof/>
        </w:rPr>
      </w:pPr>
      <w:r w:rsidRPr="005B7649">
        <w:rPr>
          <w:rFonts w:ascii="Times New Roman" w:hAnsi="Times New Roman"/>
          <w:b/>
          <w:noProof/>
        </w:rPr>
        <w:t>MVPT ir nozīmīgs attīstības</w:t>
      </w:r>
      <w:r w:rsidRPr="005B7649">
        <w:rPr>
          <w:rFonts w:ascii="Times New Roman" w:hAnsi="Times New Roman"/>
          <w:noProof/>
        </w:rPr>
        <w:t xml:space="preserve"> </w:t>
      </w:r>
      <w:r w:rsidRPr="005B7649">
        <w:rPr>
          <w:rFonts w:ascii="Times New Roman" w:hAnsi="Times New Roman"/>
          <w:b/>
          <w:noProof/>
        </w:rPr>
        <w:t>potenciāls, kas ir jāizmanto</w:t>
      </w:r>
      <w:r w:rsidRPr="005B7649">
        <w:rPr>
          <w:rFonts w:ascii="Times New Roman" w:hAnsi="Times New Roman"/>
          <w:noProof/>
        </w:rPr>
        <w:t>: lieliskas iespējas līdzsvarot ekonomisko aktivitāti un dzīves kvalitātes aspektus, lielāka elastība, lai mainītu attīstības orientāciju, un lielāka spēja ātri reaģēt uz politikas inovācijām un eksperimentiem.</w:t>
      </w:r>
    </w:p>
    <w:p w:rsidR="00DA238F" w:rsidRPr="005B7649" w:rsidRDefault="00DA238F" w:rsidP="00353FB0">
      <w:pPr>
        <w:pStyle w:val="BodyText"/>
        <w:tabs>
          <w:tab w:val="left" w:pos="567"/>
        </w:tabs>
        <w:spacing w:before="0"/>
        <w:ind w:left="567" w:hanging="567"/>
        <w:jc w:val="both"/>
        <w:rPr>
          <w:rFonts w:ascii="Times New Roman" w:hAnsi="Times New Roman"/>
          <w:noProof/>
        </w:rPr>
      </w:pPr>
    </w:p>
    <w:p w:rsidR="000027A0" w:rsidRPr="005B7649" w:rsidRDefault="000027A0" w:rsidP="00353FB0">
      <w:pPr>
        <w:pStyle w:val="BodyText"/>
        <w:numPr>
          <w:ilvl w:val="0"/>
          <w:numId w:val="2"/>
        </w:numPr>
        <w:tabs>
          <w:tab w:val="left" w:pos="567"/>
        </w:tabs>
        <w:spacing w:before="0"/>
        <w:ind w:left="567" w:hanging="567"/>
        <w:jc w:val="both"/>
        <w:rPr>
          <w:rFonts w:ascii="Times New Roman" w:hAnsi="Times New Roman"/>
          <w:noProof/>
        </w:rPr>
      </w:pPr>
      <w:r w:rsidRPr="005B7649">
        <w:rPr>
          <w:rFonts w:ascii="Times New Roman" w:hAnsi="Times New Roman"/>
          <w:b/>
          <w:noProof/>
        </w:rPr>
        <w:t>Lai attīstītu MVPT, ir īpaši svarīgi</w:t>
      </w:r>
      <w:r w:rsidRPr="005B7649">
        <w:rPr>
          <w:rFonts w:ascii="Times New Roman" w:hAnsi="Times New Roman"/>
          <w:noProof/>
        </w:rPr>
        <w:t xml:space="preserve"> veicināt ekonomisko aktivitāšu dažādošanu un gudru specializāciju; atrast risinājumus kvalitatīvu, pieejamu un izmaksu ziņā efektīvu valsts pakalpojumu sniegšanai; veicināt sadarbību starp pilsētām, pilsētām un lauku teritorijām, tostarp iekšējām teritorijām, kā arī pārrobežu sadarbību funkcionālajās teritorijās un kopumā uzlabot to pievilcīgumu. Šajā kontekstā stipra vietējo varas iestāžu kapacitāte un aktīva vietējās sabiedrības un ieinteresēto pušu iesaistīšana teritorijas attīstībā ir īpaši svarīga.</w:t>
      </w:r>
    </w:p>
    <w:p w:rsidR="00DA238F" w:rsidRPr="005B7649" w:rsidRDefault="00DA238F" w:rsidP="00353FB0">
      <w:pPr>
        <w:pStyle w:val="ListParagraph"/>
        <w:tabs>
          <w:tab w:val="left" w:pos="567"/>
        </w:tabs>
        <w:ind w:left="567" w:hanging="567"/>
        <w:jc w:val="both"/>
        <w:rPr>
          <w:rFonts w:ascii="Times New Roman" w:hAnsi="Times New Roman"/>
          <w:noProof/>
          <w:sz w:val="24"/>
        </w:rPr>
      </w:pPr>
    </w:p>
    <w:p w:rsidR="00DA238F" w:rsidRPr="005B7649" w:rsidRDefault="00DA238F" w:rsidP="00353FB0">
      <w:pPr>
        <w:pStyle w:val="BodyText"/>
        <w:tabs>
          <w:tab w:val="left" w:pos="567"/>
        </w:tabs>
        <w:spacing w:before="0"/>
        <w:ind w:left="567" w:hanging="567"/>
        <w:jc w:val="both"/>
        <w:rPr>
          <w:rFonts w:ascii="Times New Roman" w:hAnsi="Times New Roman"/>
          <w:noProof/>
        </w:rPr>
      </w:pPr>
    </w:p>
    <w:p w:rsidR="000027A0" w:rsidRPr="005B7649" w:rsidRDefault="000027A0" w:rsidP="00353FB0">
      <w:pPr>
        <w:numPr>
          <w:ilvl w:val="0"/>
          <w:numId w:val="2"/>
        </w:numPr>
        <w:tabs>
          <w:tab w:val="left" w:pos="567"/>
        </w:tabs>
        <w:ind w:left="567" w:hanging="567"/>
        <w:jc w:val="both"/>
        <w:rPr>
          <w:rFonts w:ascii="Times New Roman" w:eastAsia="Arial" w:hAnsi="Times New Roman" w:cs="Arial"/>
          <w:noProof/>
          <w:sz w:val="24"/>
          <w:szCs w:val="24"/>
        </w:rPr>
      </w:pPr>
      <w:r w:rsidRPr="005B7649">
        <w:rPr>
          <w:rFonts w:ascii="Times New Roman" w:hAnsi="Times New Roman"/>
          <w:b/>
          <w:noProof/>
          <w:sz w:val="24"/>
        </w:rPr>
        <w:t>Ir svarīgi nodrošināt teritoriālos atbalsta pasākumus</w:t>
      </w:r>
      <w:r w:rsidRPr="005B7649">
        <w:rPr>
          <w:rFonts w:ascii="Times New Roman" w:hAnsi="Times New Roman"/>
          <w:noProof/>
          <w:sz w:val="24"/>
        </w:rPr>
        <w:t xml:space="preserve">, kas ir visaptveroši un pietiekami elastīgi, lai jebkāda veida teritorijām – pilsētām, laukiem, kā arī teritorijām ar īpašām ģeogrāfiskām iezīmēm – </w:t>
      </w:r>
      <w:r w:rsidRPr="005B7649">
        <w:rPr>
          <w:rFonts w:ascii="Times New Roman" w:hAnsi="Times New Roman"/>
          <w:b/>
          <w:noProof/>
          <w:sz w:val="24"/>
        </w:rPr>
        <w:t>dotu iespēju</w:t>
      </w:r>
      <w:r w:rsidRPr="005B7649">
        <w:rPr>
          <w:rFonts w:ascii="Times New Roman" w:hAnsi="Times New Roman"/>
          <w:noProof/>
          <w:sz w:val="24"/>
        </w:rPr>
        <w:t xml:space="preserve"> </w:t>
      </w:r>
      <w:r w:rsidRPr="005B7649">
        <w:rPr>
          <w:rFonts w:ascii="Times New Roman" w:hAnsi="Times New Roman"/>
          <w:b/>
          <w:noProof/>
          <w:sz w:val="24"/>
        </w:rPr>
        <w:t>pilnīgi izmantot savu teritoriālo potenciālu.</w:t>
      </w:r>
    </w:p>
    <w:p w:rsidR="00DA238F" w:rsidRPr="005B7649" w:rsidRDefault="00DA238F" w:rsidP="00353FB0">
      <w:pPr>
        <w:tabs>
          <w:tab w:val="left" w:pos="567"/>
        </w:tabs>
        <w:ind w:left="567" w:hanging="567"/>
        <w:jc w:val="both"/>
        <w:rPr>
          <w:rFonts w:ascii="Times New Roman" w:eastAsia="Arial" w:hAnsi="Times New Roman" w:cs="Arial"/>
          <w:noProof/>
          <w:sz w:val="24"/>
          <w:szCs w:val="24"/>
        </w:rPr>
      </w:pPr>
    </w:p>
    <w:p w:rsidR="000027A0" w:rsidRPr="005B7649" w:rsidRDefault="000027A0" w:rsidP="00353FB0">
      <w:pPr>
        <w:numPr>
          <w:ilvl w:val="0"/>
          <w:numId w:val="2"/>
        </w:numPr>
        <w:tabs>
          <w:tab w:val="left" w:pos="567"/>
        </w:tabs>
        <w:ind w:left="567" w:hanging="567"/>
        <w:jc w:val="both"/>
        <w:rPr>
          <w:rFonts w:ascii="Times New Roman" w:eastAsia="Arial" w:hAnsi="Times New Roman" w:cs="Arial"/>
          <w:noProof/>
          <w:sz w:val="24"/>
          <w:szCs w:val="24"/>
        </w:rPr>
      </w:pPr>
      <w:r w:rsidRPr="005B7649">
        <w:rPr>
          <w:rFonts w:ascii="Times New Roman" w:hAnsi="Times New Roman"/>
          <w:noProof/>
          <w:sz w:val="24"/>
        </w:rPr>
        <w:t xml:space="preserve">MVPT un citu teritoriju savstarpējās atkarības un daudznozaru izaicinājumu dēļ </w:t>
      </w:r>
      <w:r w:rsidRPr="005B7649">
        <w:rPr>
          <w:rFonts w:ascii="Times New Roman" w:hAnsi="Times New Roman"/>
          <w:b/>
          <w:noProof/>
          <w:sz w:val="24"/>
        </w:rPr>
        <w:t>ir jānodrošina integrēti un konkrētai vietai pielāgoti atbalsta pasākumi</w:t>
      </w:r>
      <w:r w:rsidRPr="005B7649">
        <w:rPr>
          <w:rFonts w:ascii="Times New Roman" w:hAnsi="Times New Roman"/>
          <w:noProof/>
          <w:sz w:val="24"/>
        </w:rPr>
        <w:t>.</w:t>
      </w:r>
    </w:p>
    <w:p w:rsidR="00353FB0" w:rsidRDefault="00353FB0" w:rsidP="005B7649">
      <w:pPr>
        <w:jc w:val="both"/>
        <w:rPr>
          <w:rFonts w:ascii="Times New Roman" w:hAnsi="Times New Roman"/>
          <w:sz w:val="24"/>
        </w:rPr>
      </w:pPr>
    </w:p>
    <w:p w:rsidR="00353FB0" w:rsidRDefault="00353FB0" w:rsidP="005B7649">
      <w:pPr>
        <w:jc w:val="both"/>
        <w:rPr>
          <w:rFonts w:ascii="Times New Roman" w:hAnsi="Times New Roman"/>
          <w:sz w:val="24"/>
        </w:rPr>
      </w:pPr>
    </w:p>
    <w:p w:rsidR="00DA238F" w:rsidRPr="005B7649" w:rsidRDefault="00DA238F" w:rsidP="005B7649">
      <w:pPr>
        <w:jc w:val="both"/>
        <w:rPr>
          <w:rFonts w:ascii="Times New Roman" w:eastAsia="Arial" w:hAnsi="Times New Roman" w:cs="Arial"/>
          <w:noProof/>
          <w:sz w:val="24"/>
          <w:szCs w:val="20"/>
        </w:rPr>
      </w:pPr>
      <w:r w:rsidRPr="005B7649">
        <w:rPr>
          <w:rFonts w:ascii="Times New Roman" w:hAnsi="Times New Roman"/>
          <w:sz w:val="24"/>
        </w:rPr>
        <w:br w:type="page"/>
      </w:r>
    </w:p>
    <w:p w:rsidR="000027A0" w:rsidRPr="005B7649" w:rsidRDefault="000027A0" w:rsidP="005B7649">
      <w:pPr>
        <w:jc w:val="both"/>
        <w:rPr>
          <w:rFonts w:ascii="Times New Roman" w:hAnsi="Times New Roman"/>
          <w:b/>
          <w:i/>
          <w:noProof/>
          <w:sz w:val="24"/>
        </w:rPr>
      </w:pPr>
      <w:r w:rsidRPr="005B7649">
        <w:rPr>
          <w:rFonts w:ascii="Times New Roman" w:hAnsi="Times New Roman"/>
          <w:b/>
          <w:i/>
          <w:noProof/>
          <w:sz w:val="24"/>
        </w:rPr>
        <w:lastRenderedPageBreak/>
        <w:t>II pielikums</w:t>
      </w:r>
    </w:p>
    <w:p w:rsidR="00DA238F" w:rsidRPr="005B7649" w:rsidRDefault="00DA238F" w:rsidP="005B7649">
      <w:pPr>
        <w:jc w:val="both"/>
        <w:rPr>
          <w:rFonts w:ascii="Times New Roman" w:hAnsi="Times New Roman"/>
          <w:b/>
          <w:i/>
          <w:noProof/>
          <w:sz w:val="24"/>
        </w:rPr>
      </w:pPr>
    </w:p>
    <w:p w:rsidR="000027A0" w:rsidRPr="00353FB0" w:rsidRDefault="000027A0" w:rsidP="00353FB0">
      <w:pPr>
        <w:jc w:val="center"/>
        <w:rPr>
          <w:rFonts w:ascii="Times New Roman" w:hAnsi="Times New Roman"/>
          <w:b/>
          <w:noProof/>
          <w:sz w:val="28"/>
          <w:szCs w:val="28"/>
        </w:rPr>
      </w:pPr>
      <w:r w:rsidRPr="00353FB0">
        <w:rPr>
          <w:rFonts w:ascii="Times New Roman" w:hAnsi="Times New Roman"/>
          <w:b/>
          <w:noProof/>
          <w:sz w:val="28"/>
          <w:szCs w:val="28"/>
        </w:rPr>
        <w:t>Atsauces dokumentu saraksts</w:t>
      </w:r>
    </w:p>
    <w:p w:rsidR="00DA238F" w:rsidRPr="005B7649" w:rsidRDefault="00DA238F" w:rsidP="005B7649">
      <w:pPr>
        <w:jc w:val="both"/>
        <w:rPr>
          <w:rFonts w:ascii="Times New Roman" w:hAnsi="Times New Roman"/>
          <w:b/>
          <w:noProof/>
          <w:sz w:val="24"/>
        </w:rPr>
      </w:pPr>
    </w:p>
    <w:p w:rsidR="000027A0" w:rsidRPr="005B7649" w:rsidRDefault="000027A0" w:rsidP="00353FB0">
      <w:pPr>
        <w:pStyle w:val="BodyText"/>
        <w:spacing w:before="0"/>
        <w:ind w:left="0" w:firstLine="0"/>
        <w:jc w:val="center"/>
        <w:rPr>
          <w:rFonts w:ascii="Times New Roman" w:hAnsi="Times New Roman"/>
          <w:noProof/>
        </w:rPr>
      </w:pPr>
      <w:r w:rsidRPr="005B7649">
        <w:rPr>
          <w:rFonts w:ascii="Times New Roman" w:hAnsi="Times New Roman"/>
          <w:noProof/>
        </w:rPr>
        <w:t>(dokumenta iekļaušana šajā sarakstā nav jāuzskata par tā satura apstiprinājumu)</w:t>
      </w:r>
    </w:p>
    <w:p w:rsidR="000027A0" w:rsidRPr="005B7649" w:rsidRDefault="000027A0" w:rsidP="005B7649">
      <w:pPr>
        <w:jc w:val="both"/>
        <w:rPr>
          <w:rFonts w:ascii="Times New Roman" w:eastAsia="Arial" w:hAnsi="Times New Roman" w:cs="Arial"/>
          <w:noProof/>
          <w:sz w:val="24"/>
          <w:szCs w:val="24"/>
        </w:rPr>
      </w:pPr>
    </w:p>
    <w:p w:rsidR="000027A0" w:rsidRPr="005B7649" w:rsidRDefault="000027A0" w:rsidP="005B7649">
      <w:pPr>
        <w:jc w:val="both"/>
        <w:rPr>
          <w:rFonts w:ascii="Times New Roman" w:eastAsia="Arial" w:hAnsi="Times New Roman" w:cs="Arial"/>
          <w:noProof/>
          <w:sz w:val="24"/>
          <w:szCs w:val="20"/>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Komisijas 1997. gada 6. maija paziņojums “Pilsētvides attīstības plāns Eiropas Savienībā” (COM(1997)0197).</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Lilles rīcības programma, kas pieņemta par pilsētu jautājumiem atbildīgo ministru neformālajā padomē Lillē 2000. gada 3. novembrī.</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Politikas dokumentu kopumu par pilsētām (</w:t>
      </w:r>
      <w:r w:rsidRPr="005B7649">
        <w:rPr>
          <w:rFonts w:ascii="Times New Roman" w:hAnsi="Times New Roman"/>
          <w:i/>
          <w:noProof/>
        </w:rPr>
        <w:t>urban</w:t>
      </w:r>
      <w:r w:rsidRPr="005B7649">
        <w:rPr>
          <w:rFonts w:ascii="Times New Roman" w:hAnsi="Times New Roman"/>
          <w:noProof/>
        </w:rPr>
        <w:t xml:space="preserve"> </w:t>
      </w:r>
      <w:r w:rsidRPr="005B7649">
        <w:rPr>
          <w:rFonts w:ascii="Times New Roman" w:hAnsi="Times New Roman"/>
          <w:i/>
          <w:noProof/>
        </w:rPr>
        <w:t>acquis</w:t>
      </w:r>
      <w:r w:rsidRPr="005B7649">
        <w:rPr>
          <w:rFonts w:ascii="Times New Roman" w:hAnsi="Times New Roman"/>
          <w:noProof/>
        </w:rPr>
        <w:t>), kas pieņemti par teritoriālo kohēziju atbildīgo ministru neformālajā padomē Roterdamā 2004. gada 29. novembrī.</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Bristoles vienošanās, kas pieņemta neformālajā ministru padomē par ilgtspējīgām kopienām 2005. gada 6. un 7. decembrī Bristolē.</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Eiropas Savienības Teritoriālās attīstības programma “Ceļā uz konkurētspējīgāku un ilgtspējīgāku Eiropu ar daudzveidīgiem reģioniem”, pieņemta par telpisko plānošanu un pilsētu attīstību atbildīgo ministru neformālajā padomē 2007. gada 24. un 25. maijā Leipcigā.</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Leipcigas harta par ilgtspējīgām Eiropas pilsētām, kas pieņemta par pilsētu attīstību atbildīgo ministru padomes neformālajā sanāksmē 2007. gada 24. un 25. maijā Leipcigā.</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Komisijas 2008. gada 6. oktobra paziņojums Padomei, Eiropas Parlamentam, Reģionu komitejai un Eiropas Ekonomikas un sociālo lietu komitejai “Zaļā grāmata par teritoriālo kohēziju. Teritoriālās daudzveidības priekšrocību izmantošana” (COM(2008)0616).</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Marseļas deklarācija, kas pieņemta par pilsētu attīstību atbildīgo ministru neformālajā sanāksmē 2008. gada 25. novembrī.</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Eiropas Parlamenta 2009. gada 24. marta rezolūcija par Zaļo grāmatu par teritoriālo kohēziju un statusu debatēm par kohēzijas politikas nākotnes reformu (2008/2174(INI)); Eiropas Parlamenta 2009. gada 24. marta ziņojums par kohēzijas politikas pilsētu dimensiju jaunajā plānošanas periodā (2008/2130(INI)).</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Lisabonas līgums, ar ko groza Līgumu par Eiropas Savienību un Eiropas Kopienas dibināšanas līgumu, parakstīts Lisabonā 2007. gada 13. decembrī un stājies spēkā 2009. gada 1. decembrī.</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Reģionālās politikas ģenerāldirektorāta 2008. gada novembra darba dokuments “Veicinot pilsētu dimensiju – sākot ar 2008. gadu no Eiropas Reģionālās attīstības fonda līdzfinansēto darbības programmu (2007.–2013. gadam) analīze” [</w:t>
      </w:r>
      <w:r w:rsidRPr="005B7649">
        <w:rPr>
          <w:rFonts w:ascii="Times New Roman" w:hAnsi="Times New Roman"/>
          <w:i/>
          <w:noProof/>
        </w:rPr>
        <w:t>Fostering the urban dimension – Analysis of the Operational Programmes co-financed by the European Regional Development Fund (2007-2013)]</w:t>
      </w:r>
      <w:r w:rsidRPr="005B7649">
        <w:rPr>
          <w:rFonts w:ascii="Times New Roman" w:hAnsi="Times New Roman"/>
          <w:noProof/>
        </w:rPr>
        <w:t xml:space="preserve"> un Komisijas rokasgrāmata “Pilsētu </w:t>
      </w:r>
      <w:r w:rsidRPr="005B7649">
        <w:rPr>
          <w:rFonts w:ascii="Times New Roman" w:hAnsi="Times New Roman"/>
          <w:noProof/>
        </w:rPr>
        <w:lastRenderedPageBreak/>
        <w:t>dimensija Kopienas politikās laikposmā no 2007. līdz 2013. gadam”, atjaunināta 2009. gada decembrī.</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Stratēģija “Eiropa 2020”, ko 2010. gada 17. jūnijā apstiprināja Eiropadome pēc</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Komisijas 2010. gada 3. marta paziņojuma “Eiropa 2020. Stratēģija gudrai, ilgtspējīgai un integrējošai izaugsmei” (COM(2010)2020), un atjaunotā Eiropas Savienības ilgtspējīgas attīstības stratēģija, ko Eiropadome pieņēma 2006. gada 15. un 16. jūnijā.</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Toledo deklarācija, kas pieņemta par pilsētu attīstību atbildīgo ministru neformālajā padomē 2010. gada 22. jūnijā Toledo.</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Eiropas Savienības Teritoriālās attīstības programma 2020. gadam, kas apstiprināta par telpisko plānošanu un teritoriālo attīstību atbildīgo ministru neformālajā sanāksmē 2011. gada 19. maijā Gedellē.</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Eiropas Parlamenta 2011. gada 23. jūnija rezolūcija par Eiropas pilsētvides attīstības plānu un tā nākotni saistībā ar kohēzijas politiku.</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Komisijas ziņojums “Nākotnes pilsētas. Uzdevumi, redzējumi, turpmākā virzība”, 2011. gada oktobris.</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Ceļvedis jaunās Teritoriālās attīstības programmas īstenošanai tika pieņemts Polijas prezidentūras laikā 2011. gada novembrī.</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Eiropas Ekonomikas un sociālo lietu komitejas 2011. gada 21. septembra atzinums par tematu “Metropoļu teritoriju un pilsētreģionu iekļaušana stratēģijā “Eiropa 2020””.</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Prezidentūras secinājumi, kas pieņemti Teritoriālās kohēzijas / telpiskās attīstības un pilsētu attīstības ģenerāldirektoru neformālajā sanāksmē 2013. gada 21. novembrī Viļņā.</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Komisijas ziņojums “Nākotnes pilsētas. Ieguldījumi Eiropā”, Brisele, 2014. gada 17. un 18. februāris.</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Prezidentūras secinājumi, kas pieņemti par kohēzijas politiku atbildīgo ministru neformālajā sanāksmē 2014. gada 24. un 25. aprīlī Atēnās.</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Reģionu komitejas 2014. gada 25. jūnija atzinums “Ceļā uz integrētu ES pilsētvides politiku”.</w:t>
      </w:r>
    </w:p>
    <w:p w:rsidR="00DA238F" w:rsidRPr="005B7649" w:rsidRDefault="00DA238F" w:rsidP="00AD7742">
      <w:pPr>
        <w:pStyle w:val="BodyText"/>
        <w:tabs>
          <w:tab w:val="left" w:pos="567"/>
        </w:tabs>
        <w:spacing w:before="0"/>
        <w:ind w:left="567" w:hanging="567"/>
        <w:jc w:val="both"/>
        <w:rPr>
          <w:rFonts w:ascii="Times New Roman" w:hAnsi="Times New Roman"/>
          <w:noProof/>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Komisijas 2014. gada 18. jūlija paziņojums “ES rīcībpolitiku urbānā dimensija – ES pilsētprogrammas galvenie aspekti” (COM(2014)0490).</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Vispārējo lietu padomes secinājumi, 2014. gada novembris.</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Komisijas 2014. gada 16. decembra paziņojums “Komisijas 2015. gada darba programma” (COM(2014)0910).</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i/>
          <w:noProof/>
        </w:rPr>
        <w:t xml:space="preserve">EUROCITIES </w:t>
      </w:r>
      <w:r w:rsidRPr="005B7649">
        <w:rPr>
          <w:rFonts w:ascii="Times New Roman" w:hAnsi="Times New Roman"/>
          <w:noProof/>
        </w:rPr>
        <w:t>stratēģiskās pamatnostādnes 2014.–2020. gadam “Ceļā uz ES pilsētprogrammu”, 2014. gada decembris.</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Komisijas paziņojums Eiropas Parlamentam, Padomei, Eiropas Ekonomikas un sociālo lietu komitejai un Reģionu komitejai “Komisijas 2015. gada darba programma. Jauns sākums” (COM(2014)910).</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Eiropas Pašvaldību un reģionu padomes pirmais ieguldījums pilsētprogrammā, 2014. gada februāris.</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Eiropas Ekonomikas un sociālo lietu komitejas 2015. gada 23. aprīļa atzinums “Eiropas rīcībpolitiku urbānā dimensija – ES pilsētprogrammas galvenie aspekti”.</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Eiropas Savienības galvaspilsētu mēru Vīnes deklarācija “Spēcīga balss Eiropā”, 2015. gada 21. aprīlis.</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0027A0" w:rsidRPr="005B7649" w:rsidRDefault="000027A0" w:rsidP="00AD7742">
      <w:pPr>
        <w:pStyle w:val="BodyText"/>
        <w:numPr>
          <w:ilvl w:val="0"/>
          <w:numId w:val="1"/>
        </w:numPr>
        <w:tabs>
          <w:tab w:val="left" w:pos="567"/>
        </w:tabs>
        <w:spacing w:before="0"/>
        <w:ind w:left="567" w:hanging="567"/>
        <w:jc w:val="both"/>
        <w:rPr>
          <w:rFonts w:ascii="Times New Roman" w:hAnsi="Times New Roman"/>
          <w:noProof/>
        </w:rPr>
      </w:pPr>
      <w:r w:rsidRPr="005B7649">
        <w:rPr>
          <w:rFonts w:ascii="Times New Roman" w:hAnsi="Times New Roman"/>
          <w:noProof/>
        </w:rPr>
        <w:t>Eiropas Reģionu komitejas atzinums “Eiropas Savienības Teritoriālās attīstības programmas (2020) īstenošanas uzlabošana”, 2015. gada 17. aprīlis.</w:t>
      </w:r>
    </w:p>
    <w:p w:rsidR="00DA238F" w:rsidRPr="005B7649" w:rsidRDefault="00DA238F" w:rsidP="00AD7742">
      <w:pPr>
        <w:pStyle w:val="ListParagraph"/>
        <w:tabs>
          <w:tab w:val="left" w:pos="567"/>
        </w:tabs>
        <w:ind w:left="567" w:hanging="567"/>
        <w:jc w:val="both"/>
        <w:rPr>
          <w:rFonts w:ascii="Times New Roman" w:hAnsi="Times New Roman"/>
          <w:noProof/>
          <w:sz w:val="24"/>
        </w:rPr>
      </w:pPr>
    </w:p>
    <w:p w:rsidR="00DA238F" w:rsidRPr="005B7649" w:rsidRDefault="00DA238F" w:rsidP="00AD7742">
      <w:pPr>
        <w:pStyle w:val="BodyText"/>
        <w:tabs>
          <w:tab w:val="left" w:pos="567"/>
        </w:tabs>
        <w:spacing w:before="0"/>
        <w:ind w:left="567" w:hanging="567"/>
        <w:jc w:val="both"/>
        <w:rPr>
          <w:rFonts w:ascii="Times New Roman" w:hAnsi="Times New Roman"/>
          <w:noProof/>
        </w:rPr>
      </w:pPr>
    </w:p>
    <w:sectPr w:rsidR="00DA238F" w:rsidRPr="005B7649" w:rsidSect="005B7649">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99E" w:rsidRPr="000027A0" w:rsidRDefault="00DA238F">
      <w:pPr>
        <w:rPr>
          <w:noProof/>
        </w:rPr>
      </w:pPr>
      <w:r w:rsidRPr="000027A0">
        <w:rPr>
          <w:noProof/>
        </w:rPr>
        <w:separator/>
      </w:r>
    </w:p>
  </w:endnote>
  <w:endnote w:type="continuationSeparator" w:id="0">
    <w:p w:rsidR="00C6099E" w:rsidRPr="000027A0" w:rsidRDefault="00DA238F">
      <w:pPr>
        <w:rPr>
          <w:noProof/>
        </w:rPr>
      </w:pPr>
      <w:r w:rsidRPr="000027A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FB0" w:rsidRPr="0012244F" w:rsidRDefault="00353FB0" w:rsidP="00353FB0">
    <w:pPr>
      <w:pStyle w:val="Header"/>
      <w:tabs>
        <w:tab w:val="clear" w:pos="4153"/>
        <w:tab w:val="clear" w:pos="8306"/>
        <w:tab w:val="left" w:pos="9072"/>
      </w:tabs>
      <w:jc w:val="right"/>
      <w:rPr>
        <w:rStyle w:val="PageNumber"/>
        <w:rFonts w:ascii="Times New Roman" w:hAnsi="Times New Roman" w:cs="Times New Roman"/>
        <w:sz w:val="20"/>
        <w:szCs w:val="20"/>
      </w:rPr>
    </w:pPr>
  </w:p>
  <w:p w:rsidR="00353FB0" w:rsidRPr="0012244F" w:rsidRDefault="00353FB0" w:rsidP="00353FB0">
    <w:pPr>
      <w:pStyle w:val="Header"/>
      <w:tabs>
        <w:tab w:val="clear" w:pos="4153"/>
        <w:tab w:val="clear" w:pos="8306"/>
        <w:tab w:val="right" w:leader="underscore" w:pos="9072"/>
      </w:tabs>
      <w:rPr>
        <w:rStyle w:val="PageNumber"/>
        <w:rFonts w:ascii="Times New Roman" w:hAnsi="Times New Roman" w:cs="Times New Roman"/>
        <w:sz w:val="20"/>
        <w:szCs w:val="20"/>
      </w:rPr>
    </w:pPr>
    <w:r w:rsidRPr="0012244F">
      <w:rPr>
        <w:rStyle w:val="PageNumber"/>
        <w:rFonts w:ascii="Times New Roman" w:hAnsi="Times New Roman" w:cs="Times New Roman"/>
        <w:sz w:val="20"/>
        <w:szCs w:val="20"/>
      </w:rPr>
      <w:tab/>
    </w:r>
  </w:p>
  <w:p w:rsidR="00353FB0" w:rsidRPr="0012244F" w:rsidRDefault="00353FB0" w:rsidP="00353FB0">
    <w:pPr>
      <w:pStyle w:val="Header"/>
      <w:tabs>
        <w:tab w:val="clear" w:pos="4153"/>
        <w:tab w:val="clear" w:pos="8306"/>
        <w:tab w:val="right" w:pos="9072"/>
      </w:tabs>
      <w:rPr>
        <w:rStyle w:val="PageNumber"/>
        <w:rFonts w:ascii="Times New Roman" w:hAnsi="Times New Roman" w:cs="Times New Roman"/>
        <w:sz w:val="20"/>
        <w:szCs w:val="20"/>
      </w:rPr>
    </w:pPr>
  </w:p>
  <w:p w:rsidR="00353FB0" w:rsidRPr="0012244F" w:rsidRDefault="00353FB0" w:rsidP="00353FB0">
    <w:pPr>
      <w:pStyle w:val="Footer"/>
      <w:tabs>
        <w:tab w:val="clear" w:pos="4153"/>
        <w:tab w:val="clear" w:pos="8306"/>
        <w:tab w:val="right" w:pos="9072"/>
      </w:tabs>
      <w:rPr>
        <w:rFonts w:ascii="Times New Roman" w:hAnsi="Times New Roman" w:cs="Times New Roman"/>
        <w:sz w:val="20"/>
        <w:szCs w:val="20"/>
      </w:rPr>
    </w:pPr>
    <w:r w:rsidRPr="0012244F">
      <w:rPr>
        <w:rFonts w:ascii="Times New Roman" w:hAnsi="Times New Roman" w:cs="Times New Roman"/>
        <w:noProof/>
        <w:sz w:val="20"/>
        <w:szCs w:val="20"/>
      </w:rPr>
      <w:t xml:space="preserve">Tulkojums </w:t>
    </w:r>
    <w:r w:rsidRPr="0012244F">
      <w:rPr>
        <w:rFonts w:ascii="Times New Roman" w:hAnsi="Times New Roman" w:cs="Times New Roman"/>
        <w:noProof/>
        <w:sz w:val="20"/>
        <w:szCs w:val="20"/>
      </w:rPr>
      <w:fldChar w:fldCharType="begin"/>
    </w:r>
    <w:r w:rsidRPr="0012244F">
      <w:rPr>
        <w:rFonts w:ascii="Times New Roman" w:hAnsi="Times New Roman" w:cs="Times New Roman"/>
        <w:noProof/>
        <w:sz w:val="20"/>
        <w:szCs w:val="20"/>
      </w:rPr>
      <w:instrText>symbol 211 \f "Symbol" \s 9</w:instrText>
    </w:r>
    <w:r w:rsidRPr="0012244F">
      <w:rPr>
        <w:rFonts w:ascii="Times New Roman" w:hAnsi="Times New Roman" w:cs="Times New Roman"/>
        <w:noProof/>
        <w:sz w:val="20"/>
        <w:szCs w:val="20"/>
      </w:rPr>
      <w:fldChar w:fldCharType="separate"/>
    </w:r>
    <w:r w:rsidRPr="0012244F">
      <w:rPr>
        <w:rFonts w:ascii="Times New Roman" w:hAnsi="Times New Roman" w:cs="Times New Roman"/>
        <w:noProof/>
        <w:sz w:val="20"/>
        <w:szCs w:val="20"/>
      </w:rPr>
      <w:t>Ó</w:t>
    </w:r>
    <w:r w:rsidRPr="0012244F">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Valsts valodas centrs, 2016</w:t>
    </w:r>
    <w:r w:rsidRPr="0012244F">
      <w:rPr>
        <w:rFonts w:ascii="Times New Roman" w:hAnsi="Times New Roman" w:cs="Times New Roman"/>
        <w:sz w:val="20"/>
        <w:szCs w:val="20"/>
      </w:rPr>
      <w:tab/>
    </w:r>
    <w:r w:rsidRPr="0012244F">
      <w:rPr>
        <w:rStyle w:val="PageNumber"/>
        <w:rFonts w:ascii="Times New Roman" w:hAnsi="Times New Roman" w:cs="Times New Roman"/>
        <w:sz w:val="20"/>
        <w:szCs w:val="20"/>
      </w:rPr>
      <w:fldChar w:fldCharType="begin"/>
    </w:r>
    <w:r w:rsidRPr="0012244F">
      <w:rPr>
        <w:rStyle w:val="PageNumber"/>
        <w:rFonts w:ascii="Times New Roman" w:hAnsi="Times New Roman" w:cs="Times New Roman"/>
        <w:sz w:val="20"/>
        <w:szCs w:val="20"/>
      </w:rPr>
      <w:instrText xml:space="preserve">page </w:instrText>
    </w:r>
    <w:r w:rsidRPr="0012244F">
      <w:rPr>
        <w:rStyle w:val="PageNumber"/>
        <w:rFonts w:ascii="Times New Roman" w:hAnsi="Times New Roman" w:cs="Times New Roman"/>
        <w:sz w:val="20"/>
        <w:szCs w:val="20"/>
      </w:rPr>
      <w:fldChar w:fldCharType="separate"/>
    </w:r>
    <w:r w:rsidR="002F4B67">
      <w:rPr>
        <w:rStyle w:val="PageNumber"/>
        <w:rFonts w:ascii="Times New Roman" w:hAnsi="Times New Roman" w:cs="Times New Roman"/>
        <w:noProof/>
        <w:sz w:val="20"/>
        <w:szCs w:val="20"/>
      </w:rPr>
      <w:t>2</w:t>
    </w:r>
    <w:r w:rsidRPr="0012244F">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FB0" w:rsidRPr="0012244F" w:rsidRDefault="00353FB0" w:rsidP="00353FB0">
    <w:pPr>
      <w:pStyle w:val="Header"/>
      <w:tabs>
        <w:tab w:val="clear" w:pos="4153"/>
        <w:tab w:val="clear" w:pos="8306"/>
        <w:tab w:val="left" w:pos="9072"/>
      </w:tabs>
      <w:rPr>
        <w:rStyle w:val="PageNumber"/>
        <w:rFonts w:ascii="Times New Roman" w:hAnsi="Times New Roman"/>
        <w:sz w:val="20"/>
        <w:szCs w:val="20"/>
      </w:rPr>
    </w:pPr>
  </w:p>
  <w:p w:rsidR="00353FB0" w:rsidRPr="0012244F" w:rsidRDefault="00353FB0" w:rsidP="00353FB0">
    <w:pPr>
      <w:pStyle w:val="Header"/>
      <w:tabs>
        <w:tab w:val="clear" w:pos="4153"/>
        <w:tab w:val="clear" w:pos="8306"/>
        <w:tab w:val="left" w:leader="underscore" w:pos="9072"/>
      </w:tabs>
      <w:rPr>
        <w:rStyle w:val="PageNumber"/>
        <w:rFonts w:ascii="Times New Roman" w:hAnsi="Times New Roman"/>
        <w:sz w:val="20"/>
        <w:szCs w:val="20"/>
      </w:rPr>
    </w:pPr>
    <w:r w:rsidRPr="0012244F">
      <w:rPr>
        <w:rStyle w:val="PageNumber"/>
        <w:rFonts w:ascii="Times New Roman" w:hAnsi="Times New Roman"/>
        <w:sz w:val="20"/>
        <w:szCs w:val="20"/>
      </w:rPr>
      <w:tab/>
    </w:r>
  </w:p>
  <w:p w:rsidR="00353FB0" w:rsidRPr="0012244F" w:rsidRDefault="00353FB0" w:rsidP="00353FB0">
    <w:pPr>
      <w:pStyle w:val="Header"/>
      <w:tabs>
        <w:tab w:val="clear" w:pos="4153"/>
        <w:tab w:val="clear" w:pos="8306"/>
        <w:tab w:val="left" w:pos="9072"/>
      </w:tabs>
      <w:rPr>
        <w:rStyle w:val="PageNumber"/>
        <w:rFonts w:ascii="Times New Roman" w:hAnsi="Times New Roman"/>
        <w:sz w:val="20"/>
        <w:szCs w:val="20"/>
      </w:rPr>
    </w:pPr>
  </w:p>
  <w:p w:rsidR="00353FB0" w:rsidRPr="0012244F" w:rsidRDefault="00353FB0" w:rsidP="00353FB0">
    <w:pPr>
      <w:pStyle w:val="Footer"/>
      <w:rPr>
        <w:rFonts w:ascii="Times New Roman" w:hAnsi="Times New Roman"/>
        <w:sz w:val="20"/>
        <w:szCs w:val="20"/>
      </w:rPr>
    </w:pPr>
    <w:r w:rsidRPr="0012244F">
      <w:rPr>
        <w:rFonts w:ascii="Times New Roman" w:hAnsi="Times New Roman"/>
        <w:noProof/>
        <w:sz w:val="20"/>
        <w:szCs w:val="20"/>
      </w:rPr>
      <w:t xml:space="preserve">Tulkojums </w:t>
    </w:r>
    <w:r w:rsidRPr="0012244F">
      <w:rPr>
        <w:rFonts w:ascii="Times New Roman" w:hAnsi="Times New Roman"/>
        <w:noProof/>
        <w:sz w:val="20"/>
        <w:szCs w:val="20"/>
      </w:rPr>
      <w:fldChar w:fldCharType="begin"/>
    </w:r>
    <w:r w:rsidRPr="0012244F">
      <w:rPr>
        <w:rFonts w:ascii="Times New Roman" w:hAnsi="Times New Roman"/>
        <w:noProof/>
        <w:sz w:val="20"/>
        <w:szCs w:val="20"/>
      </w:rPr>
      <w:instrText>symbol 211 \f "Symbol" \s 9</w:instrText>
    </w:r>
    <w:r w:rsidRPr="0012244F">
      <w:rPr>
        <w:rFonts w:ascii="Times New Roman" w:hAnsi="Times New Roman"/>
        <w:noProof/>
        <w:sz w:val="20"/>
        <w:szCs w:val="20"/>
      </w:rPr>
      <w:fldChar w:fldCharType="separate"/>
    </w:r>
    <w:r w:rsidRPr="0012244F">
      <w:rPr>
        <w:rFonts w:ascii="Times New Roman" w:hAnsi="Times New Roman"/>
        <w:noProof/>
        <w:sz w:val="20"/>
        <w:szCs w:val="20"/>
      </w:rPr>
      <w:t>Ó</w:t>
    </w:r>
    <w:r w:rsidRPr="0012244F">
      <w:rPr>
        <w:rFonts w:ascii="Times New Roman" w:hAnsi="Times New Roman"/>
        <w:noProof/>
        <w:sz w:val="20"/>
        <w:szCs w:val="20"/>
      </w:rPr>
      <w:fldChar w:fldCharType="end"/>
    </w:r>
    <w:r>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99E" w:rsidRPr="000027A0" w:rsidRDefault="00DA238F">
      <w:pPr>
        <w:rPr>
          <w:noProof/>
        </w:rPr>
      </w:pPr>
      <w:r w:rsidRPr="000027A0">
        <w:rPr>
          <w:noProof/>
        </w:rPr>
        <w:separator/>
      </w:r>
    </w:p>
  </w:footnote>
  <w:footnote w:type="continuationSeparator" w:id="0">
    <w:p w:rsidR="00C6099E" w:rsidRPr="000027A0" w:rsidRDefault="00DA238F">
      <w:pPr>
        <w:rPr>
          <w:noProof/>
        </w:rPr>
      </w:pPr>
      <w:r w:rsidRPr="000027A0">
        <w:rPr>
          <w:noProof/>
        </w:rPr>
        <w:continuationSeparator/>
      </w:r>
    </w:p>
  </w:footnote>
  <w:footnote w:id="1">
    <w:p w:rsidR="00353FB0" w:rsidRPr="00353FB0" w:rsidRDefault="00353FB0">
      <w:pPr>
        <w:pStyle w:val="FootnoteText"/>
        <w:rPr>
          <w:rFonts w:ascii="Times New Roman" w:hAnsi="Times New Roman" w:cs="Times New Roman"/>
        </w:rPr>
      </w:pPr>
      <w:r w:rsidRPr="00353FB0">
        <w:rPr>
          <w:rStyle w:val="FootnoteReference"/>
          <w:rFonts w:ascii="Times New Roman" w:hAnsi="Times New Roman" w:cs="Times New Roman"/>
        </w:rPr>
        <w:footnoteRef/>
      </w:r>
      <w:r w:rsidRPr="00353FB0">
        <w:rPr>
          <w:rFonts w:ascii="Times New Roman" w:hAnsi="Times New Roman" w:cs="Times New Roman"/>
        </w:rPr>
        <w:t xml:space="preserve"> </w:t>
      </w:r>
      <w:r w:rsidRPr="00353FB0">
        <w:rPr>
          <w:rFonts w:ascii="Times New Roman" w:hAnsi="Times New Roman" w:cs="Times New Roman"/>
          <w:noProof/>
        </w:rPr>
        <w:t>Lai veicinātu diskusiju un nodrošinātu tai pietiekamus pierādījumus, Latvija ir izstrādājusi ziņojumu “Mazo un vidēji lielo pilsētu izaicinājumi, ekonomiskās attīstības potenciāls, ietekme uz kopējo teritoriālo attīstību Latvijas un Eiropas Savienības mērogā”. Pamatojoties uz ziņojumu, var izdarīt vairākus apsvērumus un secinājumus.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FB0" w:rsidRPr="0012244F" w:rsidRDefault="00353FB0" w:rsidP="00353FB0">
    <w:pPr>
      <w:pStyle w:val="Header"/>
      <w:tabs>
        <w:tab w:val="clear" w:pos="4153"/>
        <w:tab w:val="clear" w:pos="8306"/>
      </w:tabs>
      <w:rPr>
        <w:rStyle w:val="PageNumber"/>
        <w:rFonts w:ascii="Times New Roman" w:hAnsi="Times New Roman"/>
        <w:sz w:val="20"/>
        <w:szCs w:val="20"/>
      </w:rPr>
    </w:pPr>
  </w:p>
  <w:p w:rsidR="00353FB0" w:rsidRPr="0012244F" w:rsidRDefault="00353FB0" w:rsidP="00353FB0">
    <w:pPr>
      <w:pStyle w:val="Header"/>
      <w:tabs>
        <w:tab w:val="clear" w:pos="4153"/>
        <w:tab w:val="clear" w:pos="8306"/>
        <w:tab w:val="right" w:leader="underscore" w:pos="9072"/>
      </w:tabs>
      <w:rPr>
        <w:rStyle w:val="PageNumber"/>
        <w:rFonts w:ascii="Times New Roman" w:hAnsi="Times New Roman"/>
        <w:sz w:val="20"/>
        <w:szCs w:val="20"/>
      </w:rPr>
    </w:pPr>
    <w:r w:rsidRPr="0012244F">
      <w:rPr>
        <w:rStyle w:val="PageNumber"/>
        <w:rFonts w:ascii="Times New Roman" w:hAnsi="Times New Roman"/>
        <w:sz w:val="20"/>
        <w:szCs w:val="20"/>
      </w:rPr>
      <w:tab/>
    </w:r>
  </w:p>
  <w:p w:rsidR="00353FB0" w:rsidRPr="0012244F" w:rsidRDefault="00353FB0" w:rsidP="00353FB0">
    <w:pPr>
      <w:pStyle w:val="Head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FB0" w:rsidRPr="0012244F" w:rsidRDefault="00353FB0" w:rsidP="00353FB0">
    <w:pPr>
      <w:pBdr>
        <w:bottom w:val="single" w:sz="12" w:space="5" w:color="auto"/>
      </w:pBdr>
      <w:rPr>
        <w:rFonts w:ascii="Times New Roman" w:hAnsi="Times New Roman"/>
        <w:spacing w:val="-2"/>
        <w:sz w:val="20"/>
        <w:szCs w:val="20"/>
      </w:rPr>
    </w:pPr>
  </w:p>
  <w:p w:rsidR="00353FB0" w:rsidRPr="0012244F" w:rsidRDefault="00353FB0" w:rsidP="00353FB0">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91552"/>
    <w:multiLevelType w:val="multilevel"/>
    <w:tmpl w:val="131C9554"/>
    <w:lvl w:ilvl="0">
      <w:start w:val="1"/>
      <w:numFmt w:val="decimal"/>
      <w:lvlText w:val="%1."/>
      <w:lvlJc w:val="left"/>
      <w:pPr>
        <w:ind w:left="473" w:hanging="361"/>
      </w:pPr>
      <w:rPr>
        <w:rFonts w:ascii="Times New Roman" w:eastAsia="Arial" w:hAnsi="Times New Roman" w:cs="Times New Roman" w:hint="default"/>
        <w:sz w:val="24"/>
        <w:szCs w:val="24"/>
      </w:rPr>
    </w:lvl>
    <w:lvl w:ilvl="1">
      <w:start w:val="1"/>
      <w:numFmt w:val="decimal"/>
      <w:lvlText w:val="%1.%2."/>
      <w:lvlJc w:val="left"/>
      <w:pPr>
        <w:ind w:left="470" w:hanging="694"/>
      </w:pPr>
      <w:rPr>
        <w:rFonts w:ascii="Times New Roman" w:eastAsia="Arial" w:hAnsi="Times New Roman" w:cs="Times New Roman" w:hint="default"/>
        <w:sz w:val="24"/>
        <w:szCs w:val="24"/>
      </w:rPr>
    </w:lvl>
    <w:lvl w:ilvl="2">
      <w:start w:val="1"/>
      <w:numFmt w:val="bullet"/>
      <w:lvlText w:val="•"/>
      <w:lvlJc w:val="left"/>
      <w:pPr>
        <w:ind w:left="473" w:hanging="694"/>
      </w:pPr>
      <w:rPr>
        <w:rFonts w:hint="default"/>
      </w:rPr>
    </w:lvl>
    <w:lvl w:ilvl="3">
      <w:start w:val="1"/>
      <w:numFmt w:val="bullet"/>
      <w:lvlText w:val="•"/>
      <w:lvlJc w:val="left"/>
      <w:pPr>
        <w:ind w:left="1190" w:hanging="694"/>
      </w:pPr>
      <w:rPr>
        <w:rFonts w:hint="default"/>
      </w:rPr>
    </w:lvl>
    <w:lvl w:ilvl="4">
      <w:start w:val="1"/>
      <w:numFmt w:val="bullet"/>
      <w:lvlText w:val="•"/>
      <w:lvlJc w:val="left"/>
      <w:pPr>
        <w:ind w:left="2430" w:hanging="694"/>
      </w:pPr>
      <w:rPr>
        <w:rFonts w:hint="default"/>
      </w:rPr>
    </w:lvl>
    <w:lvl w:ilvl="5">
      <w:start w:val="1"/>
      <w:numFmt w:val="bullet"/>
      <w:lvlText w:val="•"/>
      <w:lvlJc w:val="left"/>
      <w:pPr>
        <w:ind w:left="3669" w:hanging="694"/>
      </w:pPr>
      <w:rPr>
        <w:rFonts w:hint="default"/>
      </w:rPr>
    </w:lvl>
    <w:lvl w:ilvl="6">
      <w:start w:val="1"/>
      <w:numFmt w:val="bullet"/>
      <w:lvlText w:val="•"/>
      <w:lvlJc w:val="left"/>
      <w:pPr>
        <w:ind w:left="4908" w:hanging="694"/>
      </w:pPr>
      <w:rPr>
        <w:rFonts w:hint="default"/>
      </w:rPr>
    </w:lvl>
    <w:lvl w:ilvl="7">
      <w:start w:val="1"/>
      <w:numFmt w:val="bullet"/>
      <w:lvlText w:val="•"/>
      <w:lvlJc w:val="left"/>
      <w:pPr>
        <w:ind w:left="6148" w:hanging="694"/>
      </w:pPr>
      <w:rPr>
        <w:rFonts w:hint="default"/>
      </w:rPr>
    </w:lvl>
    <w:lvl w:ilvl="8">
      <w:start w:val="1"/>
      <w:numFmt w:val="bullet"/>
      <w:lvlText w:val="•"/>
      <w:lvlJc w:val="left"/>
      <w:pPr>
        <w:ind w:left="7387" w:hanging="694"/>
      </w:pPr>
      <w:rPr>
        <w:rFonts w:hint="default"/>
      </w:rPr>
    </w:lvl>
  </w:abstractNum>
  <w:abstractNum w:abstractNumId="1">
    <w:nsid w:val="262626B4"/>
    <w:multiLevelType w:val="hybridMultilevel"/>
    <w:tmpl w:val="10F6F364"/>
    <w:lvl w:ilvl="0" w:tplc="E3D8896C">
      <w:start w:val="1"/>
      <w:numFmt w:val="bullet"/>
      <w:lvlText w:val=""/>
      <w:lvlJc w:val="left"/>
      <w:pPr>
        <w:ind w:left="473" w:hanging="360"/>
      </w:pPr>
      <w:rPr>
        <w:rFonts w:ascii="Symbol" w:eastAsia="Symbol" w:hAnsi="Symbol" w:hint="default"/>
        <w:sz w:val="24"/>
        <w:szCs w:val="24"/>
      </w:rPr>
    </w:lvl>
    <w:lvl w:ilvl="1" w:tplc="5A4A49D8">
      <w:start w:val="1"/>
      <w:numFmt w:val="bullet"/>
      <w:lvlText w:val="•"/>
      <w:lvlJc w:val="left"/>
      <w:pPr>
        <w:ind w:left="1376" w:hanging="360"/>
      </w:pPr>
      <w:rPr>
        <w:rFonts w:hint="default"/>
      </w:rPr>
    </w:lvl>
    <w:lvl w:ilvl="2" w:tplc="549C3B32">
      <w:start w:val="1"/>
      <w:numFmt w:val="bullet"/>
      <w:lvlText w:val="•"/>
      <w:lvlJc w:val="left"/>
      <w:pPr>
        <w:ind w:left="2279" w:hanging="360"/>
      </w:pPr>
      <w:rPr>
        <w:rFonts w:hint="default"/>
      </w:rPr>
    </w:lvl>
    <w:lvl w:ilvl="3" w:tplc="3946977E">
      <w:start w:val="1"/>
      <w:numFmt w:val="bullet"/>
      <w:lvlText w:val="•"/>
      <w:lvlJc w:val="left"/>
      <w:pPr>
        <w:ind w:left="3183" w:hanging="360"/>
      </w:pPr>
      <w:rPr>
        <w:rFonts w:hint="default"/>
      </w:rPr>
    </w:lvl>
    <w:lvl w:ilvl="4" w:tplc="3A08D578">
      <w:start w:val="1"/>
      <w:numFmt w:val="bullet"/>
      <w:lvlText w:val="•"/>
      <w:lvlJc w:val="left"/>
      <w:pPr>
        <w:ind w:left="4086" w:hanging="360"/>
      </w:pPr>
      <w:rPr>
        <w:rFonts w:hint="default"/>
      </w:rPr>
    </w:lvl>
    <w:lvl w:ilvl="5" w:tplc="02E44DE2">
      <w:start w:val="1"/>
      <w:numFmt w:val="bullet"/>
      <w:lvlText w:val="•"/>
      <w:lvlJc w:val="left"/>
      <w:pPr>
        <w:ind w:left="4989" w:hanging="360"/>
      </w:pPr>
      <w:rPr>
        <w:rFonts w:hint="default"/>
      </w:rPr>
    </w:lvl>
    <w:lvl w:ilvl="6" w:tplc="2F900592">
      <w:start w:val="1"/>
      <w:numFmt w:val="bullet"/>
      <w:lvlText w:val="•"/>
      <w:lvlJc w:val="left"/>
      <w:pPr>
        <w:ind w:left="5893" w:hanging="360"/>
      </w:pPr>
      <w:rPr>
        <w:rFonts w:hint="default"/>
      </w:rPr>
    </w:lvl>
    <w:lvl w:ilvl="7" w:tplc="146844B6">
      <w:start w:val="1"/>
      <w:numFmt w:val="bullet"/>
      <w:lvlText w:val="•"/>
      <w:lvlJc w:val="left"/>
      <w:pPr>
        <w:ind w:left="6796" w:hanging="360"/>
      </w:pPr>
      <w:rPr>
        <w:rFonts w:hint="default"/>
      </w:rPr>
    </w:lvl>
    <w:lvl w:ilvl="8" w:tplc="566251D4">
      <w:start w:val="1"/>
      <w:numFmt w:val="bullet"/>
      <w:lvlText w:val="•"/>
      <w:lvlJc w:val="left"/>
      <w:pPr>
        <w:ind w:left="7699" w:hanging="360"/>
      </w:pPr>
      <w:rPr>
        <w:rFonts w:hint="default"/>
      </w:rPr>
    </w:lvl>
  </w:abstractNum>
  <w:abstractNum w:abstractNumId="2">
    <w:nsid w:val="38BF25BD"/>
    <w:multiLevelType w:val="multilevel"/>
    <w:tmpl w:val="FFEEFA46"/>
    <w:lvl w:ilvl="0">
      <w:start w:val="19"/>
      <w:numFmt w:val="decimal"/>
      <w:lvlText w:val="%1"/>
      <w:lvlJc w:val="left"/>
      <w:pPr>
        <w:ind w:left="833" w:hanging="610"/>
      </w:pPr>
      <w:rPr>
        <w:rFonts w:hint="default"/>
      </w:rPr>
    </w:lvl>
    <w:lvl w:ilvl="1">
      <w:start w:val="2"/>
      <w:numFmt w:val="decimal"/>
      <w:lvlText w:val="%1.%2."/>
      <w:lvlJc w:val="left"/>
      <w:pPr>
        <w:ind w:left="833" w:hanging="610"/>
      </w:pPr>
      <w:rPr>
        <w:rFonts w:ascii="Times New Roman" w:eastAsia="Arial" w:hAnsi="Times New Roman" w:cs="Times New Roman" w:hint="default"/>
        <w:sz w:val="24"/>
        <w:szCs w:val="24"/>
      </w:rPr>
    </w:lvl>
    <w:lvl w:ilvl="2">
      <w:start w:val="1"/>
      <w:numFmt w:val="bullet"/>
      <w:lvlText w:val="•"/>
      <w:lvlJc w:val="left"/>
      <w:pPr>
        <w:ind w:left="2639" w:hanging="610"/>
      </w:pPr>
      <w:rPr>
        <w:rFonts w:hint="default"/>
      </w:rPr>
    </w:lvl>
    <w:lvl w:ilvl="3">
      <w:start w:val="1"/>
      <w:numFmt w:val="bullet"/>
      <w:lvlText w:val="•"/>
      <w:lvlJc w:val="left"/>
      <w:pPr>
        <w:ind w:left="3543" w:hanging="610"/>
      </w:pPr>
      <w:rPr>
        <w:rFonts w:hint="default"/>
      </w:rPr>
    </w:lvl>
    <w:lvl w:ilvl="4">
      <w:start w:val="1"/>
      <w:numFmt w:val="bullet"/>
      <w:lvlText w:val="•"/>
      <w:lvlJc w:val="left"/>
      <w:pPr>
        <w:ind w:left="4446" w:hanging="610"/>
      </w:pPr>
      <w:rPr>
        <w:rFonts w:hint="default"/>
      </w:rPr>
    </w:lvl>
    <w:lvl w:ilvl="5">
      <w:start w:val="1"/>
      <w:numFmt w:val="bullet"/>
      <w:lvlText w:val="•"/>
      <w:lvlJc w:val="left"/>
      <w:pPr>
        <w:ind w:left="5349" w:hanging="610"/>
      </w:pPr>
      <w:rPr>
        <w:rFonts w:hint="default"/>
      </w:rPr>
    </w:lvl>
    <w:lvl w:ilvl="6">
      <w:start w:val="1"/>
      <w:numFmt w:val="bullet"/>
      <w:lvlText w:val="•"/>
      <w:lvlJc w:val="left"/>
      <w:pPr>
        <w:ind w:left="6253" w:hanging="610"/>
      </w:pPr>
      <w:rPr>
        <w:rFonts w:hint="default"/>
      </w:rPr>
    </w:lvl>
    <w:lvl w:ilvl="7">
      <w:start w:val="1"/>
      <w:numFmt w:val="bullet"/>
      <w:lvlText w:val="•"/>
      <w:lvlJc w:val="left"/>
      <w:pPr>
        <w:ind w:left="7156" w:hanging="610"/>
      </w:pPr>
      <w:rPr>
        <w:rFonts w:hint="default"/>
      </w:rPr>
    </w:lvl>
    <w:lvl w:ilvl="8">
      <w:start w:val="1"/>
      <w:numFmt w:val="bullet"/>
      <w:lvlText w:val="•"/>
      <w:lvlJc w:val="left"/>
      <w:pPr>
        <w:ind w:left="8059" w:hanging="610"/>
      </w:pPr>
      <w:rPr>
        <w:rFonts w:hint="default"/>
      </w:rPr>
    </w:lvl>
  </w:abstractNum>
  <w:abstractNum w:abstractNumId="3">
    <w:nsid w:val="60CA7CCE"/>
    <w:multiLevelType w:val="hybridMultilevel"/>
    <w:tmpl w:val="AD2637BA"/>
    <w:lvl w:ilvl="0" w:tplc="5288A236">
      <w:start w:val="1"/>
      <w:numFmt w:val="decimal"/>
      <w:lvlText w:val="%1."/>
      <w:lvlJc w:val="left"/>
      <w:pPr>
        <w:ind w:left="473" w:hanging="361"/>
      </w:pPr>
      <w:rPr>
        <w:rFonts w:ascii="Times New Roman" w:eastAsia="Arial" w:hAnsi="Times New Roman" w:cs="Times New Roman" w:hint="default"/>
        <w:sz w:val="24"/>
        <w:szCs w:val="24"/>
      </w:rPr>
    </w:lvl>
    <w:lvl w:ilvl="1" w:tplc="686A2D76">
      <w:start w:val="1"/>
      <w:numFmt w:val="bullet"/>
      <w:lvlText w:val="•"/>
      <w:lvlJc w:val="left"/>
      <w:pPr>
        <w:ind w:left="1412" w:hanging="361"/>
      </w:pPr>
      <w:rPr>
        <w:rFonts w:hint="default"/>
      </w:rPr>
    </w:lvl>
    <w:lvl w:ilvl="2" w:tplc="7A881A30">
      <w:start w:val="1"/>
      <w:numFmt w:val="bullet"/>
      <w:lvlText w:val="•"/>
      <w:lvlJc w:val="left"/>
      <w:pPr>
        <w:ind w:left="2351" w:hanging="361"/>
      </w:pPr>
      <w:rPr>
        <w:rFonts w:hint="default"/>
      </w:rPr>
    </w:lvl>
    <w:lvl w:ilvl="3" w:tplc="EAF42C08">
      <w:start w:val="1"/>
      <w:numFmt w:val="bullet"/>
      <w:lvlText w:val="•"/>
      <w:lvlJc w:val="left"/>
      <w:pPr>
        <w:ind w:left="3291" w:hanging="361"/>
      </w:pPr>
      <w:rPr>
        <w:rFonts w:hint="default"/>
      </w:rPr>
    </w:lvl>
    <w:lvl w:ilvl="4" w:tplc="8C306E4A">
      <w:start w:val="1"/>
      <w:numFmt w:val="bullet"/>
      <w:lvlText w:val="•"/>
      <w:lvlJc w:val="left"/>
      <w:pPr>
        <w:ind w:left="4230" w:hanging="361"/>
      </w:pPr>
      <w:rPr>
        <w:rFonts w:hint="default"/>
      </w:rPr>
    </w:lvl>
    <w:lvl w:ilvl="5" w:tplc="7F2C5004">
      <w:start w:val="1"/>
      <w:numFmt w:val="bullet"/>
      <w:lvlText w:val="•"/>
      <w:lvlJc w:val="left"/>
      <w:pPr>
        <w:ind w:left="5169" w:hanging="361"/>
      </w:pPr>
      <w:rPr>
        <w:rFonts w:hint="default"/>
      </w:rPr>
    </w:lvl>
    <w:lvl w:ilvl="6" w:tplc="3880DCA8">
      <w:start w:val="1"/>
      <w:numFmt w:val="bullet"/>
      <w:lvlText w:val="•"/>
      <w:lvlJc w:val="left"/>
      <w:pPr>
        <w:ind w:left="6109" w:hanging="361"/>
      </w:pPr>
      <w:rPr>
        <w:rFonts w:hint="default"/>
      </w:rPr>
    </w:lvl>
    <w:lvl w:ilvl="7" w:tplc="96DC14C8">
      <w:start w:val="1"/>
      <w:numFmt w:val="bullet"/>
      <w:lvlText w:val="•"/>
      <w:lvlJc w:val="left"/>
      <w:pPr>
        <w:ind w:left="7048" w:hanging="361"/>
      </w:pPr>
      <w:rPr>
        <w:rFonts w:hint="default"/>
      </w:rPr>
    </w:lvl>
    <w:lvl w:ilvl="8" w:tplc="7DC45DBC">
      <w:start w:val="1"/>
      <w:numFmt w:val="bullet"/>
      <w:lvlText w:val="•"/>
      <w:lvlJc w:val="left"/>
      <w:pPr>
        <w:ind w:left="7987" w:hanging="361"/>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592607"/>
    <w:rsid w:val="000027A0"/>
    <w:rsid w:val="002F4B67"/>
    <w:rsid w:val="00353FB0"/>
    <w:rsid w:val="00422762"/>
    <w:rsid w:val="00592607"/>
    <w:rsid w:val="005B7649"/>
    <w:rsid w:val="00AD7742"/>
    <w:rsid w:val="00C6099E"/>
    <w:rsid w:val="00DA23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7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73"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027A0"/>
    <w:pPr>
      <w:tabs>
        <w:tab w:val="center" w:pos="4153"/>
        <w:tab w:val="right" w:pos="8306"/>
      </w:tabs>
    </w:pPr>
  </w:style>
  <w:style w:type="character" w:customStyle="1" w:styleId="HeaderChar">
    <w:name w:val="Header Char"/>
    <w:basedOn w:val="DefaultParagraphFont"/>
    <w:link w:val="Header"/>
    <w:uiPriority w:val="99"/>
    <w:rsid w:val="000027A0"/>
  </w:style>
  <w:style w:type="paragraph" w:styleId="Footer">
    <w:name w:val="footer"/>
    <w:basedOn w:val="Normal"/>
    <w:link w:val="FooterChar"/>
    <w:unhideWhenUsed/>
    <w:rsid w:val="000027A0"/>
    <w:pPr>
      <w:tabs>
        <w:tab w:val="center" w:pos="4153"/>
        <w:tab w:val="right" w:pos="8306"/>
      </w:tabs>
    </w:pPr>
  </w:style>
  <w:style w:type="character" w:customStyle="1" w:styleId="FooterChar">
    <w:name w:val="Footer Char"/>
    <w:basedOn w:val="DefaultParagraphFont"/>
    <w:link w:val="Footer"/>
    <w:uiPriority w:val="99"/>
    <w:rsid w:val="000027A0"/>
  </w:style>
  <w:style w:type="table" w:styleId="TableGrid">
    <w:name w:val="Table Grid"/>
    <w:basedOn w:val="TableNormal"/>
    <w:uiPriority w:val="39"/>
    <w:rsid w:val="004227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353FB0"/>
  </w:style>
  <w:style w:type="paragraph" w:styleId="FootnoteText">
    <w:name w:val="footnote text"/>
    <w:basedOn w:val="Normal"/>
    <w:link w:val="FootnoteTextChar"/>
    <w:uiPriority w:val="99"/>
    <w:semiHidden/>
    <w:unhideWhenUsed/>
    <w:rsid w:val="00353FB0"/>
    <w:rPr>
      <w:sz w:val="20"/>
      <w:szCs w:val="20"/>
    </w:rPr>
  </w:style>
  <w:style w:type="character" w:customStyle="1" w:styleId="FootnoteTextChar">
    <w:name w:val="Footnote Text Char"/>
    <w:basedOn w:val="DefaultParagraphFont"/>
    <w:link w:val="FootnoteText"/>
    <w:uiPriority w:val="99"/>
    <w:semiHidden/>
    <w:rsid w:val="00353FB0"/>
    <w:rPr>
      <w:sz w:val="20"/>
      <w:szCs w:val="20"/>
    </w:rPr>
  </w:style>
  <w:style w:type="character" w:styleId="FootnoteReference">
    <w:name w:val="footnote reference"/>
    <w:basedOn w:val="DefaultParagraphFont"/>
    <w:uiPriority w:val="99"/>
    <w:semiHidden/>
    <w:unhideWhenUsed/>
    <w:rsid w:val="00353F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205F8-D929-43CF-87FB-65F2301F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13808</Words>
  <Characters>7872</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2016-01-25T14:16:00Z</dcterms:created>
  <dcterms:modified xsi:type="dcterms:W3CDTF">2016-07-04T12:09:00Z</dcterms:modified>
</cp:coreProperties>
</file>