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4DE" w:rsidRPr="00AD657E" w:rsidRDefault="005A54DE" w:rsidP="00AD657E">
      <w:pPr>
        <w:jc w:val="center"/>
        <w:rPr>
          <w:rFonts w:ascii="Times New Roman" w:hAnsi="Times New Roman"/>
          <w:noProof/>
        </w:rPr>
      </w:pPr>
      <w:r w:rsidRPr="00AD657E">
        <w:rPr>
          <w:rFonts w:ascii="Times New Roman" w:hAnsi="Times New Roman"/>
          <w:noProof/>
          <w:lang w:bidi="ar-SA"/>
        </w:rPr>
        <w:drawing>
          <wp:inline distT="0" distB="0" distL="0" distR="0" wp14:anchorId="5EE9D239" wp14:editId="4B32C09A">
            <wp:extent cx="2962275" cy="1219200"/>
            <wp:effectExtent l="0" t="0" r="9525" b="0"/>
            <wp:docPr id="2" name="Picture 2"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5A54DE" w:rsidRPr="00AD657E" w:rsidRDefault="005A54DE" w:rsidP="00F50B23">
      <w:pPr>
        <w:jc w:val="center"/>
        <w:rPr>
          <w:rFonts w:ascii="Times New Roman" w:hAnsi="Times New Roman"/>
          <w:noProof/>
        </w:rPr>
      </w:pPr>
    </w:p>
    <w:p w:rsidR="00AE317D" w:rsidRPr="00AD657E" w:rsidRDefault="00AE317D" w:rsidP="00F50B23">
      <w:pPr>
        <w:jc w:val="center"/>
        <w:rPr>
          <w:rFonts w:ascii="Times New Roman" w:hAnsi="Times New Roman"/>
          <w:noProof/>
        </w:rPr>
      </w:pPr>
      <w:r w:rsidRPr="00AD657E">
        <w:rPr>
          <w:rFonts w:ascii="Times New Roman" w:hAnsi="Times New Roman"/>
          <w:noProof/>
        </w:rPr>
        <w:t>EIROPAS CILVĒKTIESĪBU TIESA</w:t>
      </w:r>
    </w:p>
    <w:p w:rsidR="00AE317D" w:rsidRDefault="00AE317D" w:rsidP="00F50B23">
      <w:pPr>
        <w:jc w:val="center"/>
        <w:rPr>
          <w:rFonts w:ascii="Times New Roman" w:hAnsi="Times New Roman"/>
          <w:caps/>
          <w:noProof/>
        </w:rPr>
      </w:pPr>
    </w:p>
    <w:p w:rsidR="00F50B23" w:rsidRDefault="00F50B23" w:rsidP="00F50B23">
      <w:pPr>
        <w:jc w:val="center"/>
        <w:rPr>
          <w:rFonts w:ascii="Times New Roman" w:hAnsi="Times New Roman"/>
          <w:caps/>
          <w:noProof/>
        </w:rPr>
      </w:pPr>
    </w:p>
    <w:p w:rsidR="00F50B23" w:rsidRPr="00AD657E" w:rsidRDefault="00F50B23" w:rsidP="00F50B23">
      <w:pPr>
        <w:jc w:val="center"/>
        <w:rPr>
          <w:rFonts w:ascii="Times New Roman" w:hAnsi="Times New Roman"/>
          <w:noProof/>
        </w:rPr>
      </w:pPr>
    </w:p>
    <w:p w:rsidR="005A54DE" w:rsidRPr="00AD657E" w:rsidRDefault="005A54DE" w:rsidP="00F50B23">
      <w:pPr>
        <w:jc w:val="center"/>
        <w:rPr>
          <w:rFonts w:ascii="Times New Roman" w:hAnsi="Times New Roman"/>
          <w:noProof/>
        </w:rPr>
      </w:pPr>
      <w:r w:rsidRPr="00AD657E">
        <w:rPr>
          <w:rFonts w:ascii="Times New Roman" w:hAnsi="Times New Roman"/>
          <w:noProof/>
        </w:rPr>
        <w:t>PIEKTĀ NODAĻA</w:t>
      </w:r>
    </w:p>
    <w:p w:rsidR="005A54DE" w:rsidRDefault="005A54DE" w:rsidP="00F50B23">
      <w:pPr>
        <w:jc w:val="center"/>
        <w:rPr>
          <w:rFonts w:ascii="Times New Roman" w:hAnsi="Times New Roman"/>
          <w:noProof/>
        </w:rPr>
      </w:pPr>
    </w:p>
    <w:p w:rsidR="00F50B23" w:rsidRDefault="00F50B23" w:rsidP="00F50B23">
      <w:pPr>
        <w:jc w:val="center"/>
        <w:rPr>
          <w:rFonts w:ascii="Times New Roman" w:hAnsi="Times New Roman"/>
          <w:noProof/>
        </w:rPr>
      </w:pPr>
    </w:p>
    <w:p w:rsidR="00F50B23" w:rsidRDefault="00F50B23" w:rsidP="00F50B23">
      <w:pPr>
        <w:jc w:val="center"/>
        <w:rPr>
          <w:rFonts w:ascii="Times New Roman" w:hAnsi="Times New Roman"/>
          <w:noProof/>
        </w:rPr>
      </w:pPr>
    </w:p>
    <w:p w:rsidR="00F50B23" w:rsidRDefault="00F50B23" w:rsidP="00F50B23">
      <w:pPr>
        <w:jc w:val="center"/>
        <w:rPr>
          <w:rFonts w:ascii="Times New Roman" w:hAnsi="Times New Roman"/>
          <w:noProof/>
        </w:rPr>
      </w:pPr>
    </w:p>
    <w:p w:rsidR="00F50B23" w:rsidRDefault="00F50B23" w:rsidP="00F50B23">
      <w:pPr>
        <w:jc w:val="center"/>
        <w:rPr>
          <w:rFonts w:ascii="Times New Roman" w:hAnsi="Times New Roman"/>
          <w:noProof/>
        </w:rPr>
      </w:pPr>
    </w:p>
    <w:p w:rsidR="00F50B23" w:rsidRDefault="00F50B23" w:rsidP="00F50B23">
      <w:pPr>
        <w:jc w:val="center"/>
        <w:rPr>
          <w:rFonts w:ascii="Times New Roman" w:hAnsi="Times New Roman"/>
          <w:noProof/>
        </w:rPr>
      </w:pPr>
    </w:p>
    <w:p w:rsidR="00F50B23" w:rsidRPr="00AD657E" w:rsidRDefault="00F50B23" w:rsidP="00F50B23">
      <w:pPr>
        <w:jc w:val="center"/>
        <w:rPr>
          <w:rFonts w:ascii="Times New Roman" w:hAnsi="Times New Roman"/>
          <w:noProof/>
        </w:rPr>
      </w:pPr>
    </w:p>
    <w:p w:rsidR="005A54DE" w:rsidRPr="00AD657E" w:rsidRDefault="005A54DE" w:rsidP="00F50B23">
      <w:pPr>
        <w:jc w:val="center"/>
        <w:rPr>
          <w:rFonts w:ascii="Times New Roman" w:hAnsi="Times New Roman"/>
          <w:b/>
          <w:noProof/>
        </w:rPr>
      </w:pPr>
      <w:bookmarkStart w:id="0" w:name="To"/>
      <w:r w:rsidRPr="00AD657E">
        <w:rPr>
          <w:rFonts w:ascii="Times New Roman" w:hAnsi="Times New Roman"/>
          <w:b/>
          <w:noProof/>
        </w:rPr>
        <w:t xml:space="preserve">LIETA </w:t>
      </w:r>
      <w:bookmarkEnd w:id="0"/>
      <w:r w:rsidRPr="00AD657E">
        <w:rPr>
          <w:rFonts w:ascii="Times New Roman" w:hAnsi="Times New Roman"/>
          <w:b/>
          <w:noProof/>
        </w:rPr>
        <w:t>“ŠAPĒNS UN ŠARPENTJĒ pret FRANCIJU” (</w:t>
      </w:r>
      <w:r w:rsidRPr="00AD657E">
        <w:rPr>
          <w:rFonts w:ascii="Times New Roman" w:hAnsi="Times New Roman"/>
          <w:b/>
          <w:i/>
          <w:noProof/>
        </w:rPr>
        <w:t>Chapin et Charpentier c. France</w:t>
      </w:r>
      <w:r w:rsidRPr="00AD657E">
        <w:rPr>
          <w:rFonts w:ascii="Times New Roman" w:hAnsi="Times New Roman"/>
          <w:b/>
          <w:noProof/>
        </w:rPr>
        <w:t>)</w:t>
      </w:r>
    </w:p>
    <w:p w:rsidR="005A54DE" w:rsidRPr="00AD657E" w:rsidRDefault="005A54DE" w:rsidP="00F50B23">
      <w:pPr>
        <w:jc w:val="center"/>
        <w:rPr>
          <w:rFonts w:ascii="Times New Roman" w:hAnsi="Times New Roman"/>
          <w:noProof/>
        </w:rPr>
      </w:pPr>
    </w:p>
    <w:p w:rsidR="005A54DE" w:rsidRPr="00AD657E" w:rsidRDefault="005A54DE" w:rsidP="00F50B23">
      <w:pPr>
        <w:jc w:val="center"/>
        <w:rPr>
          <w:rFonts w:ascii="Times New Roman" w:hAnsi="Times New Roman"/>
          <w:noProof/>
        </w:rPr>
      </w:pPr>
      <w:r w:rsidRPr="00AD657E">
        <w:rPr>
          <w:rFonts w:ascii="Times New Roman" w:hAnsi="Times New Roman"/>
          <w:i/>
          <w:noProof/>
        </w:rPr>
        <w:t>(Pieteikums Nr. 40183/07)</w:t>
      </w:r>
    </w:p>
    <w:p w:rsidR="005A54DE" w:rsidRDefault="005A54DE" w:rsidP="00F50B23">
      <w:pPr>
        <w:jc w:val="center"/>
        <w:rPr>
          <w:rFonts w:ascii="Times New Roman" w:hAnsi="Times New Roman"/>
          <w:noProof/>
        </w:rPr>
      </w:pPr>
    </w:p>
    <w:p w:rsidR="00F50B23" w:rsidRDefault="00F50B23" w:rsidP="00F50B23">
      <w:pPr>
        <w:jc w:val="center"/>
        <w:rPr>
          <w:rFonts w:ascii="Times New Roman" w:hAnsi="Times New Roman"/>
          <w:noProof/>
        </w:rPr>
      </w:pPr>
    </w:p>
    <w:p w:rsidR="00F50B23" w:rsidRDefault="00F50B23" w:rsidP="00F50B23">
      <w:pPr>
        <w:jc w:val="center"/>
        <w:rPr>
          <w:rFonts w:ascii="Times New Roman" w:hAnsi="Times New Roman"/>
          <w:noProof/>
        </w:rPr>
      </w:pPr>
    </w:p>
    <w:p w:rsidR="00F50B23" w:rsidRDefault="00F50B23" w:rsidP="00F50B23">
      <w:pPr>
        <w:jc w:val="center"/>
        <w:rPr>
          <w:rFonts w:ascii="Times New Roman" w:hAnsi="Times New Roman"/>
          <w:noProof/>
        </w:rPr>
      </w:pPr>
    </w:p>
    <w:p w:rsidR="00F50B23" w:rsidRDefault="00F50B23" w:rsidP="00F50B23">
      <w:pPr>
        <w:jc w:val="center"/>
        <w:rPr>
          <w:rFonts w:ascii="Times New Roman" w:hAnsi="Times New Roman"/>
          <w:noProof/>
        </w:rPr>
      </w:pPr>
    </w:p>
    <w:p w:rsidR="00F50B23" w:rsidRDefault="00F50B23" w:rsidP="00F50B23">
      <w:pPr>
        <w:jc w:val="center"/>
        <w:rPr>
          <w:rFonts w:ascii="Times New Roman" w:hAnsi="Times New Roman"/>
          <w:noProof/>
        </w:rPr>
      </w:pPr>
    </w:p>
    <w:p w:rsidR="00F50B23" w:rsidRDefault="00F50B23" w:rsidP="00F50B23">
      <w:pPr>
        <w:jc w:val="center"/>
        <w:rPr>
          <w:rFonts w:ascii="Times New Roman" w:hAnsi="Times New Roman"/>
          <w:noProof/>
        </w:rPr>
      </w:pPr>
    </w:p>
    <w:p w:rsidR="00F50B23" w:rsidRDefault="00F50B23" w:rsidP="00F50B23">
      <w:pPr>
        <w:jc w:val="center"/>
        <w:rPr>
          <w:rFonts w:ascii="Times New Roman" w:hAnsi="Times New Roman"/>
          <w:noProof/>
        </w:rPr>
      </w:pPr>
    </w:p>
    <w:p w:rsidR="00F50B23" w:rsidRPr="00AD657E" w:rsidRDefault="00F50B23" w:rsidP="00F50B23">
      <w:pPr>
        <w:jc w:val="center"/>
        <w:rPr>
          <w:rFonts w:ascii="Times New Roman" w:hAnsi="Times New Roman"/>
          <w:noProof/>
        </w:rPr>
      </w:pPr>
    </w:p>
    <w:p w:rsidR="005A54DE" w:rsidRPr="00AD657E" w:rsidRDefault="005A54DE" w:rsidP="00F50B23">
      <w:pPr>
        <w:jc w:val="center"/>
        <w:rPr>
          <w:rFonts w:ascii="Times New Roman" w:hAnsi="Times New Roman"/>
          <w:noProof/>
        </w:rPr>
      </w:pPr>
      <w:r w:rsidRPr="00AD657E">
        <w:rPr>
          <w:rFonts w:ascii="Times New Roman" w:hAnsi="Times New Roman"/>
          <w:noProof/>
        </w:rPr>
        <w:t>SPRIEDUMS</w:t>
      </w:r>
    </w:p>
    <w:p w:rsidR="005A54DE" w:rsidRPr="00AD657E" w:rsidRDefault="005A54DE" w:rsidP="00F50B23">
      <w:pPr>
        <w:jc w:val="center"/>
        <w:rPr>
          <w:rFonts w:ascii="Times New Roman" w:hAnsi="Times New Roman"/>
          <w:i/>
          <w:noProof/>
        </w:rPr>
      </w:pPr>
    </w:p>
    <w:p w:rsidR="005A54DE" w:rsidRPr="00AD657E" w:rsidRDefault="005A54DE" w:rsidP="00F50B23">
      <w:pPr>
        <w:jc w:val="center"/>
        <w:rPr>
          <w:rFonts w:ascii="Times New Roman" w:hAnsi="Times New Roman"/>
          <w:noProof/>
        </w:rPr>
      </w:pPr>
      <w:r w:rsidRPr="00AD657E">
        <w:rPr>
          <w:rFonts w:ascii="Times New Roman" w:hAnsi="Times New Roman"/>
          <w:noProof/>
        </w:rPr>
        <w:t>STRASBŪRA</w:t>
      </w:r>
    </w:p>
    <w:p w:rsidR="005A54DE" w:rsidRPr="00AD657E" w:rsidRDefault="005A54DE" w:rsidP="00F50B23">
      <w:pPr>
        <w:jc w:val="center"/>
        <w:rPr>
          <w:rFonts w:ascii="Times New Roman" w:hAnsi="Times New Roman"/>
          <w:i/>
          <w:noProof/>
        </w:rPr>
      </w:pPr>
    </w:p>
    <w:p w:rsidR="005A54DE" w:rsidRPr="00AD657E" w:rsidRDefault="005A54DE" w:rsidP="00F50B23">
      <w:pPr>
        <w:jc w:val="center"/>
        <w:rPr>
          <w:rFonts w:ascii="Times New Roman" w:hAnsi="Times New Roman"/>
          <w:noProof/>
        </w:rPr>
      </w:pPr>
      <w:r w:rsidRPr="00AD657E">
        <w:rPr>
          <w:rFonts w:ascii="Times New Roman" w:hAnsi="Times New Roman"/>
          <w:noProof/>
        </w:rPr>
        <w:t>2016. gada 9. jūnijs</w:t>
      </w:r>
    </w:p>
    <w:p w:rsidR="005A54DE" w:rsidRDefault="005A54DE" w:rsidP="00F50B23">
      <w:pPr>
        <w:jc w:val="center"/>
        <w:rPr>
          <w:rFonts w:ascii="Times New Roman" w:hAnsi="Times New Roman"/>
          <w:i/>
          <w:noProof/>
        </w:rPr>
      </w:pPr>
    </w:p>
    <w:p w:rsidR="00F50B23" w:rsidRDefault="00F50B23" w:rsidP="00F50B23">
      <w:pPr>
        <w:jc w:val="center"/>
        <w:rPr>
          <w:rFonts w:ascii="Times New Roman" w:hAnsi="Times New Roman"/>
          <w:i/>
          <w:noProof/>
        </w:rPr>
      </w:pPr>
    </w:p>
    <w:p w:rsidR="00F50B23" w:rsidRPr="00AD657E" w:rsidRDefault="00F50B23" w:rsidP="00F50B23">
      <w:pPr>
        <w:jc w:val="center"/>
        <w:rPr>
          <w:rFonts w:ascii="Times New Roman" w:hAnsi="Times New Roman"/>
          <w:i/>
          <w:noProof/>
        </w:rPr>
      </w:pPr>
    </w:p>
    <w:p w:rsidR="005A54DE" w:rsidRDefault="005A54DE" w:rsidP="00F50B23">
      <w:pPr>
        <w:jc w:val="center"/>
        <w:rPr>
          <w:rFonts w:ascii="Times New Roman" w:hAnsi="Times New Roman"/>
          <w:i/>
          <w:noProof/>
        </w:rPr>
      </w:pPr>
      <w:r w:rsidRPr="00AD657E">
        <w:rPr>
          <w:rFonts w:ascii="Times New Roman" w:hAnsi="Times New Roman"/>
          <w:i/>
          <w:noProof/>
        </w:rPr>
        <w:t>Šis spriedums ir kļuvis galīgs saskaņā ar Konvencijas 44. panta 2. punktu. Tajā var tikt veikti redakcionāli labojumi.</w:t>
      </w:r>
    </w:p>
    <w:p w:rsidR="00F50B23" w:rsidRDefault="00F50B23" w:rsidP="00F50B23">
      <w:pPr>
        <w:jc w:val="center"/>
        <w:rPr>
          <w:rFonts w:ascii="Times New Roman" w:hAnsi="Times New Roman"/>
          <w:i/>
          <w:noProof/>
        </w:rPr>
      </w:pPr>
    </w:p>
    <w:p w:rsidR="00F50B23" w:rsidRDefault="00F50B23" w:rsidP="00F50B23">
      <w:pPr>
        <w:jc w:val="center"/>
        <w:rPr>
          <w:rFonts w:ascii="Times New Roman" w:hAnsi="Times New Roman"/>
          <w:i/>
          <w:noProof/>
        </w:rPr>
      </w:pPr>
    </w:p>
    <w:p w:rsidR="00F50B23" w:rsidRDefault="00F50B23" w:rsidP="00F50B23">
      <w:pPr>
        <w:jc w:val="center"/>
        <w:rPr>
          <w:rFonts w:ascii="Times New Roman" w:hAnsi="Times New Roman"/>
          <w:i/>
          <w:noProof/>
        </w:rPr>
      </w:pPr>
    </w:p>
    <w:p w:rsidR="00F50B23" w:rsidRDefault="00F50B23" w:rsidP="00F50B23">
      <w:pPr>
        <w:jc w:val="center"/>
        <w:rPr>
          <w:rFonts w:ascii="Times New Roman" w:hAnsi="Times New Roman"/>
          <w:i/>
          <w:noProof/>
        </w:rPr>
      </w:pPr>
    </w:p>
    <w:p w:rsidR="00F50B23" w:rsidRPr="00AD657E" w:rsidRDefault="00F50B23" w:rsidP="00F50B23">
      <w:pPr>
        <w:jc w:val="center"/>
        <w:rPr>
          <w:rFonts w:ascii="Times New Roman" w:hAnsi="Times New Roman"/>
          <w:i/>
          <w:noProof/>
        </w:rPr>
      </w:pPr>
      <w:r>
        <w:rPr>
          <w:noProof/>
        </w:rPr>
        <w:drawing>
          <wp:inline distT="0" distB="0" distL="0" distR="0" wp14:anchorId="5E2A9A44" wp14:editId="236D1306">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AE317D" w:rsidRPr="00AD657E" w:rsidRDefault="00AE317D" w:rsidP="00AD657E">
      <w:pPr>
        <w:rPr>
          <w:rFonts w:ascii="Times New Roman" w:hAnsi="Times New Roman"/>
          <w:noProof/>
        </w:rPr>
      </w:pPr>
      <w:r w:rsidRPr="00AD657E">
        <w:rPr>
          <w:rFonts w:ascii="Times New Roman" w:hAnsi="Times New Roman"/>
        </w:rPr>
        <w:br w:type="page"/>
      </w:r>
    </w:p>
    <w:p w:rsidR="005A54DE" w:rsidRPr="00AD657E" w:rsidRDefault="005A54DE" w:rsidP="00AD657E">
      <w:pPr>
        <w:pStyle w:val="JuParaLast"/>
        <w:keepNext w:val="0"/>
        <w:keepLines w:val="0"/>
        <w:spacing w:before="0"/>
        <w:ind w:firstLine="0"/>
        <w:rPr>
          <w:rFonts w:ascii="Times New Roman" w:hAnsi="Times New Roman"/>
          <w:noProof/>
        </w:rPr>
      </w:pPr>
    </w:p>
    <w:p w:rsidR="005A54DE" w:rsidRPr="00AD657E" w:rsidRDefault="005A54DE" w:rsidP="00AD657E">
      <w:pPr>
        <w:pStyle w:val="JuParaLast"/>
        <w:keepNext w:val="0"/>
        <w:keepLines w:val="0"/>
        <w:spacing w:before="0"/>
        <w:rPr>
          <w:rFonts w:ascii="Times New Roman" w:hAnsi="Times New Roman"/>
          <w:noProof/>
        </w:rPr>
      </w:pPr>
      <w:r w:rsidRPr="00AD657E">
        <w:rPr>
          <w:rFonts w:ascii="Times New Roman" w:hAnsi="Times New Roman"/>
          <w:b/>
          <w:noProof/>
        </w:rPr>
        <w:t>Lietā “Šapēns un Šarpentjē pret Franciju”</w:t>
      </w:r>
      <w:r w:rsidRPr="00AD657E">
        <w:rPr>
          <w:rFonts w:ascii="Times New Roman" w:hAnsi="Times New Roman"/>
          <w:noProof/>
        </w:rPr>
        <w:t>,</w:t>
      </w:r>
    </w:p>
    <w:p w:rsidR="005A54DE" w:rsidRPr="00AD657E" w:rsidRDefault="005A54DE" w:rsidP="00AD657E">
      <w:pPr>
        <w:pStyle w:val="ECHRPara"/>
        <w:rPr>
          <w:rFonts w:ascii="Times New Roman" w:hAnsi="Times New Roman"/>
          <w:noProof/>
        </w:rPr>
      </w:pPr>
      <w:r w:rsidRPr="00AD657E">
        <w:rPr>
          <w:rFonts w:ascii="Times New Roman" w:hAnsi="Times New Roman"/>
          <w:noProof/>
        </w:rPr>
        <w:t>Eiropas Cilvēktiesību tiesa (Piektā nodaļa), sanākusi kā palāta šādā sastāvā:</w:t>
      </w:r>
    </w:p>
    <w:p w:rsidR="00AE317D" w:rsidRPr="00AD657E" w:rsidRDefault="005A54DE" w:rsidP="00AD657E">
      <w:pPr>
        <w:pStyle w:val="ECHRDecisionBody"/>
        <w:jc w:val="both"/>
        <w:rPr>
          <w:rFonts w:ascii="Times New Roman" w:hAnsi="Times New Roman"/>
          <w:i/>
          <w:noProof/>
        </w:rPr>
      </w:pPr>
      <w:r w:rsidRPr="00AD657E">
        <w:rPr>
          <w:rFonts w:ascii="Times New Roman" w:hAnsi="Times New Roman"/>
        </w:rPr>
        <w:tab/>
      </w:r>
      <w:r w:rsidRPr="00AD657E">
        <w:rPr>
          <w:rFonts w:ascii="Times New Roman" w:hAnsi="Times New Roman"/>
          <w:noProof/>
        </w:rPr>
        <w:t>Angelika Nusbergere [</w:t>
      </w:r>
      <w:r w:rsidRPr="00AD657E">
        <w:rPr>
          <w:rFonts w:ascii="Times New Roman" w:hAnsi="Times New Roman"/>
          <w:i/>
          <w:noProof/>
        </w:rPr>
        <w:t>Angelika Nußberger</w:t>
      </w:r>
      <w:r w:rsidRPr="00AD657E">
        <w:rPr>
          <w:rFonts w:ascii="Times New Roman" w:hAnsi="Times New Roman"/>
          <w:noProof/>
        </w:rPr>
        <w:t xml:space="preserve">], </w:t>
      </w:r>
      <w:r w:rsidRPr="00AD657E">
        <w:rPr>
          <w:rFonts w:ascii="Times New Roman" w:hAnsi="Times New Roman"/>
          <w:i/>
          <w:noProof/>
        </w:rPr>
        <w:t>priekšsēdētāja,</w:t>
      </w:r>
    </w:p>
    <w:p w:rsidR="00AE317D" w:rsidRPr="00AD657E" w:rsidRDefault="005A54DE" w:rsidP="00AD657E">
      <w:pPr>
        <w:pStyle w:val="ECHRDecisionBody"/>
        <w:jc w:val="both"/>
        <w:rPr>
          <w:rFonts w:ascii="Times New Roman" w:hAnsi="Times New Roman"/>
          <w:i/>
          <w:noProof/>
        </w:rPr>
      </w:pPr>
      <w:r w:rsidRPr="00AD657E">
        <w:rPr>
          <w:rFonts w:ascii="Times New Roman" w:hAnsi="Times New Roman"/>
        </w:rPr>
        <w:tab/>
      </w:r>
      <w:r w:rsidRPr="00AD657E">
        <w:rPr>
          <w:rFonts w:ascii="Times New Roman" w:hAnsi="Times New Roman"/>
          <w:noProof/>
        </w:rPr>
        <w:t>Hanlars Hadžijevs [</w:t>
      </w:r>
      <w:r w:rsidRPr="00AD657E">
        <w:rPr>
          <w:rFonts w:ascii="Times New Roman" w:hAnsi="Times New Roman"/>
          <w:i/>
          <w:noProof/>
        </w:rPr>
        <w:t>Khanlar Hajiyev</w:t>
      </w:r>
      <w:r w:rsidRPr="00AD657E">
        <w:rPr>
          <w:rFonts w:ascii="Times New Roman" w:hAnsi="Times New Roman"/>
          <w:noProof/>
        </w:rPr>
        <w:t>],</w:t>
      </w:r>
    </w:p>
    <w:p w:rsidR="00AE317D" w:rsidRPr="00AD657E" w:rsidRDefault="005A54DE" w:rsidP="00AD657E">
      <w:pPr>
        <w:pStyle w:val="ECHRDecisionBody"/>
        <w:jc w:val="both"/>
        <w:rPr>
          <w:rFonts w:ascii="Times New Roman" w:hAnsi="Times New Roman"/>
          <w:i/>
          <w:noProof/>
        </w:rPr>
      </w:pPr>
      <w:r w:rsidRPr="00AD657E">
        <w:rPr>
          <w:rFonts w:ascii="Times New Roman" w:hAnsi="Times New Roman"/>
        </w:rPr>
        <w:tab/>
      </w:r>
      <w:r w:rsidRPr="00AD657E">
        <w:rPr>
          <w:rFonts w:ascii="Times New Roman" w:hAnsi="Times New Roman"/>
          <w:noProof/>
        </w:rPr>
        <w:t>Ēriks Mēse [</w:t>
      </w:r>
      <w:r w:rsidRPr="00AD657E">
        <w:rPr>
          <w:rFonts w:ascii="Times New Roman" w:hAnsi="Times New Roman"/>
          <w:i/>
          <w:noProof/>
        </w:rPr>
        <w:t>Erik Møse</w:t>
      </w:r>
      <w:r w:rsidRPr="00AD657E">
        <w:rPr>
          <w:rFonts w:ascii="Times New Roman" w:hAnsi="Times New Roman"/>
          <w:noProof/>
        </w:rPr>
        <w:t>],</w:t>
      </w:r>
    </w:p>
    <w:p w:rsidR="00AE317D" w:rsidRPr="00AD657E" w:rsidRDefault="005A54DE" w:rsidP="00AD657E">
      <w:pPr>
        <w:pStyle w:val="ECHRDecisionBody"/>
        <w:jc w:val="both"/>
        <w:rPr>
          <w:rFonts w:ascii="Times New Roman" w:hAnsi="Times New Roman"/>
          <w:i/>
          <w:noProof/>
        </w:rPr>
      </w:pPr>
      <w:r w:rsidRPr="00AD657E">
        <w:rPr>
          <w:rFonts w:ascii="Times New Roman" w:hAnsi="Times New Roman"/>
        </w:rPr>
        <w:tab/>
      </w:r>
      <w:r w:rsidRPr="00AD657E">
        <w:rPr>
          <w:rFonts w:ascii="Times New Roman" w:hAnsi="Times New Roman"/>
          <w:noProof/>
        </w:rPr>
        <w:t>Andrē Potokī [</w:t>
      </w:r>
      <w:r w:rsidRPr="00AD657E">
        <w:rPr>
          <w:rFonts w:ascii="Times New Roman" w:hAnsi="Times New Roman"/>
          <w:i/>
          <w:noProof/>
        </w:rPr>
        <w:t>André Potocki</w:t>
      </w:r>
      <w:r w:rsidRPr="00AD657E">
        <w:rPr>
          <w:rFonts w:ascii="Times New Roman" w:hAnsi="Times New Roman"/>
          <w:noProof/>
        </w:rPr>
        <w:t>],</w:t>
      </w:r>
    </w:p>
    <w:p w:rsidR="00AE317D" w:rsidRPr="00AD657E" w:rsidRDefault="005A54DE" w:rsidP="00AD657E">
      <w:pPr>
        <w:pStyle w:val="ECHRDecisionBody"/>
        <w:jc w:val="both"/>
        <w:rPr>
          <w:rFonts w:ascii="Times New Roman" w:hAnsi="Times New Roman"/>
          <w:i/>
          <w:noProof/>
        </w:rPr>
      </w:pPr>
      <w:r w:rsidRPr="00AD657E">
        <w:rPr>
          <w:rFonts w:ascii="Times New Roman" w:hAnsi="Times New Roman"/>
        </w:rPr>
        <w:tab/>
      </w:r>
      <w:r w:rsidRPr="00AD657E">
        <w:rPr>
          <w:rFonts w:ascii="Times New Roman" w:hAnsi="Times New Roman"/>
          <w:noProof/>
        </w:rPr>
        <w:t>Fariss Vehabovičs [</w:t>
      </w:r>
      <w:r w:rsidRPr="00AD657E">
        <w:rPr>
          <w:rFonts w:ascii="Times New Roman" w:hAnsi="Times New Roman"/>
          <w:i/>
          <w:noProof/>
        </w:rPr>
        <w:t>Faris Vehabović</w:t>
      </w:r>
      <w:r w:rsidRPr="00AD657E">
        <w:rPr>
          <w:rFonts w:ascii="Times New Roman" w:hAnsi="Times New Roman"/>
          <w:noProof/>
        </w:rPr>
        <w:t>],</w:t>
      </w:r>
    </w:p>
    <w:p w:rsidR="00AE317D" w:rsidRPr="00AD657E" w:rsidRDefault="005A54DE" w:rsidP="00AD657E">
      <w:pPr>
        <w:pStyle w:val="ECHRDecisionBody"/>
        <w:jc w:val="both"/>
        <w:rPr>
          <w:rFonts w:ascii="Times New Roman" w:hAnsi="Times New Roman"/>
          <w:i/>
          <w:noProof/>
        </w:rPr>
      </w:pPr>
      <w:r w:rsidRPr="00AD657E">
        <w:rPr>
          <w:rFonts w:ascii="Times New Roman" w:hAnsi="Times New Roman"/>
        </w:rPr>
        <w:tab/>
      </w:r>
      <w:r w:rsidRPr="00AD657E">
        <w:rPr>
          <w:rFonts w:ascii="Times New Roman" w:hAnsi="Times New Roman"/>
          <w:noProof/>
        </w:rPr>
        <w:t>Siofra Olīrija [</w:t>
      </w:r>
      <w:r w:rsidRPr="00AD657E">
        <w:rPr>
          <w:rFonts w:ascii="Times New Roman" w:hAnsi="Times New Roman"/>
          <w:i/>
          <w:noProof/>
        </w:rPr>
        <w:t>Síofra O’Leary</w:t>
      </w:r>
      <w:r w:rsidRPr="00AD657E">
        <w:rPr>
          <w:rFonts w:ascii="Times New Roman" w:hAnsi="Times New Roman"/>
          <w:noProof/>
        </w:rPr>
        <w:t>],</w:t>
      </w:r>
    </w:p>
    <w:p w:rsidR="00AE317D" w:rsidRPr="00AD657E" w:rsidRDefault="005A54DE" w:rsidP="00AD657E">
      <w:pPr>
        <w:pStyle w:val="ECHRDecisionBody"/>
        <w:jc w:val="both"/>
        <w:rPr>
          <w:rFonts w:ascii="Times New Roman" w:hAnsi="Times New Roman"/>
          <w:noProof/>
        </w:rPr>
      </w:pPr>
      <w:r w:rsidRPr="00AD657E">
        <w:rPr>
          <w:rFonts w:ascii="Times New Roman" w:hAnsi="Times New Roman"/>
        </w:rPr>
        <w:tab/>
      </w:r>
      <w:r w:rsidRPr="00AD657E">
        <w:rPr>
          <w:rFonts w:ascii="Times New Roman" w:hAnsi="Times New Roman"/>
          <w:noProof/>
        </w:rPr>
        <w:t xml:space="preserve">Mārtiņš Mits, </w:t>
      </w:r>
      <w:r w:rsidRPr="00AD657E">
        <w:rPr>
          <w:rFonts w:ascii="Times New Roman" w:hAnsi="Times New Roman"/>
          <w:i/>
          <w:noProof/>
        </w:rPr>
        <w:t>tiesneši,</w:t>
      </w:r>
    </w:p>
    <w:p w:rsidR="005A54DE" w:rsidRPr="00AD657E" w:rsidRDefault="005A54DE" w:rsidP="00AD657E">
      <w:pPr>
        <w:pStyle w:val="ECHRDecisionBody"/>
        <w:jc w:val="both"/>
        <w:rPr>
          <w:rFonts w:ascii="Times New Roman" w:hAnsi="Times New Roman"/>
          <w:noProof/>
        </w:rPr>
      </w:pPr>
      <w:r w:rsidRPr="00AD657E">
        <w:rPr>
          <w:rFonts w:ascii="Times New Roman" w:hAnsi="Times New Roman"/>
          <w:noProof/>
        </w:rPr>
        <w:t>un Klaudija Vesterdīka [</w:t>
      </w:r>
      <w:r w:rsidRPr="00AD657E">
        <w:rPr>
          <w:rFonts w:ascii="Times New Roman" w:hAnsi="Times New Roman"/>
          <w:i/>
          <w:noProof/>
        </w:rPr>
        <w:t>Claudia Westerdiek</w:t>
      </w:r>
      <w:r w:rsidRPr="00AD657E">
        <w:rPr>
          <w:rFonts w:ascii="Times New Roman" w:hAnsi="Times New Roman"/>
          <w:noProof/>
        </w:rPr>
        <w:t xml:space="preserve">], </w:t>
      </w:r>
      <w:r w:rsidRPr="00AD657E">
        <w:rPr>
          <w:rFonts w:ascii="Times New Roman" w:hAnsi="Times New Roman"/>
          <w:i/>
          <w:noProof/>
        </w:rPr>
        <w:t>nodaļas sekretāre,</w:t>
      </w:r>
    </w:p>
    <w:p w:rsidR="005A54DE" w:rsidRPr="00AD657E" w:rsidRDefault="005A54DE" w:rsidP="00AD657E">
      <w:pPr>
        <w:pStyle w:val="ECHRPara"/>
        <w:rPr>
          <w:rFonts w:ascii="Times New Roman" w:hAnsi="Times New Roman"/>
          <w:noProof/>
        </w:rPr>
      </w:pPr>
      <w:r w:rsidRPr="00AD657E">
        <w:rPr>
          <w:rFonts w:ascii="Times New Roman" w:hAnsi="Times New Roman"/>
          <w:noProof/>
        </w:rPr>
        <w:t>pēc apspriešanās slēgtā sēdē 2016. gada 10. maijā,</w:t>
      </w:r>
    </w:p>
    <w:p w:rsidR="005A54DE" w:rsidRPr="00AD657E" w:rsidRDefault="005A54DE" w:rsidP="00AD657E">
      <w:pPr>
        <w:pStyle w:val="ECHRPara"/>
        <w:rPr>
          <w:rFonts w:ascii="Times New Roman" w:hAnsi="Times New Roman"/>
          <w:noProof/>
        </w:rPr>
      </w:pPr>
      <w:r w:rsidRPr="00AD657E">
        <w:rPr>
          <w:rFonts w:ascii="Times New Roman" w:hAnsi="Times New Roman"/>
          <w:noProof/>
        </w:rPr>
        <w:t>pasludina šo spriedumu, kas pieņemts minētajā datumā:</w:t>
      </w:r>
    </w:p>
    <w:p w:rsidR="00AE317D" w:rsidRDefault="00AE317D" w:rsidP="00AD657E">
      <w:pPr>
        <w:pStyle w:val="ECHRTitle1"/>
        <w:keepNext w:val="0"/>
        <w:keepLines w:val="0"/>
        <w:spacing w:before="0" w:after="0"/>
        <w:outlineLvl w:val="9"/>
        <w:rPr>
          <w:rFonts w:ascii="Times New Roman" w:hAnsi="Times New Roman"/>
          <w:noProof/>
          <w:sz w:val="24"/>
        </w:rPr>
      </w:pPr>
    </w:p>
    <w:p w:rsidR="00F50B23" w:rsidRPr="00F50B23" w:rsidRDefault="00F50B23" w:rsidP="00F50B23">
      <w:pPr>
        <w:pStyle w:val="ECHRPara"/>
      </w:pPr>
    </w:p>
    <w:p w:rsidR="005A54DE" w:rsidRPr="00AD657E" w:rsidRDefault="005A54DE" w:rsidP="00AD657E">
      <w:pPr>
        <w:pStyle w:val="ECHRTitle1"/>
        <w:keepNext w:val="0"/>
        <w:keepLines w:val="0"/>
        <w:spacing w:before="0" w:after="0"/>
        <w:outlineLvl w:val="9"/>
        <w:rPr>
          <w:rFonts w:ascii="Times New Roman" w:hAnsi="Times New Roman"/>
          <w:noProof/>
          <w:sz w:val="24"/>
        </w:rPr>
      </w:pPr>
      <w:r w:rsidRPr="00AD657E">
        <w:rPr>
          <w:rFonts w:ascii="Times New Roman" w:hAnsi="Times New Roman"/>
          <w:noProof/>
          <w:sz w:val="24"/>
        </w:rPr>
        <w:t>PROCEDŪRA</w:t>
      </w:r>
    </w:p>
    <w:p w:rsidR="00AE317D" w:rsidRPr="00AD657E" w:rsidRDefault="00AE317D" w:rsidP="00AD657E">
      <w:pPr>
        <w:pStyle w:val="ECHRPara"/>
        <w:rPr>
          <w:rFonts w:ascii="Times New Roman" w:hAnsi="Times New Roman"/>
        </w:rPr>
      </w:pP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1</w:t>
      </w:r>
      <w:r w:rsidRPr="00AD657E">
        <w:rPr>
          <w:rFonts w:ascii="Times New Roman" w:hAnsi="Times New Roman"/>
          <w:noProof/>
        </w:rPr>
        <w:fldChar w:fldCharType="end"/>
      </w:r>
      <w:r w:rsidRPr="00AD657E">
        <w:rPr>
          <w:rFonts w:ascii="Times New Roman" w:hAnsi="Times New Roman"/>
          <w:noProof/>
        </w:rPr>
        <w:t>. Lietas pamatā ir pieteikums pret Francijas Republiku (Nr. 40183/07), ko saskaņā ar Cilvēktiesību un pamatbrīvību aizsardzības konvencijas (turpmāk tekstā — “Konvencija”) 34. pantu 2007. gada 6. septembrī Tiesai iesniedza šīs valsts pilsoņi Stefans Šapēns [</w:t>
      </w:r>
      <w:r w:rsidRPr="00AD657E">
        <w:rPr>
          <w:rFonts w:ascii="Times New Roman" w:hAnsi="Times New Roman"/>
          <w:i/>
          <w:noProof/>
        </w:rPr>
        <w:t>Stéphane Chapin</w:t>
      </w:r>
      <w:r w:rsidRPr="00AD657E">
        <w:rPr>
          <w:rFonts w:ascii="Times New Roman" w:hAnsi="Times New Roman"/>
          <w:noProof/>
        </w:rPr>
        <w:t>] un Bertrāns Šarpentjē [</w:t>
      </w:r>
      <w:r w:rsidRPr="00AD657E">
        <w:rPr>
          <w:rFonts w:ascii="Times New Roman" w:hAnsi="Times New Roman"/>
          <w:i/>
          <w:noProof/>
        </w:rPr>
        <w:t>Bertrand Charpentier</w:t>
      </w:r>
      <w:r w:rsidRPr="00AD657E">
        <w:rPr>
          <w:rFonts w:ascii="Times New Roman" w:hAnsi="Times New Roman"/>
          <w:noProof/>
        </w:rPr>
        <w:t>] (turpmāk tekstā — “Pieteikuma iesniedzēji ”).</w:t>
      </w: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2</w:t>
      </w:r>
      <w:r w:rsidRPr="00AD657E">
        <w:rPr>
          <w:rFonts w:ascii="Times New Roman" w:hAnsi="Times New Roman"/>
          <w:noProof/>
        </w:rPr>
        <w:fldChar w:fldCharType="end"/>
      </w:r>
      <w:r w:rsidRPr="00AD657E">
        <w:rPr>
          <w:rFonts w:ascii="Times New Roman" w:hAnsi="Times New Roman"/>
          <w:noProof/>
        </w:rPr>
        <w:t>. Pieteikuma iesniedzējus pārstāvēja Parīzē praktizējoša advokāte — K. Mekarī [</w:t>
      </w:r>
      <w:r w:rsidRPr="00AD657E">
        <w:rPr>
          <w:rFonts w:ascii="Times New Roman" w:hAnsi="Times New Roman"/>
          <w:i/>
          <w:noProof/>
        </w:rPr>
        <w:t>C. Mécary</w:t>
      </w:r>
      <w:r w:rsidRPr="00AD657E">
        <w:rPr>
          <w:rFonts w:ascii="Times New Roman" w:hAnsi="Times New Roman"/>
          <w:noProof/>
        </w:rPr>
        <w:t>]. Francijas valdību (turpmāk tekstā — “Valdība”) pārstāvēja tās pārstāve, Ārlietu ministrijas Juridisko lietu departamenta direktore E. Beljāra [</w:t>
      </w:r>
      <w:r w:rsidRPr="00AD657E">
        <w:rPr>
          <w:rFonts w:ascii="Times New Roman" w:hAnsi="Times New Roman"/>
          <w:i/>
          <w:noProof/>
        </w:rPr>
        <w:t>E. Belliard</w:t>
      </w:r>
      <w:r w:rsidRPr="00AD657E">
        <w:rPr>
          <w:rFonts w:ascii="Times New Roman" w:hAnsi="Times New Roman"/>
          <w:noProof/>
        </w:rPr>
        <w:t>].</w:t>
      </w: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3</w:t>
      </w:r>
      <w:r w:rsidRPr="00AD657E">
        <w:rPr>
          <w:rFonts w:ascii="Times New Roman" w:hAnsi="Times New Roman"/>
          <w:noProof/>
        </w:rPr>
        <w:fldChar w:fldCharType="end"/>
      </w:r>
      <w:r w:rsidRPr="00AD657E">
        <w:rPr>
          <w:rFonts w:ascii="Times New Roman" w:hAnsi="Times New Roman"/>
          <w:noProof/>
        </w:rPr>
        <w:t>. Pieteikuma iesniedzēji savas laulības atcelšanā saskata tiešu Konvencijas 14. panta, kas lasāms kopā ar 8. un 12. pantu, pārkāpumu.</w:t>
      </w: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4</w:t>
      </w:r>
      <w:r w:rsidRPr="00AD657E">
        <w:rPr>
          <w:rFonts w:ascii="Times New Roman" w:hAnsi="Times New Roman"/>
          <w:noProof/>
        </w:rPr>
        <w:fldChar w:fldCharType="end"/>
      </w:r>
      <w:r w:rsidRPr="00AD657E">
        <w:rPr>
          <w:rFonts w:ascii="Times New Roman" w:hAnsi="Times New Roman"/>
          <w:noProof/>
        </w:rPr>
        <w:t>. 2009. gada 7. aprīlī par pieteikumu tika informēta Valdība. Puses iesniedza komentārus par lietas pieņemamību un būtību.</w:t>
      </w: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5</w:t>
      </w:r>
      <w:r w:rsidRPr="00AD657E">
        <w:rPr>
          <w:rFonts w:ascii="Times New Roman" w:hAnsi="Times New Roman"/>
          <w:noProof/>
        </w:rPr>
        <w:fldChar w:fldCharType="end"/>
      </w:r>
      <w:r w:rsidRPr="00AD657E">
        <w:rPr>
          <w:rFonts w:ascii="Times New Roman" w:hAnsi="Times New Roman"/>
          <w:noProof/>
        </w:rPr>
        <w:t>. 2010. gada 31. augustā palāta lēma atlikt lēmumu par tiesas sēdes noturēšanu līdz sprieduma pieņemšanai lietā “Šalks [</w:t>
      </w:r>
      <w:r w:rsidRPr="00AD657E">
        <w:rPr>
          <w:rFonts w:ascii="Times New Roman" w:hAnsi="Times New Roman"/>
          <w:i/>
          <w:noProof/>
        </w:rPr>
        <w:t>Schalk</w:t>
      </w:r>
      <w:r w:rsidRPr="00AD657E">
        <w:rPr>
          <w:rFonts w:ascii="Times New Roman" w:hAnsi="Times New Roman"/>
          <w:noProof/>
        </w:rPr>
        <w:t>] un Kopfs [</w:t>
      </w:r>
      <w:r w:rsidRPr="00AD657E">
        <w:rPr>
          <w:rFonts w:ascii="Times New Roman" w:hAnsi="Times New Roman"/>
          <w:i/>
          <w:noProof/>
        </w:rPr>
        <w:t>Kopf</w:t>
      </w:r>
      <w:r w:rsidRPr="00AD657E">
        <w:rPr>
          <w:rFonts w:ascii="Times New Roman" w:hAnsi="Times New Roman"/>
          <w:noProof/>
        </w:rPr>
        <w:t>] pret Austriju” (Nr. 30141/04, CEDH 2010.).</w:t>
      </w: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6</w:t>
      </w:r>
      <w:r w:rsidRPr="00AD657E">
        <w:rPr>
          <w:rFonts w:ascii="Times New Roman" w:hAnsi="Times New Roman"/>
          <w:noProof/>
        </w:rPr>
        <w:fldChar w:fldCharType="end"/>
      </w:r>
      <w:r w:rsidRPr="00AD657E">
        <w:rPr>
          <w:rFonts w:ascii="Times New Roman" w:hAnsi="Times New Roman"/>
          <w:noProof/>
        </w:rPr>
        <w:t>. 2011. gada 8. aprīlī palātas priekšsēdētājs atbilstoši Konvencijas 29. panta 3. punktam nolēma, ka palāta vienlaicīgi izskatīs lietas pieņemamību un tās būtību. Puses iesniedza papildu komentārus.</w:t>
      </w: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7</w:t>
      </w:r>
      <w:r w:rsidRPr="00AD657E">
        <w:rPr>
          <w:rFonts w:ascii="Times New Roman" w:hAnsi="Times New Roman"/>
          <w:noProof/>
        </w:rPr>
        <w:fldChar w:fldCharType="end"/>
      </w:r>
      <w:r w:rsidRPr="00AD657E">
        <w:rPr>
          <w:rFonts w:ascii="Times New Roman" w:hAnsi="Times New Roman"/>
          <w:noProof/>
        </w:rPr>
        <w:t>. 2012. gada 24. oktobrī priekšsēdētājs nolēma atlikt iesnieguma izskatīšanu, līdz tiks pieņemts likumprojekts par viendzimuma laulību atļaušanu.</w:t>
      </w: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8</w:t>
      </w:r>
      <w:r w:rsidRPr="00AD657E">
        <w:rPr>
          <w:rFonts w:ascii="Times New Roman" w:hAnsi="Times New Roman"/>
          <w:noProof/>
        </w:rPr>
        <w:fldChar w:fldCharType="end"/>
      </w:r>
      <w:r w:rsidRPr="00AD657E">
        <w:rPr>
          <w:rFonts w:ascii="Times New Roman" w:hAnsi="Times New Roman"/>
          <w:noProof/>
        </w:rPr>
        <w:t>. Pēc likuma, ar kuru “tika atļautas viena dzimuma pāru laulības”, izsludināšanas 2013. gada 17. maijā, puses iesniedza jaunus papildu komentārus.</w:t>
      </w: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9</w:t>
      </w:r>
      <w:r w:rsidRPr="00AD657E">
        <w:rPr>
          <w:rFonts w:ascii="Times New Roman" w:hAnsi="Times New Roman"/>
          <w:noProof/>
        </w:rPr>
        <w:fldChar w:fldCharType="end"/>
      </w:r>
      <w:r w:rsidRPr="00AD657E">
        <w:rPr>
          <w:rFonts w:ascii="Times New Roman" w:hAnsi="Times New Roman"/>
          <w:noProof/>
        </w:rPr>
        <w:t>. Tāpat kopīgi komentāri tika saņemti no Starptautiskās Cilvēktiesību federācijas (</w:t>
      </w:r>
      <w:r w:rsidRPr="00AD657E">
        <w:rPr>
          <w:rFonts w:ascii="Times New Roman" w:hAnsi="Times New Roman"/>
          <w:i/>
          <w:noProof/>
        </w:rPr>
        <w:t>Fédération internationale des ligues des droits de l’homme</w:t>
      </w:r>
      <w:r w:rsidRPr="00AD657E">
        <w:rPr>
          <w:rFonts w:ascii="Times New Roman" w:hAnsi="Times New Roman"/>
          <w:noProof/>
        </w:rPr>
        <w:t xml:space="preserve">, </w:t>
      </w:r>
      <w:r w:rsidRPr="00AD657E">
        <w:rPr>
          <w:rFonts w:ascii="Times New Roman" w:hAnsi="Times New Roman"/>
          <w:i/>
          <w:noProof/>
        </w:rPr>
        <w:t>FIDH</w:t>
      </w:r>
      <w:r w:rsidRPr="00AD657E">
        <w:rPr>
          <w:rFonts w:ascii="Times New Roman" w:hAnsi="Times New Roman"/>
          <w:noProof/>
        </w:rPr>
        <w:t xml:space="preserve"> ), Starptautiskās Juristu komisijas (</w:t>
      </w:r>
      <w:r w:rsidRPr="00AD657E">
        <w:rPr>
          <w:rFonts w:ascii="Times New Roman" w:hAnsi="Times New Roman"/>
          <w:i/>
          <w:noProof/>
        </w:rPr>
        <w:t>Commission internationale des juristes</w:t>
      </w:r>
      <w:r w:rsidRPr="00AD657E">
        <w:rPr>
          <w:rFonts w:ascii="Times New Roman" w:hAnsi="Times New Roman"/>
          <w:noProof/>
        </w:rPr>
        <w:t xml:space="preserve">, </w:t>
      </w:r>
      <w:r w:rsidRPr="00AD657E">
        <w:rPr>
          <w:rFonts w:ascii="Times New Roman" w:hAnsi="Times New Roman"/>
          <w:i/>
          <w:noProof/>
        </w:rPr>
        <w:t>CIJ</w:t>
      </w:r>
      <w:r w:rsidRPr="00AD657E">
        <w:rPr>
          <w:rFonts w:ascii="Times New Roman" w:hAnsi="Times New Roman"/>
          <w:noProof/>
        </w:rPr>
        <w:t>), Konsultāciju par indivīda tiesībām Eiropā centra (</w:t>
      </w:r>
      <w:r w:rsidRPr="00AD657E">
        <w:rPr>
          <w:rFonts w:ascii="Times New Roman" w:hAnsi="Times New Roman"/>
          <w:i/>
          <w:noProof/>
        </w:rPr>
        <w:t>Advice on Individual Rights in Europe</w:t>
      </w:r>
      <w:r w:rsidRPr="00AD657E">
        <w:rPr>
          <w:rFonts w:ascii="Times New Roman" w:hAnsi="Times New Roman"/>
          <w:noProof/>
        </w:rPr>
        <w:t xml:space="preserve">, </w:t>
      </w:r>
      <w:r w:rsidRPr="00AD657E">
        <w:rPr>
          <w:rFonts w:ascii="Times New Roman" w:hAnsi="Times New Roman"/>
          <w:i/>
          <w:noProof/>
        </w:rPr>
        <w:t>AIRE</w:t>
      </w:r>
      <w:r w:rsidRPr="00AD657E">
        <w:rPr>
          <w:rFonts w:ascii="Times New Roman" w:hAnsi="Times New Roman"/>
          <w:noProof/>
        </w:rPr>
        <w:t>) centra un Eiropas reģiona Starptautiskās Lesbiešu un geju asociācijas (</w:t>
      </w:r>
      <w:r w:rsidRPr="00AD657E">
        <w:rPr>
          <w:rFonts w:ascii="Times New Roman" w:hAnsi="Times New Roman"/>
          <w:i/>
          <w:noProof/>
        </w:rPr>
        <w:t>European Region of the International Lesbian and Gay Association</w:t>
      </w:r>
      <w:r w:rsidRPr="00AD657E">
        <w:rPr>
          <w:rFonts w:ascii="Times New Roman" w:hAnsi="Times New Roman"/>
          <w:noProof/>
        </w:rPr>
        <w:t xml:space="preserve">, </w:t>
      </w:r>
      <w:r w:rsidRPr="00AD657E">
        <w:rPr>
          <w:rFonts w:ascii="Times New Roman" w:hAnsi="Times New Roman"/>
          <w:i/>
          <w:noProof/>
        </w:rPr>
        <w:t>ILGA-Europe</w:t>
      </w:r>
      <w:r w:rsidRPr="00AD657E">
        <w:rPr>
          <w:rFonts w:ascii="Times New Roman" w:hAnsi="Times New Roman"/>
          <w:noProof/>
        </w:rPr>
        <w:t>) pārstāvja R. Vintermutes [</w:t>
      </w:r>
      <w:r w:rsidRPr="00AD657E">
        <w:rPr>
          <w:rFonts w:ascii="Times New Roman" w:hAnsi="Times New Roman"/>
          <w:i/>
          <w:noProof/>
        </w:rPr>
        <w:t>R. Wintermute</w:t>
      </w:r>
      <w:r w:rsidRPr="00AD657E">
        <w:rPr>
          <w:rFonts w:ascii="Times New Roman" w:hAnsi="Times New Roman"/>
          <w:noProof/>
        </w:rPr>
        <w:t>], kuru priekšsēdētājs bija pilnvarojis iesaistīties rakstveida procedūrā kā trešo pusi (Konvencijas 36. panta 2. punkts un Tiesas reglamenta 44. panta 3. punkta a) apakšpunkts).</w:t>
      </w:r>
    </w:p>
    <w:p w:rsidR="00F50B23" w:rsidRDefault="00F50B23">
      <w:pPr>
        <w:jc w:val="left"/>
        <w:rPr>
          <w:rFonts w:ascii="Times New Roman" w:hAnsi="Times New Roman"/>
          <w:noProof/>
        </w:rPr>
      </w:pPr>
      <w:r>
        <w:rPr>
          <w:rFonts w:ascii="Times New Roman" w:hAnsi="Times New Roman"/>
          <w:noProof/>
        </w:rPr>
        <w:br w:type="page"/>
      </w:r>
    </w:p>
    <w:p w:rsidR="00AE317D" w:rsidRPr="00AD657E" w:rsidRDefault="00AE317D" w:rsidP="00AD657E">
      <w:pPr>
        <w:pStyle w:val="ECHRTitle1"/>
        <w:keepNext w:val="0"/>
        <w:keepLines w:val="0"/>
        <w:tabs>
          <w:tab w:val="left" w:pos="5387"/>
        </w:tabs>
        <w:spacing w:before="0" w:after="0"/>
        <w:outlineLvl w:val="9"/>
        <w:rPr>
          <w:rFonts w:ascii="Times New Roman" w:hAnsi="Times New Roman"/>
          <w:noProof/>
          <w:sz w:val="24"/>
        </w:rPr>
      </w:pPr>
    </w:p>
    <w:p w:rsidR="005A54DE" w:rsidRPr="00AD657E" w:rsidRDefault="005A54DE" w:rsidP="00AD657E">
      <w:pPr>
        <w:pStyle w:val="ECHRTitle1"/>
        <w:keepNext w:val="0"/>
        <w:keepLines w:val="0"/>
        <w:tabs>
          <w:tab w:val="left" w:pos="5387"/>
        </w:tabs>
        <w:spacing w:before="0" w:after="0"/>
        <w:outlineLvl w:val="9"/>
        <w:rPr>
          <w:rFonts w:ascii="Times New Roman" w:hAnsi="Times New Roman"/>
          <w:noProof/>
          <w:sz w:val="24"/>
        </w:rPr>
      </w:pPr>
      <w:r w:rsidRPr="00AD657E">
        <w:rPr>
          <w:rFonts w:ascii="Times New Roman" w:hAnsi="Times New Roman"/>
          <w:noProof/>
          <w:sz w:val="24"/>
        </w:rPr>
        <w:t>FAKTU IZKLĀSTS</w:t>
      </w:r>
    </w:p>
    <w:p w:rsidR="00F50B23" w:rsidRDefault="00F50B23" w:rsidP="00AD657E">
      <w:pPr>
        <w:pStyle w:val="ECHRHeading1"/>
        <w:keepNext w:val="0"/>
        <w:keepLines w:val="0"/>
        <w:spacing w:before="0" w:after="0"/>
        <w:ind w:left="0" w:firstLine="0"/>
        <w:outlineLvl w:val="9"/>
        <w:rPr>
          <w:rFonts w:ascii="Times New Roman" w:hAnsi="Times New Roman"/>
          <w:noProof/>
        </w:rPr>
      </w:pPr>
    </w:p>
    <w:p w:rsidR="005A54DE" w:rsidRPr="00AD657E" w:rsidRDefault="005A54DE" w:rsidP="00AD657E">
      <w:pPr>
        <w:pStyle w:val="ECHRHeading1"/>
        <w:keepNext w:val="0"/>
        <w:keepLines w:val="0"/>
        <w:spacing w:before="0" w:after="0"/>
        <w:ind w:left="0" w:firstLine="0"/>
        <w:outlineLvl w:val="9"/>
        <w:rPr>
          <w:rFonts w:ascii="Times New Roman" w:hAnsi="Times New Roman"/>
          <w:noProof/>
        </w:rPr>
      </w:pPr>
      <w:r w:rsidRPr="00AD657E">
        <w:rPr>
          <w:rFonts w:ascii="Times New Roman" w:hAnsi="Times New Roman"/>
          <w:noProof/>
        </w:rPr>
        <w:t>I. LIETAS APSTĀKĻI</w:t>
      </w:r>
    </w:p>
    <w:p w:rsidR="00AE317D" w:rsidRPr="00AD657E" w:rsidRDefault="00AE317D" w:rsidP="00AD657E">
      <w:pPr>
        <w:pStyle w:val="ECHRPara"/>
        <w:rPr>
          <w:rFonts w:ascii="Times New Roman" w:hAnsi="Times New Roman"/>
        </w:rPr>
      </w:pP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10</w:t>
      </w:r>
      <w:r w:rsidRPr="00AD657E">
        <w:rPr>
          <w:rFonts w:ascii="Times New Roman" w:hAnsi="Times New Roman"/>
          <w:noProof/>
        </w:rPr>
        <w:fldChar w:fldCharType="end"/>
      </w:r>
      <w:r w:rsidRPr="00AD657E">
        <w:rPr>
          <w:rFonts w:ascii="Times New Roman" w:hAnsi="Times New Roman"/>
          <w:noProof/>
        </w:rPr>
        <w:t>. Pieteikuma iesniedzēji dzimuši attiecīgi 1970. un 1973. gadā un dzīvo Plasakā [</w:t>
      </w:r>
      <w:r w:rsidRPr="00AD657E">
        <w:rPr>
          <w:rFonts w:ascii="Times New Roman" w:hAnsi="Times New Roman"/>
          <w:i/>
          <w:noProof/>
        </w:rPr>
        <w:t>Plassac</w:t>
      </w:r>
      <w:r w:rsidRPr="00AD657E">
        <w:rPr>
          <w:rFonts w:ascii="Times New Roman" w:hAnsi="Times New Roman"/>
          <w:noProof/>
        </w:rPr>
        <w:t>] Žirondas [</w:t>
      </w:r>
      <w:r w:rsidRPr="00AD657E">
        <w:rPr>
          <w:rFonts w:ascii="Times New Roman" w:hAnsi="Times New Roman"/>
          <w:i/>
          <w:noProof/>
        </w:rPr>
        <w:t>Girond</w:t>
      </w:r>
      <w:r w:rsidRPr="00AD657E">
        <w:rPr>
          <w:rFonts w:ascii="Times New Roman" w:hAnsi="Times New Roman"/>
          <w:noProof/>
        </w:rPr>
        <w:t>] departamentā.</w:t>
      </w: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11</w:t>
      </w:r>
      <w:r w:rsidRPr="00AD657E">
        <w:rPr>
          <w:rFonts w:ascii="Times New Roman" w:hAnsi="Times New Roman"/>
          <w:noProof/>
        </w:rPr>
        <w:fldChar w:fldCharType="end"/>
      </w:r>
      <w:r w:rsidRPr="00AD657E">
        <w:rPr>
          <w:rFonts w:ascii="Times New Roman" w:hAnsi="Times New Roman"/>
          <w:noProof/>
        </w:rPr>
        <w:t>. 2004. gada maijā Pieteikuma iesniedzēji iesniedza laulības reģistrācijas pieteikuma dokumentāciju Žirondas departamenta Begles [</w:t>
      </w:r>
      <w:r w:rsidRPr="00AD657E">
        <w:rPr>
          <w:rFonts w:ascii="Times New Roman" w:hAnsi="Times New Roman"/>
          <w:i/>
          <w:noProof/>
        </w:rPr>
        <w:t>Bègles</w:t>
      </w:r>
      <w:r w:rsidRPr="00AD657E">
        <w:rPr>
          <w:rFonts w:ascii="Times New Roman" w:hAnsi="Times New Roman"/>
          <w:noProof/>
        </w:rPr>
        <w:t>] mērijas dzimtsarakstu nodaļā. 2004. gada 25. maijā mērijas dzimtsarakstu nodaļas amatpersona veica laulības izsludināšanu.</w:t>
      </w: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12</w:t>
      </w:r>
      <w:r w:rsidRPr="00AD657E">
        <w:rPr>
          <w:rFonts w:ascii="Times New Roman" w:hAnsi="Times New Roman"/>
          <w:noProof/>
        </w:rPr>
        <w:fldChar w:fldCharType="end"/>
      </w:r>
      <w:r w:rsidRPr="00AD657E">
        <w:rPr>
          <w:rFonts w:ascii="Times New Roman" w:hAnsi="Times New Roman"/>
          <w:noProof/>
        </w:rPr>
        <w:t>. Ar 2004. gada 27. maijā un 3. jūnijā piegādātiem tiesu izpildītāja aktiem Bordo [</w:t>
      </w:r>
      <w:r w:rsidRPr="00AD657E">
        <w:rPr>
          <w:rFonts w:ascii="Times New Roman" w:hAnsi="Times New Roman"/>
          <w:i/>
          <w:noProof/>
        </w:rPr>
        <w:t>Bordeaux</w:t>
      </w:r>
      <w:r w:rsidRPr="00AD657E">
        <w:rPr>
          <w:rFonts w:ascii="Times New Roman" w:hAnsi="Times New Roman"/>
          <w:noProof/>
        </w:rPr>
        <w:t>] apgabaltiesas prokurors paziņoja par saviem iebildumiem pret laulības noslēgšanu Begles komūnas dzimtsarakstu nodaļas amatpersonai, kā arī Pieteikuma iesniedzējiem.</w:t>
      </w: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13</w:t>
      </w:r>
      <w:r w:rsidRPr="00AD657E">
        <w:rPr>
          <w:rFonts w:ascii="Times New Roman" w:hAnsi="Times New Roman"/>
          <w:noProof/>
        </w:rPr>
        <w:fldChar w:fldCharType="end"/>
      </w:r>
      <w:r w:rsidRPr="00AD657E">
        <w:rPr>
          <w:rFonts w:ascii="Times New Roman" w:hAnsi="Times New Roman"/>
          <w:noProof/>
        </w:rPr>
        <w:t>. Neskatoties uz šiem iebildumiem, 2004. gada 5. jūnijā Begles mērs kā dzimtsarakstu nodaļas amatpersona noslēdza Pieteikuma iesniedzēju laulību un veica par to ierakstu civilstāvokļa reģistros.</w:t>
      </w: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14</w:t>
      </w:r>
      <w:r w:rsidRPr="00AD657E">
        <w:rPr>
          <w:rFonts w:ascii="Times New Roman" w:hAnsi="Times New Roman"/>
          <w:noProof/>
        </w:rPr>
        <w:fldChar w:fldCharType="end"/>
      </w:r>
      <w:r w:rsidRPr="00AD657E">
        <w:rPr>
          <w:rFonts w:ascii="Times New Roman" w:hAnsi="Times New Roman"/>
          <w:noProof/>
        </w:rPr>
        <w:t>. 2004. gada 22. jūnijā prokurors uzaicināja Pieteikuma iesniedzējus noteiktā datumā ierasties Bordo apgabaltiesā, lai viņu klātienē pasludinātu laulības neesamību.</w:t>
      </w: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15</w:t>
      </w:r>
      <w:r w:rsidRPr="00AD657E">
        <w:rPr>
          <w:rFonts w:ascii="Times New Roman" w:hAnsi="Times New Roman"/>
          <w:noProof/>
        </w:rPr>
        <w:fldChar w:fldCharType="end"/>
      </w:r>
      <w:r w:rsidRPr="00AD657E">
        <w:rPr>
          <w:rFonts w:ascii="Times New Roman" w:hAnsi="Times New Roman"/>
          <w:noProof/>
        </w:rPr>
        <w:t>. Ar 2004. gada 27. jūlija spriedumu tiesa apmierināja šo prasību. Tā konstatēja, ka saskaņā ar Francijas tiesību normām dzimumu atšķirība ir laulības priekšnoteikums, uzskatīja, ka šāds priekšnoteikums nav pretrunā ar Konvencijas 12., 8. un 14. pantu Tiesas izpratnē un secināja, ka, ja paražu pārmaiņas vai līdztiesības principa ievērošana varētu radīt laulību definīcijas izmaiņas, tad šim jautājumam būtu jākļūst par diskusiju tēmu un būtu nepieciešama likumdevēja iesaiste. Rezultātā tiesa atzina Pieteikuma iesniedzēju laulību par neesošu un uzdeva reģistrēt šo spriedumu viņu dzimšanas apliecības un laulības apliecības ierakstos..</w:t>
      </w: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16</w:t>
      </w:r>
      <w:r w:rsidRPr="00AD657E">
        <w:rPr>
          <w:rFonts w:ascii="Times New Roman" w:hAnsi="Times New Roman"/>
          <w:noProof/>
        </w:rPr>
        <w:fldChar w:fldCharType="end"/>
      </w:r>
      <w:r w:rsidRPr="00AD657E">
        <w:rPr>
          <w:rFonts w:ascii="Times New Roman" w:hAnsi="Times New Roman"/>
          <w:noProof/>
        </w:rPr>
        <w:t>. Ar 2005. gada 19. aprīļa lēmumu Bordo apelācijas tiesa apstiprināja šo spriedumu. Tāpat kā apgabaltiesa, tā vispirms konstatēja, ka saskaņā ar Francijas tiesību normām dzimumu atšķirība ir priekšnoteikums laulības esamībai. Izskatot šo priekšnoteikumu padziļināti Konvencijas 12., 8. un 14. panta kontekstā, apelācijas tiesa, pirmkārt, norādīja, ka Francijas tiesību akti, it īpaši izmantojot kopdzīves vai civiltiesiskas solidaritātes pakta iespēju, kas pieejama gan viena, gan pretēja dzimuma personām, nodrošina “vairākas iespējas pāru attiecībām ar vai bez bērniem, saņemot vienādu tiesisko aizsardzību ar pielāgotu tiesu praksi, vienādām bērnu tiesībām”, tādēļ tā nesaskata “nekādu diskrimināciju attiecībā uz tiesībām veidot pāri, dzīvot pārī ar tā paša vai cita dzimuma partneri, nedz arī attiecībā uz tiesībām brīvi veidot dabīgu vai likumīgu ģimeni ar iespēju adoptēt bērnus. ”</w:t>
      </w:r>
    </w:p>
    <w:p w:rsidR="00F50B23" w:rsidRPr="00AD657E" w:rsidRDefault="005A54DE" w:rsidP="00F50B23">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17</w:t>
      </w:r>
      <w:r w:rsidRPr="00AD657E">
        <w:rPr>
          <w:rFonts w:ascii="Times New Roman" w:hAnsi="Times New Roman"/>
          <w:noProof/>
        </w:rPr>
        <w:fldChar w:fldCharType="end"/>
      </w:r>
      <w:r w:rsidRPr="00AD657E">
        <w:rPr>
          <w:rFonts w:ascii="Times New Roman" w:hAnsi="Times New Roman"/>
          <w:noProof/>
        </w:rPr>
        <w:t>. Apelācijas tiesas papildinājums:</w:t>
      </w:r>
    </w:p>
    <w:p w:rsidR="00F50B23" w:rsidRDefault="00F50B23" w:rsidP="00F50B23">
      <w:pPr>
        <w:pStyle w:val="ECHRParaQuote"/>
        <w:spacing w:before="0" w:after="0"/>
        <w:ind w:left="426"/>
        <w:rPr>
          <w:rFonts w:ascii="Times New Roman" w:hAnsi="Times New Roman"/>
          <w:noProof/>
          <w:szCs w:val="20"/>
        </w:rPr>
      </w:pPr>
    </w:p>
    <w:p w:rsidR="005A54DE" w:rsidRPr="00F50B23" w:rsidRDefault="005A54DE" w:rsidP="00F50B23">
      <w:pPr>
        <w:pStyle w:val="ECHRParaQuote"/>
        <w:spacing w:before="0" w:after="0"/>
        <w:ind w:left="426"/>
        <w:rPr>
          <w:rFonts w:ascii="Times New Roman" w:hAnsi="Times New Roman"/>
          <w:noProof/>
          <w:szCs w:val="20"/>
        </w:rPr>
      </w:pPr>
      <w:r w:rsidRPr="00F50B23">
        <w:rPr>
          <w:rFonts w:ascii="Times New Roman" w:hAnsi="Times New Roman"/>
          <w:noProof/>
          <w:szCs w:val="20"/>
        </w:rPr>
        <w:t>“Šī īpatnība, nevis diskriminācija, izriet no tā, ka dabā pēcnācēji ir iespējami tikai atšķirīga dzimuma pāriem un ka likumdevējs (...) vēlējās ņemt vērā šo bioloģisko faktu un “noteikt savas formas”, iekļaujot pāri un tā paredzamās sekas — kopīgos bērnus — vienā konkrētā institūcijā ar nosaukumu “laulība”; tā ir likumdošanā veikta izvēle, kas saglabāta laika gaitā (...)</w:t>
      </w:r>
    </w:p>
    <w:p w:rsidR="005A54DE" w:rsidRPr="00F50B23" w:rsidRDefault="005A54DE" w:rsidP="00F50B23">
      <w:pPr>
        <w:pStyle w:val="ECHRParaQuote"/>
        <w:spacing w:before="0" w:after="0"/>
        <w:ind w:left="426"/>
        <w:rPr>
          <w:rFonts w:ascii="Times New Roman" w:hAnsi="Times New Roman"/>
          <w:noProof/>
          <w:szCs w:val="20"/>
        </w:rPr>
      </w:pPr>
      <w:r w:rsidRPr="00F50B23">
        <w:rPr>
          <w:rFonts w:ascii="Times New Roman" w:hAnsi="Times New Roman"/>
          <w:noProof/>
          <w:szCs w:val="20"/>
        </w:rPr>
        <w:t>Visi atšķirīga dzimuma pāri, kurus tādējādi saista iespējama kopīga pēctecība, saņem līdztiesīgu attieksmi, jo viņiem ir brīva izvēle un brīva pieeja laulībām. Protams, viena dzimuma pāri, kuriem nepastāv iespēja dabīgā ceļā radīt pēcnācējus, līdz ar to nav saistīti ar šo institūciju. Šajā ziņā viņu juridiskais stāvoklis ir atšķirīgs, jo viņu situācija nav analoģiska.</w:t>
      </w:r>
    </w:p>
    <w:p w:rsidR="005A54DE" w:rsidRDefault="005A54DE" w:rsidP="00F50B23">
      <w:pPr>
        <w:pStyle w:val="ECHRParaQuote"/>
        <w:spacing w:before="0" w:after="0"/>
        <w:ind w:left="426"/>
        <w:rPr>
          <w:rFonts w:ascii="Times New Roman" w:hAnsi="Times New Roman"/>
          <w:noProof/>
          <w:szCs w:val="20"/>
        </w:rPr>
      </w:pPr>
      <w:r w:rsidRPr="00F50B23">
        <w:rPr>
          <w:rFonts w:ascii="Times New Roman" w:hAnsi="Times New Roman"/>
          <w:noProof/>
          <w:szCs w:val="20"/>
        </w:rPr>
        <w:t>Bet viņiem ir tiesības uz savas savienības atzīšanu ar tādiem pašiem priekšnoteikumiem kā atšķirīga dzimuma pāriem, kas nevēlas precēties, tādēļ no šīs īpatnības izrietošā atšķirība ir objektīvi pamatota, attaisnojama ar likumīgu mērķi un ievēro saprātīgu samērīguma attiecību starp pielietotajiem līdzekļiem un paredzēto mērķi. ”</w:t>
      </w:r>
    </w:p>
    <w:p w:rsidR="00F50B23" w:rsidRPr="00F50B23" w:rsidRDefault="00F50B23" w:rsidP="00F50B23">
      <w:pPr>
        <w:pStyle w:val="ECHRParaQuote"/>
        <w:spacing w:before="0" w:after="0"/>
        <w:ind w:left="426"/>
        <w:rPr>
          <w:rFonts w:ascii="Times New Roman" w:hAnsi="Times New Roman"/>
          <w:noProof/>
          <w:szCs w:val="20"/>
        </w:rPr>
      </w:pP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18</w:t>
      </w:r>
      <w:r w:rsidRPr="00AD657E">
        <w:rPr>
          <w:rFonts w:ascii="Times New Roman" w:hAnsi="Times New Roman"/>
          <w:noProof/>
        </w:rPr>
        <w:fldChar w:fldCharType="end"/>
      </w:r>
      <w:r w:rsidRPr="00AD657E">
        <w:rPr>
          <w:rFonts w:ascii="Times New Roman" w:hAnsi="Times New Roman"/>
          <w:noProof/>
        </w:rPr>
        <w:t xml:space="preserve">. Noslēgumā apelācijas tiesa apskatīja paredzamās sekas — it īpaši attiecībā uz vairākām Civilkodeksa normām — iespējamajai sprieduma atcelšanai, kas bez izstrādātiem tiesību </w:t>
      </w:r>
      <w:r w:rsidRPr="00AD657E">
        <w:rPr>
          <w:rFonts w:ascii="Times New Roman" w:hAnsi="Times New Roman"/>
          <w:noProof/>
        </w:rPr>
        <w:lastRenderedPageBreak/>
        <w:t>aktiem novestu pie pēctecības noteikumu “pamatprincipu sajukuma”, un, tāpat kā apgabaltiesa, pauda uzskatu, ka tās uzdevums nav risināt sabiedrības problēmu, kuru var risināt tikai ar politisku diskusiju un likumdevēja iesaistīšanos.</w:t>
      </w: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19</w:t>
      </w:r>
      <w:r w:rsidRPr="00AD657E">
        <w:rPr>
          <w:rFonts w:ascii="Times New Roman" w:hAnsi="Times New Roman"/>
          <w:noProof/>
        </w:rPr>
        <w:fldChar w:fldCharType="end"/>
      </w:r>
      <w:r w:rsidRPr="00AD657E">
        <w:rPr>
          <w:rFonts w:ascii="Times New Roman" w:hAnsi="Times New Roman"/>
          <w:noProof/>
        </w:rPr>
        <w:t>. Pieteikuma iesniedzēji pārsūdzēja spriedumu kasācijas kārtībā. Savā papildinošajā rakstiskajā paziņojumā viņi atsaucās uz Konvencijas 8., 12. un 14. pantu un balstījās uz Tiesas izveidoto tiesas praksi.</w:t>
      </w: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20</w:t>
      </w:r>
      <w:r w:rsidRPr="00AD657E">
        <w:rPr>
          <w:rFonts w:ascii="Times New Roman" w:hAnsi="Times New Roman"/>
          <w:noProof/>
        </w:rPr>
        <w:fldChar w:fldCharType="end"/>
      </w:r>
      <w:r w:rsidRPr="00AD657E">
        <w:rPr>
          <w:rFonts w:ascii="Times New Roman" w:hAnsi="Times New Roman"/>
          <w:noProof/>
        </w:rPr>
        <w:t>. Ar 2007. gada 13. marta lēmumu Kasācijas tiesa noraidīja kasācijas sūdzību, īpaši norādot, ka “saskaņā ar Francijas tiesību normām laulība ir savienība starp vīrieti un sievieti”, un šis princips nav pretrunā ar nevienu normu Konvencijā un Eiropas Savienības Pamattiesību hartā, kurai, kā uzsvēra tiesa, Francijā nav saistoša spēka.</w:t>
      </w:r>
    </w:p>
    <w:p w:rsidR="00AE317D" w:rsidRPr="00AD657E" w:rsidRDefault="00AE317D" w:rsidP="00AD657E">
      <w:pPr>
        <w:pStyle w:val="ECHRHeading1"/>
        <w:keepNext w:val="0"/>
        <w:keepLines w:val="0"/>
        <w:spacing w:before="0" w:after="0"/>
        <w:ind w:left="0" w:firstLine="0"/>
        <w:outlineLvl w:val="9"/>
        <w:rPr>
          <w:rFonts w:ascii="Times New Roman" w:hAnsi="Times New Roman"/>
          <w:noProof/>
        </w:rPr>
      </w:pPr>
    </w:p>
    <w:p w:rsidR="005A54DE" w:rsidRPr="00AD657E" w:rsidRDefault="005A54DE" w:rsidP="00AD657E">
      <w:pPr>
        <w:pStyle w:val="ECHRHeading1"/>
        <w:keepNext w:val="0"/>
        <w:keepLines w:val="0"/>
        <w:spacing w:before="0" w:after="0"/>
        <w:ind w:left="0" w:firstLine="0"/>
        <w:outlineLvl w:val="9"/>
        <w:rPr>
          <w:rFonts w:ascii="Times New Roman" w:hAnsi="Times New Roman"/>
          <w:noProof/>
        </w:rPr>
      </w:pPr>
      <w:r w:rsidRPr="00AD657E">
        <w:rPr>
          <w:rFonts w:ascii="Times New Roman" w:hAnsi="Times New Roman"/>
          <w:noProof/>
        </w:rPr>
        <w:t>II. VALSTS UN STARPTAUTISKĀS SAISTOŠĀS TIESĪBU NORMAS UN PRAKSE</w:t>
      </w:r>
    </w:p>
    <w:p w:rsidR="00AE317D" w:rsidRPr="00AD657E" w:rsidRDefault="00AE317D" w:rsidP="00AD657E">
      <w:pPr>
        <w:pStyle w:val="ECHRPara"/>
        <w:ind w:firstLine="0"/>
        <w:rPr>
          <w:rFonts w:ascii="Times New Roman" w:hAnsi="Times New Roman"/>
        </w:rPr>
      </w:pP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21</w:t>
      </w:r>
      <w:r w:rsidRPr="00AD657E">
        <w:rPr>
          <w:rFonts w:ascii="Times New Roman" w:hAnsi="Times New Roman"/>
          <w:noProof/>
        </w:rPr>
        <w:fldChar w:fldCharType="end"/>
      </w:r>
      <w:r w:rsidRPr="00AD657E">
        <w:rPr>
          <w:rFonts w:ascii="Times New Roman" w:hAnsi="Times New Roman"/>
          <w:noProof/>
        </w:rPr>
        <w:t>. Faktu norises laikā Civilkodeksa 144. pant redakcija bija šāda:</w:t>
      </w:r>
    </w:p>
    <w:p w:rsidR="00F50B23" w:rsidRDefault="00F50B23" w:rsidP="00F50B23">
      <w:pPr>
        <w:pStyle w:val="ECHRParaQuote"/>
        <w:spacing w:before="0" w:after="0"/>
        <w:ind w:left="426"/>
        <w:rPr>
          <w:rFonts w:ascii="Times New Roman" w:hAnsi="Times New Roman"/>
          <w:noProof/>
          <w:szCs w:val="20"/>
        </w:rPr>
      </w:pPr>
    </w:p>
    <w:p w:rsidR="005A54DE" w:rsidRDefault="005A54DE" w:rsidP="00F50B23">
      <w:pPr>
        <w:pStyle w:val="ECHRParaQuote"/>
        <w:spacing w:before="0" w:after="0"/>
        <w:ind w:left="426"/>
        <w:rPr>
          <w:rFonts w:ascii="Times New Roman" w:hAnsi="Times New Roman"/>
          <w:noProof/>
          <w:szCs w:val="20"/>
        </w:rPr>
      </w:pPr>
      <w:r w:rsidRPr="00F50B23">
        <w:rPr>
          <w:rFonts w:ascii="Times New Roman" w:hAnsi="Times New Roman"/>
          <w:noProof/>
          <w:szCs w:val="20"/>
        </w:rPr>
        <w:t>“Stāties laulībā nevar par astoņpadsmit gadiem jaunāks vīrietis un par piecpadsmit gadiem jaunāka sieviete. ”</w:t>
      </w:r>
    </w:p>
    <w:p w:rsidR="00F50B23" w:rsidRPr="00F50B23" w:rsidRDefault="00F50B23" w:rsidP="00F50B23">
      <w:pPr>
        <w:pStyle w:val="ECHRParaQuote"/>
        <w:spacing w:before="0" w:after="0"/>
        <w:ind w:left="426"/>
        <w:rPr>
          <w:rFonts w:ascii="Times New Roman" w:hAnsi="Times New Roman"/>
          <w:noProof/>
          <w:szCs w:val="20"/>
        </w:rPr>
      </w:pP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22</w:t>
      </w:r>
      <w:r w:rsidRPr="00AD657E">
        <w:rPr>
          <w:rFonts w:ascii="Times New Roman" w:hAnsi="Times New Roman"/>
          <w:noProof/>
        </w:rPr>
        <w:fldChar w:fldCharType="end"/>
      </w:r>
      <w:r w:rsidRPr="00AD657E">
        <w:rPr>
          <w:rFonts w:ascii="Times New Roman" w:hAnsi="Times New Roman"/>
          <w:noProof/>
        </w:rPr>
        <w:t>. Savukārt šā kodeksa 75. panta, kas saistīts ar laulības noslēgšanu, pēdējā punktā norādīts, ka dzimtsarakstu nodaļas amatpersonai jāsaņem no katras puses “apliecinājums, ka viņi vēlas kļūt par vīru un sievu. ”</w:t>
      </w: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23</w:t>
      </w:r>
      <w:r w:rsidRPr="00AD657E">
        <w:rPr>
          <w:rFonts w:ascii="Times New Roman" w:hAnsi="Times New Roman"/>
          <w:noProof/>
        </w:rPr>
        <w:fldChar w:fldCharType="end"/>
      </w:r>
      <w:r w:rsidRPr="00AD657E">
        <w:rPr>
          <w:rFonts w:ascii="Times New Roman" w:hAnsi="Times New Roman"/>
          <w:noProof/>
        </w:rPr>
        <w:t>. Pēc Kasācijas tiesas 2010. gada 16. novembra lūguma pārbaudīt šo Civilkodeksa normu konstitucionālo atbilstību Konstitucionālā padome apstiprināja to atbilstību konstitūcijai ar 2011. gada 28. janvāra lēmumu. Tā norādīja, ka tiesības uz normālu ģimenes dzīvi nenozīmē tiesības viendzimuma pāriem precēties, ka, saglabājot principu, saskaņā ar kuru laulība ir savienība starp vīrieti un sievieti, likumdevējs bija izvērtējis, ka situācijas atšķirība starp viendzimuma pāriem un pāriem, kuri sastāv no vīrieša un sievietes, var pamatot atšķirīgu attieksmi ģimenes tiesību regulējuma izpratnē, un ka tai nav pienākuma pārskatīt likumdevēja novērtējumu.</w:t>
      </w:r>
    </w:p>
    <w:p w:rsidR="005A54DE" w:rsidRPr="00AD657E" w:rsidRDefault="005A54DE" w:rsidP="00AD657E">
      <w:pPr>
        <w:pStyle w:val="ECHRPara"/>
        <w:rPr>
          <w:rFonts w:ascii="Times New Roman" w:hAnsi="Times New Roman"/>
          <w:bCs/>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24</w:t>
      </w:r>
      <w:r w:rsidRPr="00AD657E">
        <w:rPr>
          <w:rFonts w:ascii="Times New Roman" w:hAnsi="Times New Roman"/>
          <w:noProof/>
        </w:rPr>
        <w:fldChar w:fldCharType="end"/>
      </w:r>
      <w:r w:rsidRPr="00AD657E">
        <w:rPr>
          <w:rFonts w:ascii="Times New Roman" w:hAnsi="Times New Roman"/>
          <w:noProof/>
        </w:rPr>
        <w:t>. Pēc 2013. gada 17. maija likuma Nr. 2013-404, kas pieļauj laulības starp viendzimuma pāriem, pieņemšanas, jaunais Civilkodeksa 143. pants ir šāds: “Laulību slēdz divi atšķirīga vai vienāda dzimuma cilvēki. ”</w:t>
      </w:r>
    </w:p>
    <w:p w:rsidR="005A54DE" w:rsidRPr="00AD657E" w:rsidRDefault="005A54DE" w:rsidP="00AD657E">
      <w:pPr>
        <w:pStyle w:val="ECHRPara"/>
        <w:rPr>
          <w:rFonts w:ascii="Times New Roman" w:hAnsi="Times New Roman"/>
          <w:noProof/>
        </w:rPr>
      </w:pPr>
      <w:r w:rsidRPr="00AD657E">
        <w:rPr>
          <w:rFonts w:ascii="Times New Roman" w:hAnsi="Times New Roman"/>
          <w:bCs/>
          <w:noProof/>
        </w:rPr>
        <w:fldChar w:fldCharType="begin"/>
      </w:r>
      <w:r w:rsidRPr="00AD657E">
        <w:rPr>
          <w:rFonts w:ascii="Times New Roman" w:hAnsi="Times New Roman"/>
          <w:bCs/>
          <w:noProof/>
        </w:rPr>
        <w:instrText xml:space="preserve"> SEQ level0 \*arabic </w:instrText>
      </w:r>
      <w:r w:rsidRPr="00AD657E">
        <w:rPr>
          <w:rFonts w:ascii="Times New Roman" w:hAnsi="Times New Roman"/>
          <w:bCs/>
          <w:noProof/>
        </w:rPr>
        <w:fldChar w:fldCharType="separate"/>
      </w:r>
      <w:r w:rsidRPr="00AD657E">
        <w:rPr>
          <w:rFonts w:ascii="Times New Roman" w:hAnsi="Times New Roman"/>
          <w:bCs/>
          <w:noProof/>
        </w:rPr>
        <w:t>25</w:t>
      </w:r>
      <w:r w:rsidRPr="00AD657E">
        <w:rPr>
          <w:rFonts w:ascii="Times New Roman" w:hAnsi="Times New Roman"/>
          <w:bCs/>
          <w:noProof/>
        </w:rPr>
        <w:fldChar w:fldCharType="end"/>
      </w:r>
      <w:r w:rsidRPr="00AD657E">
        <w:rPr>
          <w:rFonts w:ascii="Times New Roman" w:hAnsi="Times New Roman"/>
          <w:noProof/>
        </w:rPr>
        <w:t>. Saskaņā ar Civilkodeksa 515-1. pantu civilās solidaritātes pakts, kas tika izveidots ar 1999. gada 15. novembra likumu, ir “vienošanās, ko slēdz divas pilngadīgas viena vai atšķirīga dzimuma fiziskas personas, lai organizētu savu kopdzīvi. ” Civilās solidaritātes pakts rada partneriem noteiktas saistības, piemēram, veidot kopdzīvi un sniegt materiālu atbalstu un abpusēju palīdzību.</w:t>
      </w:r>
    </w:p>
    <w:p w:rsidR="005A54DE" w:rsidRPr="00AD657E" w:rsidRDefault="005A54DE" w:rsidP="00AD657E">
      <w:pPr>
        <w:pStyle w:val="ECHRPara"/>
        <w:rPr>
          <w:rFonts w:ascii="Times New Roman" w:hAnsi="Times New Roman"/>
          <w:i/>
          <w:noProof/>
        </w:rPr>
      </w:pPr>
      <w:r w:rsidRPr="00AD657E">
        <w:rPr>
          <w:rFonts w:ascii="Times New Roman" w:hAnsi="Times New Roman"/>
          <w:noProof/>
        </w:rPr>
        <w:t>Civilās solidaritātes pakts piešķir partneriem arī noteiktas nodokļu, finansiālas un sociālas tiesības. Tādējādi nodokļa aprēķina vajadzībām partneri veido vienu mājsaimniecību; viņi tiek apvienoti laulātā pārī, lai izmantotu konkrētas tiesības, it īpaši attiecībā uz veselības apdrošināšanu, grūtniecības un dzemdību atvaļinājumu un dzīvības apdrošināšanu. Noteiktas laulībām raksturīgas tiesības nav piemērojamas civilās solidaritātes paktu partnerībām, turklāt likums nerada starp partneriem radniecības saiknes un mantojuma tiesības. Civilās solidaritātes paktu pārtraukšana netiek veikta ar juridisku šķiršanās procedūru, bet vienkārši ar partneru kopīgu paziņojumu vai vienpusēju viena partnera lēmumu, par ko tiek paziņots otrai pusei (Civilkodeksa 515-7. pants). Turklāt civilās solidaritātes pakti nekādi neietekmē Civilkodeksa normas, kas saistītas ar adopcijas radītu radniecību un vecāku pilnvarām (lieta Nr. 25951/07 “Gā [</w:t>
      </w:r>
      <w:r w:rsidRPr="00AD657E">
        <w:rPr>
          <w:rFonts w:ascii="Times New Roman" w:hAnsi="Times New Roman"/>
          <w:i/>
          <w:noProof/>
        </w:rPr>
        <w:t>Gas</w:t>
      </w:r>
      <w:r w:rsidRPr="00AD657E">
        <w:rPr>
          <w:rFonts w:ascii="Times New Roman" w:hAnsi="Times New Roman"/>
          <w:noProof/>
        </w:rPr>
        <w:t>] un Dibuā [</w:t>
      </w:r>
      <w:r w:rsidRPr="00AD657E">
        <w:rPr>
          <w:rFonts w:ascii="Times New Roman" w:hAnsi="Times New Roman"/>
          <w:i/>
          <w:noProof/>
        </w:rPr>
        <w:t>Dubois</w:t>
      </w:r>
      <w:r w:rsidRPr="00AD657E">
        <w:rPr>
          <w:rFonts w:ascii="Times New Roman" w:hAnsi="Times New Roman"/>
          <w:noProof/>
        </w:rPr>
        <w:t>] pret Franciju”, 24. punkts, CEDH 2012).</w:t>
      </w:r>
    </w:p>
    <w:p w:rsidR="005A54DE" w:rsidRPr="00AD657E" w:rsidRDefault="005A54DE" w:rsidP="00AD657E">
      <w:pPr>
        <w:pStyle w:val="ECHRPara"/>
        <w:rPr>
          <w:rFonts w:ascii="Times New Roman" w:hAnsi="Times New Roman"/>
          <w:bCs/>
          <w:noProof/>
        </w:rPr>
      </w:pPr>
      <w:r w:rsidRPr="00AD657E">
        <w:rPr>
          <w:rFonts w:ascii="Times New Roman" w:hAnsi="Times New Roman"/>
          <w:bCs/>
          <w:noProof/>
        </w:rPr>
        <w:fldChar w:fldCharType="begin"/>
      </w:r>
      <w:r w:rsidRPr="00AD657E">
        <w:rPr>
          <w:rFonts w:ascii="Times New Roman" w:hAnsi="Times New Roman"/>
          <w:bCs/>
          <w:noProof/>
        </w:rPr>
        <w:instrText xml:space="preserve"> SEQ level0 \*arabic </w:instrText>
      </w:r>
      <w:r w:rsidRPr="00AD657E">
        <w:rPr>
          <w:rFonts w:ascii="Times New Roman" w:hAnsi="Times New Roman"/>
          <w:bCs/>
          <w:noProof/>
        </w:rPr>
        <w:fldChar w:fldCharType="separate"/>
      </w:r>
      <w:r w:rsidRPr="00AD657E">
        <w:rPr>
          <w:rFonts w:ascii="Times New Roman" w:hAnsi="Times New Roman"/>
          <w:bCs/>
          <w:noProof/>
        </w:rPr>
        <w:t>26</w:t>
      </w:r>
      <w:r w:rsidRPr="00AD657E">
        <w:rPr>
          <w:rFonts w:ascii="Times New Roman" w:hAnsi="Times New Roman"/>
          <w:bCs/>
          <w:noProof/>
        </w:rPr>
        <w:fldChar w:fldCharType="end"/>
      </w:r>
      <w:r w:rsidRPr="00AD657E">
        <w:rPr>
          <w:rFonts w:ascii="Times New Roman" w:hAnsi="Times New Roman"/>
          <w:noProof/>
        </w:rPr>
        <w:t>. Attiecībā uz kopdzīvi, tā Civilkodeksa 515-8. pantā definēta kā “faktiska savienība, kurai raksturīga kopīga, stabila un nepārtraukta dzīve starp divām vienāda vai atšķirīga dzimuma personām, kas dzīvo pārī. ”</w:t>
      </w:r>
    </w:p>
    <w:p w:rsidR="005A54DE" w:rsidRPr="00AD657E" w:rsidRDefault="005A54DE" w:rsidP="00AD657E">
      <w:pPr>
        <w:pStyle w:val="ECHRPara"/>
        <w:rPr>
          <w:rFonts w:ascii="Times New Roman" w:hAnsi="Times New Roman"/>
          <w:noProof/>
          <w:snapToGrid w:val="0"/>
        </w:rPr>
      </w:pPr>
      <w:r w:rsidRPr="00AD657E">
        <w:rPr>
          <w:rFonts w:ascii="Times New Roman" w:hAnsi="Times New Roman"/>
          <w:bCs/>
          <w:noProof/>
        </w:rPr>
        <w:lastRenderedPageBreak/>
        <w:fldChar w:fldCharType="begin"/>
      </w:r>
      <w:r w:rsidRPr="00AD657E">
        <w:rPr>
          <w:rFonts w:ascii="Times New Roman" w:hAnsi="Times New Roman"/>
          <w:bCs/>
          <w:noProof/>
        </w:rPr>
        <w:instrText xml:space="preserve"> SEQ level0 \*arabic </w:instrText>
      </w:r>
      <w:r w:rsidRPr="00AD657E">
        <w:rPr>
          <w:rFonts w:ascii="Times New Roman" w:hAnsi="Times New Roman"/>
          <w:bCs/>
          <w:noProof/>
        </w:rPr>
        <w:fldChar w:fldCharType="separate"/>
      </w:r>
      <w:r w:rsidRPr="00AD657E">
        <w:rPr>
          <w:rFonts w:ascii="Times New Roman" w:hAnsi="Times New Roman"/>
          <w:bCs/>
          <w:noProof/>
        </w:rPr>
        <w:t>27</w:t>
      </w:r>
      <w:r w:rsidRPr="00AD657E">
        <w:rPr>
          <w:rFonts w:ascii="Times New Roman" w:hAnsi="Times New Roman"/>
          <w:bCs/>
          <w:noProof/>
        </w:rPr>
        <w:fldChar w:fldCharType="end"/>
      </w:r>
      <w:r w:rsidRPr="00AD657E">
        <w:rPr>
          <w:rFonts w:ascii="Times New Roman" w:hAnsi="Times New Roman"/>
          <w:noProof/>
        </w:rPr>
        <w:t>. Salīdzinošs tiesību pārskats šajos jautājumos, kā arī Eiropas Padomes un Eiropas Savienības saistošie teksti ir atrodami lietas “Olijārī [</w:t>
      </w:r>
      <w:r w:rsidRPr="00AD657E">
        <w:rPr>
          <w:rFonts w:ascii="Times New Roman" w:hAnsi="Times New Roman"/>
          <w:i/>
          <w:noProof/>
        </w:rPr>
        <w:t>Oliari</w:t>
      </w:r>
      <w:r w:rsidRPr="00AD657E">
        <w:rPr>
          <w:rFonts w:ascii="Times New Roman" w:hAnsi="Times New Roman"/>
          <w:noProof/>
        </w:rPr>
        <w:t>] un citi pret Itāliju” (Nr. 18766/11 un 36030/11, 53.-64. punkts, 2015. gada 21. jūlijs) spriedumā.</w:t>
      </w:r>
    </w:p>
    <w:p w:rsidR="00AE317D" w:rsidRDefault="00AE317D" w:rsidP="00AD657E">
      <w:pPr>
        <w:pStyle w:val="ECHRPara"/>
        <w:ind w:firstLine="0"/>
        <w:rPr>
          <w:rFonts w:ascii="Times New Roman" w:hAnsi="Times New Roman"/>
          <w:i/>
          <w:noProof/>
        </w:rPr>
      </w:pPr>
    </w:p>
    <w:p w:rsidR="00F50B23" w:rsidRPr="00AD657E" w:rsidRDefault="00F50B23" w:rsidP="00AD657E">
      <w:pPr>
        <w:pStyle w:val="ECHRPara"/>
        <w:ind w:firstLine="0"/>
        <w:rPr>
          <w:rFonts w:ascii="Times New Roman" w:hAnsi="Times New Roman"/>
          <w:i/>
          <w:noProof/>
        </w:rPr>
      </w:pPr>
    </w:p>
    <w:p w:rsidR="005A54DE" w:rsidRPr="00AD657E" w:rsidRDefault="005A54DE" w:rsidP="00AD657E">
      <w:pPr>
        <w:pStyle w:val="ECHRTitle1"/>
        <w:keepNext w:val="0"/>
        <w:keepLines w:val="0"/>
        <w:spacing w:before="0" w:after="0"/>
        <w:outlineLvl w:val="9"/>
        <w:rPr>
          <w:rFonts w:ascii="Times New Roman" w:hAnsi="Times New Roman"/>
          <w:noProof/>
          <w:sz w:val="24"/>
        </w:rPr>
      </w:pPr>
      <w:r w:rsidRPr="00AD657E">
        <w:rPr>
          <w:rFonts w:ascii="Times New Roman" w:hAnsi="Times New Roman"/>
          <w:noProof/>
          <w:sz w:val="24"/>
        </w:rPr>
        <w:t>JURIDISKAIS PAMATOJUMS</w:t>
      </w:r>
    </w:p>
    <w:p w:rsidR="00F50B23" w:rsidRDefault="00F50B23" w:rsidP="00AD657E">
      <w:pPr>
        <w:pStyle w:val="ECHRHeading1"/>
        <w:keepNext w:val="0"/>
        <w:keepLines w:val="0"/>
        <w:spacing w:before="0" w:after="0"/>
        <w:ind w:left="0" w:firstLine="0"/>
        <w:outlineLvl w:val="9"/>
        <w:rPr>
          <w:rFonts w:ascii="Times New Roman" w:hAnsi="Times New Roman"/>
          <w:noProof/>
        </w:rPr>
      </w:pPr>
    </w:p>
    <w:p w:rsidR="005A54DE" w:rsidRPr="00AD657E" w:rsidRDefault="005A54DE" w:rsidP="00AD657E">
      <w:pPr>
        <w:pStyle w:val="ECHRHeading1"/>
        <w:keepNext w:val="0"/>
        <w:keepLines w:val="0"/>
        <w:spacing w:before="0" w:after="0"/>
        <w:ind w:left="0" w:firstLine="0"/>
        <w:outlineLvl w:val="9"/>
        <w:rPr>
          <w:rFonts w:ascii="Times New Roman" w:hAnsi="Times New Roman"/>
          <w:noProof/>
        </w:rPr>
      </w:pPr>
      <w:r w:rsidRPr="00AD657E">
        <w:rPr>
          <w:rFonts w:ascii="Times New Roman" w:hAnsi="Times New Roman"/>
          <w:noProof/>
        </w:rPr>
        <w:t>I. IESPĒJAMAIS KONVENCIJAS 12. PANTA, KAS LASĀMS KOPĀ AR 14. PANTU, PĀRKĀPUMS</w:t>
      </w:r>
    </w:p>
    <w:p w:rsidR="00AE317D" w:rsidRPr="00AD657E" w:rsidRDefault="00AE317D" w:rsidP="00AD657E">
      <w:pPr>
        <w:pStyle w:val="ECHRPara"/>
        <w:ind w:firstLine="0"/>
        <w:rPr>
          <w:rFonts w:ascii="Times New Roman" w:hAnsi="Times New Roman"/>
        </w:rPr>
      </w:pP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28</w:t>
      </w:r>
      <w:r w:rsidRPr="00AD657E">
        <w:rPr>
          <w:rFonts w:ascii="Times New Roman" w:hAnsi="Times New Roman"/>
          <w:noProof/>
        </w:rPr>
        <w:fldChar w:fldCharType="end"/>
      </w:r>
      <w:r w:rsidRPr="00AD657E">
        <w:rPr>
          <w:rFonts w:ascii="Times New Roman" w:hAnsi="Times New Roman"/>
          <w:noProof/>
        </w:rPr>
        <w:t>. Pieteikuma iesniedzēji faktā, ka laulības var slēgt tikai dažāda dzimuma pāri, saskata viņu tiesību stāties laulībā diskriminējošu pārkāpumu. Viņi atsaucas uz Konvencijas 12. pantu, kas lasāms kopā ar 14. pantu, kuru redakcija ir šāda:</w:t>
      </w:r>
    </w:p>
    <w:p w:rsidR="00AE317D" w:rsidRPr="00AD657E" w:rsidRDefault="00AE317D" w:rsidP="00AD657E">
      <w:pPr>
        <w:pStyle w:val="ECHRTitleCentre3"/>
        <w:keepNext w:val="0"/>
        <w:keepLines w:val="0"/>
        <w:spacing w:before="0" w:after="0"/>
        <w:jc w:val="both"/>
        <w:outlineLvl w:val="9"/>
        <w:rPr>
          <w:rFonts w:ascii="Times New Roman" w:hAnsi="Times New Roman"/>
          <w:noProof/>
          <w:sz w:val="24"/>
        </w:rPr>
      </w:pPr>
    </w:p>
    <w:p w:rsidR="005A54DE" w:rsidRPr="00AD657E" w:rsidRDefault="005A54DE" w:rsidP="00F50B23">
      <w:pPr>
        <w:pStyle w:val="ECHRTitleCentre3"/>
        <w:keepNext w:val="0"/>
        <w:keepLines w:val="0"/>
        <w:spacing w:before="0" w:after="0"/>
        <w:outlineLvl w:val="9"/>
        <w:rPr>
          <w:rFonts w:ascii="Times New Roman" w:hAnsi="Times New Roman"/>
          <w:noProof/>
          <w:sz w:val="24"/>
        </w:rPr>
      </w:pPr>
      <w:r w:rsidRPr="00AD657E">
        <w:rPr>
          <w:rFonts w:ascii="Times New Roman" w:hAnsi="Times New Roman"/>
          <w:noProof/>
          <w:sz w:val="24"/>
        </w:rPr>
        <w:t>12. pants</w:t>
      </w:r>
    </w:p>
    <w:p w:rsidR="00F50B23" w:rsidRDefault="00F50B23" w:rsidP="00F50B23">
      <w:pPr>
        <w:pStyle w:val="ECHRParaQuote"/>
        <w:spacing w:before="0" w:after="0"/>
        <w:ind w:left="426"/>
        <w:rPr>
          <w:rFonts w:ascii="Times New Roman" w:hAnsi="Times New Roman"/>
          <w:noProof/>
          <w:szCs w:val="20"/>
        </w:rPr>
      </w:pPr>
    </w:p>
    <w:p w:rsidR="005A54DE" w:rsidRPr="00F50B23" w:rsidRDefault="005A54DE" w:rsidP="00F50B23">
      <w:pPr>
        <w:pStyle w:val="ECHRParaQuote"/>
        <w:spacing w:before="0" w:after="0"/>
        <w:ind w:left="426"/>
        <w:rPr>
          <w:rFonts w:ascii="Times New Roman" w:hAnsi="Times New Roman"/>
          <w:noProof/>
          <w:szCs w:val="20"/>
        </w:rPr>
      </w:pPr>
      <w:r w:rsidRPr="00F50B23">
        <w:rPr>
          <w:rFonts w:ascii="Times New Roman" w:hAnsi="Times New Roman"/>
          <w:noProof/>
          <w:szCs w:val="20"/>
        </w:rPr>
        <w:t>“Pilngadību sasniegušiem vīriešiem un sievietēm ir tiesības stāties laulībā un dibināt ģimeni saskaņā ar valsts iekšējo likumdošanu, kas nosaka šo tiesību izmantošanas kārtību. ”</w:t>
      </w:r>
    </w:p>
    <w:p w:rsidR="00AE317D" w:rsidRPr="00AD657E" w:rsidRDefault="00AE317D" w:rsidP="00AD657E">
      <w:pPr>
        <w:pStyle w:val="ECHRTitleCentre3"/>
        <w:keepNext w:val="0"/>
        <w:keepLines w:val="0"/>
        <w:spacing w:before="0" w:after="0"/>
        <w:jc w:val="both"/>
        <w:outlineLvl w:val="9"/>
        <w:rPr>
          <w:rFonts w:ascii="Times New Roman" w:hAnsi="Times New Roman"/>
          <w:noProof/>
          <w:sz w:val="24"/>
        </w:rPr>
      </w:pPr>
    </w:p>
    <w:p w:rsidR="005A54DE" w:rsidRPr="00AD657E" w:rsidRDefault="005A54DE" w:rsidP="00F50B23">
      <w:pPr>
        <w:pStyle w:val="ECHRTitleCentre3"/>
        <w:keepNext w:val="0"/>
        <w:keepLines w:val="0"/>
        <w:spacing w:before="0" w:after="0"/>
        <w:outlineLvl w:val="9"/>
        <w:rPr>
          <w:rFonts w:ascii="Times New Roman" w:hAnsi="Times New Roman"/>
          <w:noProof/>
          <w:sz w:val="24"/>
        </w:rPr>
      </w:pPr>
      <w:r w:rsidRPr="00AD657E">
        <w:rPr>
          <w:rFonts w:ascii="Times New Roman" w:hAnsi="Times New Roman"/>
          <w:noProof/>
          <w:sz w:val="24"/>
        </w:rPr>
        <w:t>14. pants</w:t>
      </w:r>
    </w:p>
    <w:p w:rsidR="00F50B23" w:rsidRDefault="00F50B23" w:rsidP="00F50B23">
      <w:pPr>
        <w:pStyle w:val="ECHRParaQuote"/>
        <w:spacing w:before="0" w:after="0"/>
        <w:ind w:left="426"/>
        <w:rPr>
          <w:rFonts w:ascii="Times New Roman" w:hAnsi="Times New Roman"/>
          <w:noProof/>
          <w:szCs w:val="20"/>
        </w:rPr>
      </w:pPr>
    </w:p>
    <w:p w:rsidR="005A54DE" w:rsidRDefault="005A54DE" w:rsidP="00F50B23">
      <w:pPr>
        <w:pStyle w:val="ECHRParaQuote"/>
        <w:spacing w:before="0" w:after="0"/>
        <w:ind w:left="426"/>
        <w:rPr>
          <w:rFonts w:ascii="Times New Roman" w:hAnsi="Times New Roman"/>
          <w:noProof/>
          <w:szCs w:val="20"/>
        </w:rPr>
      </w:pPr>
      <w:r w:rsidRPr="00F50B23">
        <w:rPr>
          <w:rFonts w:ascii="Times New Roman" w:hAnsi="Times New Roman"/>
          <w:noProof/>
          <w:szCs w:val="20"/>
        </w:rPr>
        <w:t>“Šajā Konvencijā minēto tiesību un brīvību īstenošana tiek nodrošināta bez jebkādas diskriminācijas – neatkarīgi no dzimuma, rases, ādas krāsas, valodas, reliģijas, politiskajiem vai citiem uzskatiem, nacionālās vai sociālās izcelsmes, saistības ar kādu nacionālo minoritāti, mantiskā stāvokļa, kārtas vai cita stāvokļa. ”</w:t>
      </w:r>
    </w:p>
    <w:p w:rsidR="00F50B23" w:rsidRPr="00F50B23" w:rsidRDefault="00F50B23" w:rsidP="00F50B23">
      <w:pPr>
        <w:pStyle w:val="ECHRParaQuote"/>
        <w:spacing w:before="0" w:after="0"/>
        <w:ind w:left="426"/>
        <w:rPr>
          <w:rFonts w:ascii="Times New Roman" w:hAnsi="Times New Roman"/>
          <w:noProof/>
          <w:szCs w:val="20"/>
        </w:rPr>
      </w:pP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29</w:t>
      </w:r>
      <w:r w:rsidRPr="00AD657E">
        <w:rPr>
          <w:rFonts w:ascii="Times New Roman" w:hAnsi="Times New Roman"/>
          <w:noProof/>
        </w:rPr>
        <w:fldChar w:fldCharType="end"/>
      </w:r>
      <w:r w:rsidRPr="00AD657E">
        <w:rPr>
          <w:rFonts w:ascii="Times New Roman" w:hAnsi="Times New Roman"/>
          <w:noProof/>
        </w:rPr>
        <w:t>. Valdība iebilst pret šo apgalvojumu.</w:t>
      </w:r>
    </w:p>
    <w:p w:rsidR="00AE317D" w:rsidRPr="00AD657E" w:rsidRDefault="00AE317D" w:rsidP="00AD657E">
      <w:pPr>
        <w:pStyle w:val="ECHRHeading2"/>
        <w:keepNext w:val="0"/>
        <w:keepLines w:val="0"/>
        <w:spacing w:before="0" w:after="0"/>
        <w:ind w:left="0" w:firstLine="0"/>
        <w:outlineLvl w:val="9"/>
        <w:rPr>
          <w:rFonts w:ascii="Times New Roman" w:hAnsi="Times New Roman"/>
          <w:noProof/>
        </w:rPr>
      </w:pPr>
    </w:p>
    <w:p w:rsidR="005A54DE" w:rsidRDefault="005A54DE" w:rsidP="00AD657E">
      <w:pPr>
        <w:pStyle w:val="ECHRHeading2"/>
        <w:keepNext w:val="0"/>
        <w:keepLines w:val="0"/>
        <w:spacing w:before="0" w:after="0"/>
        <w:ind w:left="0" w:firstLine="0"/>
        <w:outlineLvl w:val="9"/>
        <w:rPr>
          <w:rFonts w:ascii="Times New Roman" w:hAnsi="Times New Roman"/>
          <w:noProof/>
        </w:rPr>
      </w:pPr>
      <w:r w:rsidRPr="00AD657E">
        <w:rPr>
          <w:rFonts w:ascii="Times New Roman" w:hAnsi="Times New Roman"/>
          <w:noProof/>
        </w:rPr>
        <w:t>A. Pieteikuma pieņemamība</w:t>
      </w:r>
    </w:p>
    <w:p w:rsidR="00F50B23" w:rsidRPr="00F50B23" w:rsidRDefault="00F50B23" w:rsidP="00F50B23">
      <w:pPr>
        <w:pStyle w:val="ECHRPara"/>
      </w:pP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30</w:t>
      </w:r>
      <w:r w:rsidRPr="00AD657E">
        <w:rPr>
          <w:rFonts w:ascii="Times New Roman" w:hAnsi="Times New Roman"/>
          <w:noProof/>
        </w:rPr>
        <w:fldChar w:fldCharType="end"/>
      </w:r>
      <w:r w:rsidRPr="00AD657E">
        <w:rPr>
          <w:rFonts w:ascii="Times New Roman" w:hAnsi="Times New Roman"/>
          <w:noProof/>
        </w:rPr>
        <w:t xml:space="preserve">. Savos sākotnējos komentāros Valdība norādīja uz sūdzības </w:t>
      </w:r>
      <w:r w:rsidRPr="00AD657E">
        <w:rPr>
          <w:rFonts w:ascii="Times New Roman" w:hAnsi="Times New Roman"/>
          <w:i/>
          <w:noProof/>
        </w:rPr>
        <w:t xml:space="preserve">ratione materiae </w:t>
      </w:r>
      <w:r w:rsidRPr="00AD657E">
        <w:rPr>
          <w:rFonts w:ascii="Times New Roman" w:hAnsi="Times New Roman"/>
          <w:noProof/>
        </w:rPr>
        <w:t>jurisdikcijas nesavienojamību ar Konvencijas normām.</w:t>
      </w: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31</w:t>
      </w:r>
      <w:r w:rsidRPr="00AD657E">
        <w:rPr>
          <w:rFonts w:ascii="Times New Roman" w:hAnsi="Times New Roman"/>
          <w:noProof/>
        </w:rPr>
        <w:fldChar w:fldCharType="end"/>
      </w:r>
      <w:r w:rsidRPr="00AD657E">
        <w:rPr>
          <w:rFonts w:ascii="Times New Roman" w:hAnsi="Times New Roman"/>
          <w:noProof/>
        </w:rPr>
        <w:t>. Tiesa atgādina, ka lietas “Šalks [</w:t>
      </w:r>
      <w:r w:rsidRPr="00AD657E">
        <w:rPr>
          <w:rFonts w:ascii="Times New Roman" w:hAnsi="Times New Roman"/>
          <w:i/>
          <w:noProof/>
        </w:rPr>
        <w:t>Schalk</w:t>
      </w:r>
      <w:r w:rsidRPr="00AD657E">
        <w:rPr>
          <w:rFonts w:ascii="Times New Roman" w:hAnsi="Times New Roman"/>
          <w:noProof/>
        </w:rPr>
        <w:t>] un Kopfs [</w:t>
      </w:r>
      <w:r w:rsidRPr="00AD657E">
        <w:rPr>
          <w:rFonts w:ascii="Times New Roman" w:hAnsi="Times New Roman"/>
          <w:i/>
          <w:noProof/>
        </w:rPr>
        <w:t>Kopf</w:t>
      </w:r>
      <w:r w:rsidRPr="00AD657E">
        <w:rPr>
          <w:rFonts w:ascii="Times New Roman" w:hAnsi="Times New Roman"/>
          <w:noProof/>
        </w:rPr>
        <w:t>] pret Austriju” (Nr.</w:t>
      </w:r>
      <w:r w:rsidRPr="00AD657E">
        <w:rPr>
          <w:rFonts w:ascii="Times New Roman" w:hAnsi="Times New Roman"/>
          <w:noProof/>
          <w:vertAlign w:val="superscript"/>
        </w:rPr>
        <w:t> </w:t>
      </w:r>
      <w:r w:rsidRPr="00AD657E">
        <w:rPr>
          <w:rFonts w:ascii="Times New Roman" w:hAnsi="Times New Roman"/>
          <w:noProof/>
        </w:rPr>
        <w:t>30141/04, 61. punkts, CEDH 2010.) spriedumā tā, atsaucoties uz Eiropas Savienības Pamattiesību hartas 9. pantu, atzina, ka uz pieteikuma iesniedzēju sūdzību attiecas 12. pants (sk. arī iepriekš citētās lietas Nr. 37359/09 “Hāmalājnens [</w:t>
      </w:r>
      <w:r w:rsidRPr="00AD657E">
        <w:rPr>
          <w:rFonts w:ascii="Times New Roman" w:hAnsi="Times New Roman"/>
          <w:i/>
          <w:noProof/>
        </w:rPr>
        <w:t>Hämäläinen</w:t>
      </w:r>
      <w:r w:rsidRPr="00AD657E">
        <w:rPr>
          <w:rFonts w:ascii="Times New Roman" w:hAnsi="Times New Roman"/>
          <w:noProof/>
        </w:rPr>
        <w:t>] pret Somiju” [GC] 110. punktu, CEDH 2014., un lietas “Olijārī [</w:t>
      </w:r>
      <w:r w:rsidRPr="00AD657E">
        <w:rPr>
          <w:rFonts w:ascii="Times New Roman" w:hAnsi="Times New Roman"/>
          <w:i/>
          <w:noProof/>
        </w:rPr>
        <w:t>Oliari</w:t>
      </w:r>
      <w:r w:rsidRPr="00AD657E">
        <w:rPr>
          <w:rFonts w:ascii="Times New Roman" w:hAnsi="Times New Roman"/>
          <w:noProof/>
        </w:rPr>
        <w:t>] un citi pret Itāliju” 191. punktu). Tiesa nesaskata nekādus iemeslus citādam secinājumam šeit izskatāmajā lietā.</w:t>
      </w: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32</w:t>
      </w:r>
      <w:r w:rsidRPr="00AD657E">
        <w:rPr>
          <w:rFonts w:ascii="Times New Roman" w:hAnsi="Times New Roman"/>
          <w:noProof/>
        </w:rPr>
        <w:fldChar w:fldCharType="end"/>
      </w:r>
      <w:r w:rsidRPr="00AD657E">
        <w:rPr>
          <w:rFonts w:ascii="Times New Roman" w:hAnsi="Times New Roman"/>
          <w:noProof/>
        </w:rPr>
        <w:t>. Līdz ar to Valdības iebildums ir noraidāms. Turklāt Tiesa secina, ka sūdzība Konvencijas 35. panta 3. a) punkta izpratnē nav acīmredzami nepamatota, un ka tā nav pretrunā ar nevienu citu pieņemamības pamatojumu. Līdz ar to Tiesa sūdzību pasludina par pieņemamu.</w:t>
      </w:r>
    </w:p>
    <w:p w:rsidR="00AE317D" w:rsidRPr="00AD657E" w:rsidRDefault="00AE317D" w:rsidP="00AD657E">
      <w:pPr>
        <w:pStyle w:val="ECHRHeading2"/>
        <w:keepNext w:val="0"/>
        <w:keepLines w:val="0"/>
        <w:spacing w:before="0" w:after="0"/>
        <w:ind w:left="0" w:firstLine="0"/>
        <w:outlineLvl w:val="9"/>
        <w:rPr>
          <w:rFonts w:ascii="Times New Roman" w:hAnsi="Times New Roman"/>
          <w:noProof/>
        </w:rPr>
      </w:pPr>
    </w:p>
    <w:p w:rsidR="005A54DE" w:rsidRPr="00AD657E" w:rsidRDefault="005A54DE" w:rsidP="00AD657E">
      <w:pPr>
        <w:pStyle w:val="ECHRHeading2"/>
        <w:keepNext w:val="0"/>
        <w:keepLines w:val="0"/>
        <w:spacing w:before="0" w:after="0"/>
        <w:ind w:left="0" w:firstLine="0"/>
        <w:outlineLvl w:val="9"/>
        <w:rPr>
          <w:rFonts w:ascii="Times New Roman" w:hAnsi="Times New Roman"/>
          <w:noProof/>
        </w:rPr>
      </w:pPr>
      <w:r w:rsidRPr="00AD657E">
        <w:rPr>
          <w:rFonts w:ascii="Times New Roman" w:hAnsi="Times New Roman"/>
          <w:noProof/>
        </w:rPr>
        <w:t>B. Lietas būtība</w:t>
      </w:r>
    </w:p>
    <w:p w:rsidR="00F50B23" w:rsidRDefault="00F50B23" w:rsidP="00AD657E">
      <w:pPr>
        <w:pStyle w:val="ECHRHeading3"/>
        <w:keepNext w:val="0"/>
        <w:keepLines w:val="0"/>
        <w:spacing w:before="0" w:after="0"/>
        <w:ind w:left="0" w:firstLine="0"/>
        <w:outlineLvl w:val="9"/>
        <w:rPr>
          <w:rFonts w:ascii="Times New Roman" w:hAnsi="Times New Roman"/>
          <w:noProof/>
        </w:rPr>
      </w:pPr>
    </w:p>
    <w:p w:rsidR="005A54DE" w:rsidRPr="00AD657E" w:rsidRDefault="005A54DE" w:rsidP="00AD657E">
      <w:pPr>
        <w:pStyle w:val="ECHRHeading3"/>
        <w:keepNext w:val="0"/>
        <w:keepLines w:val="0"/>
        <w:spacing w:before="0" w:after="0"/>
        <w:ind w:left="0" w:firstLine="0"/>
        <w:outlineLvl w:val="9"/>
        <w:rPr>
          <w:rFonts w:ascii="Times New Roman" w:hAnsi="Times New Roman"/>
          <w:noProof/>
        </w:rPr>
      </w:pPr>
      <w:r w:rsidRPr="00AD657E">
        <w:rPr>
          <w:rFonts w:ascii="Times New Roman" w:hAnsi="Times New Roman"/>
          <w:noProof/>
        </w:rPr>
        <w:t>1. Pušu un trešo pušu argumenti</w:t>
      </w:r>
    </w:p>
    <w:p w:rsidR="00F50B23" w:rsidRDefault="00F50B23" w:rsidP="00AD657E">
      <w:pPr>
        <w:pStyle w:val="ECHRHeading4"/>
        <w:keepNext w:val="0"/>
        <w:keepLines w:val="0"/>
        <w:spacing w:before="0" w:after="0"/>
        <w:ind w:left="0" w:firstLine="0"/>
        <w:outlineLvl w:val="9"/>
        <w:rPr>
          <w:rFonts w:ascii="Times New Roman" w:hAnsi="Times New Roman"/>
          <w:noProof/>
          <w:sz w:val="24"/>
        </w:rPr>
      </w:pPr>
    </w:p>
    <w:p w:rsidR="005A54DE" w:rsidRPr="00AD657E" w:rsidRDefault="005A54DE" w:rsidP="00AD657E">
      <w:pPr>
        <w:pStyle w:val="ECHRHeading4"/>
        <w:keepNext w:val="0"/>
        <w:keepLines w:val="0"/>
        <w:spacing w:before="0" w:after="0"/>
        <w:ind w:left="0" w:firstLine="0"/>
        <w:outlineLvl w:val="9"/>
        <w:rPr>
          <w:rFonts w:ascii="Times New Roman" w:hAnsi="Times New Roman"/>
          <w:noProof/>
          <w:sz w:val="24"/>
        </w:rPr>
      </w:pPr>
      <w:r w:rsidRPr="00AD657E">
        <w:rPr>
          <w:rFonts w:ascii="Times New Roman" w:hAnsi="Times New Roman"/>
          <w:noProof/>
          <w:sz w:val="24"/>
        </w:rPr>
        <w:t>a) Puses</w:t>
      </w:r>
    </w:p>
    <w:p w:rsidR="00AE317D" w:rsidRPr="00AD657E" w:rsidRDefault="00AE317D" w:rsidP="00AD657E">
      <w:pPr>
        <w:pStyle w:val="ECHRPara"/>
        <w:ind w:firstLine="0"/>
        <w:rPr>
          <w:rFonts w:ascii="Times New Roman" w:hAnsi="Times New Roman"/>
        </w:rPr>
      </w:pP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33</w:t>
      </w:r>
      <w:r w:rsidRPr="00AD657E">
        <w:rPr>
          <w:rFonts w:ascii="Times New Roman" w:hAnsi="Times New Roman"/>
          <w:noProof/>
        </w:rPr>
        <w:fldChar w:fldCharType="end"/>
      </w:r>
      <w:r w:rsidRPr="00AD657E">
        <w:rPr>
          <w:rFonts w:ascii="Times New Roman" w:hAnsi="Times New Roman"/>
          <w:noProof/>
        </w:rPr>
        <w:t xml:space="preserve">. Pieteikuma iesniedzēji uzskata, ka pret viņiem vērsta diskriminācija viņu seksuālās orientācijas dēļ, liedzot izmantot 12. pantā garantētās tiesības stāties laulībā. Viņi apgalvo, ka, ja viņi būtu heteroseksuālas orientācijas, viņiem būtu pieejami trīs pāra aizsardzības stāvokļi (kopdzīve, civilās solidaritātes pakts un laulība) un uzsver, ka civilās solidaritātes pakta </w:t>
      </w:r>
      <w:r w:rsidRPr="00AD657E">
        <w:rPr>
          <w:rFonts w:ascii="Times New Roman" w:hAnsi="Times New Roman"/>
          <w:noProof/>
        </w:rPr>
        <w:lastRenderedPageBreak/>
        <w:t>sniegtā tiesiskā aizsardzība ir vājāka nekā tā, ko sniedz laulība. Viņi uzskata, ka šādai diskriminācijai nav likumīga mērķa (un, it īpaši, ka Valdības minētā tiesiskā līdzsvara aizsardzība attiecībā uz ģimeni un pēctecību neveido šādu mērķi) un nav samērīga.</w:t>
      </w: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34</w:t>
      </w:r>
      <w:r w:rsidRPr="00AD657E">
        <w:rPr>
          <w:rFonts w:ascii="Times New Roman" w:hAnsi="Times New Roman"/>
          <w:noProof/>
        </w:rPr>
        <w:fldChar w:fldCharType="end"/>
      </w:r>
      <w:r w:rsidRPr="00AD657E">
        <w:rPr>
          <w:rFonts w:ascii="Times New Roman" w:hAnsi="Times New Roman"/>
          <w:noProof/>
        </w:rPr>
        <w:t>. Balstoties uz spriedumu jau minētajā lietā “Šalks [</w:t>
      </w:r>
      <w:r w:rsidRPr="00AD657E">
        <w:rPr>
          <w:rFonts w:ascii="Times New Roman" w:hAnsi="Times New Roman"/>
          <w:i/>
          <w:noProof/>
        </w:rPr>
        <w:t>Schalk</w:t>
      </w:r>
      <w:r w:rsidRPr="00AD657E">
        <w:rPr>
          <w:rFonts w:ascii="Times New Roman" w:hAnsi="Times New Roman"/>
          <w:noProof/>
        </w:rPr>
        <w:t>] un Kopfs [</w:t>
      </w:r>
      <w:r w:rsidRPr="00AD657E">
        <w:rPr>
          <w:rFonts w:ascii="Times New Roman" w:hAnsi="Times New Roman"/>
          <w:i/>
          <w:noProof/>
        </w:rPr>
        <w:t>Kopf</w:t>
      </w:r>
      <w:r w:rsidRPr="00AD657E">
        <w:rPr>
          <w:rFonts w:ascii="Times New Roman" w:hAnsi="Times New Roman"/>
          <w:noProof/>
        </w:rPr>
        <w:t>] pret Austriju” un tur norādīto Tiesas apgalvojumu, ka “12. pants nerada pienākumu atbildētājas valsts valdībai piešķirt viendzimuma pārim, ko veido pieteikuma iesniedzēji, iespēju stāties laulībā”, Valdība secina, ka Pieteikuma iesniedzēji nevar iesniegt prasību par jelkādu pret viņiem vērstu diskrimināciju tādēļ, ka Francijas tiesību akti ļauj stāties laulībā tikai pāriem, kas sastāv no vīrieša un sievietes. Valdības jaunākajos komentāros uzsvērts, ka pēc 2013. gada 17. maija likuma stāšanās spēkā Pieteikuma iesniedzēji var stāties laulībā saskaņā ar Republikas tiesību aktiem.</w:t>
      </w:r>
    </w:p>
    <w:p w:rsidR="00AE317D" w:rsidRPr="00AD657E" w:rsidRDefault="00AE317D" w:rsidP="00AD657E">
      <w:pPr>
        <w:pStyle w:val="ECHRHeading4"/>
        <w:keepNext w:val="0"/>
        <w:keepLines w:val="0"/>
        <w:spacing w:before="0" w:after="0"/>
        <w:ind w:left="0" w:firstLine="0"/>
        <w:outlineLvl w:val="9"/>
        <w:rPr>
          <w:rFonts w:ascii="Times New Roman" w:hAnsi="Times New Roman"/>
          <w:noProof/>
          <w:sz w:val="24"/>
        </w:rPr>
      </w:pPr>
    </w:p>
    <w:p w:rsidR="005A54DE" w:rsidRDefault="005A54DE" w:rsidP="00AD657E">
      <w:pPr>
        <w:pStyle w:val="ECHRHeading4"/>
        <w:keepNext w:val="0"/>
        <w:keepLines w:val="0"/>
        <w:spacing w:before="0" w:after="0"/>
        <w:ind w:left="0" w:firstLine="0"/>
        <w:outlineLvl w:val="9"/>
        <w:rPr>
          <w:rFonts w:ascii="Times New Roman" w:hAnsi="Times New Roman"/>
          <w:noProof/>
          <w:sz w:val="24"/>
        </w:rPr>
      </w:pPr>
      <w:r w:rsidRPr="00AD657E">
        <w:rPr>
          <w:rFonts w:ascii="Times New Roman" w:hAnsi="Times New Roman"/>
          <w:noProof/>
          <w:sz w:val="24"/>
        </w:rPr>
        <w:t>b) Trešās puses</w:t>
      </w:r>
    </w:p>
    <w:p w:rsidR="00F50B23" w:rsidRPr="00F50B23" w:rsidRDefault="00F50B23" w:rsidP="00F50B23">
      <w:pPr>
        <w:pStyle w:val="ECHRPara"/>
      </w:pP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35</w:t>
      </w:r>
      <w:r w:rsidRPr="00AD657E">
        <w:rPr>
          <w:rFonts w:ascii="Times New Roman" w:hAnsi="Times New Roman"/>
          <w:noProof/>
        </w:rPr>
        <w:fldChar w:fldCharType="end"/>
      </w:r>
      <w:r w:rsidRPr="00AD657E">
        <w:rPr>
          <w:rFonts w:ascii="Times New Roman" w:hAnsi="Times New Roman"/>
          <w:noProof/>
        </w:rPr>
        <w:t>. Četras organizācijas, kas iesaistījās procesā kā trešās puses, iesniedza tādus pašus komentārus, kādus tās iesniedza iepriekš minētajā lietā “Šalks [</w:t>
      </w:r>
      <w:r w:rsidRPr="00AD657E">
        <w:rPr>
          <w:rFonts w:ascii="Times New Roman" w:hAnsi="Times New Roman"/>
          <w:i/>
          <w:noProof/>
        </w:rPr>
        <w:t>Schalk</w:t>
      </w:r>
      <w:r w:rsidRPr="00AD657E">
        <w:rPr>
          <w:rFonts w:ascii="Times New Roman" w:hAnsi="Times New Roman"/>
          <w:noProof/>
        </w:rPr>
        <w:t>] un Kopfs [</w:t>
      </w:r>
      <w:r w:rsidRPr="00AD657E">
        <w:rPr>
          <w:rFonts w:ascii="Times New Roman" w:hAnsi="Times New Roman"/>
          <w:i/>
          <w:noProof/>
        </w:rPr>
        <w:t>Kopf</w:t>
      </w:r>
      <w:r w:rsidRPr="00AD657E">
        <w:rPr>
          <w:rFonts w:ascii="Times New Roman" w:hAnsi="Times New Roman"/>
          <w:noProof/>
        </w:rPr>
        <w:t>] pret Austriju” (47. – 48. punkts).</w:t>
      </w:r>
    </w:p>
    <w:p w:rsidR="00AE317D" w:rsidRPr="00AD657E" w:rsidRDefault="00AE317D" w:rsidP="00AD657E">
      <w:pPr>
        <w:pStyle w:val="ECHRHeading3"/>
        <w:keepNext w:val="0"/>
        <w:keepLines w:val="0"/>
        <w:spacing w:before="0" w:after="0"/>
        <w:ind w:left="0" w:firstLine="0"/>
        <w:outlineLvl w:val="9"/>
        <w:rPr>
          <w:rFonts w:ascii="Times New Roman" w:hAnsi="Times New Roman"/>
          <w:noProof/>
        </w:rPr>
      </w:pPr>
    </w:p>
    <w:p w:rsidR="005A54DE" w:rsidRDefault="005A54DE" w:rsidP="00AD657E">
      <w:pPr>
        <w:pStyle w:val="ECHRHeading3"/>
        <w:keepNext w:val="0"/>
        <w:keepLines w:val="0"/>
        <w:spacing w:before="0" w:after="0"/>
        <w:ind w:left="0" w:firstLine="0"/>
        <w:outlineLvl w:val="9"/>
        <w:rPr>
          <w:rFonts w:ascii="Times New Roman" w:hAnsi="Times New Roman"/>
          <w:noProof/>
        </w:rPr>
      </w:pPr>
      <w:r w:rsidRPr="00AD657E">
        <w:rPr>
          <w:rFonts w:ascii="Times New Roman" w:hAnsi="Times New Roman"/>
          <w:noProof/>
        </w:rPr>
        <w:t>2. Tiesas vērtējums</w:t>
      </w:r>
    </w:p>
    <w:p w:rsidR="00F50B23" w:rsidRPr="00F50B23" w:rsidRDefault="00F50B23" w:rsidP="00F50B23">
      <w:pPr>
        <w:pStyle w:val="ECHRPara"/>
      </w:pPr>
    </w:p>
    <w:p w:rsidR="005A54DE" w:rsidRPr="00AD657E" w:rsidRDefault="005A54DE" w:rsidP="00AD657E">
      <w:pPr>
        <w:pStyle w:val="ECHRPara"/>
        <w:rPr>
          <w:rFonts w:ascii="Times New Roman" w:hAnsi="Times New Roman"/>
          <w:i/>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36</w:t>
      </w:r>
      <w:r w:rsidRPr="00AD657E">
        <w:rPr>
          <w:rFonts w:ascii="Times New Roman" w:hAnsi="Times New Roman"/>
          <w:noProof/>
        </w:rPr>
        <w:fldChar w:fldCharType="end"/>
      </w:r>
      <w:r w:rsidRPr="00AD657E">
        <w:rPr>
          <w:rFonts w:ascii="Times New Roman" w:hAnsi="Times New Roman"/>
          <w:noProof/>
        </w:rPr>
        <w:t>. Lietas “Šalks [</w:t>
      </w:r>
      <w:r w:rsidRPr="00AD657E">
        <w:rPr>
          <w:rFonts w:ascii="Times New Roman" w:hAnsi="Times New Roman"/>
          <w:i/>
          <w:noProof/>
        </w:rPr>
        <w:t>Schalk</w:t>
      </w:r>
      <w:r w:rsidRPr="00AD657E">
        <w:rPr>
          <w:rFonts w:ascii="Times New Roman" w:hAnsi="Times New Roman"/>
          <w:noProof/>
        </w:rPr>
        <w:t>] un Kopfs [</w:t>
      </w:r>
      <w:r w:rsidRPr="00AD657E">
        <w:rPr>
          <w:rFonts w:ascii="Times New Roman" w:hAnsi="Times New Roman"/>
          <w:i/>
          <w:noProof/>
        </w:rPr>
        <w:t>Kopf</w:t>
      </w:r>
      <w:r w:rsidRPr="00AD657E">
        <w:rPr>
          <w:rFonts w:ascii="Times New Roman" w:hAnsi="Times New Roman"/>
          <w:noProof/>
        </w:rPr>
        <w:t>] pret Austriju”(58. – 63. punkts) spriedumā Tiesa norādīja, ka kopš Konvencijas pieņemšanas laulības institūcijā ir bijušas ievērojamas sociālas pārmaiņas, bet Eiropā vēl nav panākta vienprātība par to, vai viendzimuma pāriem piešķiramas tiesības stāties laulībā. Tā uzskatīja, ka Konvencijas 12. pants ir attiecināms uz Pieteikuma iesniedzēju sūdzību, bet viendzimumu laulību atļaušanu vai aizliegumu regulē līgumvalstu nacionālie tiesību akti. Tā norādīja, ka laulībai piemīt cieši nostiprinājusies sociāla un kultūras nozīme, kas var ievērojami atšķirties dažādās sabiedrībās, un atgādināja, ka tai nevajadzētu ar savu vērtējumu aizvietot nacionālo iestāžu darbu, jo tās vislabāk spēj izprast un apmierināt sabiedrības vajadzības. Līdz ar to tā uzskatīja, ka 12. pants nerada pienākumu atbildētājas valsts valdībai piešķirt viendzimuma pārim, ko veido pieteikuma iesniedzēji, iespēju stāties laulībā (sk. arī lietu</w:t>
      </w:r>
      <w:bookmarkStart w:id="1" w:name="File6"/>
      <w:r w:rsidRPr="00AD657E">
        <w:rPr>
          <w:rFonts w:ascii="Times New Roman" w:hAnsi="Times New Roman"/>
          <w:i/>
          <w:noProof/>
        </w:rPr>
        <w:t xml:space="preserve"> </w:t>
      </w:r>
      <w:bookmarkEnd w:id="1"/>
      <w:r w:rsidRPr="00AD657E">
        <w:rPr>
          <w:rFonts w:ascii="Times New Roman" w:hAnsi="Times New Roman"/>
          <w:noProof/>
        </w:rPr>
        <w:t>Nr. 25951/07 “Gā [</w:t>
      </w:r>
      <w:r w:rsidRPr="00AD657E">
        <w:rPr>
          <w:rFonts w:ascii="Times New Roman" w:hAnsi="Times New Roman"/>
          <w:i/>
          <w:noProof/>
        </w:rPr>
        <w:t>Gas</w:t>
      </w:r>
      <w:r w:rsidRPr="00AD657E">
        <w:rPr>
          <w:rFonts w:ascii="Times New Roman" w:hAnsi="Times New Roman"/>
          <w:noProof/>
        </w:rPr>
        <w:t>] un Dibuā [</w:t>
      </w:r>
      <w:r w:rsidRPr="00AD657E">
        <w:rPr>
          <w:rFonts w:ascii="Times New Roman" w:hAnsi="Times New Roman"/>
          <w:i/>
          <w:noProof/>
        </w:rPr>
        <w:t>Dubois</w:t>
      </w:r>
      <w:r w:rsidRPr="00AD657E">
        <w:rPr>
          <w:rFonts w:ascii="Times New Roman" w:hAnsi="Times New Roman"/>
          <w:noProof/>
        </w:rPr>
        <w:t>] pret Franciju”, 66. punkts CEDH 2012.).</w:t>
      </w: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37</w:t>
      </w:r>
      <w:r w:rsidRPr="00AD657E">
        <w:rPr>
          <w:rFonts w:ascii="Times New Roman" w:hAnsi="Times New Roman"/>
          <w:noProof/>
        </w:rPr>
        <w:fldChar w:fldCharType="end"/>
      </w:r>
      <w:r w:rsidRPr="00AD657E">
        <w:rPr>
          <w:rFonts w:ascii="Times New Roman" w:hAnsi="Times New Roman"/>
          <w:noProof/>
        </w:rPr>
        <w:t>. Tādu pašu secinājumu Tiesa izdarīja nesen pieņemtajos spriedumos lietā</w:t>
      </w:r>
      <w:r w:rsidRPr="00AD657E">
        <w:rPr>
          <w:rFonts w:ascii="Times New Roman" w:hAnsi="Times New Roman"/>
          <w:i/>
          <w:noProof/>
        </w:rPr>
        <w:t xml:space="preserve"> “Hāmalājnens [Hämäläinen] pret Somiju”</w:t>
      </w:r>
      <w:r w:rsidRPr="00AD657E">
        <w:rPr>
          <w:rFonts w:ascii="Times New Roman" w:hAnsi="Times New Roman"/>
          <w:noProof/>
        </w:rPr>
        <w:t xml:space="preserve"> un lietā “Olijārī [</w:t>
      </w:r>
      <w:r w:rsidRPr="00AD657E">
        <w:rPr>
          <w:rFonts w:ascii="Times New Roman" w:hAnsi="Times New Roman"/>
          <w:i/>
          <w:noProof/>
        </w:rPr>
        <w:t>Oliari</w:t>
      </w:r>
      <w:r w:rsidRPr="00AD657E">
        <w:rPr>
          <w:rFonts w:ascii="Times New Roman" w:hAnsi="Times New Roman"/>
          <w:noProof/>
        </w:rPr>
        <w:t>] un citi pret Itāliju”. Lietas “Hāmalājnens [</w:t>
      </w:r>
      <w:r w:rsidRPr="00AD657E">
        <w:rPr>
          <w:rFonts w:ascii="Times New Roman" w:hAnsi="Times New Roman"/>
          <w:i/>
          <w:noProof/>
        </w:rPr>
        <w:t>Hämäläinen</w:t>
      </w:r>
      <w:r w:rsidRPr="00AD657E">
        <w:rPr>
          <w:rFonts w:ascii="Times New Roman" w:hAnsi="Times New Roman"/>
          <w:noProof/>
        </w:rPr>
        <w:t>] pret Somiju” spriedumā (96. punkts) tā atgādina, ka 12. pants veltīts laulības tradicionālajai izpratnei, proti, savienībai starp vīrieti un sievieti, un pat gadījumā, ja dažas dalībvalstis ir atļāvušas stāties laulībā viendzimuma partneriem, šo pantu nevar interpretēt kā tādu, kas radītu līgumvalstīm tādas pašas saistības.</w:t>
      </w:r>
    </w:p>
    <w:p w:rsidR="005A54DE" w:rsidRPr="00AD657E" w:rsidRDefault="005A54DE" w:rsidP="00AD657E">
      <w:pPr>
        <w:pStyle w:val="ECHRPara"/>
        <w:rPr>
          <w:rFonts w:ascii="Times New Roman" w:hAnsi="Times New Roman"/>
          <w:noProof/>
          <w:szCs w:val="24"/>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38</w:t>
      </w:r>
      <w:r w:rsidRPr="00AD657E">
        <w:rPr>
          <w:rFonts w:ascii="Times New Roman" w:hAnsi="Times New Roman"/>
          <w:noProof/>
        </w:rPr>
        <w:fldChar w:fldCharType="end"/>
      </w:r>
      <w:r w:rsidRPr="00AD657E">
        <w:rPr>
          <w:rFonts w:ascii="Times New Roman" w:hAnsi="Times New Roman"/>
          <w:noProof/>
        </w:rPr>
        <w:t>. Lietas “Olijārī [</w:t>
      </w:r>
      <w:r w:rsidRPr="00AD657E">
        <w:rPr>
          <w:rFonts w:ascii="Times New Roman" w:hAnsi="Times New Roman"/>
          <w:i/>
          <w:noProof/>
        </w:rPr>
        <w:t>Oliari</w:t>
      </w:r>
      <w:r w:rsidRPr="00AD657E">
        <w:rPr>
          <w:rFonts w:ascii="Times New Roman" w:hAnsi="Times New Roman"/>
          <w:noProof/>
        </w:rPr>
        <w:t>] un citi pret Itāliju” spriedumā (192. – 194. punkts) tā apstiprināja, ka šie secinājumi joprojām ir spēkā, lai gan valstīs pakāpeniski mainās šī jautājuma risinājums; šobrīd vienpadsmit Eiropas Padomes dalībvalstis atļauj stāties laulībā viendzimuma personām. Tā atgādināja, ka lietas “Šalks [</w:t>
      </w:r>
      <w:r w:rsidRPr="00AD657E">
        <w:rPr>
          <w:rFonts w:ascii="Times New Roman" w:hAnsi="Times New Roman"/>
          <w:i/>
          <w:noProof/>
        </w:rPr>
        <w:t>Schalk</w:t>
      </w:r>
      <w:r w:rsidRPr="00AD657E">
        <w:rPr>
          <w:rFonts w:ascii="Times New Roman" w:hAnsi="Times New Roman"/>
          <w:noProof/>
        </w:rPr>
        <w:t>] un Kopfs [</w:t>
      </w:r>
      <w:r w:rsidRPr="00AD657E">
        <w:rPr>
          <w:rFonts w:ascii="Times New Roman" w:hAnsi="Times New Roman"/>
          <w:i/>
          <w:noProof/>
        </w:rPr>
        <w:t>Kopf</w:t>
      </w:r>
      <w:r w:rsidRPr="00AD657E">
        <w:rPr>
          <w:rFonts w:ascii="Times New Roman" w:hAnsi="Times New Roman"/>
          <w:noProof/>
        </w:rPr>
        <w:t>] pret Austriju” spriedumā tika norādīts, ka tāpat kā 12. pantu, tā arī mērķa un darbības jomas ziņā plašāko 14. pantu, kas lasāms kopā ar 8. pantu, nevar interpretēt kā tādu, kas līgumvalstīm rada pienākumu piešķirt viendzimuma pāriem iespēju stāties laulībā. Tā secināja, ka tāda pati pieeja ir piemērojama arī attiecībā uz 12. pantu, kas lasāms kopā ar 14. pantu, un noraidīja sūdzību kā acīmredzami nepamatotu (194. punkts).</w:t>
      </w:r>
    </w:p>
    <w:p w:rsidR="005A54DE" w:rsidRPr="00AD657E" w:rsidRDefault="005A54DE" w:rsidP="00AD657E">
      <w:pPr>
        <w:pStyle w:val="ECHRPara"/>
        <w:rPr>
          <w:rFonts w:ascii="Times New Roman" w:hAnsi="Times New Roman"/>
          <w:noProof/>
          <w:szCs w:val="24"/>
        </w:rPr>
      </w:pPr>
      <w:r w:rsidRPr="00AD657E">
        <w:rPr>
          <w:rFonts w:ascii="Times New Roman" w:hAnsi="Times New Roman"/>
          <w:noProof/>
          <w:szCs w:val="24"/>
        </w:rPr>
        <w:fldChar w:fldCharType="begin"/>
      </w:r>
      <w:r w:rsidRPr="00AD657E">
        <w:rPr>
          <w:rFonts w:ascii="Times New Roman" w:hAnsi="Times New Roman"/>
          <w:noProof/>
          <w:szCs w:val="24"/>
        </w:rPr>
        <w:instrText xml:space="preserve"> SEQ level0 \*arabic </w:instrText>
      </w:r>
      <w:r w:rsidRPr="00AD657E">
        <w:rPr>
          <w:rFonts w:ascii="Times New Roman" w:hAnsi="Times New Roman"/>
          <w:noProof/>
          <w:szCs w:val="24"/>
        </w:rPr>
        <w:fldChar w:fldCharType="separate"/>
      </w:r>
      <w:r w:rsidRPr="00AD657E">
        <w:rPr>
          <w:rFonts w:ascii="Times New Roman" w:hAnsi="Times New Roman"/>
          <w:noProof/>
          <w:szCs w:val="24"/>
        </w:rPr>
        <w:t>39</w:t>
      </w:r>
      <w:r w:rsidRPr="00AD657E">
        <w:rPr>
          <w:rFonts w:ascii="Times New Roman" w:hAnsi="Times New Roman"/>
          <w:noProof/>
          <w:szCs w:val="24"/>
        </w:rPr>
        <w:fldChar w:fldCharType="end"/>
      </w:r>
      <w:r w:rsidRPr="00AD657E">
        <w:rPr>
          <w:rFonts w:ascii="Times New Roman" w:hAnsi="Times New Roman"/>
          <w:noProof/>
        </w:rPr>
        <w:t>. Tiesa nesaskata nekādu pamatojumu citādam secinājumam šajā lietā, ņemot vērā nelielo laika posmu, kas pagājis kopš spriedumu pasludināšanaslietā “Hāmalājnens [</w:t>
      </w:r>
      <w:r w:rsidRPr="00AD657E">
        <w:rPr>
          <w:rFonts w:ascii="Times New Roman" w:hAnsi="Times New Roman"/>
          <w:i/>
          <w:noProof/>
        </w:rPr>
        <w:t>Hämäläinen</w:t>
      </w:r>
      <w:r w:rsidRPr="00AD657E">
        <w:rPr>
          <w:rFonts w:ascii="Times New Roman" w:hAnsi="Times New Roman"/>
          <w:noProof/>
        </w:rPr>
        <w:t>] pret Somiju” un lietā “Olijārī [</w:t>
      </w:r>
      <w:r w:rsidRPr="00AD657E">
        <w:rPr>
          <w:rFonts w:ascii="Times New Roman" w:hAnsi="Times New Roman"/>
          <w:i/>
          <w:noProof/>
        </w:rPr>
        <w:t>Oliari</w:t>
      </w:r>
      <w:r w:rsidRPr="00AD657E">
        <w:rPr>
          <w:rFonts w:ascii="Times New Roman" w:hAnsi="Times New Roman"/>
          <w:noProof/>
        </w:rPr>
        <w:t xml:space="preserve">] un citi pret Itāliju”. Tā papildus norāda, ka kopš pieteikuma iesniegšanas 2013. gada 17. maija likums nodrošina viendzimuma pāriem </w:t>
      </w:r>
      <w:r w:rsidRPr="00AD657E">
        <w:rPr>
          <w:rFonts w:ascii="Times New Roman" w:hAnsi="Times New Roman"/>
          <w:noProof/>
        </w:rPr>
        <w:lastRenderedPageBreak/>
        <w:t>iespēju stāties laulībā (skatīt 24. punktu iepriekš) un Pieteikuma iesniedzēji tagad var brīvi stāties laulībā.</w:t>
      </w:r>
    </w:p>
    <w:p w:rsidR="005A54DE" w:rsidRPr="00AD657E" w:rsidRDefault="005A54DE" w:rsidP="00AD657E">
      <w:pPr>
        <w:pStyle w:val="ECHRPara"/>
        <w:rPr>
          <w:rFonts w:ascii="Times New Roman" w:hAnsi="Times New Roman"/>
          <w:noProof/>
        </w:rPr>
      </w:pPr>
      <w:r w:rsidRPr="00AD657E">
        <w:rPr>
          <w:rFonts w:ascii="Times New Roman" w:hAnsi="Times New Roman"/>
          <w:noProof/>
          <w:szCs w:val="24"/>
        </w:rPr>
        <w:fldChar w:fldCharType="begin"/>
      </w:r>
      <w:r w:rsidRPr="00AD657E">
        <w:rPr>
          <w:rFonts w:ascii="Times New Roman" w:hAnsi="Times New Roman"/>
          <w:noProof/>
          <w:szCs w:val="24"/>
        </w:rPr>
        <w:instrText xml:space="preserve"> SEQ level0 \*arabic </w:instrText>
      </w:r>
      <w:r w:rsidRPr="00AD657E">
        <w:rPr>
          <w:rFonts w:ascii="Times New Roman" w:hAnsi="Times New Roman"/>
          <w:noProof/>
          <w:szCs w:val="24"/>
        </w:rPr>
        <w:fldChar w:fldCharType="separate"/>
      </w:r>
      <w:r w:rsidRPr="00AD657E">
        <w:rPr>
          <w:rFonts w:ascii="Times New Roman" w:hAnsi="Times New Roman"/>
          <w:noProof/>
          <w:szCs w:val="24"/>
        </w:rPr>
        <w:t>40</w:t>
      </w:r>
      <w:r w:rsidRPr="00AD657E">
        <w:rPr>
          <w:rFonts w:ascii="Times New Roman" w:hAnsi="Times New Roman"/>
          <w:noProof/>
          <w:szCs w:val="24"/>
        </w:rPr>
        <w:fldChar w:fldCharType="end"/>
      </w:r>
      <w:r w:rsidRPr="00AD657E">
        <w:rPr>
          <w:rFonts w:ascii="Times New Roman" w:hAnsi="Times New Roman"/>
          <w:noProof/>
        </w:rPr>
        <w:t>. No tā izriet, ka šajā lietā nav noticis Konvencijas 12. panta, kas lasāms kopā ar 14. pantu, pārkāpums.</w:t>
      </w:r>
    </w:p>
    <w:p w:rsidR="00AE317D" w:rsidRPr="00AD657E" w:rsidRDefault="00AE317D" w:rsidP="00AD657E">
      <w:pPr>
        <w:pStyle w:val="ECHRHeading1"/>
        <w:keepNext w:val="0"/>
        <w:keepLines w:val="0"/>
        <w:spacing w:before="0" w:after="0"/>
        <w:ind w:left="0" w:firstLine="0"/>
        <w:outlineLvl w:val="9"/>
        <w:rPr>
          <w:rFonts w:ascii="Times New Roman" w:hAnsi="Times New Roman"/>
          <w:noProof/>
        </w:rPr>
      </w:pPr>
    </w:p>
    <w:p w:rsidR="005A54DE" w:rsidRPr="00AD657E" w:rsidRDefault="005A54DE" w:rsidP="00AD657E">
      <w:pPr>
        <w:pStyle w:val="ECHRHeading1"/>
        <w:keepNext w:val="0"/>
        <w:keepLines w:val="0"/>
        <w:spacing w:before="0" w:after="0"/>
        <w:ind w:left="0" w:firstLine="0"/>
        <w:outlineLvl w:val="9"/>
        <w:rPr>
          <w:rFonts w:ascii="Times New Roman" w:hAnsi="Times New Roman"/>
          <w:noProof/>
        </w:rPr>
      </w:pPr>
      <w:r w:rsidRPr="00AD657E">
        <w:rPr>
          <w:rFonts w:ascii="Times New Roman" w:hAnsi="Times New Roman"/>
          <w:noProof/>
        </w:rPr>
        <w:t>II. IESPĒJAMAIS KONVENCIJAS 8. PANTA, KAS LASĀMS KOPĀ AR 14. PANTU, PĀRKĀPUMS</w:t>
      </w:r>
    </w:p>
    <w:p w:rsidR="00AE317D" w:rsidRPr="00AD657E" w:rsidRDefault="00AE317D" w:rsidP="00AD657E">
      <w:pPr>
        <w:pStyle w:val="ECHRPara"/>
        <w:ind w:firstLine="0"/>
        <w:rPr>
          <w:rFonts w:ascii="Times New Roman" w:hAnsi="Times New Roman"/>
        </w:rPr>
      </w:pP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41</w:t>
      </w:r>
      <w:r w:rsidRPr="00AD657E">
        <w:rPr>
          <w:rFonts w:ascii="Times New Roman" w:hAnsi="Times New Roman"/>
          <w:noProof/>
        </w:rPr>
        <w:fldChar w:fldCharType="end"/>
      </w:r>
      <w:r w:rsidRPr="00AD657E">
        <w:rPr>
          <w:rFonts w:ascii="Times New Roman" w:hAnsi="Times New Roman"/>
          <w:noProof/>
        </w:rPr>
        <w:t>. Pieteikuma iesniedzēji uzskata, ka, izmantojot savas tiesības uz privātās un ģimenes dzīves neaizskaramību, viņi ir cietuši no diskriminācijas viņu seksuālās orientācijas dēļ. Viņi atsaucas uz Konvencijas 8. pantu, kas lasāms kopā ar 14. pantu. 8. panta redakcija ir šāda:</w:t>
      </w:r>
    </w:p>
    <w:p w:rsidR="005A54DE" w:rsidRPr="00AD657E" w:rsidRDefault="005A54DE" w:rsidP="00AD657E">
      <w:pPr>
        <w:pStyle w:val="ECHRParaQuote"/>
        <w:spacing w:before="0" w:after="0"/>
        <w:ind w:left="0"/>
        <w:rPr>
          <w:rFonts w:ascii="Times New Roman" w:hAnsi="Times New Roman"/>
          <w:noProof/>
          <w:sz w:val="24"/>
        </w:rPr>
      </w:pPr>
      <w:r w:rsidRPr="00AD657E">
        <w:rPr>
          <w:rFonts w:ascii="Times New Roman" w:hAnsi="Times New Roman"/>
          <w:noProof/>
          <w:sz w:val="24"/>
        </w:rPr>
        <w:t>“1. Ikvienam ir tiesības uz savas privātās un ģimenes dzīves, dzīvokļa un korespondences neaizskaramību.</w:t>
      </w:r>
    </w:p>
    <w:p w:rsidR="005A54DE" w:rsidRPr="00AD657E" w:rsidRDefault="005A54DE" w:rsidP="00AD657E">
      <w:pPr>
        <w:pStyle w:val="ECHRParaQuote"/>
        <w:spacing w:before="0" w:after="0"/>
        <w:ind w:left="0"/>
        <w:rPr>
          <w:rFonts w:ascii="Times New Roman" w:hAnsi="Times New Roman"/>
          <w:noProof/>
          <w:sz w:val="24"/>
        </w:rPr>
      </w:pPr>
      <w:r w:rsidRPr="00AD657E">
        <w:rPr>
          <w:rFonts w:ascii="Times New Roman" w:hAnsi="Times New Roman"/>
          <w:noProof/>
          <w:sz w:val="24"/>
        </w:rPr>
        <w:t>2. Sabiedriskās institūcijas nedrīkst traucēt nevienam baudīt šīs tiesības, izņemot gadījumos, kas paredzēti likumā un ir nepieciešami demokrātiskā sabiedrībā, lai aizstāvētu valsts drošības, sabiedriskās kārtības vai valsts labklājības intereses, lai nepieļautu nekārtības vai noziegumus, lai aizsargātu veselību vai morāli, vai lai aizstāvētu citu tiesības un brīvības. ”</w:t>
      </w: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42</w:t>
      </w:r>
      <w:r w:rsidRPr="00AD657E">
        <w:rPr>
          <w:rFonts w:ascii="Times New Roman" w:hAnsi="Times New Roman"/>
          <w:noProof/>
        </w:rPr>
        <w:fldChar w:fldCharType="end"/>
      </w:r>
      <w:r w:rsidRPr="00AD657E">
        <w:rPr>
          <w:rFonts w:ascii="Times New Roman" w:hAnsi="Times New Roman"/>
          <w:noProof/>
        </w:rPr>
        <w:t>. Valdība šo apgalvojumu apstrīd.</w:t>
      </w:r>
    </w:p>
    <w:p w:rsidR="00AE317D" w:rsidRPr="00AD657E" w:rsidRDefault="00AE317D" w:rsidP="00AD657E">
      <w:pPr>
        <w:pStyle w:val="ECHRHeading2"/>
        <w:keepNext w:val="0"/>
        <w:keepLines w:val="0"/>
        <w:spacing w:before="0" w:after="0"/>
        <w:ind w:left="0" w:firstLine="0"/>
        <w:outlineLvl w:val="9"/>
        <w:rPr>
          <w:rFonts w:ascii="Times New Roman" w:hAnsi="Times New Roman"/>
          <w:noProof/>
        </w:rPr>
      </w:pPr>
    </w:p>
    <w:p w:rsidR="005A54DE" w:rsidRDefault="005A54DE" w:rsidP="00AD657E">
      <w:pPr>
        <w:pStyle w:val="ECHRHeading2"/>
        <w:keepNext w:val="0"/>
        <w:keepLines w:val="0"/>
        <w:spacing w:before="0" w:after="0"/>
        <w:ind w:left="0" w:firstLine="0"/>
        <w:outlineLvl w:val="9"/>
        <w:rPr>
          <w:rFonts w:ascii="Times New Roman" w:hAnsi="Times New Roman"/>
          <w:noProof/>
        </w:rPr>
      </w:pPr>
      <w:r w:rsidRPr="00AD657E">
        <w:rPr>
          <w:rFonts w:ascii="Times New Roman" w:hAnsi="Times New Roman"/>
          <w:noProof/>
        </w:rPr>
        <w:t>A. Pieteikuma pieņemamība</w:t>
      </w:r>
    </w:p>
    <w:p w:rsidR="00F50B23" w:rsidRPr="00F50B23" w:rsidRDefault="00F50B23" w:rsidP="00F50B23">
      <w:pPr>
        <w:pStyle w:val="ECHRPara"/>
      </w:pP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43</w:t>
      </w:r>
      <w:r w:rsidRPr="00AD657E">
        <w:rPr>
          <w:rFonts w:ascii="Times New Roman" w:hAnsi="Times New Roman"/>
          <w:noProof/>
        </w:rPr>
        <w:fldChar w:fldCharType="end"/>
      </w:r>
      <w:r w:rsidRPr="00AD657E">
        <w:rPr>
          <w:rFonts w:ascii="Times New Roman" w:hAnsi="Times New Roman"/>
          <w:noProof/>
        </w:rPr>
        <w:t xml:space="preserve">. Savos sākotnējos komentāros Valdība norādīja uz sūdzības </w:t>
      </w:r>
      <w:r w:rsidRPr="00AD657E">
        <w:rPr>
          <w:rFonts w:ascii="Times New Roman" w:hAnsi="Times New Roman"/>
          <w:i/>
          <w:noProof/>
        </w:rPr>
        <w:t xml:space="preserve">ratione materiae </w:t>
      </w:r>
      <w:r w:rsidRPr="00AD657E">
        <w:rPr>
          <w:rFonts w:ascii="Times New Roman" w:hAnsi="Times New Roman"/>
          <w:noProof/>
        </w:rPr>
        <w:t>jurisdikcijas nesavienojamību ar Konvencijas normām.</w:t>
      </w: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44</w:t>
      </w:r>
      <w:r w:rsidRPr="00AD657E">
        <w:rPr>
          <w:rFonts w:ascii="Times New Roman" w:hAnsi="Times New Roman"/>
          <w:noProof/>
        </w:rPr>
        <w:fldChar w:fldCharType="end"/>
      </w:r>
      <w:r w:rsidRPr="00AD657E">
        <w:rPr>
          <w:rFonts w:ascii="Times New Roman" w:hAnsi="Times New Roman"/>
          <w:noProof/>
        </w:rPr>
        <w:t>. Ņemot vērā savu tiesu praksi šajā jautājumā, Tiesa secina, ka uz šīs lietas faktiem attiecināms kā jēdziens “privātā dzīve”, tā arī “ģimenes dzīve” 8. panta izpratnē un ka līdz ar to ir attiecināms 14. pants, kas lasāms kopā ar 8. pantu (iepriekš citētās lietas “Šalks [</w:t>
      </w:r>
      <w:r w:rsidRPr="00AD657E">
        <w:rPr>
          <w:rFonts w:ascii="Times New Roman" w:hAnsi="Times New Roman"/>
          <w:i/>
          <w:noProof/>
        </w:rPr>
        <w:t>Schalk</w:t>
      </w:r>
      <w:r w:rsidRPr="00AD657E">
        <w:rPr>
          <w:rFonts w:ascii="Times New Roman" w:hAnsi="Times New Roman"/>
          <w:noProof/>
        </w:rPr>
        <w:t>] un Kopfs [</w:t>
      </w:r>
      <w:r w:rsidRPr="00AD657E">
        <w:rPr>
          <w:rFonts w:ascii="Times New Roman" w:hAnsi="Times New Roman"/>
          <w:i/>
          <w:noProof/>
        </w:rPr>
        <w:t>Kopf</w:t>
      </w:r>
      <w:r w:rsidRPr="00AD657E">
        <w:rPr>
          <w:rFonts w:ascii="Times New Roman" w:hAnsi="Times New Roman"/>
          <w:noProof/>
        </w:rPr>
        <w:t>] pret Austriju” 95. punkts, lietas Nr. 29381/09 un 32684/09 “Valianatos [</w:t>
      </w:r>
      <w:r w:rsidRPr="00AD657E">
        <w:rPr>
          <w:rFonts w:ascii="Times New Roman" w:hAnsi="Times New Roman"/>
          <w:i/>
          <w:noProof/>
        </w:rPr>
        <w:t>Vallianatos</w:t>
      </w:r>
      <w:r w:rsidRPr="00AD657E">
        <w:rPr>
          <w:rFonts w:ascii="Times New Roman" w:hAnsi="Times New Roman"/>
          <w:noProof/>
        </w:rPr>
        <w:t>] un citi pret Grieķiju” [GC] 71. punkts, CEDH 2013. (fragmenti), un lietas “Olijārī [</w:t>
      </w:r>
      <w:r w:rsidRPr="00AD657E">
        <w:rPr>
          <w:rFonts w:ascii="Times New Roman" w:hAnsi="Times New Roman"/>
          <w:i/>
          <w:noProof/>
        </w:rPr>
        <w:t>Oliari</w:t>
      </w:r>
      <w:r w:rsidRPr="00AD657E">
        <w:rPr>
          <w:rFonts w:ascii="Times New Roman" w:hAnsi="Times New Roman"/>
          <w:noProof/>
        </w:rPr>
        <w:t>] un citi pret Itāliju” 103. punkts). Tādēļ ir pamats noraidīt Valdības iebildumu.</w:t>
      </w:r>
    </w:p>
    <w:p w:rsidR="005A54DE" w:rsidRPr="00AD657E" w:rsidRDefault="005A54DE" w:rsidP="00AD657E">
      <w:pPr>
        <w:pStyle w:val="ECHRPara"/>
        <w:rPr>
          <w:rFonts w:ascii="Times New Roman" w:hAnsi="Times New Roman"/>
          <w:noProof/>
        </w:rPr>
      </w:pPr>
      <w:r w:rsidRPr="00AD657E">
        <w:rPr>
          <w:rFonts w:ascii="Times New Roman" w:hAnsi="Times New Roman"/>
          <w:noProof/>
        </w:rPr>
        <w:t>Turklāt Tiesa secina, ka sūdzība Konvencijas 35. panta 3. a) punkta izpratnē nav acīmredzami nepamatota, un ka tā nav pretrunā ar nevienu citu pieņemamības pamatojumu. Līdz ar to Tiesa sūdzību pasludina par pieņemamu.</w:t>
      </w:r>
    </w:p>
    <w:p w:rsidR="00AE317D" w:rsidRPr="00AD657E" w:rsidRDefault="00AE317D" w:rsidP="00AD657E">
      <w:pPr>
        <w:pStyle w:val="ECHRHeading2"/>
        <w:keepNext w:val="0"/>
        <w:keepLines w:val="0"/>
        <w:spacing w:before="0" w:after="0"/>
        <w:ind w:left="0" w:firstLine="0"/>
        <w:outlineLvl w:val="9"/>
        <w:rPr>
          <w:rFonts w:ascii="Times New Roman" w:hAnsi="Times New Roman"/>
          <w:noProof/>
        </w:rPr>
      </w:pPr>
    </w:p>
    <w:p w:rsidR="005A54DE" w:rsidRDefault="005A54DE" w:rsidP="00AD657E">
      <w:pPr>
        <w:pStyle w:val="ECHRHeading2"/>
        <w:keepNext w:val="0"/>
        <w:keepLines w:val="0"/>
        <w:spacing w:before="0" w:after="0"/>
        <w:ind w:left="0" w:firstLine="0"/>
        <w:outlineLvl w:val="9"/>
        <w:rPr>
          <w:rFonts w:ascii="Times New Roman" w:hAnsi="Times New Roman"/>
          <w:noProof/>
        </w:rPr>
      </w:pPr>
      <w:r w:rsidRPr="00AD657E">
        <w:rPr>
          <w:rFonts w:ascii="Times New Roman" w:hAnsi="Times New Roman"/>
          <w:noProof/>
        </w:rPr>
        <w:t>B. Lietas būtība</w:t>
      </w:r>
    </w:p>
    <w:p w:rsidR="00F50B23" w:rsidRPr="00F50B23" w:rsidRDefault="00F50B23" w:rsidP="00F50B23">
      <w:pPr>
        <w:pStyle w:val="ECHRPara"/>
      </w:pPr>
    </w:p>
    <w:p w:rsidR="005A54DE" w:rsidRDefault="005A54DE" w:rsidP="00AD657E">
      <w:pPr>
        <w:pStyle w:val="ECHRHeading3"/>
        <w:keepNext w:val="0"/>
        <w:keepLines w:val="0"/>
        <w:spacing w:before="0" w:after="0"/>
        <w:ind w:left="0" w:firstLine="0"/>
        <w:outlineLvl w:val="9"/>
        <w:rPr>
          <w:rFonts w:ascii="Times New Roman" w:hAnsi="Times New Roman"/>
          <w:noProof/>
        </w:rPr>
      </w:pPr>
      <w:r w:rsidRPr="00AD657E">
        <w:rPr>
          <w:rFonts w:ascii="Times New Roman" w:hAnsi="Times New Roman"/>
          <w:noProof/>
        </w:rPr>
        <w:t>1. Pušu un trešo pušu argumenti</w:t>
      </w:r>
    </w:p>
    <w:p w:rsidR="00F50B23" w:rsidRPr="00F50B23" w:rsidRDefault="00F50B23" w:rsidP="00F50B23">
      <w:pPr>
        <w:pStyle w:val="ECHRPara"/>
      </w:pPr>
    </w:p>
    <w:p w:rsidR="005A54DE" w:rsidRPr="00AD657E" w:rsidRDefault="005A54DE" w:rsidP="00AD657E">
      <w:pPr>
        <w:pStyle w:val="ECHRHeading4"/>
        <w:keepNext w:val="0"/>
        <w:keepLines w:val="0"/>
        <w:spacing w:before="0" w:after="0"/>
        <w:ind w:left="0" w:firstLine="0"/>
        <w:outlineLvl w:val="9"/>
        <w:rPr>
          <w:rFonts w:ascii="Times New Roman" w:hAnsi="Times New Roman"/>
          <w:noProof/>
          <w:sz w:val="24"/>
        </w:rPr>
      </w:pPr>
      <w:r w:rsidRPr="00AD657E">
        <w:rPr>
          <w:rFonts w:ascii="Times New Roman" w:hAnsi="Times New Roman"/>
          <w:noProof/>
          <w:sz w:val="24"/>
        </w:rPr>
        <w:t>a) Puses</w:t>
      </w:r>
    </w:p>
    <w:p w:rsidR="00AE317D" w:rsidRPr="00AD657E" w:rsidRDefault="00AE317D" w:rsidP="00AD657E">
      <w:pPr>
        <w:pStyle w:val="ECHRPara"/>
        <w:rPr>
          <w:rFonts w:ascii="Times New Roman" w:hAnsi="Times New Roman"/>
        </w:rPr>
      </w:pP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45</w:t>
      </w:r>
      <w:r w:rsidRPr="00AD657E">
        <w:rPr>
          <w:rFonts w:ascii="Times New Roman" w:hAnsi="Times New Roman"/>
          <w:noProof/>
        </w:rPr>
        <w:fldChar w:fldCharType="end"/>
      </w:r>
      <w:r w:rsidRPr="00AD657E">
        <w:rPr>
          <w:rFonts w:ascii="Times New Roman" w:hAnsi="Times New Roman"/>
          <w:noProof/>
        </w:rPr>
        <w:t>. Pieteikuma iesniedzēji uzskata, ka pret viņiem vērsta diskriminācija viņu seksuālās orientācijas dēļ, liedzot viņiem iespēju stāties laulībā. Viņi atzīst, ka viņiem ir iespēja noslēgt civilās solidaritātes paktu, bet apgalvo, ka tā nodrošinātā tiesiskā aizsardzība ir ievērojami vājāka par to, ko nodrošina laulība. Viņi uzskaita atšķirības starp abiem stāvokļiem, it īpaši jautājumos, kas saistīti ar uzturēšanās tiesībām, valstspiederību, pensiju apgādnieka zaudēšanas gadījumā vai savienības pastāvēšanas laikā īpašumā iegūto mantu. Viņi uzskata, ka pret viņiem vērstajai atšķirīgajai attieksmei nav likumīga mērķa un tā ir nesamērīga.</w:t>
      </w: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46</w:t>
      </w:r>
      <w:r w:rsidRPr="00AD657E">
        <w:rPr>
          <w:rFonts w:ascii="Times New Roman" w:hAnsi="Times New Roman"/>
          <w:noProof/>
        </w:rPr>
        <w:fldChar w:fldCharType="end"/>
      </w:r>
      <w:r w:rsidRPr="00AD657E">
        <w:rPr>
          <w:rFonts w:ascii="Times New Roman" w:hAnsi="Times New Roman"/>
          <w:noProof/>
        </w:rPr>
        <w:t>. Valdība atsaucas uz spriedumu lietā “Šalks [</w:t>
      </w:r>
      <w:r w:rsidRPr="00AD657E">
        <w:rPr>
          <w:rFonts w:ascii="Times New Roman" w:hAnsi="Times New Roman"/>
          <w:i/>
          <w:noProof/>
        </w:rPr>
        <w:t>Schalk</w:t>
      </w:r>
      <w:r w:rsidRPr="00AD657E">
        <w:rPr>
          <w:rFonts w:ascii="Times New Roman" w:hAnsi="Times New Roman"/>
          <w:noProof/>
        </w:rPr>
        <w:t>] un Kopfs [</w:t>
      </w:r>
      <w:r w:rsidRPr="00AD657E">
        <w:rPr>
          <w:rFonts w:ascii="Times New Roman" w:hAnsi="Times New Roman"/>
          <w:i/>
          <w:noProof/>
        </w:rPr>
        <w:t>Kopf</w:t>
      </w:r>
      <w:r w:rsidRPr="00AD657E">
        <w:rPr>
          <w:rFonts w:ascii="Times New Roman" w:hAnsi="Times New Roman"/>
          <w:noProof/>
        </w:rPr>
        <w:t>] pret Austriju”</w:t>
      </w:r>
      <w:r w:rsidRPr="00AD657E">
        <w:rPr>
          <w:rFonts w:ascii="Times New Roman" w:hAnsi="Times New Roman"/>
          <w:i/>
          <w:noProof/>
        </w:rPr>
        <w:t xml:space="preserve"> </w:t>
      </w:r>
      <w:r w:rsidRPr="00AD657E">
        <w:rPr>
          <w:rFonts w:ascii="Times New Roman" w:hAnsi="Times New Roman"/>
          <w:noProof/>
        </w:rPr>
        <w:t xml:space="preserve">(101. punkts), kurā Tiesa secināja, ka 14. pantu, kas lasāms kopā ar 8. pantu, nevar interpretēt kā tādu, kas rada līgumvalstīm pienākumu piešķirt homoseksuāliem pāriem iespēju stāties laulībā. Turklāt tā apgalvo, ka Francijas tiesību akti nevis apdraud Pieteikuma iesniedzēju privāto dzīvi, bet, gluži otrādi, to veicina. Patiesībā homoseksuāli pāri var slēgt civilās </w:t>
      </w:r>
      <w:r w:rsidRPr="00AD657E">
        <w:rPr>
          <w:rFonts w:ascii="Times New Roman" w:hAnsi="Times New Roman"/>
          <w:noProof/>
        </w:rPr>
        <w:lastRenderedPageBreak/>
        <w:t>solidaritātes paktu, kura sniegtais tiesiskais režīms atzīst viņus kā pāri un nodrošina tādas pašas vai līdzīgas iespējas dažādās dzīves jomās kā laulība (nodokļi, īres tiesības, atvieglojumi, mantiskās attiecības, darba tiesības). Valdības jaunākajos komentāros norādīts, ka pēc 2013. gada 17. maija likuma pieņemšanas Pieteikuma iesniedzēji var stāties laulībā.</w:t>
      </w:r>
    </w:p>
    <w:p w:rsidR="00AE317D" w:rsidRPr="00AD657E" w:rsidRDefault="00AE317D" w:rsidP="00AD657E">
      <w:pPr>
        <w:pStyle w:val="ECHRHeading4"/>
        <w:keepNext w:val="0"/>
        <w:keepLines w:val="0"/>
        <w:spacing w:before="0" w:after="0"/>
        <w:ind w:left="0" w:firstLine="0"/>
        <w:outlineLvl w:val="9"/>
        <w:rPr>
          <w:rFonts w:ascii="Times New Roman" w:hAnsi="Times New Roman"/>
          <w:noProof/>
          <w:sz w:val="24"/>
        </w:rPr>
      </w:pPr>
    </w:p>
    <w:p w:rsidR="005A54DE" w:rsidRDefault="005A54DE" w:rsidP="00AD657E">
      <w:pPr>
        <w:pStyle w:val="ECHRHeading4"/>
        <w:keepNext w:val="0"/>
        <w:keepLines w:val="0"/>
        <w:spacing w:before="0" w:after="0"/>
        <w:ind w:left="0" w:firstLine="0"/>
        <w:outlineLvl w:val="9"/>
        <w:rPr>
          <w:rFonts w:ascii="Times New Roman" w:hAnsi="Times New Roman"/>
          <w:noProof/>
          <w:sz w:val="24"/>
        </w:rPr>
      </w:pPr>
      <w:r w:rsidRPr="00AD657E">
        <w:rPr>
          <w:rFonts w:ascii="Times New Roman" w:hAnsi="Times New Roman"/>
          <w:noProof/>
          <w:sz w:val="24"/>
        </w:rPr>
        <w:t>b) Trešās puses</w:t>
      </w:r>
    </w:p>
    <w:p w:rsidR="00F50B23" w:rsidRPr="00F50B23" w:rsidRDefault="00F50B23" w:rsidP="00F50B23">
      <w:pPr>
        <w:pStyle w:val="ECHRPara"/>
      </w:pP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47</w:t>
      </w:r>
      <w:r w:rsidRPr="00AD657E">
        <w:rPr>
          <w:rFonts w:ascii="Times New Roman" w:hAnsi="Times New Roman"/>
          <w:noProof/>
        </w:rPr>
        <w:fldChar w:fldCharType="end"/>
      </w:r>
      <w:r w:rsidRPr="00AD657E">
        <w:rPr>
          <w:rFonts w:ascii="Times New Roman" w:hAnsi="Times New Roman"/>
          <w:noProof/>
        </w:rPr>
        <w:t>. Četras organizācijas, kas iesaistījās procesā kā trešās puses, iesniedza tādus pašus komentārus, kādus tās iesniedza iepriekš minētajā lietā “Šalks [</w:t>
      </w:r>
      <w:r w:rsidRPr="00AD657E">
        <w:rPr>
          <w:rFonts w:ascii="Times New Roman" w:hAnsi="Times New Roman"/>
          <w:i/>
          <w:noProof/>
        </w:rPr>
        <w:t>Schalk</w:t>
      </w:r>
      <w:r w:rsidRPr="00AD657E">
        <w:rPr>
          <w:rFonts w:ascii="Times New Roman" w:hAnsi="Times New Roman"/>
          <w:noProof/>
        </w:rPr>
        <w:t>] un Kopfs [</w:t>
      </w:r>
      <w:r w:rsidRPr="00AD657E">
        <w:rPr>
          <w:rFonts w:ascii="Times New Roman" w:hAnsi="Times New Roman"/>
          <w:i/>
          <w:noProof/>
        </w:rPr>
        <w:t>Kopf</w:t>
      </w:r>
      <w:r w:rsidRPr="00AD657E">
        <w:rPr>
          <w:rFonts w:ascii="Times New Roman" w:hAnsi="Times New Roman"/>
          <w:noProof/>
        </w:rPr>
        <w:t>] pret Austriju” (84. – 86. punkts).</w:t>
      </w:r>
    </w:p>
    <w:p w:rsidR="00AE317D" w:rsidRPr="00AD657E" w:rsidRDefault="00AE317D" w:rsidP="00AD657E">
      <w:pPr>
        <w:pStyle w:val="ECHRHeading3"/>
        <w:keepNext w:val="0"/>
        <w:keepLines w:val="0"/>
        <w:spacing w:before="0" w:after="0"/>
        <w:ind w:left="0" w:firstLine="0"/>
        <w:outlineLvl w:val="9"/>
        <w:rPr>
          <w:rFonts w:ascii="Times New Roman" w:hAnsi="Times New Roman"/>
          <w:noProof/>
        </w:rPr>
      </w:pPr>
    </w:p>
    <w:p w:rsidR="005A54DE" w:rsidRDefault="005A54DE" w:rsidP="00AD657E">
      <w:pPr>
        <w:pStyle w:val="ECHRHeading3"/>
        <w:keepNext w:val="0"/>
        <w:keepLines w:val="0"/>
        <w:spacing w:before="0" w:after="0"/>
        <w:ind w:left="0" w:firstLine="0"/>
        <w:outlineLvl w:val="9"/>
        <w:rPr>
          <w:rFonts w:ascii="Times New Roman" w:hAnsi="Times New Roman"/>
          <w:noProof/>
        </w:rPr>
      </w:pPr>
      <w:r w:rsidRPr="00AD657E">
        <w:rPr>
          <w:rFonts w:ascii="Times New Roman" w:hAnsi="Times New Roman"/>
          <w:noProof/>
        </w:rPr>
        <w:t>2. Tiesas vērtējums</w:t>
      </w:r>
    </w:p>
    <w:p w:rsidR="00F50B23" w:rsidRPr="00F50B23" w:rsidRDefault="00F50B23" w:rsidP="00F50B23">
      <w:pPr>
        <w:pStyle w:val="ECHRPara"/>
      </w:pP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48</w:t>
      </w:r>
      <w:r w:rsidRPr="00AD657E">
        <w:rPr>
          <w:rFonts w:ascii="Times New Roman" w:hAnsi="Times New Roman"/>
          <w:noProof/>
        </w:rPr>
        <w:fldChar w:fldCharType="end"/>
      </w:r>
      <w:r w:rsidRPr="00AD657E">
        <w:rPr>
          <w:rFonts w:ascii="Times New Roman" w:hAnsi="Times New Roman"/>
          <w:noProof/>
        </w:rPr>
        <w:t>. Tiesa atgādina, ka saskaņā ar 14. pantu, kas lasāmas kopā ar 8. pantu, valstīm ir piešķirtas tiesības atļaut stāties laulībā tikai pretēja dzimuma pāriem un ka tām ir noteikta rīcības brīvība lemt par konkrēto statusu, ko piešķir citi juridiskās atzīšanas veidi (108. punkts iepriekš citētajā lietā “Šalks [</w:t>
      </w:r>
      <w:r w:rsidRPr="00AD657E">
        <w:rPr>
          <w:rFonts w:ascii="Times New Roman" w:hAnsi="Times New Roman"/>
          <w:i/>
          <w:noProof/>
        </w:rPr>
        <w:t>Schalk</w:t>
      </w:r>
      <w:r w:rsidRPr="00AD657E">
        <w:rPr>
          <w:rFonts w:ascii="Times New Roman" w:hAnsi="Times New Roman"/>
          <w:noProof/>
        </w:rPr>
        <w:t>] un Kopfs [</w:t>
      </w:r>
      <w:r w:rsidRPr="00AD657E">
        <w:rPr>
          <w:rFonts w:ascii="Times New Roman" w:hAnsi="Times New Roman"/>
          <w:i/>
          <w:noProof/>
        </w:rPr>
        <w:t>Kopf</w:t>
      </w:r>
      <w:r w:rsidRPr="00AD657E">
        <w:rPr>
          <w:rFonts w:ascii="Times New Roman" w:hAnsi="Times New Roman"/>
          <w:noProof/>
        </w:rPr>
        <w:t>] pret Austriju” un 66. punkts lietā “Gā [</w:t>
      </w:r>
      <w:r w:rsidRPr="00AD657E">
        <w:rPr>
          <w:rFonts w:ascii="Times New Roman" w:hAnsi="Times New Roman"/>
          <w:i/>
          <w:noProof/>
        </w:rPr>
        <w:t>Gas</w:t>
      </w:r>
      <w:r w:rsidRPr="00AD657E">
        <w:rPr>
          <w:rFonts w:ascii="Times New Roman" w:hAnsi="Times New Roman"/>
          <w:noProof/>
        </w:rPr>
        <w:t>] un Dibuā [</w:t>
      </w:r>
      <w:r w:rsidRPr="00AD657E">
        <w:rPr>
          <w:rFonts w:ascii="Times New Roman" w:hAnsi="Times New Roman"/>
          <w:i/>
          <w:noProof/>
        </w:rPr>
        <w:t>Dubois</w:t>
      </w:r>
      <w:r w:rsidRPr="00AD657E">
        <w:rPr>
          <w:rFonts w:ascii="Times New Roman" w:hAnsi="Times New Roman"/>
          <w:noProof/>
        </w:rPr>
        <w:t>]”).</w:t>
      </w: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49</w:t>
      </w:r>
      <w:r w:rsidRPr="00AD657E">
        <w:rPr>
          <w:rFonts w:ascii="Times New Roman" w:hAnsi="Times New Roman"/>
          <w:noProof/>
        </w:rPr>
        <w:fldChar w:fldCharType="end"/>
      </w:r>
      <w:r w:rsidRPr="00AD657E">
        <w:rPr>
          <w:rFonts w:ascii="Times New Roman" w:hAnsi="Times New Roman"/>
          <w:noProof/>
        </w:rPr>
        <w:t>. Tā norāda, ka lai arī faktu norises laikā Pieteikuma iesniedzējiem saskaņā ar Francijas tiesību normām nebija tiesību stāties laulībā, viņiem tomēr bija iespēja slēgt civilās solidaritātes paktu saskaņā ar Civilkodeksa 515-1. pantu, kas piešķir partneriem noteiktas tiesības un pienākumus nodokļu, finanšu un sociālajā jomā (skatīt 25. punktu iepriekš).</w:t>
      </w:r>
    </w:p>
    <w:p w:rsidR="005A54DE" w:rsidRPr="00AD657E" w:rsidRDefault="005A54DE" w:rsidP="00AD657E">
      <w:pPr>
        <w:pStyle w:val="ECHRPara"/>
        <w:rPr>
          <w:rFonts w:ascii="Times New Roman" w:hAnsi="Times New Roman"/>
          <w:bCs/>
          <w:noProof/>
          <w:color w:val="000000"/>
        </w:rPr>
      </w:pPr>
      <w:r w:rsidRPr="00AD657E">
        <w:rPr>
          <w:rFonts w:ascii="Times New Roman" w:hAnsi="Times New Roman"/>
          <w:bCs/>
          <w:noProof/>
        </w:rPr>
        <w:fldChar w:fldCharType="begin"/>
      </w:r>
      <w:r w:rsidRPr="00AD657E">
        <w:rPr>
          <w:rFonts w:ascii="Times New Roman" w:hAnsi="Times New Roman"/>
          <w:bCs/>
          <w:noProof/>
        </w:rPr>
        <w:instrText xml:space="preserve"> SEQ level0 \*arabic </w:instrText>
      </w:r>
      <w:r w:rsidRPr="00AD657E">
        <w:rPr>
          <w:rFonts w:ascii="Times New Roman" w:hAnsi="Times New Roman"/>
          <w:bCs/>
          <w:noProof/>
        </w:rPr>
        <w:fldChar w:fldCharType="separate"/>
      </w:r>
      <w:r w:rsidRPr="00AD657E">
        <w:rPr>
          <w:rFonts w:ascii="Times New Roman" w:hAnsi="Times New Roman"/>
          <w:bCs/>
          <w:noProof/>
        </w:rPr>
        <w:t>50</w:t>
      </w:r>
      <w:r w:rsidRPr="00AD657E">
        <w:rPr>
          <w:rFonts w:ascii="Times New Roman" w:hAnsi="Times New Roman"/>
          <w:bCs/>
          <w:noProof/>
        </w:rPr>
        <w:fldChar w:fldCharType="end"/>
      </w:r>
      <w:r w:rsidRPr="00AD657E">
        <w:rPr>
          <w:rFonts w:ascii="Times New Roman" w:hAnsi="Times New Roman"/>
          <w:noProof/>
        </w:rPr>
        <w:t>. Šādā izpratnē viņu situācija atšķiras no situācijas citās lietās, kurās Tiesa konstatēja 8. panta, kas lasāms kopā ar 14. pantu, pārkāpumu. Piemēram, iepriekš minētajā</w:t>
      </w:r>
      <w:r w:rsidRPr="00AD657E">
        <w:rPr>
          <w:rFonts w:ascii="Times New Roman" w:hAnsi="Times New Roman"/>
          <w:noProof/>
          <w:color w:val="000000"/>
        </w:rPr>
        <w:t xml:space="preserve"> </w:t>
      </w:r>
      <w:r w:rsidRPr="00AD657E">
        <w:rPr>
          <w:rFonts w:ascii="Times New Roman" w:hAnsi="Times New Roman"/>
          <w:noProof/>
        </w:rPr>
        <w:t>lietā “Valianatos [</w:t>
      </w:r>
      <w:r w:rsidRPr="00AD657E">
        <w:rPr>
          <w:rFonts w:ascii="Times New Roman" w:hAnsi="Times New Roman"/>
          <w:i/>
          <w:noProof/>
        </w:rPr>
        <w:t>Vallianatos</w:t>
      </w:r>
      <w:r w:rsidRPr="00AD657E">
        <w:rPr>
          <w:rFonts w:ascii="Times New Roman" w:hAnsi="Times New Roman"/>
          <w:noProof/>
        </w:rPr>
        <w:t>] un citi pret Grieķiju” kopdzīves pakts saskaņā ar Grieķijas tiesību normām bija pieejams tikai pretēja dzimuma pāriem, un lietā “Olijārī [</w:t>
      </w:r>
      <w:r w:rsidRPr="00AD657E">
        <w:rPr>
          <w:rFonts w:ascii="Times New Roman" w:hAnsi="Times New Roman"/>
          <w:i/>
          <w:noProof/>
        </w:rPr>
        <w:t>Oliari</w:t>
      </w:r>
      <w:r w:rsidRPr="00AD657E">
        <w:rPr>
          <w:rFonts w:ascii="Times New Roman" w:hAnsi="Times New Roman"/>
          <w:noProof/>
        </w:rPr>
        <w:t>] un citi pret Itāliju” Itālijas tiesību normās nebija paredzēta iespēja juridiski atzīt viendzimuma pāru attiecības.</w:t>
      </w:r>
    </w:p>
    <w:p w:rsidR="005A54DE" w:rsidRPr="00AD657E" w:rsidRDefault="005A54DE" w:rsidP="00AD657E">
      <w:pPr>
        <w:pStyle w:val="ECHRPara"/>
        <w:rPr>
          <w:rFonts w:ascii="Times New Roman" w:hAnsi="Times New Roman"/>
          <w:noProof/>
        </w:rPr>
      </w:pPr>
      <w:r w:rsidRPr="00AD657E">
        <w:rPr>
          <w:rFonts w:ascii="Times New Roman" w:hAnsi="Times New Roman"/>
          <w:bCs/>
          <w:noProof/>
          <w:color w:val="000000"/>
        </w:rPr>
        <w:fldChar w:fldCharType="begin"/>
      </w:r>
      <w:r w:rsidRPr="00AD657E">
        <w:rPr>
          <w:rFonts w:ascii="Times New Roman" w:hAnsi="Times New Roman"/>
          <w:bCs/>
          <w:noProof/>
          <w:color w:val="000000"/>
        </w:rPr>
        <w:instrText xml:space="preserve"> SEQ level0 \*arabic </w:instrText>
      </w:r>
      <w:r w:rsidRPr="00AD657E">
        <w:rPr>
          <w:rFonts w:ascii="Times New Roman" w:hAnsi="Times New Roman"/>
          <w:bCs/>
          <w:noProof/>
          <w:color w:val="000000"/>
        </w:rPr>
        <w:fldChar w:fldCharType="separate"/>
      </w:r>
      <w:r w:rsidRPr="00AD657E">
        <w:rPr>
          <w:rFonts w:ascii="Times New Roman" w:hAnsi="Times New Roman"/>
          <w:bCs/>
          <w:noProof/>
          <w:color w:val="000000"/>
        </w:rPr>
        <w:t>51</w:t>
      </w:r>
      <w:r w:rsidRPr="00AD657E">
        <w:rPr>
          <w:rFonts w:ascii="Times New Roman" w:hAnsi="Times New Roman"/>
          <w:bCs/>
          <w:noProof/>
          <w:color w:val="000000"/>
        </w:rPr>
        <w:fldChar w:fldCharType="end"/>
      </w:r>
      <w:r w:rsidRPr="00AD657E">
        <w:rPr>
          <w:rFonts w:ascii="Times New Roman" w:hAnsi="Times New Roman"/>
          <w:noProof/>
          <w:color w:val="000000"/>
        </w:rPr>
        <w:t xml:space="preserve">. </w:t>
      </w:r>
      <w:r w:rsidRPr="00AD657E">
        <w:rPr>
          <w:rFonts w:ascii="Times New Roman" w:hAnsi="Times New Roman"/>
        </w:rPr>
        <w:t>Attiecībā uz Pieteikuma iesniedzēju apgalvojumu, ka pastāv atšķirības starp laulību un civilo solidaritātes paktu, Tiesa atgādina, ka tai šajā gadījumā nav detalizēti jāizskata katru no šīm atšķirībām (iepriekš citētās lietas “Šalks [</w:t>
      </w:r>
      <w:r w:rsidRPr="00AD657E">
        <w:rPr>
          <w:rFonts w:ascii="Times New Roman" w:hAnsi="Times New Roman"/>
          <w:i/>
        </w:rPr>
        <w:t>Schalk</w:t>
      </w:r>
      <w:r w:rsidRPr="00AD657E">
        <w:rPr>
          <w:rFonts w:ascii="Times New Roman" w:hAnsi="Times New Roman"/>
        </w:rPr>
        <w:t>] un Kopfs [</w:t>
      </w:r>
      <w:r w:rsidRPr="00AD657E">
        <w:rPr>
          <w:rFonts w:ascii="Times New Roman" w:hAnsi="Times New Roman"/>
          <w:i/>
        </w:rPr>
        <w:t>Kopf</w:t>
      </w:r>
      <w:r w:rsidRPr="00AD657E">
        <w:rPr>
          <w:rFonts w:ascii="Times New Roman" w:hAnsi="Times New Roman"/>
        </w:rPr>
        <w:t>] pret Austriju” 109. punkts).</w:t>
      </w:r>
      <w:r w:rsidRPr="00AD657E">
        <w:rPr>
          <w:rFonts w:ascii="Times New Roman" w:hAnsi="Times New Roman"/>
          <w:noProof/>
        </w:rPr>
        <w:t xml:space="preserve"> Jebkurā gadījumā tā norāda, kā jau tika atzīmēts šajā spriedumā, ka šīs atšķirības kopumā atbilst citās dalībvalstīs novērotajai tendencei un nesaskata pazīmes, ka atbildētāja valsts būtu pārsniegusi savu rīcības brīvību, nosakot ar civilās solidaritātes paktu piešķirtās tiesības un pienākumus (</w:t>
      </w:r>
      <w:r w:rsidRPr="00AD657E">
        <w:rPr>
          <w:rFonts w:ascii="Times New Roman" w:hAnsi="Times New Roman"/>
          <w:i/>
          <w:noProof/>
        </w:rPr>
        <w:t>ibidem</w:t>
      </w:r>
      <w:r w:rsidRPr="00AD657E">
        <w:rPr>
          <w:rFonts w:ascii="Times New Roman" w:hAnsi="Times New Roman"/>
          <w:noProof/>
        </w:rPr>
        <w:t>).</w:t>
      </w:r>
    </w:p>
    <w:p w:rsidR="005A54DE" w:rsidRPr="00AD657E" w:rsidRDefault="005A54DE" w:rsidP="00AD657E">
      <w:pPr>
        <w:pStyle w:val="ECHRPara"/>
        <w:rPr>
          <w:rFonts w:ascii="Times New Roman" w:hAnsi="Times New Roman"/>
          <w:noProof/>
        </w:rPr>
      </w:pPr>
      <w:r w:rsidRPr="00AD657E">
        <w:rPr>
          <w:rFonts w:ascii="Times New Roman" w:hAnsi="Times New Roman"/>
          <w:noProof/>
        </w:rPr>
        <w:t>Turklāt, kā norādīts iepriekš (39. punkts), 2013. gada 17. maija likums nodrošina homoseksuāliem pāriem iespēju stāties laulībā un Pieteikuma iesniedzēji tagad var brīvi stāties laulībā.</w:t>
      </w:r>
    </w:p>
    <w:p w:rsidR="005A54DE" w:rsidRPr="00AD657E" w:rsidRDefault="005A54DE" w:rsidP="00AD657E">
      <w:pPr>
        <w:pStyle w:val="ECHRPara"/>
        <w:rPr>
          <w:rFonts w:ascii="Times New Roman" w:hAnsi="Times New Roman"/>
          <w:noProof/>
        </w:rPr>
      </w:pPr>
      <w:r w:rsidRPr="00AD657E">
        <w:rPr>
          <w:rFonts w:ascii="Times New Roman" w:hAnsi="Times New Roman"/>
          <w:noProof/>
        </w:rPr>
        <w:fldChar w:fldCharType="begin"/>
      </w:r>
      <w:r w:rsidRPr="00AD657E">
        <w:rPr>
          <w:rFonts w:ascii="Times New Roman" w:hAnsi="Times New Roman"/>
          <w:noProof/>
        </w:rPr>
        <w:instrText xml:space="preserve"> SEQ level0 \*arabic </w:instrText>
      </w:r>
      <w:r w:rsidRPr="00AD657E">
        <w:rPr>
          <w:rFonts w:ascii="Times New Roman" w:hAnsi="Times New Roman"/>
          <w:noProof/>
        </w:rPr>
        <w:fldChar w:fldCharType="separate"/>
      </w:r>
      <w:r w:rsidRPr="00AD657E">
        <w:rPr>
          <w:rFonts w:ascii="Times New Roman" w:hAnsi="Times New Roman"/>
          <w:noProof/>
        </w:rPr>
        <w:t>52</w:t>
      </w:r>
      <w:r w:rsidRPr="00AD657E">
        <w:rPr>
          <w:rFonts w:ascii="Times New Roman" w:hAnsi="Times New Roman"/>
          <w:noProof/>
        </w:rPr>
        <w:fldChar w:fldCharType="end"/>
      </w:r>
      <w:r w:rsidRPr="00AD657E">
        <w:rPr>
          <w:rFonts w:ascii="Times New Roman" w:hAnsi="Times New Roman"/>
          <w:noProof/>
        </w:rPr>
        <w:t>. Tāpēc Tiesa uzskata, ka šajā lietā nav bijis Konvencijas 8. panta, kas lasāms kopā ar 14. pantu, pārkāpums.</w:t>
      </w:r>
    </w:p>
    <w:p w:rsidR="00AE317D" w:rsidRDefault="00AE317D" w:rsidP="00AD657E">
      <w:pPr>
        <w:pStyle w:val="ECHRTitle1"/>
        <w:keepNext w:val="0"/>
        <w:keepLines w:val="0"/>
        <w:spacing w:before="0" w:after="0"/>
        <w:outlineLvl w:val="9"/>
        <w:rPr>
          <w:rFonts w:ascii="Times New Roman" w:hAnsi="Times New Roman"/>
          <w:noProof/>
          <w:sz w:val="24"/>
        </w:rPr>
      </w:pPr>
    </w:p>
    <w:p w:rsidR="00F50B23" w:rsidRPr="00F50B23" w:rsidRDefault="00F50B23" w:rsidP="00F50B23">
      <w:pPr>
        <w:pStyle w:val="ECHRPara"/>
      </w:pPr>
    </w:p>
    <w:p w:rsidR="005A54DE" w:rsidRDefault="005A54DE" w:rsidP="00AD657E">
      <w:pPr>
        <w:pStyle w:val="ECHRTitle1"/>
        <w:keepNext w:val="0"/>
        <w:keepLines w:val="0"/>
        <w:spacing w:before="0" w:after="0"/>
        <w:outlineLvl w:val="9"/>
        <w:rPr>
          <w:rFonts w:ascii="Times New Roman" w:hAnsi="Times New Roman"/>
          <w:noProof/>
          <w:sz w:val="24"/>
        </w:rPr>
      </w:pPr>
      <w:r w:rsidRPr="00AD657E">
        <w:rPr>
          <w:rFonts w:ascii="Times New Roman" w:hAnsi="Times New Roman"/>
          <w:noProof/>
          <w:sz w:val="24"/>
        </w:rPr>
        <w:t>ŅEMOT VĒRĀ MINĒTOS ARGUMENTUS, TIESA VIENPRĀTĪGI</w:t>
      </w:r>
    </w:p>
    <w:p w:rsidR="00F50B23" w:rsidRPr="00F50B23" w:rsidRDefault="00F50B23" w:rsidP="00F50B23">
      <w:pPr>
        <w:pStyle w:val="ECHRPara"/>
      </w:pPr>
    </w:p>
    <w:p w:rsidR="005A54DE" w:rsidRPr="00AD657E" w:rsidRDefault="005A54DE" w:rsidP="00AD657E">
      <w:pPr>
        <w:pStyle w:val="JuList"/>
        <w:ind w:left="0" w:firstLine="0"/>
        <w:rPr>
          <w:rFonts w:ascii="Times New Roman" w:hAnsi="Times New Roman"/>
          <w:noProof/>
        </w:rPr>
      </w:pPr>
      <w:r w:rsidRPr="00AD657E">
        <w:rPr>
          <w:rFonts w:ascii="Times New Roman" w:hAnsi="Times New Roman"/>
          <w:noProof/>
        </w:rPr>
        <w:t xml:space="preserve">1. </w:t>
      </w:r>
      <w:r w:rsidRPr="00AD657E">
        <w:rPr>
          <w:rFonts w:ascii="Times New Roman" w:hAnsi="Times New Roman"/>
          <w:i/>
          <w:noProof/>
        </w:rPr>
        <w:t>Pasludina</w:t>
      </w:r>
      <w:r w:rsidRPr="00AD657E">
        <w:rPr>
          <w:rFonts w:ascii="Times New Roman" w:hAnsi="Times New Roman"/>
          <w:noProof/>
        </w:rPr>
        <w:t>, ka pieteikumu var pieņemt izskatīšanai.</w:t>
      </w:r>
    </w:p>
    <w:p w:rsidR="005A54DE" w:rsidRPr="00AD657E" w:rsidRDefault="005A54DE" w:rsidP="00AD657E">
      <w:pPr>
        <w:pStyle w:val="JuList"/>
        <w:ind w:left="0" w:firstLine="0"/>
        <w:rPr>
          <w:rFonts w:ascii="Times New Roman" w:hAnsi="Times New Roman"/>
          <w:noProof/>
        </w:rPr>
      </w:pPr>
    </w:p>
    <w:p w:rsidR="005A54DE" w:rsidRPr="00AD657E" w:rsidRDefault="005A54DE" w:rsidP="00AD657E">
      <w:pPr>
        <w:pStyle w:val="JuList"/>
        <w:ind w:left="0" w:firstLine="0"/>
        <w:rPr>
          <w:rFonts w:ascii="Times New Roman" w:hAnsi="Times New Roman"/>
          <w:noProof/>
        </w:rPr>
      </w:pPr>
      <w:r w:rsidRPr="00AD657E">
        <w:rPr>
          <w:rFonts w:ascii="Times New Roman" w:hAnsi="Times New Roman"/>
          <w:noProof/>
        </w:rPr>
        <w:t xml:space="preserve">2. </w:t>
      </w:r>
      <w:r w:rsidRPr="00AD657E">
        <w:rPr>
          <w:rFonts w:ascii="Times New Roman" w:hAnsi="Times New Roman"/>
          <w:i/>
          <w:noProof/>
        </w:rPr>
        <w:t>Konstatē</w:t>
      </w:r>
      <w:r w:rsidRPr="00AD657E">
        <w:rPr>
          <w:rFonts w:ascii="Times New Roman" w:hAnsi="Times New Roman"/>
          <w:noProof/>
        </w:rPr>
        <w:t>, ka Konvencijas 12. pants, kas lasāms kopā ar 14. pantu, nav pārkāpts.</w:t>
      </w:r>
    </w:p>
    <w:p w:rsidR="005A54DE" w:rsidRPr="00AD657E" w:rsidRDefault="005A54DE" w:rsidP="00AD657E">
      <w:pPr>
        <w:pStyle w:val="JuList"/>
        <w:ind w:left="0" w:firstLine="0"/>
        <w:rPr>
          <w:rFonts w:ascii="Times New Roman" w:hAnsi="Times New Roman"/>
          <w:noProof/>
        </w:rPr>
      </w:pPr>
    </w:p>
    <w:p w:rsidR="005A54DE" w:rsidRPr="00AD657E" w:rsidRDefault="005A54DE" w:rsidP="00AD657E">
      <w:pPr>
        <w:pStyle w:val="JuList"/>
        <w:ind w:left="0" w:firstLine="0"/>
        <w:rPr>
          <w:rFonts w:ascii="Times New Roman" w:hAnsi="Times New Roman"/>
          <w:noProof/>
        </w:rPr>
      </w:pPr>
      <w:r w:rsidRPr="00AD657E">
        <w:rPr>
          <w:rFonts w:ascii="Times New Roman" w:hAnsi="Times New Roman"/>
          <w:noProof/>
        </w:rPr>
        <w:t xml:space="preserve">3. </w:t>
      </w:r>
      <w:r w:rsidRPr="00AD657E">
        <w:rPr>
          <w:rFonts w:ascii="Times New Roman" w:hAnsi="Times New Roman"/>
          <w:i/>
          <w:noProof/>
        </w:rPr>
        <w:t>Konstatē</w:t>
      </w:r>
      <w:r w:rsidRPr="00AD657E">
        <w:rPr>
          <w:rFonts w:ascii="Times New Roman" w:hAnsi="Times New Roman"/>
          <w:noProof/>
        </w:rPr>
        <w:t>, ka Konvencijas 8. pants, kas lasāms kopā ar 14. pantu, nav pārkāpts.</w:t>
      </w:r>
    </w:p>
    <w:p w:rsidR="00F50B23" w:rsidRDefault="00F50B23" w:rsidP="00AD657E">
      <w:pPr>
        <w:pStyle w:val="JuParaLast"/>
        <w:keepNext w:val="0"/>
        <w:keepLines w:val="0"/>
        <w:spacing w:before="0"/>
        <w:ind w:firstLine="0"/>
        <w:rPr>
          <w:rFonts w:ascii="Times New Roman" w:hAnsi="Times New Roman"/>
          <w:noProof/>
        </w:rPr>
      </w:pPr>
    </w:p>
    <w:p w:rsidR="005A54DE" w:rsidRPr="00AD657E" w:rsidRDefault="005A54DE" w:rsidP="00AD657E">
      <w:pPr>
        <w:pStyle w:val="JuParaLast"/>
        <w:keepNext w:val="0"/>
        <w:keepLines w:val="0"/>
        <w:spacing w:before="0"/>
        <w:ind w:firstLine="0"/>
        <w:rPr>
          <w:rFonts w:ascii="Times New Roman" w:hAnsi="Times New Roman"/>
          <w:noProof/>
        </w:rPr>
      </w:pPr>
      <w:r w:rsidRPr="00AD657E">
        <w:rPr>
          <w:rFonts w:ascii="Times New Roman" w:hAnsi="Times New Roman"/>
          <w:noProof/>
        </w:rPr>
        <w:lastRenderedPageBreak/>
        <w:t>Sagatavots franču valodā un paziņ</w:t>
      </w:r>
      <w:bookmarkStart w:id="2" w:name="_GoBack"/>
      <w:bookmarkEnd w:id="2"/>
      <w:r w:rsidRPr="00AD657E">
        <w:rPr>
          <w:rFonts w:ascii="Times New Roman" w:hAnsi="Times New Roman"/>
          <w:noProof/>
        </w:rPr>
        <w:t>ots rakstveidā 2016. gada 9. jūnijā atbilstoši Tiesas reglamenta 77. panta 2. un 3. punktam.</w:t>
      </w:r>
    </w:p>
    <w:p w:rsidR="00AE317D" w:rsidRPr="00AD657E" w:rsidRDefault="00AE317D" w:rsidP="00AD657E">
      <w:pPr>
        <w:pStyle w:val="ECHRPara"/>
        <w:ind w:firstLine="0"/>
        <w:rPr>
          <w:rFonts w:ascii="Times New Roman" w:hAnsi="Times New Roman"/>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0"/>
        <w:gridCol w:w="4567"/>
      </w:tblGrid>
      <w:tr w:rsidR="00AE317D" w:rsidRPr="00AD657E" w:rsidTr="00F50B23">
        <w:trPr>
          <w:jc w:val="center"/>
        </w:trPr>
        <w:tc>
          <w:tcPr>
            <w:tcW w:w="2498" w:type="pct"/>
          </w:tcPr>
          <w:p w:rsidR="00AE317D" w:rsidRPr="00AD657E" w:rsidRDefault="00AE317D" w:rsidP="00F50B23">
            <w:pPr>
              <w:pStyle w:val="ECHRPara"/>
              <w:ind w:firstLine="0"/>
              <w:jc w:val="center"/>
              <w:rPr>
                <w:rFonts w:ascii="Times New Roman" w:hAnsi="Times New Roman"/>
                <w:noProof/>
              </w:rPr>
            </w:pPr>
            <w:r w:rsidRPr="00AD657E">
              <w:rPr>
                <w:rFonts w:ascii="Times New Roman" w:hAnsi="Times New Roman"/>
                <w:noProof/>
              </w:rPr>
              <w:t>Klaudija Vesterdīka [</w:t>
            </w:r>
            <w:r w:rsidRPr="00AD657E">
              <w:rPr>
                <w:rFonts w:ascii="Times New Roman" w:hAnsi="Times New Roman"/>
                <w:i/>
                <w:noProof/>
              </w:rPr>
              <w:t>Claudia Westerdiek</w:t>
            </w:r>
            <w:r w:rsidRPr="00AD657E">
              <w:rPr>
                <w:rFonts w:ascii="Times New Roman" w:hAnsi="Times New Roman"/>
                <w:noProof/>
              </w:rPr>
              <w:t>]</w:t>
            </w:r>
          </w:p>
          <w:p w:rsidR="00AE317D" w:rsidRPr="00AD657E" w:rsidRDefault="00AE317D" w:rsidP="00F50B23">
            <w:pPr>
              <w:pStyle w:val="ECHRPara"/>
              <w:ind w:firstLine="0"/>
              <w:jc w:val="center"/>
              <w:rPr>
                <w:rFonts w:ascii="Times New Roman" w:hAnsi="Times New Roman"/>
              </w:rPr>
            </w:pPr>
            <w:r w:rsidRPr="00AD657E">
              <w:rPr>
                <w:rFonts w:ascii="Times New Roman" w:hAnsi="Times New Roman"/>
                <w:noProof/>
              </w:rPr>
              <w:t>Sekretārs</w:t>
            </w:r>
          </w:p>
        </w:tc>
        <w:tc>
          <w:tcPr>
            <w:tcW w:w="2502" w:type="pct"/>
          </w:tcPr>
          <w:p w:rsidR="00AE317D" w:rsidRPr="00AD657E" w:rsidRDefault="00AE317D" w:rsidP="00F50B23">
            <w:pPr>
              <w:pStyle w:val="ECHRPara"/>
              <w:ind w:firstLine="0"/>
              <w:jc w:val="center"/>
              <w:rPr>
                <w:rFonts w:ascii="Times New Roman" w:hAnsi="Times New Roman"/>
                <w:noProof/>
              </w:rPr>
            </w:pPr>
            <w:r w:rsidRPr="00AD657E">
              <w:rPr>
                <w:rFonts w:ascii="Times New Roman" w:hAnsi="Times New Roman"/>
                <w:noProof/>
              </w:rPr>
              <w:t>Angelika Nusbergere [</w:t>
            </w:r>
            <w:r w:rsidRPr="00AD657E">
              <w:rPr>
                <w:rFonts w:ascii="Times New Roman" w:hAnsi="Times New Roman"/>
                <w:i/>
                <w:noProof/>
              </w:rPr>
              <w:t>Angelika Nußberger</w:t>
            </w:r>
            <w:r w:rsidRPr="00AD657E">
              <w:rPr>
                <w:rFonts w:ascii="Times New Roman" w:hAnsi="Times New Roman"/>
                <w:noProof/>
              </w:rPr>
              <w:t>],</w:t>
            </w:r>
          </w:p>
          <w:p w:rsidR="00AE317D" w:rsidRPr="00AD657E" w:rsidRDefault="00AE317D" w:rsidP="00F50B23">
            <w:pPr>
              <w:pStyle w:val="ECHRPara"/>
              <w:ind w:firstLine="0"/>
              <w:jc w:val="center"/>
              <w:rPr>
                <w:rFonts w:ascii="Times New Roman" w:hAnsi="Times New Roman"/>
              </w:rPr>
            </w:pPr>
            <w:r w:rsidRPr="00AD657E">
              <w:rPr>
                <w:rFonts w:ascii="Times New Roman" w:hAnsi="Times New Roman"/>
                <w:noProof/>
              </w:rPr>
              <w:t>Priekšsēdētāja</w:t>
            </w:r>
          </w:p>
        </w:tc>
      </w:tr>
    </w:tbl>
    <w:p w:rsidR="005A54DE" w:rsidRPr="00AD657E" w:rsidRDefault="005A54DE" w:rsidP="00AD657E">
      <w:pPr>
        <w:pStyle w:val="JuParaLast"/>
        <w:keepNext w:val="0"/>
        <w:keepLines w:val="0"/>
        <w:spacing w:before="0"/>
        <w:ind w:firstLine="0"/>
        <w:rPr>
          <w:rFonts w:ascii="Times New Roman" w:hAnsi="Times New Roman"/>
          <w:noProof/>
        </w:rPr>
      </w:pPr>
    </w:p>
    <w:sectPr w:rsidR="005A54DE" w:rsidRPr="00AD657E" w:rsidSect="00AD657E">
      <w:headerReference w:type="default" r:id="rId9"/>
      <w:footerReference w:type="default" r:id="rId10"/>
      <w:headerReference w:type="first" r:id="rId11"/>
      <w:footerReference w:type="first" r:id="rId12"/>
      <w:footnotePr>
        <w:numRestart w:val="eachSect"/>
      </w:footnotePr>
      <w:pgSz w:w="11906" w:h="16838" w:code="9"/>
      <w:pgMar w:top="1134" w:right="1134" w:bottom="1134" w:left="1701" w:header="56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6B3" w:rsidRPr="005A54DE" w:rsidRDefault="007846B3" w:rsidP="00E77CB3">
      <w:pPr>
        <w:rPr>
          <w:noProof/>
        </w:rPr>
      </w:pPr>
      <w:r w:rsidRPr="005A54DE">
        <w:rPr>
          <w:noProof/>
        </w:rPr>
        <w:separator/>
      </w:r>
    </w:p>
  </w:endnote>
  <w:endnote w:type="continuationSeparator" w:id="0">
    <w:p w:rsidR="007846B3" w:rsidRPr="005A54DE" w:rsidRDefault="007846B3" w:rsidP="00E77CB3">
      <w:pPr>
        <w:rPr>
          <w:noProof/>
        </w:rPr>
      </w:pPr>
      <w:r w:rsidRPr="005A54DE">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57E" w:rsidRPr="004F5D11" w:rsidRDefault="00AD657E" w:rsidP="00AD657E">
    <w:pPr>
      <w:pStyle w:val="Header"/>
      <w:tabs>
        <w:tab w:val="clear" w:pos="4536"/>
        <w:tab w:val="clear" w:pos="9072"/>
        <w:tab w:val="center" w:pos="9071"/>
      </w:tabs>
      <w:rPr>
        <w:rStyle w:val="PageNumber"/>
        <w:sz w:val="20"/>
        <w:szCs w:val="20"/>
      </w:rPr>
    </w:pPr>
    <w:r w:rsidRPr="004F5D11">
      <w:rPr>
        <w:rFonts w:ascii="Times New Roman" w:hAnsi="Times New Roman"/>
        <w:sz w:val="20"/>
        <w:szCs w:val="20"/>
      </w:rPr>
      <w:tab/>
    </w:r>
  </w:p>
  <w:p w:rsidR="00AD657E" w:rsidRPr="004F5D11" w:rsidRDefault="00AD657E" w:rsidP="00AD657E">
    <w:pPr>
      <w:pStyle w:val="Header"/>
      <w:tabs>
        <w:tab w:val="clear" w:pos="4536"/>
        <w:tab w:val="center" w:leader="underscore" w:pos="9072"/>
      </w:tabs>
      <w:rPr>
        <w:rStyle w:val="PageNumber"/>
        <w:sz w:val="20"/>
        <w:szCs w:val="20"/>
      </w:rPr>
    </w:pPr>
    <w:r>
      <w:rPr>
        <w:rStyle w:val="PageNumber"/>
        <w:sz w:val="20"/>
        <w:szCs w:val="20"/>
      </w:rPr>
      <w:tab/>
    </w:r>
  </w:p>
  <w:p w:rsidR="00AD657E" w:rsidRPr="004F5D11" w:rsidRDefault="00AD657E" w:rsidP="00AD657E">
    <w:pPr>
      <w:pStyle w:val="Header"/>
      <w:rPr>
        <w:rStyle w:val="PageNumber"/>
        <w:sz w:val="20"/>
        <w:szCs w:val="20"/>
      </w:rPr>
    </w:pPr>
  </w:p>
  <w:p w:rsidR="00AD657E" w:rsidRPr="004F5D11" w:rsidRDefault="00AD657E" w:rsidP="00AD657E">
    <w:pPr>
      <w:pStyle w:val="Footer"/>
      <w:tabs>
        <w:tab w:val="clear" w:pos="4536"/>
        <w:tab w:val="center" w:pos="9072"/>
      </w:tabs>
      <w:ind w:left="0"/>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2016</w:t>
    </w:r>
    <w:r w:rsidRPr="004F5D11">
      <w:rPr>
        <w:rFonts w:ascii="Times New Roman" w:hAnsi="Times New Roman"/>
        <w:sz w:val="20"/>
        <w:szCs w:val="20"/>
      </w:rPr>
      <w:tab/>
    </w:r>
    <w:r w:rsidRPr="004F5D11">
      <w:rPr>
        <w:rStyle w:val="PageNumber"/>
        <w:sz w:val="20"/>
        <w:szCs w:val="20"/>
      </w:rPr>
      <w:fldChar w:fldCharType="begin"/>
    </w:r>
    <w:r w:rsidRPr="004F5D11">
      <w:rPr>
        <w:rStyle w:val="PageNumber"/>
        <w:sz w:val="20"/>
        <w:szCs w:val="20"/>
      </w:rPr>
      <w:instrText xml:space="preserve">page </w:instrText>
    </w:r>
    <w:r w:rsidRPr="004F5D11">
      <w:rPr>
        <w:rStyle w:val="PageNumber"/>
        <w:sz w:val="20"/>
        <w:szCs w:val="20"/>
      </w:rPr>
      <w:fldChar w:fldCharType="separate"/>
    </w:r>
    <w:r w:rsidR="00F50B23">
      <w:rPr>
        <w:rStyle w:val="PageNumber"/>
        <w:noProof/>
        <w:sz w:val="20"/>
        <w:szCs w:val="20"/>
      </w:rPr>
      <w:t>9</w:t>
    </w:r>
    <w:r w:rsidRPr="004F5D1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57E" w:rsidRPr="004F5D11" w:rsidRDefault="00AD657E" w:rsidP="00AD657E">
    <w:pPr>
      <w:pStyle w:val="Header"/>
      <w:tabs>
        <w:tab w:val="left" w:pos="9072"/>
      </w:tabs>
      <w:rPr>
        <w:rStyle w:val="PageNumber"/>
        <w:sz w:val="20"/>
        <w:szCs w:val="20"/>
      </w:rPr>
    </w:pPr>
  </w:p>
  <w:p w:rsidR="00AD657E" w:rsidRPr="004F5D11" w:rsidRDefault="00AD657E" w:rsidP="00AD657E">
    <w:pPr>
      <w:pStyle w:val="Header"/>
      <w:tabs>
        <w:tab w:val="clear" w:pos="4536"/>
        <w:tab w:val="left" w:leader="underscore" w:pos="9072"/>
      </w:tabs>
      <w:rPr>
        <w:rStyle w:val="PageNumber"/>
        <w:sz w:val="20"/>
        <w:szCs w:val="20"/>
      </w:rPr>
    </w:pPr>
    <w:r>
      <w:rPr>
        <w:rStyle w:val="PageNumber"/>
        <w:sz w:val="20"/>
        <w:szCs w:val="20"/>
      </w:rPr>
      <w:tab/>
    </w:r>
  </w:p>
  <w:p w:rsidR="00AD657E" w:rsidRPr="004F5D11" w:rsidRDefault="00AD657E" w:rsidP="00AD657E">
    <w:pPr>
      <w:pStyle w:val="Header"/>
      <w:tabs>
        <w:tab w:val="left" w:pos="9072"/>
      </w:tabs>
      <w:rPr>
        <w:rStyle w:val="PageNumber"/>
        <w:sz w:val="20"/>
        <w:szCs w:val="20"/>
      </w:rPr>
    </w:pPr>
  </w:p>
  <w:p w:rsidR="00AD657E" w:rsidRPr="004F5D11" w:rsidRDefault="00AD657E" w:rsidP="00AD657E">
    <w:pPr>
      <w:pStyle w:val="Footer"/>
      <w:ind w:left="0"/>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sidRPr="004F5D11">
      <w:rPr>
        <w:rFonts w:ascii="Times New Roman" w:hAnsi="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6B3" w:rsidRPr="005A54DE" w:rsidRDefault="007846B3" w:rsidP="00E77CB3">
      <w:pPr>
        <w:rPr>
          <w:noProof/>
        </w:rPr>
      </w:pPr>
      <w:r w:rsidRPr="005A54DE">
        <w:rPr>
          <w:noProof/>
        </w:rPr>
        <w:separator/>
      </w:r>
    </w:p>
  </w:footnote>
  <w:footnote w:type="continuationSeparator" w:id="0">
    <w:p w:rsidR="007846B3" w:rsidRPr="005A54DE" w:rsidRDefault="007846B3" w:rsidP="00E77CB3">
      <w:pPr>
        <w:rPr>
          <w:noProof/>
        </w:rPr>
      </w:pPr>
      <w:r w:rsidRPr="005A54DE">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57E" w:rsidRPr="004F5D11" w:rsidRDefault="00AD657E" w:rsidP="00AD657E">
    <w:pPr>
      <w:pStyle w:val="Header"/>
      <w:rPr>
        <w:rStyle w:val="PageNumber"/>
        <w:sz w:val="20"/>
        <w:szCs w:val="20"/>
      </w:rPr>
    </w:pPr>
  </w:p>
  <w:p w:rsidR="00AD657E" w:rsidRPr="004F5D11" w:rsidRDefault="00AD657E" w:rsidP="00AD657E">
    <w:pPr>
      <w:pStyle w:val="Header"/>
      <w:tabs>
        <w:tab w:val="clear" w:pos="4536"/>
        <w:tab w:val="right" w:leader="underscore" w:pos="9072"/>
      </w:tabs>
      <w:rPr>
        <w:rStyle w:val="PageNumber"/>
        <w:sz w:val="20"/>
        <w:szCs w:val="20"/>
      </w:rPr>
    </w:pPr>
    <w:r>
      <w:rPr>
        <w:rStyle w:val="PageNumber"/>
        <w:sz w:val="20"/>
        <w:szCs w:val="20"/>
      </w:rPr>
      <w:tab/>
    </w:r>
  </w:p>
  <w:p w:rsidR="00AD657E" w:rsidRPr="004F5D11" w:rsidRDefault="00AD657E" w:rsidP="00AD657E">
    <w:pPr>
      <w:pStyle w:val="Header"/>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57E" w:rsidRPr="004F5D11" w:rsidRDefault="00AD657E" w:rsidP="00AD657E">
    <w:pPr>
      <w:pBdr>
        <w:bottom w:val="single" w:sz="12" w:space="5" w:color="auto"/>
      </w:pBdr>
      <w:rPr>
        <w:rFonts w:ascii="Times New Roman" w:hAnsi="Times New Roman"/>
        <w:spacing w:val="-2"/>
        <w:sz w:val="20"/>
        <w:szCs w:val="20"/>
      </w:rPr>
    </w:pPr>
  </w:p>
  <w:p w:rsidR="00AD657E" w:rsidRPr="004F5D11" w:rsidRDefault="00AD657E" w:rsidP="00AD657E">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0AA222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C189B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0C4301E"/>
    <w:lvl w:ilvl="0">
      <w:start w:val="1"/>
      <w:numFmt w:val="decimal"/>
      <w:pStyle w:val="ListNumber3"/>
      <w:lvlText w:val="%1."/>
      <w:lvlJc w:val="left"/>
      <w:pPr>
        <w:tabs>
          <w:tab w:val="num" w:pos="926"/>
        </w:tabs>
        <w:ind w:left="926" w:hanging="360"/>
      </w:pPr>
    </w:lvl>
  </w:abstractNum>
  <w:abstractNum w:abstractNumId="3">
    <w:nsid w:val="FFFFFF7F"/>
    <w:multiLevelType w:val="singleLevel"/>
    <w:tmpl w:val="C7268F26"/>
    <w:lvl w:ilvl="0">
      <w:start w:val="1"/>
      <w:numFmt w:val="decimal"/>
      <w:pStyle w:val="ListNumber2"/>
      <w:lvlText w:val="%1."/>
      <w:lvlJc w:val="left"/>
      <w:pPr>
        <w:tabs>
          <w:tab w:val="num" w:pos="643"/>
        </w:tabs>
        <w:ind w:left="643" w:hanging="360"/>
      </w:pPr>
    </w:lvl>
  </w:abstractNum>
  <w:abstractNum w:abstractNumId="4">
    <w:nsid w:val="FFFFFF80"/>
    <w:multiLevelType w:val="singleLevel"/>
    <w:tmpl w:val="CFA0A71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B38292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68AD30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0501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DE43E0C"/>
    <w:lvl w:ilvl="0">
      <w:start w:val="1"/>
      <w:numFmt w:val="decimal"/>
      <w:pStyle w:val="ListNumber"/>
      <w:lvlText w:val="%1."/>
      <w:lvlJc w:val="left"/>
      <w:pPr>
        <w:tabs>
          <w:tab w:val="num" w:pos="360"/>
        </w:tabs>
        <w:ind w:left="360" w:hanging="360"/>
      </w:pPr>
    </w:lvl>
  </w:abstractNum>
  <w:abstractNum w:abstractNumId="9">
    <w:nsid w:val="FFFFFF89"/>
    <w:multiLevelType w:val="singleLevel"/>
    <w:tmpl w:val="03AEA0B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8750E"/>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A4A6C79"/>
    <w:multiLevelType w:val="multilevel"/>
    <w:tmpl w:val="2FC04DA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bullet"/>
      <w:lvlText w:val=""/>
      <w:lvlJc w:val="left"/>
      <w:pPr>
        <w:ind w:left="2520" w:hanging="360"/>
      </w:pPr>
      <w:rPr>
        <w:rFonts w:ascii="Symbol" w:hAnsi="Symbol"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B3A5857"/>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DB92CFA"/>
    <w:multiLevelType w:val="hybridMultilevel"/>
    <w:tmpl w:val="513A807C"/>
    <w:lvl w:ilvl="0" w:tplc="EAA8F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0B35A03"/>
    <w:multiLevelType w:val="multilevel"/>
    <w:tmpl w:val="BC84849E"/>
    <w:lvl w:ilvl="0">
      <w:start w:val="1"/>
      <w:numFmt w:val="lowerLetter"/>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15053EB"/>
    <w:multiLevelType w:val="multilevel"/>
    <w:tmpl w:val="941CA41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suff w:val="nothing"/>
      <w:lvlText w:val="(%5)  "/>
      <w:lvlJc w:val="left"/>
      <w:pPr>
        <w:ind w:left="1191"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9ED3C69"/>
    <w:multiLevelType w:val="multilevel"/>
    <w:tmpl w:val="FF7A8054"/>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B3D29CF"/>
    <w:multiLevelType w:val="multilevel"/>
    <w:tmpl w:val="10F4A786"/>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0324D93"/>
    <w:multiLevelType w:val="hybridMultilevel"/>
    <w:tmpl w:val="F7D68528"/>
    <w:lvl w:ilvl="0" w:tplc="569ADE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2777587"/>
    <w:multiLevelType w:val="multilevel"/>
    <w:tmpl w:val="4954960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58756B5"/>
    <w:multiLevelType w:val="multilevel"/>
    <w:tmpl w:val="F8A68542"/>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7063F06"/>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9AB3FB9"/>
    <w:multiLevelType w:val="multilevel"/>
    <w:tmpl w:val="7A6AC2C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upperRoman"/>
      <w:lvlText w:val="%7"/>
      <w:lvlJc w:val="left"/>
      <w:pPr>
        <w:tabs>
          <w:tab w:val="num" w:pos="1985"/>
        </w:tabs>
        <w:ind w:left="1985" w:hanging="227"/>
      </w:pPr>
      <w:rPr>
        <w:rFonts w:ascii="Symbol" w:hAnsi="Symbol" w:hint="default"/>
        <w:strike w:val="0"/>
        <w:dstrike w:val="0"/>
        <w:color w:val="auto"/>
        <w:sz w:val="28"/>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B9959AD"/>
    <w:multiLevelType w:val="multilevel"/>
    <w:tmpl w:val="E102B54A"/>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0B42C89"/>
    <w:multiLevelType w:val="hybridMultilevel"/>
    <w:tmpl w:val="CFB02226"/>
    <w:lvl w:ilvl="0" w:tplc="52584F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134506C"/>
    <w:multiLevelType w:val="multilevel"/>
    <w:tmpl w:val="F288E2F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74D47F6"/>
    <w:multiLevelType w:val="multilevel"/>
    <w:tmpl w:val="29C02C80"/>
    <w:lvl w:ilvl="0">
      <w:start w:val="1"/>
      <w:numFmt w:val="decimal"/>
      <w:lvlText w:val="%1."/>
      <w:lvlJc w:val="left"/>
      <w:pPr>
        <w:ind w:left="346" w:hanging="346"/>
      </w:pPr>
      <w:rPr>
        <w:rFonts w:hint="default"/>
      </w:rPr>
    </w:lvl>
    <w:lvl w:ilvl="1">
      <w:start w:val="1"/>
      <w:numFmt w:val="lowerLetter"/>
      <w:lvlText w:val="(%2)"/>
      <w:lvlJc w:val="left"/>
      <w:pPr>
        <w:tabs>
          <w:tab w:val="num" w:pos="851"/>
        </w:tabs>
        <w:ind w:left="346" w:firstLine="0"/>
      </w:pPr>
      <w:rPr>
        <w:rFonts w:hint="default"/>
      </w:rPr>
    </w:lvl>
    <w:lvl w:ilvl="2">
      <w:start w:val="1"/>
      <w:numFmt w:val="lowerRoman"/>
      <w:lvlText w:val="(%3)"/>
      <w:lvlJc w:val="left"/>
      <w:pPr>
        <w:tabs>
          <w:tab w:val="num" w:pos="1361"/>
        </w:tabs>
        <w:ind w:left="85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88D47DE"/>
    <w:multiLevelType w:val="multilevel"/>
    <w:tmpl w:val="F7F2C62E"/>
    <w:lvl w:ilvl="0">
      <w:start w:val="1"/>
      <w:numFmt w:val="decimal"/>
      <w:lvlText w:val="%1."/>
      <w:lvlJc w:val="left"/>
      <w:pPr>
        <w:ind w:left="1021"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E85438D"/>
    <w:multiLevelType w:val="multilevel"/>
    <w:tmpl w:val="73BC578A"/>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suff w:val="space"/>
      <w:lvlText w:val=""/>
      <w:lvlJc w:val="left"/>
      <w:pPr>
        <w:ind w:left="1814" w:hanging="17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13377FF"/>
    <w:multiLevelType w:val="multilevel"/>
    <w:tmpl w:val="EDC8B6AA"/>
    <w:lvl w:ilvl="0">
      <w:start w:val="1"/>
      <w:numFmt w:val="decimal"/>
      <w:lvlText w:val="%1."/>
      <w:lvlJc w:val="left"/>
      <w:pPr>
        <w:tabs>
          <w:tab w:val="num" w:pos="680"/>
        </w:tabs>
        <w:ind w:left="680"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4E25784"/>
    <w:multiLevelType w:val="multilevel"/>
    <w:tmpl w:val="165083BE"/>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60B61A5"/>
    <w:multiLevelType w:val="multilevel"/>
    <w:tmpl w:val="11FA262C"/>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ascii="Wingdings 3" w:hAnsi="Wingdings 3"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62F4708"/>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D1F59D2"/>
    <w:multiLevelType w:val="hybridMultilevel"/>
    <w:tmpl w:val="4582FBFC"/>
    <w:lvl w:ilvl="0" w:tplc="0D90B7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DA02EFE"/>
    <w:multiLevelType w:val="multilevel"/>
    <w:tmpl w:val="F42CEE52"/>
    <w:lvl w:ilvl="0">
      <w:start w:val="1"/>
      <w:numFmt w:val="decimal"/>
      <w:lvlText w:val="%1."/>
      <w:lvlJc w:val="left"/>
      <w:pPr>
        <w:ind w:left="284" w:hanging="284"/>
      </w:pPr>
      <w:rPr>
        <w:rFonts w:hint="default"/>
      </w:rPr>
    </w:lvl>
    <w:lvl w:ilvl="1">
      <w:start w:val="1"/>
      <w:numFmt w:val="lowerLetter"/>
      <w:lvlText w:val="(%2)"/>
      <w:lvlJc w:val="left"/>
      <w:pPr>
        <w:tabs>
          <w:tab w:val="num" w:pos="680"/>
        </w:tabs>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E8C0CF9"/>
    <w:multiLevelType w:val="multilevel"/>
    <w:tmpl w:val="090EC1BE"/>
    <w:lvl w:ilvl="0">
      <w:start w:val="1"/>
      <w:numFmt w:val="upperRoman"/>
      <w:lvlText w:val="%1."/>
      <w:lvlJc w:val="left"/>
      <w:pPr>
        <w:ind w:left="346" w:hanging="346"/>
      </w:pPr>
      <w:rPr>
        <w:rFonts w:hint="default"/>
      </w:rPr>
    </w:lvl>
    <w:lvl w:ilvl="1">
      <w:start w:val="1"/>
      <w:numFmt w:val="upp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06B6FCB"/>
    <w:multiLevelType w:val="multilevel"/>
    <w:tmpl w:val="067E4BA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2FB1EA6"/>
    <w:multiLevelType w:val="multilevel"/>
    <w:tmpl w:val="B1545D7A"/>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54812F33"/>
    <w:multiLevelType w:val="multilevel"/>
    <w:tmpl w:val="CD6E790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none"/>
      <w:lvlText w:val="%7–"/>
      <w:lvlJc w:val="left"/>
      <w:pPr>
        <w:tabs>
          <w:tab w:val="num" w:pos="1985"/>
        </w:tabs>
        <w:ind w:left="1985" w:hanging="227"/>
      </w:pPr>
      <w:rPr>
        <w:rFonts w:asciiTheme="majorHAnsi" w:hAnsiTheme="majorHAnsi" w:hint="default"/>
        <w:color w:val="000000" w:themeColor="text1"/>
        <w:sz w:val="28"/>
      </w:rPr>
    </w:lvl>
    <w:lvl w:ilvl="7">
      <w:start w:val="1"/>
      <w:numFmt w:val="none"/>
      <w:lvlText w:val="%8."/>
      <w:lvlJc w:val="left"/>
      <w:pPr>
        <w:ind w:left="2880" w:hanging="360"/>
      </w:pPr>
      <w:rPr>
        <w:rFonts w:asciiTheme="majorHAnsi" w:hAnsiTheme="majorHAnsi" w:hint="default"/>
        <w:strike w:val="0"/>
        <w:dstrike w:val="0"/>
        <w:color w:val="000000" w:themeColor="text1"/>
        <w:sz w:val="28"/>
        <w:vertAlign w:val="baseline"/>
      </w:rPr>
    </w:lvl>
    <w:lvl w:ilvl="8">
      <w:start w:val="1"/>
      <w:numFmt w:val="lowerRoman"/>
      <w:lvlText w:val="%9."/>
      <w:lvlJc w:val="left"/>
      <w:pPr>
        <w:ind w:left="3240" w:hanging="360"/>
      </w:pPr>
      <w:rPr>
        <w:rFonts w:hint="default"/>
      </w:rPr>
    </w:lvl>
  </w:abstractNum>
  <w:abstractNum w:abstractNumId="39">
    <w:nsid w:val="5A7B5D2C"/>
    <w:multiLevelType w:val="multilevel"/>
    <w:tmpl w:val="0A7CB2D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61FE1C04"/>
    <w:multiLevelType w:val="multilevel"/>
    <w:tmpl w:val="BEDA27C0"/>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suff w:val="nothing"/>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lvlText w:val=""/>
      <w:lvlJc w:val="left"/>
      <w:pPr>
        <w:ind w:left="1814" w:hanging="170"/>
      </w:pPr>
      <w:rPr>
        <w:rFonts w:ascii="Symbol" w:hAnsi="Symbol" w:hint="default"/>
        <w:color w:val="000000" w:themeColor="text1"/>
      </w:rPr>
    </w:lvl>
    <w:lvl w:ilvl="7">
      <w:start w:val="1"/>
      <w:numFmt w:val="bullet"/>
      <w:lvlText w:val=""/>
      <w:lvlJc w:val="left"/>
      <w:pPr>
        <w:ind w:left="1985" w:hanging="171"/>
      </w:pPr>
      <w:rPr>
        <w:rFonts w:ascii="Wingdings" w:hAnsi="Wingdings" w:hint="default"/>
        <w:color w:val="000000" w:themeColor="text1"/>
      </w:rPr>
    </w:lvl>
    <w:lvl w:ilvl="8">
      <w:start w:val="1"/>
      <w:numFmt w:val="lowerRoman"/>
      <w:lvlText w:val="%9."/>
      <w:lvlJc w:val="left"/>
      <w:pPr>
        <w:ind w:left="3240" w:hanging="360"/>
      </w:pPr>
      <w:rPr>
        <w:rFonts w:hint="default"/>
      </w:rPr>
    </w:lvl>
  </w:abstractNum>
  <w:abstractNum w:abstractNumId="41">
    <w:nsid w:val="65D7306C"/>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nsid w:val="66FD4624"/>
    <w:multiLevelType w:val="hybridMultilevel"/>
    <w:tmpl w:val="F8A68542"/>
    <w:lvl w:ilvl="0" w:tplc="7CD2FB6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D797CA4"/>
    <w:multiLevelType w:val="multilevel"/>
    <w:tmpl w:val="A1CE0A34"/>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4DD17BC"/>
    <w:multiLevelType w:val="multilevel"/>
    <w:tmpl w:val="EC58AD9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tabs>
          <w:tab w:val="num" w:pos="1985"/>
        </w:tabs>
        <w:ind w:left="1985" w:hanging="227"/>
      </w:pPr>
      <w:rPr>
        <w:rFonts w:asciiTheme="minorHAnsi" w:hAnsiTheme="minorHAnsi" w:hint="default"/>
        <w:strike w:val="0"/>
        <w:dstrike w:val="0"/>
        <w:color w:val="auto"/>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21"/>
  </w:num>
  <w:num w:numId="3">
    <w:abstractNumId w:val="10"/>
  </w:num>
  <w:num w:numId="4">
    <w:abstractNumId w:val="41"/>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6"/>
  </w:num>
  <w:num w:numId="16">
    <w:abstractNumId w:val="45"/>
  </w:num>
  <w:num w:numId="17">
    <w:abstractNumId w:val="40"/>
  </w:num>
  <w:num w:numId="18">
    <w:abstractNumId w:val="35"/>
  </w:num>
  <w:num w:numId="19">
    <w:abstractNumId w:val="36"/>
  </w:num>
  <w:num w:numId="20">
    <w:abstractNumId w:val="25"/>
  </w:num>
  <w:num w:numId="21">
    <w:abstractNumId w:val="15"/>
  </w:num>
  <w:num w:numId="22">
    <w:abstractNumId w:val="19"/>
  </w:num>
  <w:num w:numId="23">
    <w:abstractNumId w:val="38"/>
  </w:num>
  <w:num w:numId="24">
    <w:abstractNumId w:val="34"/>
  </w:num>
  <w:num w:numId="25">
    <w:abstractNumId w:val="37"/>
  </w:num>
  <w:num w:numId="26">
    <w:abstractNumId w:val="43"/>
  </w:num>
  <w:num w:numId="27">
    <w:abstractNumId w:val="23"/>
  </w:num>
  <w:num w:numId="28">
    <w:abstractNumId w:val="11"/>
  </w:num>
  <w:num w:numId="29">
    <w:abstractNumId w:val="31"/>
  </w:num>
  <w:num w:numId="30">
    <w:abstractNumId w:val="16"/>
  </w:num>
  <w:num w:numId="31">
    <w:abstractNumId w:val="39"/>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12"/>
  </w:num>
  <w:num w:numId="35">
    <w:abstractNumId w:val="32"/>
  </w:num>
  <w:num w:numId="36">
    <w:abstractNumId w:val="28"/>
  </w:num>
  <w:num w:numId="37">
    <w:abstractNumId w:val="29"/>
  </w:num>
  <w:num w:numId="38">
    <w:abstractNumId w:val="14"/>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3"/>
  </w:num>
  <w:num w:numId="42">
    <w:abstractNumId w:val="24"/>
  </w:num>
  <w:num w:numId="43">
    <w:abstractNumId w:val="33"/>
  </w:num>
  <w:num w:numId="44">
    <w:abstractNumId w:val="30"/>
  </w:num>
  <w:num w:numId="45">
    <w:abstractNumId w:val="27"/>
  </w:num>
  <w:num w:numId="46">
    <w:abstractNumId w:val="42"/>
  </w:num>
  <w:num w:numId="47">
    <w:abstractNumId w:val="20"/>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hideSpellingErrors/>
  <w:hideGrammaticalErrors/>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doNotHyphenateCap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PAR VOIE ÉLECTRONIQUE UNIQUEMENT"/>
    <w:docVar w:name="L4_1Annex" w:val="0"/>
    <w:docVar w:name="L4_1Anonymity" w:val="0"/>
    <w:docVar w:name="NBEMMDOC" w:val="0"/>
    <w:docVar w:name="SignForeName" w:val="0"/>
  </w:docVars>
  <w:rsids>
    <w:rsidRoot w:val="00FC300A"/>
    <w:rsid w:val="000041F8"/>
    <w:rsid w:val="000042A8"/>
    <w:rsid w:val="00004308"/>
    <w:rsid w:val="00005BF0"/>
    <w:rsid w:val="00007154"/>
    <w:rsid w:val="000103AE"/>
    <w:rsid w:val="00011D69"/>
    <w:rsid w:val="00012AD3"/>
    <w:rsid w:val="00015C2D"/>
    <w:rsid w:val="00015F00"/>
    <w:rsid w:val="00022C1D"/>
    <w:rsid w:val="0003453F"/>
    <w:rsid w:val="00034987"/>
    <w:rsid w:val="00036A68"/>
    <w:rsid w:val="000465F9"/>
    <w:rsid w:val="000602DF"/>
    <w:rsid w:val="00061B05"/>
    <w:rsid w:val="000632D5"/>
    <w:rsid w:val="000644EE"/>
    <w:rsid w:val="00066A71"/>
    <w:rsid w:val="000702FA"/>
    <w:rsid w:val="000925AD"/>
    <w:rsid w:val="00094E9D"/>
    <w:rsid w:val="000A0D08"/>
    <w:rsid w:val="000A24EB"/>
    <w:rsid w:val="000A30AF"/>
    <w:rsid w:val="000B5F1F"/>
    <w:rsid w:val="000B6923"/>
    <w:rsid w:val="000C409E"/>
    <w:rsid w:val="000C5F3C"/>
    <w:rsid w:val="000C6DCC"/>
    <w:rsid w:val="000D47AA"/>
    <w:rsid w:val="000D47EA"/>
    <w:rsid w:val="000D721F"/>
    <w:rsid w:val="000E069B"/>
    <w:rsid w:val="000E0E82"/>
    <w:rsid w:val="000E1DC5"/>
    <w:rsid w:val="000E223F"/>
    <w:rsid w:val="000E7D45"/>
    <w:rsid w:val="000F00EF"/>
    <w:rsid w:val="000F7851"/>
    <w:rsid w:val="00103552"/>
    <w:rsid w:val="00104E23"/>
    <w:rsid w:val="00111B0C"/>
    <w:rsid w:val="00120D6C"/>
    <w:rsid w:val="00121F02"/>
    <w:rsid w:val="001257EC"/>
    <w:rsid w:val="001321E8"/>
    <w:rsid w:val="00133D33"/>
    <w:rsid w:val="00134D64"/>
    <w:rsid w:val="00135A30"/>
    <w:rsid w:val="0013612C"/>
    <w:rsid w:val="0013630C"/>
    <w:rsid w:val="00137FF6"/>
    <w:rsid w:val="00141650"/>
    <w:rsid w:val="001516A3"/>
    <w:rsid w:val="00156E1F"/>
    <w:rsid w:val="0016174F"/>
    <w:rsid w:val="00162A12"/>
    <w:rsid w:val="00166530"/>
    <w:rsid w:val="001703CA"/>
    <w:rsid w:val="00173919"/>
    <w:rsid w:val="00177092"/>
    <w:rsid w:val="001832BD"/>
    <w:rsid w:val="001943B5"/>
    <w:rsid w:val="00195134"/>
    <w:rsid w:val="001A145B"/>
    <w:rsid w:val="001A4528"/>
    <w:rsid w:val="001A674C"/>
    <w:rsid w:val="001B3B24"/>
    <w:rsid w:val="001B5C36"/>
    <w:rsid w:val="001B606C"/>
    <w:rsid w:val="001C0F98"/>
    <w:rsid w:val="001C2A42"/>
    <w:rsid w:val="001C41FA"/>
    <w:rsid w:val="001D63ED"/>
    <w:rsid w:val="001D7348"/>
    <w:rsid w:val="001E035B"/>
    <w:rsid w:val="001E0961"/>
    <w:rsid w:val="001E3EAE"/>
    <w:rsid w:val="001E6F32"/>
    <w:rsid w:val="001F2145"/>
    <w:rsid w:val="001F4E43"/>
    <w:rsid w:val="001F6262"/>
    <w:rsid w:val="001F67B0"/>
    <w:rsid w:val="001F7B3D"/>
    <w:rsid w:val="00205F9F"/>
    <w:rsid w:val="00210338"/>
    <w:rsid w:val="002115FC"/>
    <w:rsid w:val="0021423C"/>
    <w:rsid w:val="00216B31"/>
    <w:rsid w:val="00230D00"/>
    <w:rsid w:val="00231DF7"/>
    <w:rsid w:val="00231FD1"/>
    <w:rsid w:val="002339E0"/>
    <w:rsid w:val="00233CF8"/>
    <w:rsid w:val="0023575D"/>
    <w:rsid w:val="00237148"/>
    <w:rsid w:val="002421D2"/>
    <w:rsid w:val="0024222D"/>
    <w:rsid w:val="00244B0E"/>
    <w:rsid w:val="00244F6C"/>
    <w:rsid w:val="002478E5"/>
    <w:rsid w:val="00251F9E"/>
    <w:rsid w:val="002532C5"/>
    <w:rsid w:val="002556DF"/>
    <w:rsid w:val="0026062D"/>
    <w:rsid w:val="00260C03"/>
    <w:rsid w:val="0026540E"/>
    <w:rsid w:val="00275123"/>
    <w:rsid w:val="00282240"/>
    <w:rsid w:val="00291379"/>
    <w:rsid w:val="002948AD"/>
    <w:rsid w:val="00294917"/>
    <w:rsid w:val="002A01CC"/>
    <w:rsid w:val="002A61B1"/>
    <w:rsid w:val="002A663C"/>
    <w:rsid w:val="002B444B"/>
    <w:rsid w:val="002B5887"/>
    <w:rsid w:val="002C0266"/>
    <w:rsid w:val="002C0E27"/>
    <w:rsid w:val="002C3040"/>
    <w:rsid w:val="002D022D"/>
    <w:rsid w:val="002D23B6"/>
    <w:rsid w:val="002D24BB"/>
    <w:rsid w:val="002E02CB"/>
    <w:rsid w:val="002F2AF7"/>
    <w:rsid w:val="002F48E4"/>
    <w:rsid w:val="002F4E2B"/>
    <w:rsid w:val="002F714B"/>
    <w:rsid w:val="002F7E1C"/>
    <w:rsid w:val="00301A75"/>
    <w:rsid w:val="00302F70"/>
    <w:rsid w:val="0030336F"/>
    <w:rsid w:val="0030375E"/>
    <w:rsid w:val="00312A30"/>
    <w:rsid w:val="00320F72"/>
    <w:rsid w:val="00321BDB"/>
    <w:rsid w:val="0032463E"/>
    <w:rsid w:val="00326224"/>
    <w:rsid w:val="00337EE4"/>
    <w:rsid w:val="00340FFD"/>
    <w:rsid w:val="00344EC2"/>
    <w:rsid w:val="003506B1"/>
    <w:rsid w:val="00354F8C"/>
    <w:rsid w:val="00356AC7"/>
    <w:rsid w:val="003609FA"/>
    <w:rsid w:val="003710C8"/>
    <w:rsid w:val="0037163C"/>
    <w:rsid w:val="00372026"/>
    <w:rsid w:val="003750BE"/>
    <w:rsid w:val="00383106"/>
    <w:rsid w:val="00387B9D"/>
    <w:rsid w:val="0039364F"/>
    <w:rsid w:val="00396686"/>
    <w:rsid w:val="00397057"/>
    <w:rsid w:val="0039778E"/>
    <w:rsid w:val="003A35B3"/>
    <w:rsid w:val="003B2814"/>
    <w:rsid w:val="003B4790"/>
    <w:rsid w:val="003B4941"/>
    <w:rsid w:val="003C5714"/>
    <w:rsid w:val="003C6B9F"/>
    <w:rsid w:val="003C6E2A"/>
    <w:rsid w:val="003D0299"/>
    <w:rsid w:val="003D0C9E"/>
    <w:rsid w:val="003E470B"/>
    <w:rsid w:val="003E6D80"/>
    <w:rsid w:val="003F05FA"/>
    <w:rsid w:val="003F17BD"/>
    <w:rsid w:val="003F244A"/>
    <w:rsid w:val="003F30B8"/>
    <w:rsid w:val="003F4C45"/>
    <w:rsid w:val="003F5F7B"/>
    <w:rsid w:val="003F7D64"/>
    <w:rsid w:val="00401D82"/>
    <w:rsid w:val="00414300"/>
    <w:rsid w:val="004147EA"/>
    <w:rsid w:val="00416D01"/>
    <w:rsid w:val="00425C67"/>
    <w:rsid w:val="00427E7A"/>
    <w:rsid w:val="00431501"/>
    <w:rsid w:val="00434EC4"/>
    <w:rsid w:val="00436C49"/>
    <w:rsid w:val="00445366"/>
    <w:rsid w:val="00447F5B"/>
    <w:rsid w:val="0045067D"/>
    <w:rsid w:val="00461DB0"/>
    <w:rsid w:val="00463926"/>
    <w:rsid w:val="00464C9A"/>
    <w:rsid w:val="004741F5"/>
    <w:rsid w:val="00474F3D"/>
    <w:rsid w:val="00477E3A"/>
    <w:rsid w:val="00483E5F"/>
    <w:rsid w:val="00485FF9"/>
    <w:rsid w:val="004907F0"/>
    <w:rsid w:val="0049140B"/>
    <w:rsid w:val="004923A5"/>
    <w:rsid w:val="00496BFB"/>
    <w:rsid w:val="004A15C7"/>
    <w:rsid w:val="004B013B"/>
    <w:rsid w:val="004B112B"/>
    <w:rsid w:val="004C01AB"/>
    <w:rsid w:val="004C01E4"/>
    <w:rsid w:val="004C086C"/>
    <w:rsid w:val="004C1F56"/>
    <w:rsid w:val="004C27BC"/>
    <w:rsid w:val="004D15F3"/>
    <w:rsid w:val="004D5311"/>
    <w:rsid w:val="004D5DCC"/>
    <w:rsid w:val="004D77DE"/>
    <w:rsid w:val="004E2E2A"/>
    <w:rsid w:val="004F10AF"/>
    <w:rsid w:val="004F11A4"/>
    <w:rsid w:val="004F2389"/>
    <w:rsid w:val="004F2979"/>
    <w:rsid w:val="004F304D"/>
    <w:rsid w:val="004F61A7"/>
    <w:rsid w:val="004F61BE"/>
    <w:rsid w:val="004F66B1"/>
    <w:rsid w:val="004F7AE7"/>
    <w:rsid w:val="00511C07"/>
    <w:rsid w:val="005160DE"/>
    <w:rsid w:val="005173A6"/>
    <w:rsid w:val="00520BAA"/>
    <w:rsid w:val="00525208"/>
    <w:rsid w:val="005257A5"/>
    <w:rsid w:val="005264C0"/>
    <w:rsid w:val="00526A8A"/>
    <w:rsid w:val="00531DF2"/>
    <w:rsid w:val="005377E9"/>
    <w:rsid w:val="005442EE"/>
    <w:rsid w:val="005462FA"/>
    <w:rsid w:val="00547353"/>
    <w:rsid w:val="005474E7"/>
    <w:rsid w:val="005512A3"/>
    <w:rsid w:val="005578CE"/>
    <w:rsid w:val="00562781"/>
    <w:rsid w:val="0057271C"/>
    <w:rsid w:val="00572845"/>
    <w:rsid w:val="00574C83"/>
    <w:rsid w:val="00584427"/>
    <w:rsid w:val="00592772"/>
    <w:rsid w:val="0059574A"/>
    <w:rsid w:val="00596468"/>
    <w:rsid w:val="005A02CB"/>
    <w:rsid w:val="005A1B9B"/>
    <w:rsid w:val="005A3957"/>
    <w:rsid w:val="005A54DE"/>
    <w:rsid w:val="005A6751"/>
    <w:rsid w:val="005B092E"/>
    <w:rsid w:val="005B152C"/>
    <w:rsid w:val="005B1EE0"/>
    <w:rsid w:val="005B2B24"/>
    <w:rsid w:val="005B4425"/>
    <w:rsid w:val="005B4B94"/>
    <w:rsid w:val="005B6B85"/>
    <w:rsid w:val="005C3EE8"/>
    <w:rsid w:val="005D34F9"/>
    <w:rsid w:val="005D4190"/>
    <w:rsid w:val="005D67A3"/>
    <w:rsid w:val="005E2988"/>
    <w:rsid w:val="005E3085"/>
    <w:rsid w:val="005E37C6"/>
    <w:rsid w:val="005F51E1"/>
    <w:rsid w:val="00610C3A"/>
    <w:rsid w:val="00611C80"/>
    <w:rsid w:val="00620692"/>
    <w:rsid w:val="00621221"/>
    <w:rsid w:val="006242CA"/>
    <w:rsid w:val="00624C74"/>
    <w:rsid w:val="00627507"/>
    <w:rsid w:val="00633717"/>
    <w:rsid w:val="006344E1"/>
    <w:rsid w:val="0063640C"/>
    <w:rsid w:val="0064190C"/>
    <w:rsid w:val="0064302E"/>
    <w:rsid w:val="00643946"/>
    <w:rsid w:val="0065298D"/>
    <w:rsid w:val="006545C4"/>
    <w:rsid w:val="00661971"/>
    <w:rsid w:val="00661CE8"/>
    <w:rsid w:val="006623D9"/>
    <w:rsid w:val="0066550C"/>
    <w:rsid w:val="00667B26"/>
    <w:rsid w:val="006716F2"/>
    <w:rsid w:val="00682877"/>
    <w:rsid w:val="00682BF2"/>
    <w:rsid w:val="00684D8D"/>
    <w:rsid w:val="006859CE"/>
    <w:rsid w:val="00691270"/>
    <w:rsid w:val="00694A2E"/>
    <w:rsid w:val="00694BA8"/>
    <w:rsid w:val="006A037C"/>
    <w:rsid w:val="006A36F4"/>
    <w:rsid w:val="006A406F"/>
    <w:rsid w:val="006A47F6"/>
    <w:rsid w:val="006A5D3A"/>
    <w:rsid w:val="006C1BCB"/>
    <w:rsid w:val="006C23D4"/>
    <w:rsid w:val="006C64BE"/>
    <w:rsid w:val="006C7BB0"/>
    <w:rsid w:val="006D3237"/>
    <w:rsid w:val="006D32DA"/>
    <w:rsid w:val="006E2E37"/>
    <w:rsid w:val="006E3CF1"/>
    <w:rsid w:val="006E7E80"/>
    <w:rsid w:val="006F33DF"/>
    <w:rsid w:val="006F48CA"/>
    <w:rsid w:val="006F4EC5"/>
    <w:rsid w:val="006F64DD"/>
    <w:rsid w:val="007026E5"/>
    <w:rsid w:val="00711B9F"/>
    <w:rsid w:val="00715127"/>
    <w:rsid w:val="00715E8E"/>
    <w:rsid w:val="00723580"/>
    <w:rsid w:val="00723755"/>
    <w:rsid w:val="00727460"/>
    <w:rsid w:val="0073136C"/>
    <w:rsid w:val="00731F0F"/>
    <w:rsid w:val="00733250"/>
    <w:rsid w:val="00735FA7"/>
    <w:rsid w:val="00741404"/>
    <w:rsid w:val="007449E5"/>
    <w:rsid w:val="00747FF0"/>
    <w:rsid w:val="007550E0"/>
    <w:rsid w:val="00764D4E"/>
    <w:rsid w:val="00765A1F"/>
    <w:rsid w:val="00775B6D"/>
    <w:rsid w:val="00776D68"/>
    <w:rsid w:val="007846B3"/>
    <w:rsid w:val="007850EE"/>
    <w:rsid w:val="00785B95"/>
    <w:rsid w:val="00786F37"/>
    <w:rsid w:val="00790E96"/>
    <w:rsid w:val="00793366"/>
    <w:rsid w:val="007952DA"/>
    <w:rsid w:val="007A716F"/>
    <w:rsid w:val="007B270A"/>
    <w:rsid w:val="007B2A2E"/>
    <w:rsid w:val="007B4B56"/>
    <w:rsid w:val="007C0695"/>
    <w:rsid w:val="007C419A"/>
    <w:rsid w:val="007C4CC8"/>
    <w:rsid w:val="007C5426"/>
    <w:rsid w:val="007C5798"/>
    <w:rsid w:val="007D27E5"/>
    <w:rsid w:val="007D4832"/>
    <w:rsid w:val="007E21B2"/>
    <w:rsid w:val="007E2598"/>
    <w:rsid w:val="007E2C4E"/>
    <w:rsid w:val="007E3CF7"/>
    <w:rsid w:val="007E3ED4"/>
    <w:rsid w:val="007E48C2"/>
    <w:rsid w:val="007F1905"/>
    <w:rsid w:val="007F4F51"/>
    <w:rsid w:val="00801300"/>
    <w:rsid w:val="00802C64"/>
    <w:rsid w:val="00805E52"/>
    <w:rsid w:val="008061D0"/>
    <w:rsid w:val="00810B38"/>
    <w:rsid w:val="008204C7"/>
    <w:rsid w:val="00820992"/>
    <w:rsid w:val="00823602"/>
    <w:rsid w:val="008255F5"/>
    <w:rsid w:val="0083014E"/>
    <w:rsid w:val="0083214A"/>
    <w:rsid w:val="00833414"/>
    <w:rsid w:val="00834220"/>
    <w:rsid w:val="0084351A"/>
    <w:rsid w:val="00845723"/>
    <w:rsid w:val="00851EF9"/>
    <w:rsid w:val="00854E66"/>
    <w:rsid w:val="00855506"/>
    <w:rsid w:val="008577FD"/>
    <w:rsid w:val="00860B03"/>
    <w:rsid w:val="0086497A"/>
    <w:rsid w:val="00870C2C"/>
    <w:rsid w:val="008713A1"/>
    <w:rsid w:val="00871E4B"/>
    <w:rsid w:val="008754AB"/>
    <w:rsid w:val="00875AB3"/>
    <w:rsid w:val="0088060C"/>
    <w:rsid w:val="008848C7"/>
    <w:rsid w:val="00885444"/>
    <w:rsid w:val="00893576"/>
    <w:rsid w:val="00893E73"/>
    <w:rsid w:val="008A3744"/>
    <w:rsid w:val="008B02DC"/>
    <w:rsid w:val="008B57CE"/>
    <w:rsid w:val="008C04E4"/>
    <w:rsid w:val="008C26DE"/>
    <w:rsid w:val="008D2225"/>
    <w:rsid w:val="008D4752"/>
    <w:rsid w:val="008D7298"/>
    <w:rsid w:val="008E271C"/>
    <w:rsid w:val="008E418E"/>
    <w:rsid w:val="008E5BC6"/>
    <w:rsid w:val="008E67D9"/>
    <w:rsid w:val="008E6A25"/>
    <w:rsid w:val="008F5193"/>
    <w:rsid w:val="009013A7"/>
    <w:rsid w:val="009016C3"/>
    <w:rsid w:val="009017FB"/>
    <w:rsid w:val="009017FC"/>
    <w:rsid w:val="0090506B"/>
    <w:rsid w:val="009050C9"/>
    <w:rsid w:val="009066FC"/>
    <w:rsid w:val="009140A3"/>
    <w:rsid w:val="009144A2"/>
    <w:rsid w:val="0091510C"/>
    <w:rsid w:val="00921104"/>
    <w:rsid w:val="009259AC"/>
    <w:rsid w:val="00926AD5"/>
    <w:rsid w:val="00926F38"/>
    <w:rsid w:val="009277BA"/>
    <w:rsid w:val="00934301"/>
    <w:rsid w:val="00936C2D"/>
    <w:rsid w:val="00936CD1"/>
    <w:rsid w:val="00941747"/>
    <w:rsid w:val="00941EFB"/>
    <w:rsid w:val="00946A4B"/>
    <w:rsid w:val="00947AFB"/>
    <w:rsid w:val="00950254"/>
    <w:rsid w:val="00951D7D"/>
    <w:rsid w:val="009630C7"/>
    <w:rsid w:val="00972B55"/>
    <w:rsid w:val="009743B7"/>
    <w:rsid w:val="0098228B"/>
    <w:rsid w:val="009828DA"/>
    <w:rsid w:val="00985BAB"/>
    <w:rsid w:val="009A4873"/>
    <w:rsid w:val="009B1B5F"/>
    <w:rsid w:val="009B6673"/>
    <w:rsid w:val="009C191B"/>
    <w:rsid w:val="009C2BD6"/>
    <w:rsid w:val="009E1F32"/>
    <w:rsid w:val="009E776C"/>
    <w:rsid w:val="00A00144"/>
    <w:rsid w:val="00A0041E"/>
    <w:rsid w:val="00A1726E"/>
    <w:rsid w:val="00A204CF"/>
    <w:rsid w:val="00A23289"/>
    <w:rsid w:val="00A23D49"/>
    <w:rsid w:val="00A26EEC"/>
    <w:rsid w:val="00A27004"/>
    <w:rsid w:val="00A30C29"/>
    <w:rsid w:val="00A34DD6"/>
    <w:rsid w:val="00A36819"/>
    <w:rsid w:val="00A36989"/>
    <w:rsid w:val="00A43308"/>
    <w:rsid w:val="00A43628"/>
    <w:rsid w:val="00A53C74"/>
    <w:rsid w:val="00A540B4"/>
    <w:rsid w:val="00A54192"/>
    <w:rsid w:val="00A6035E"/>
    <w:rsid w:val="00A61088"/>
    <w:rsid w:val="00A6144C"/>
    <w:rsid w:val="00A64B43"/>
    <w:rsid w:val="00A66617"/>
    <w:rsid w:val="00A671F8"/>
    <w:rsid w:val="00A673A4"/>
    <w:rsid w:val="00A67531"/>
    <w:rsid w:val="00A724AE"/>
    <w:rsid w:val="00A73329"/>
    <w:rsid w:val="00A74BC1"/>
    <w:rsid w:val="00A82359"/>
    <w:rsid w:val="00A8543A"/>
    <w:rsid w:val="00A865D2"/>
    <w:rsid w:val="00A94C20"/>
    <w:rsid w:val="00AA227F"/>
    <w:rsid w:val="00AA3BC7"/>
    <w:rsid w:val="00AA754A"/>
    <w:rsid w:val="00AB099E"/>
    <w:rsid w:val="00AB4328"/>
    <w:rsid w:val="00AC0824"/>
    <w:rsid w:val="00AC4EBF"/>
    <w:rsid w:val="00AC55F2"/>
    <w:rsid w:val="00AD412E"/>
    <w:rsid w:val="00AD657E"/>
    <w:rsid w:val="00AE0A2E"/>
    <w:rsid w:val="00AE317D"/>
    <w:rsid w:val="00AE354C"/>
    <w:rsid w:val="00AF4B07"/>
    <w:rsid w:val="00AF5CC8"/>
    <w:rsid w:val="00AF6186"/>
    <w:rsid w:val="00AF7A3A"/>
    <w:rsid w:val="00B06267"/>
    <w:rsid w:val="00B160DB"/>
    <w:rsid w:val="00B20836"/>
    <w:rsid w:val="00B22074"/>
    <w:rsid w:val="00B235BB"/>
    <w:rsid w:val="00B27A44"/>
    <w:rsid w:val="00B30BBF"/>
    <w:rsid w:val="00B33C03"/>
    <w:rsid w:val="00B34DDF"/>
    <w:rsid w:val="00B44E56"/>
    <w:rsid w:val="00B45118"/>
    <w:rsid w:val="00B46543"/>
    <w:rsid w:val="00B47D33"/>
    <w:rsid w:val="00B52BE0"/>
    <w:rsid w:val="00B54133"/>
    <w:rsid w:val="00B6579D"/>
    <w:rsid w:val="00B673C3"/>
    <w:rsid w:val="00B701ED"/>
    <w:rsid w:val="00B7057C"/>
    <w:rsid w:val="00B75622"/>
    <w:rsid w:val="00B8086C"/>
    <w:rsid w:val="00B861B4"/>
    <w:rsid w:val="00B86DFE"/>
    <w:rsid w:val="00B90990"/>
    <w:rsid w:val="00B922FF"/>
    <w:rsid w:val="00B9244C"/>
    <w:rsid w:val="00B9281E"/>
    <w:rsid w:val="00B93925"/>
    <w:rsid w:val="00B93ECF"/>
    <w:rsid w:val="00B95187"/>
    <w:rsid w:val="00B9776F"/>
    <w:rsid w:val="00BA2D55"/>
    <w:rsid w:val="00BA5675"/>
    <w:rsid w:val="00BA71B1"/>
    <w:rsid w:val="00BB0637"/>
    <w:rsid w:val="00BB345F"/>
    <w:rsid w:val="00BB68EA"/>
    <w:rsid w:val="00BC1C27"/>
    <w:rsid w:val="00BC4A8F"/>
    <w:rsid w:val="00BC6BBF"/>
    <w:rsid w:val="00BD1572"/>
    <w:rsid w:val="00BE14E3"/>
    <w:rsid w:val="00BE3774"/>
    <w:rsid w:val="00BE3C75"/>
    <w:rsid w:val="00BE41E5"/>
    <w:rsid w:val="00BF4109"/>
    <w:rsid w:val="00BF4CC3"/>
    <w:rsid w:val="00C054C7"/>
    <w:rsid w:val="00C057B5"/>
    <w:rsid w:val="00C06E15"/>
    <w:rsid w:val="00C07704"/>
    <w:rsid w:val="00C119B3"/>
    <w:rsid w:val="00C1262B"/>
    <w:rsid w:val="00C22687"/>
    <w:rsid w:val="00C32E4D"/>
    <w:rsid w:val="00C333A0"/>
    <w:rsid w:val="00C33CC2"/>
    <w:rsid w:val="00C36408"/>
    <w:rsid w:val="00C36A81"/>
    <w:rsid w:val="00C37E2F"/>
    <w:rsid w:val="00C41974"/>
    <w:rsid w:val="00C4378B"/>
    <w:rsid w:val="00C53F4A"/>
    <w:rsid w:val="00C54125"/>
    <w:rsid w:val="00C55B54"/>
    <w:rsid w:val="00C6098E"/>
    <w:rsid w:val="00C611D8"/>
    <w:rsid w:val="00C6152C"/>
    <w:rsid w:val="00C63990"/>
    <w:rsid w:val="00C64EF6"/>
    <w:rsid w:val="00C65050"/>
    <w:rsid w:val="00C74810"/>
    <w:rsid w:val="00C7504B"/>
    <w:rsid w:val="00C7626B"/>
    <w:rsid w:val="00C90D68"/>
    <w:rsid w:val="00C91A86"/>
    <w:rsid w:val="00C92AA0"/>
    <w:rsid w:val="00C939FE"/>
    <w:rsid w:val="00CA4BDA"/>
    <w:rsid w:val="00CA7CE5"/>
    <w:rsid w:val="00CB1F66"/>
    <w:rsid w:val="00CB234F"/>
    <w:rsid w:val="00CB2951"/>
    <w:rsid w:val="00CC3FE5"/>
    <w:rsid w:val="00CC71E6"/>
    <w:rsid w:val="00CD282B"/>
    <w:rsid w:val="00CD4C35"/>
    <w:rsid w:val="00CD5BEE"/>
    <w:rsid w:val="00CD7369"/>
    <w:rsid w:val="00CE0B0E"/>
    <w:rsid w:val="00CE3831"/>
    <w:rsid w:val="00D00ABB"/>
    <w:rsid w:val="00D02EEC"/>
    <w:rsid w:val="00D03551"/>
    <w:rsid w:val="00D06A63"/>
    <w:rsid w:val="00D07E0E"/>
    <w:rsid w:val="00D11478"/>
    <w:rsid w:val="00D15ED0"/>
    <w:rsid w:val="00D21B29"/>
    <w:rsid w:val="00D21B3E"/>
    <w:rsid w:val="00D21FED"/>
    <w:rsid w:val="00D24251"/>
    <w:rsid w:val="00D250D7"/>
    <w:rsid w:val="00D343E2"/>
    <w:rsid w:val="00D361A2"/>
    <w:rsid w:val="00D37C1F"/>
    <w:rsid w:val="00D42AFF"/>
    <w:rsid w:val="00D44C2E"/>
    <w:rsid w:val="00D45414"/>
    <w:rsid w:val="00D504C0"/>
    <w:rsid w:val="00D566BD"/>
    <w:rsid w:val="00D576CF"/>
    <w:rsid w:val="00D57A4D"/>
    <w:rsid w:val="00D60AA7"/>
    <w:rsid w:val="00D6435F"/>
    <w:rsid w:val="00D75E28"/>
    <w:rsid w:val="00D772C2"/>
    <w:rsid w:val="00D8008E"/>
    <w:rsid w:val="00D80AEC"/>
    <w:rsid w:val="00D82C45"/>
    <w:rsid w:val="00D84613"/>
    <w:rsid w:val="00D87DE4"/>
    <w:rsid w:val="00D908A8"/>
    <w:rsid w:val="00D977B6"/>
    <w:rsid w:val="00DA2DC5"/>
    <w:rsid w:val="00DA4A31"/>
    <w:rsid w:val="00DA7B04"/>
    <w:rsid w:val="00DB163F"/>
    <w:rsid w:val="00DB36C2"/>
    <w:rsid w:val="00DC169B"/>
    <w:rsid w:val="00DC2AB9"/>
    <w:rsid w:val="00DC63F0"/>
    <w:rsid w:val="00DD4AAB"/>
    <w:rsid w:val="00DD5146"/>
    <w:rsid w:val="00DD6B82"/>
    <w:rsid w:val="00DD6EE5"/>
    <w:rsid w:val="00DE1264"/>
    <w:rsid w:val="00DE386C"/>
    <w:rsid w:val="00DE4D35"/>
    <w:rsid w:val="00DF098B"/>
    <w:rsid w:val="00DF11C4"/>
    <w:rsid w:val="00DF210C"/>
    <w:rsid w:val="00DF4B6A"/>
    <w:rsid w:val="00E01E65"/>
    <w:rsid w:val="00E02C09"/>
    <w:rsid w:val="00E03DBF"/>
    <w:rsid w:val="00E04D59"/>
    <w:rsid w:val="00E07DA1"/>
    <w:rsid w:val="00E123CB"/>
    <w:rsid w:val="00E150FD"/>
    <w:rsid w:val="00E17723"/>
    <w:rsid w:val="00E20E13"/>
    <w:rsid w:val="00E21DBC"/>
    <w:rsid w:val="00E21FAB"/>
    <w:rsid w:val="00E275D7"/>
    <w:rsid w:val="00E27DBE"/>
    <w:rsid w:val="00E306BE"/>
    <w:rsid w:val="00E32AB1"/>
    <w:rsid w:val="00E36C71"/>
    <w:rsid w:val="00E40404"/>
    <w:rsid w:val="00E40595"/>
    <w:rsid w:val="00E4529A"/>
    <w:rsid w:val="00E459C6"/>
    <w:rsid w:val="00E47589"/>
    <w:rsid w:val="00E64915"/>
    <w:rsid w:val="00E661D4"/>
    <w:rsid w:val="00E70091"/>
    <w:rsid w:val="00E720F5"/>
    <w:rsid w:val="00E76D47"/>
    <w:rsid w:val="00E77CB3"/>
    <w:rsid w:val="00E849F7"/>
    <w:rsid w:val="00E90302"/>
    <w:rsid w:val="00E97396"/>
    <w:rsid w:val="00EA185E"/>
    <w:rsid w:val="00EA592A"/>
    <w:rsid w:val="00EB14E4"/>
    <w:rsid w:val="00EB32A5"/>
    <w:rsid w:val="00EB34ED"/>
    <w:rsid w:val="00EB7BE0"/>
    <w:rsid w:val="00EB7E63"/>
    <w:rsid w:val="00EC315E"/>
    <w:rsid w:val="00ED077C"/>
    <w:rsid w:val="00ED1190"/>
    <w:rsid w:val="00ED6544"/>
    <w:rsid w:val="00EE0277"/>
    <w:rsid w:val="00EE3E00"/>
    <w:rsid w:val="00EE5DD2"/>
    <w:rsid w:val="00EF0A2E"/>
    <w:rsid w:val="00EF63C2"/>
    <w:rsid w:val="00F00A79"/>
    <w:rsid w:val="00F00E86"/>
    <w:rsid w:val="00F0156D"/>
    <w:rsid w:val="00F07C1E"/>
    <w:rsid w:val="00F105DB"/>
    <w:rsid w:val="00F10ECD"/>
    <w:rsid w:val="00F132BC"/>
    <w:rsid w:val="00F13659"/>
    <w:rsid w:val="00F13D80"/>
    <w:rsid w:val="00F15918"/>
    <w:rsid w:val="00F16AAA"/>
    <w:rsid w:val="00F21161"/>
    <w:rsid w:val="00F218EF"/>
    <w:rsid w:val="00F21BC7"/>
    <w:rsid w:val="00F266A2"/>
    <w:rsid w:val="00F32032"/>
    <w:rsid w:val="00F32269"/>
    <w:rsid w:val="00F3321B"/>
    <w:rsid w:val="00F50B23"/>
    <w:rsid w:val="00F56A6F"/>
    <w:rsid w:val="00F5709C"/>
    <w:rsid w:val="00F64EF1"/>
    <w:rsid w:val="00F656E8"/>
    <w:rsid w:val="00F86E97"/>
    <w:rsid w:val="00F8765F"/>
    <w:rsid w:val="00F90767"/>
    <w:rsid w:val="00FA685B"/>
    <w:rsid w:val="00FB0C01"/>
    <w:rsid w:val="00FB2B45"/>
    <w:rsid w:val="00FC18F2"/>
    <w:rsid w:val="00FC300A"/>
    <w:rsid w:val="00FC39E5"/>
    <w:rsid w:val="00FC3A78"/>
    <w:rsid w:val="00FC5043"/>
    <w:rsid w:val="00FD1005"/>
    <w:rsid w:val="00FD6C75"/>
    <w:rsid w:val="00FE71B3"/>
    <w:rsid w:val="00FF245F"/>
    <w:rsid w:val="00FF42C5"/>
    <w:rsid w:val="00FF50EE"/>
    <w:rsid w:val="00FF67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7F4F51"/>
    <w:pPr>
      <w:jc w:val="both"/>
    </w:pPr>
    <w:rPr>
      <w:rFonts w:eastAsiaTheme="minorEastAsia"/>
      <w:sz w:val="24"/>
    </w:rPr>
  </w:style>
  <w:style w:type="paragraph" w:styleId="Heading1">
    <w:name w:val="heading 1"/>
    <w:basedOn w:val="Normal"/>
    <w:next w:val="Normal"/>
    <w:link w:val="Heading1Char"/>
    <w:uiPriority w:val="99"/>
    <w:semiHidden/>
    <w:rsid w:val="0016174F"/>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16174F"/>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16174F"/>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16174F"/>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16174F"/>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16174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16174F"/>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semiHidden/>
    <w:qFormat/>
    <w:rsid w:val="0016174F"/>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16174F"/>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6174F"/>
    <w:rPr>
      <w:rFonts w:ascii="Tahoma" w:hAnsi="Tahoma" w:cs="Tahoma"/>
      <w:sz w:val="16"/>
      <w:szCs w:val="16"/>
    </w:rPr>
  </w:style>
  <w:style w:type="character" w:customStyle="1" w:styleId="BalloonTextChar">
    <w:name w:val="Balloon Text Char"/>
    <w:basedOn w:val="DefaultParagraphFont"/>
    <w:link w:val="BalloonText"/>
    <w:uiPriority w:val="99"/>
    <w:semiHidden/>
    <w:rsid w:val="0016174F"/>
    <w:rPr>
      <w:rFonts w:ascii="Tahoma" w:eastAsiaTheme="minorEastAsia" w:hAnsi="Tahoma" w:cs="Tahoma"/>
      <w:sz w:val="16"/>
      <w:szCs w:val="16"/>
    </w:rPr>
  </w:style>
  <w:style w:type="character" w:styleId="BookTitle">
    <w:name w:val="Book Title"/>
    <w:uiPriority w:val="99"/>
    <w:semiHidden/>
    <w:qFormat/>
    <w:rsid w:val="0016174F"/>
    <w:rPr>
      <w:i/>
      <w:iCs/>
      <w:smallCaps/>
      <w:spacing w:val="5"/>
    </w:rPr>
  </w:style>
  <w:style w:type="paragraph" w:customStyle="1" w:styleId="ECHRHeader">
    <w:name w:val="ECHR_Header"/>
    <w:aliases w:val="Ju_Header"/>
    <w:basedOn w:val="Header"/>
    <w:uiPriority w:val="4"/>
    <w:qFormat/>
    <w:rsid w:val="0016174F"/>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16174F"/>
    <w:pPr>
      <w:jc w:val="left"/>
    </w:pPr>
    <w:rPr>
      <w:sz w:val="8"/>
    </w:rPr>
  </w:style>
  <w:style w:type="character" w:styleId="Strong">
    <w:name w:val="Strong"/>
    <w:uiPriority w:val="99"/>
    <w:semiHidden/>
    <w:qFormat/>
    <w:rsid w:val="0016174F"/>
    <w:rPr>
      <w:b/>
      <w:bCs/>
    </w:rPr>
  </w:style>
  <w:style w:type="paragraph" w:styleId="NoSpacing">
    <w:name w:val="No Spacing"/>
    <w:basedOn w:val="Normal"/>
    <w:link w:val="NoSpacingChar"/>
    <w:semiHidden/>
    <w:qFormat/>
    <w:rsid w:val="0016174F"/>
    <w:rPr>
      <w:sz w:val="22"/>
    </w:rPr>
  </w:style>
  <w:style w:type="character" w:customStyle="1" w:styleId="NoSpacingChar">
    <w:name w:val="No Spacing Char"/>
    <w:basedOn w:val="DefaultParagraphFont"/>
    <w:link w:val="NoSpacing"/>
    <w:semiHidden/>
    <w:rsid w:val="0016174F"/>
    <w:rPr>
      <w:rFonts w:eastAsiaTheme="minorEastAsia"/>
    </w:rPr>
  </w:style>
  <w:style w:type="paragraph" w:customStyle="1" w:styleId="ECHRFooterLine">
    <w:name w:val="ECHR_Footer_Line"/>
    <w:aliases w:val="Footer_Line"/>
    <w:basedOn w:val="Normal"/>
    <w:next w:val="ECHRFooter"/>
    <w:uiPriority w:val="57"/>
    <w:semiHidden/>
    <w:rsid w:val="0016174F"/>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rsid w:val="0016174F"/>
    <w:pPr>
      <w:numPr>
        <w:numId w:val="16"/>
      </w:numPr>
      <w:jc w:val="left"/>
    </w:pPr>
    <w:rPr>
      <w:b/>
    </w:rPr>
  </w:style>
  <w:style w:type="paragraph" w:customStyle="1" w:styleId="OpiPara">
    <w:name w:val="Opi_Para"/>
    <w:basedOn w:val="ECHRPara"/>
    <w:uiPriority w:val="46"/>
    <w:qFormat/>
    <w:rsid w:val="0016174F"/>
  </w:style>
  <w:style w:type="paragraph" w:customStyle="1" w:styleId="JuParaSub">
    <w:name w:val="Ju_Para_Sub"/>
    <w:basedOn w:val="ECHRPara"/>
    <w:uiPriority w:val="13"/>
    <w:qFormat/>
    <w:rsid w:val="0016174F"/>
    <w:pPr>
      <w:ind w:left="284"/>
    </w:pPr>
  </w:style>
  <w:style w:type="paragraph" w:customStyle="1" w:styleId="ECHRTitleCentre3">
    <w:name w:val="ECHR_Title_Centre_3"/>
    <w:aliases w:val="Ju_H_Article"/>
    <w:basedOn w:val="Normal"/>
    <w:next w:val="ECHRParaQuote"/>
    <w:qFormat/>
    <w:rsid w:val="0016174F"/>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16174F"/>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16174F"/>
  </w:style>
  <w:style w:type="paragraph" w:customStyle="1" w:styleId="OpiQuot">
    <w:name w:val="Opi_Quot"/>
    <w:basedOn w:val="ECHRParaQuote"/>
    <w:uiPriority w:val="48"/>
    <w:qFormat/>
    <w:rsid w:val="0016174F"/>
  </w:style>
  <w:style w:type="paragraph" w:customStyle="1" w:styleId="OpiQuotSub">
    <w:name w:val="Opi_Quot_Sub"/>
    <w:basedOn w:val="JuQuotSub"/>
    <w:uiPriority w:val="49"/>
    <w:qFormat/>
    <w:rsid w:val="0016174F"/>
  </w:style>
  <w:style w:type="paragraph" w:customStyle="1" w:styleId="ECHRTitleCentre2">
    <w:name w:val="ECHR_Title_Centre_2"/>
    <w:aliases w:val="Dec_H_Case"/>
    <w:basedOn w:val="Normal"/>
    <w:next w:val="ECHRPara"/>
    <w:uiPriority w:val="8"/>
    <w:rsid w:val="0016174F"/>
    <w:pPr>
      <w:spacing w:after="240"/>
      <w:jc w:val="center"/>
      <w:outlineLvl w:val="0"/>
    </w:pPr>
    <w:rPr>
      <w:rFonts w:asciiTheme="majorHAnsi" w:hAnsiTheme="majorHAnsi"/>
    </w:rPr>
  </w:style>
  <w:style w:type="paragraph" w:customStyle="1" w:styleId="JuTitle">
    <w:name w:val="Ju_Title"/>
    <w:basedOn w:val="Normal"/>
    <w:next w:val="ECHRPara"/>
    <w:uiPriority w:val="3"/>
    <w:rsid w:val="0016174F"/>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16174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16174F"/>
    <w:rPr>
      <w:rFonts w:asciiTheme="majorHAnsi" w:eastAsiaTheme="majorEastAsia" w:hAnsiTheme="majorHAnsi" w:cstheme="majorBidi"/>
      <w:spacing w:val="5"/>
      <w:sz w:val="52"/>
      <w:szCs w:val="52"/>
      <w:lang w:bidi="lv-LV"/>
    </w:rPr>
  </w:style>
  <w:style w:type="paragraph" w:customStyle="1" w:styleId="ECHRHeading3">
    <w:name w:val="ECHR_Heading_3"/>
    <w:aliases w:val="Ju_H_1."/>
    <w:basedOn w:val="Heading3"/>
    <w:next w:val="ECHRPara"/>
    <w:qFormat/>
    <w:rsid w:val="0016174F"/>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16174F"/>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16174F"/>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16174F"/>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16174F"/>
    <w:pPr>
      <w:keepNext/>
      <w:keepLines/>
      <w:spacing w:before="240" w:after="120"/>
      <w:ind w:left="1236"/>
    </w:pPr>
    <w:rPr>
      <w:sz w:val="20"/>
    </w:rPr>
  </w:style>
  <w:style w:type="paragraph" w:customStyle="1" w:styleId="JuQuotSub">
    <w:name w:val="Ju_Quot_Sub"/>
    <w:basedOn w:val="ECHRParaQuote"/>
    <w:uiPriority w:val="15"/>
    <w:qFormat/>
    <w:rsid w:val="0016174F"/>
    <w:pPr>
      <w:ind w:left="567"/>
    </w:pPr>
  </w:style>
  <w:style w:type="paragraph" w:customStyle="1" w:styleId="JuInitialled">
    <w:name w:val="Ju_Initialled"/>
    <w:basedOn w:val="Normal"/>
    <w:uiPriority w:val="31"/>
    <w:qFormat/>
    <w:rsid w:val="0016174F"/>
    <w:pPr>
      <w:tabs>
        <w:tab w:val="center" w:pos="6407"/>
      </w:tabs>
      <w:spacing w:before="720"/>
      <w:jc w:val="right"/>
    </w:pPr>
  </w:style>
  <w:style w:type="paragraph" w:customStyle="1" w:styleId="OpiHA">
    <w:name w:val="Opi_H_A"/>
    <w:basedOn w:val="ECHRHeading1"/>
    <w:next w:val="OpiPara"/>
    <w:uiPriority w:val="41"/>
    <w:qFormat/>
    <w:rsid w:val="0016174F"/>
    <w:pPr>
      <w:tabs>
        <w:tab w:val="clear" w:pos="357"/>
      </w:tabs>
      <w:outlineLvl w:val="1"/>
    </w:pPr>
    <w:rPr>
      <w:b/>
    </w:rPr>
  </w:style>
  <w:style w:type="paragraph" w:styleId="Header">
    <w:name w:val="header"/>
    <w:basedOn w:val="Normal"/>
    <w:link w:val="HeaderChar"/>
    <w:rsid w:val="0016174F"/>
    <w:pPr>
      <w:tabs>
        <w:tab w:val="center" w:pos="4536"/>
        <w:tab w:val="right" w:pos="9072"/>
      </w:tabs>
    </w:pPr>
    <w:rPr>
      <w:rFonts w:eastAsiaTheme="minorHAnsi"/>
    </w:rPr>
  </w:style>
  <w:style w:type="character" w:customStyle="1" w:styleId="HeaderChar">
    <w:name w:val="Header Char"/>
    <w:basedOn w:val="DefaultParagraphFont"/>
    <w:link w:val="Header"/>
    <w:uiPriority w:val="99"/>
    <w:rsid w:val="0016174F"/>
    <w:rPr>
      <w:sz w:val="24"/>
    </w:rPr>
  </w:style>
  <w:style w:type="character" w:customStyle="1" w:styleId="Heading1Char">
    <w:name w:val="Heading 1 Char"/>
    <w:basedOn w:val="DefaultParagraphFont"/>
    <w:link w:val="Heading1"/>
    <w:uiPriority w:val="99"/>
    <w:semiHidden/>
    <w:rsid w:val="0016174F"/>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16174F"/>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Head_2"/>
    <w:basedOn w:val="Heading2"/>
    <w:next w:val="ECHRPara"/>
    <w:uiPriority w:val="20"/>
    <w:qFormat/>
    <w:rsid w:val="0016174F"/>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16174F"/>
    <w:rPr>
      <w:rFonts w:asciiTheme="majorHAnsi" w:eastAsiaTheme="majorEastAsia" w:hAnsiTheme="majorHAnsi" w:cstheme="majorBidi"/>
      <w:b/>
      <w:bCs/>
      <w:color w:val="4D4D4D"/>
      <w:sz w:val="26"/>
      <w:szCs w:val="26"/>
    </w:rPr>
  </w:style>
  <w:style w:type="character" w:customStyle="1" w:styleId="JUNAMES">
    <w:name w:val="JU_NAMES"/>
    <w:uiPriority w:val="17"/>
    <w:qFormat/>
    <w:rsid w:val="0016174F"/>
    <w:rPr>
      <w:caps w:val="0"/>
      <w:smallCaps/>
    </w:rPr>
  </w:style>
  <w:style w:type="paragraph" w:customStyle="1" w:styleId="ECHRDecisionBody">
    <w:name w:val="ECHR_Decision_Body"/>
    <w:aliases w:val="Ju_Judges"/>
    <w:basedOn w:val="Normal"/>
    <w:uiPriority w:val="11"/>
    <w:qFormat/>
    <w:rsid w:val="0016174F"/>
    <w:pPr>
      <w:tabs>
        <w:tab w:val="left" w:pos="567"/>
        <w:tab w:val="left" w:pos="1134"/>
      </w:tabs>
      <w:jc w:val="left"/>
    </w:pPr>
  </w:style>
  <w:style w:type="character" w:customStyle="1" w:styleId="Heading3Char">
    <w:name w:val="Heading 3 Char"/>
    <w:basedOn w:val="DefaultParagraphFont"/>
    <w:link w:val="Heading3"/>
    <w:uiPriority w:val="99"/>
    <w:semiHidden/>
    <w:rsid w:val="0016174F"/>
    <w:rPr>
      <w:rFonts w:asciiTheme="majorHAnsi" w:eastAsiaTheme="majorEastAsia" w:hAnsiTheme="majorHAnsi" w:cstheme="majorBidi"/>
      <w:b/>
      <w:bCs/>
      <w:color w:val="5F5F5F"/>
      <w:sz w:val="24"/>
    </w:rPr>
  </w:style>
  <w:style w:type="paragraph" w:customStyle="1" w:styleId="ECHRPara">
    <w:name w:val="ECHR_Para"/>
    <w:aliases w:val="Ju_Para,Left,First line:  0 cm"/>
    <w:basedOn w:val="Normal"/>
    <w:link w:val="JuParaCar"/>
    <w:uiPriority w:val="12"/>
    <w:qFormat/>
    <w:rsid w:val="0016174F"/>
    <w:pPr>
      <w:ind w:firstLine="284"/>
    </w:pPr>
  </w:style>
  <w:style w:type="character" w:customStyle="1" w:styleId="Heading4Char">
    <w:name w:val="Heading 4 Char"/>
    <w:basedOn w:val="DefaultParagraphFont"/>
    <w:link w:val="Heading4"/>
    <w:uiPriority w:val="99"/>
    <w:semiHidden/>
    <w:rsid w:val="0016174F"/>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16174F"/>
    <w:rPr>
      <w:rFonts w:asciiTheme="majorHAnsi" w:eastAsiaTheme="majorEastAsia" w:hAnsiTheme="majorHAnsi" w:cstheme="majorBidi"/>
      <w:b/>
      <w:bCs/>
      <w:color w:val="808080"/>
    </w:rPr>
  </w:style>
  <w:style w:type="character" w:styleId="SubtleEmphasis">
    <w:name w:val="Subtle Emphasis"/>
    <w:uiPriority w:val="99"/>
    <w:semiHidden/>
    <w:qFormat/>
    <w:rsid w:val="0016174F"/>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Ind w:w="0" w:type="dxa"/>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Title_L_1"/>
    <w:basedOn w:val="Normal"/>
    <w:next w:val="ECHRPara"/>
    <w:uiPriority w:val="18"/>
    <w:qFormat/>
    <w:rsid w:val="0016174F"/>
    <w:pPr>
      <w:keepNext/>
      <w:keepLines/>
      <w:spacing w:before="720" w:after="240"/>
      <w:outlineLvl w:val="0"/>
    </w:pPr>
    <w:rPr>
      <w:rFonts w:asciiTheme="majorHAnsi" w:hAnsiTheme="majorHAnsi"/>
      <w:sz w:val="28"/>
    </w:rPr>
  </w:style>
  <w:style w:type="character" w:styleId="Emphasis">
    <w:name w:val="Emphasis"/>
    <w:uiPriority w:val="99"/>
    <w:semiHidden/>
    <w:qFormat/>
    <w:rsid w:val="0016174F"/>
    <w:rPr>
      <w:b/>
      <w:bCs/>
      <w:i/>
      <w:iCs/>
      <w:spacing w:val="10"/>
      <w:bdr w:val="none" w:sz="0" w:space="0" w:color="auto"/>
      <w:shd w:val="clear" w:color="auto" w:fill="auto"/>
    </w:rPr>
  </w:style>
  <w:style w:type="paragraph" w:styleId="Footer">
    <w:name w:val="footer"/>
    <w:basedOn w:val="Normal"/>
    <w:link w:val="FooterChar"/>
    <w:rsid w:val="0016174F"/>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99"/>
    <w:rsid w:val="0016174F"/>
    <w:rPr>
      <w:sz w:val="24"/>
    </w:rPr>
  </w:style>
  <w:style w:type="character" w:styleId="FootnoteReference">
    <w:name w:val="footnote reference"/>
    <w:basedOn w:val="DefaultParagraphFont"/>
    <w:uiPriority w:val="99"/>
    <w:semiHidden/>
    <w:rsid w:val="0016174F"/>
    <w:rPr>
      <w:vertAlign w:val="superscript"/>
    </w:rPr>
  </w:style>
  <w:style w:type="paragraph" w:styleId="FootnoteText">
    <w:name w:val="footnote text"/>
    <w:basedOn w:val="Normal"/>
    <w:link w:val="FootnoteTextChar"/>
    <w:uiPriority w:val="99"/>
    <w:semiHidden/>
    <w:rsid w:val="0016174F"/>
    <w:rPr>
      <w:sz w:val="20"/>
      <w:szCs w:val="20"/>
    </w:rPr>
  </w:style>
  <w:style w:type="character" w:customStyle="1" w:styleId="FootnoteTextChar">
    <w:name w:val="Footnote Text Char"/>
    <w:basedOn w:val="DefaultParagraphFont"/>
    <w:link w:val="FootnoteText"/>
    <w:uiPriority w:val="99"/>
    <w:semiHidden/>
    <w:rsid w:val="0016174F"/>
    <w:rPr>
      <w:rFonts w:eastAsiaTheme="minorEastAsia"/>
      <w:sz w:val="20"/>
      <w:szCs w:val="20"/>
    </w:rPr>
  </w:style>
  <w:style w:type="character" w:customStyle="1" w:styleId="Heading6Char">
    <w:name w:val="Heading 6 Char"/>
    <w:basedOn w:val="DefaultParagraphFont"/>
    <w:link w:val="Heading6"/>
    <w:uiPriority w:val="99"/>
    <w:semiHidden/>
    <w:rsid w:val="0016174F"/>
    <w:rPr>
      <w:rFonts w:asciiTheme="majorHAnsi" w:eastAsiaTheme="majorEastAsia" w:hAnsiTheme="majorHAnsi" w:cstheme="majorBidi"/>
      <w:b/>
      <w:bCs/>
      <w:i/>
      <w:iCs/>
      <w:color w:val="7F7F7F" w:themeColor="text1" w:themeTint="80"/>
      <w:sz w:val="24"/>
      <w:lang w:bidi="lv-LV"/>
    </w:rPr>
  </w:style>
  <w:style w:type="character" w:customStyle="1" w:styleId="Heading7Char">
    <w:name w:val="Heading 7 Char"/>
    <w:basedOn w:val="DefaultParagraphFont"/>
    <w:link w:val="Heading7"/>
    <w:uiPriority w:val="99"/>
    <w:semiHidden/>
    <w:rsid w:val="0016174F"/>
    <w:rPr>
      <w:rFonts w:asciiTheme="majorHAnsi" w:eastAsiaTheme="majorEastAsia" w:hAnsiTheme="majorHAnsi" w:cstheme="majorBidi"/>
      <w:i/>
      <w:iCs/>
      <w:lang w:bidi="lv-LV"/>
    </w:rPr>
  </w:style>
  <w:style w:type="character" w:customStyle="1" w:styleId="Heading8Char">
    <w:name w:val="Heading 8 Char"/>
    <w:basedOn w:val="DefaultParagraphFont"/>
    <w:link w:val="Heading8"/>
    <w:uiPriority w:val="99"/>
    <w:semiHidden/>
    <w:rsid w:val="0016174F"/>
    <w:rPr>
      <w:rFonts w:asciiTheme="majorHAnsi" w:eastAsiaTheme="majorEastAsia" w:hAnsiTheme="majorHAnsi" w:cstheme="majorBidi"/>
      <w:sz w:val="20"/>
      <w:szCs w:val="20"/>
      <w:lang w:bidi="lv-LV"/>
    </w:rPr>
  </w:style>
  <w:style w:type="character" w:customStyle="1" w:styleId="Heading9Char">
    <w:name w:val="Heading 9 Char"/>
    <w:basedOn w:val="DefaultParagraphFont"/>
    <w:link w:val="Heading9"/>
    <w:uiPriority w:val="99"/>
    <w:semiHidden/>
    <w:rsid w:val="0016174F"/>
    <w:rPr>
      <w:rFonts w:asciiTheme="majorHAnsi" w:eastAsiaTheme="majorEastAsia" w:hAnsiTheme="majorHAnsi" w:cstheme="majorBidi"/>
      <w:i/>
      <w:iCs/>
      <w:spacing w:val="5"/>
      <w:sz w:val="20"/>
      <w:szCs w:val="20"/>
      <w:lang w:bidi="lv-LV"/>
    </w:rPr>
  </w:style>
  <w:style w:type="character" w:styleId="Hyperlink">
    <w:name w:val="Hyperlink"/>
    <w:basedOn w:val="DefaultParagraphFont"/>
    <w:uiPriority w:val="99"/>
    <w:semiHidden/>
    <w:rsid w:val="0016174F"/>
    <w:rPr>
      <w:color w:val="0072BC" w:themeColor="hyperlink"/>
      <w:u w:val="single"/>
    </w:rPr>
  </w:style>
  <w:style w:type="character" w:styleId="IntenseEmphasis">
    <w:name w:val="Intense Emphasis"/>
    <w:uiPriority w:val="99"/>
    <w:semiHidden/>
    <w:qFormat/>
    <w:rsid w:val="0016174F"/>
    <w:rPr>
      <w:b/>
      <w:bCs/>
    </w:rPr>
  </w:style>
  <w:style w:type="paragraph" w:styleId="IntenseQuote">
    <w:name w:val="Intense Quote"/>
    <w:basedOn w:val="Normal"/>
    <w:next w:val="Normal"/>
    <w:link w:val="IntenseQuoteChar"/>
    <w:uiPriority w:val="99"/>
    <w:semiHidden/>
    <w:qFormat/>
    <w:rsid w:val="0016174F"/>
    <w:pPr>
      <w:pBdr>
        <w:bottom w:val="single" w:sz="4" w:space="1" w:color="auto"/>
      </w:pBdr>
      <w:spacing w:before="200" w:after="280"/>
      <w:ind w:left="1008" w:right="1152"/>
    </w:pPr>
    <w:rPr>
      <w:b/>
      <w:bCs/>
      <w:i/>
      <w:iCs/>
      <w:sz w:val="22"/>
    </w:rPr>
  </w:style>
  <w:style w:type="character" w:customStyle="1" w:styleId="IntenseQuoteChar">
    <w:name w:val="Intense Quote Char"/>
    <w:basedOn w:val="DefaultParagraphFont"/>
    <w:link w:val="IntenseQuote"/>
    <w:uiPriority w:val="99"/>
    <w:semiHidden/>
    <w:rsid w:val="0016174F"/>
    <w:rPr>
      <w:rFonts w:eastAsiaTheme="minorEastAsia"/>
      <w:b/>
      <w:bCs/>
      <w:i/>
      <w:iCs/>
      <w:lang w:bidi="lv-LV"/>
    </w:rPr>
  </w:style>
  <w:style w:type="character" w:styleId="IntenseReference">
    <w:name w:val="Intense Reference"/>
    <w:uiPriority w:val="99"/>
    <w:semiHidden/>
    <w:qFormat/>
    <w:rsid w:val="0016174F"/>
    <w:rPr>
      <w:smallCaps/>
      <w:spacing w:val="5"/>
      <w:u w:val="single"/>
    </w:rPr>
  </w:style>
  <w:style w:type="paragraph" w:styleId="ListParagraph">
    <w:name w:val="List Paragraph"/>
    <w:basedOn w:val="Normal"/>
    <w:uiPriority w:val="99"/>
    <w:semiHidden/>
    <w:qFormat/>
    <w:rsid w:val="0016174F"/>
    <w:pPr>
      <w:ind w:left="720"/>
      <w:contextualSpacing/>
    </w:pPr>
  </w:style>
  <w:style w:type="table" w:customStyle="1" w:styleId="LtrTableAddress">
    <w:name w:val="Ltr_Table_Address"/>
    <w:basedOn w:val="TableNormal"/>
    <w:uiPriority w:val="99"/>
    <w:rsid w:val="001E6F32"/>
    <w:tblPr>
      <w:tblInd w:w="5103" w:type="dxa"/>
      <w:tblCellMar>
        <w:top w:w="0" w:type="dxa"/>
        <w:left w:w="108" w:type="dxa"/>
        <w:bottom w:w="0" w:type="dxa"/>
        <w:right w:w="108" w:type="dxa"/>
      </w:tblCellMar>
    </w:tblPr>
  </w:style>
  <w:style w:type="paragraph" w:styleId="Quote">
    <w:name w:val="Quote"/>
    <w:basedOn w:val="Normal"/>
    <w:next w:val="Normal"/>
    <w:link w:val="QuoteChar"/>
    <w:uiPriority w:val="99"/>
    <w:semiHidden/>
    <w:qFormat/>
    <w:rsid w:val="0016174F"/>
    <w:pPr>
      <w:spacing w:before="200"/>
      <w:ind w:left="360" w:right="360"/>
    </w:pPr>
    <w:rPr>
      <w:i/>
      <w:iCs/>
      <w:sz w:val="22"/>
    </w:rPr>
  </w:style>
  <w:style w:type="character" w:customStyle="1" w:styleId="QuoteChar">
    <w:name w:val="Quote Char"/>
    <w:basedOn w:val="DefaultParagraphFont"/>
    <w:link w:val="Quote"/>
    <w:uiPriority w:val="99"/>
    <w:semiHidden/>
    <w:rsid w:val="0016174F"/>
    <w:rPr>
      <w:rFonts w:eastAsiaTheme="minorEastAsia"/>
      <w:i/>
      <w:iCs/>
      <w:lang w:bidi="lv-LV"/>
    </w:rPr>
  </w:style>
  <w:style w:type="character" w:styleId="SubtleReference">
    <w:name w:val="Subtle Reference"/>
    <w:uiPriority w:val="99"/>
    <w:semiHidden/>
    <w:qFormat/>
    <w:rsid w:val="0016174F"/>
    <w:rPr>
      <w:smallCaps/>
    </w:rPr>
  </w:style>
  <w:style w:type="table" w:styleId="TableGrid">
    <w:name w:val="Table Grid"/>
    <w:basedOn w:val="TableNormal"/>
    <w:uiPriority w:val="59"/>
    <w:semiHidden/>
    <w:rsid w:val="0016174F"/>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16174F"/>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16174F"/>
    <w:pPr>
      <w:spacing w:after="60"/>
      <w:ind w:left="680" w:right="340" w:hanging="340"/>
    </w:pPr>
  </w:style>
  <w:style w:type="paragraph" w:styleId="TOC3">
    <w:name w:val="toc 3"/>
    <w:basedOn w:val="Normal"/>
    <w:next w:val="Normal"/>
    <w:autoRedefine/>
    <w:uiPriority w:val="99"/>
    <w:semiHidden/>
    <w:rsid w:val="0016174F"/>
    <w:pPr>
      <w:spacing w:after="60"/>
      <w:ind w:left="1020" w:right="340" w:hanging="340"/>
    </w:pPr>
  </w:style>
  <w:style w:type="paragraph" w:styleId="TOC4">
    <w:name w:val="toc 4"/>
    <w:basedOn w:val="Normal"/>
    <w:next w:val="Normal"/>
    <w:autoRedefine/>
    <w:uiPriority w:val="99"/>
    <w:semiHidden/>
    <w:rsid w:val="0016174F"/>
    <w:pPr>
      <w:tabs>
        <w:tab w:val="right" w:leader="dot" w:pos="9017"/>
      </w:tabs>
      <w:spacing w:after="60"/>
      <w:ind w:left="1361" w:right="340" w:hanging="340"/>
    </w:pPr>
  </w:style>
  <w:style w:type="paragraph" w:styleId="TOC5">
    <w:name w:val="toc 5"/>
    <w:basedOn w:val="Normal"/>
    <w:next w:val="Normal"/>
    <w:autoRedefine/>
    <w:uiPriority w:val="99"/>
    <w:semiHidden/>
    <w:rsid w:val="0016174F"/>
    <w:pPr>
      <w:spacing w:after="60"/>
      <w:ind w:left="1701" w:right="340" w:hanging="340"/>
    </w:pPr>
  </w:style>
  <w:style w:type="paragraph" w:styleId="TOCHeading">
    <w:name w:val="TOC Heading"/>
    <w:basedOn w:val="Heading1"/>
    <w:next w:val="Normal"/>
    <w:uiPriority w:val="99"/>
    <w:semiHidden/>
    <w:qFormat/>
    <w:rsid w:val="0016174F"/>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rPr>
    <w:tblPr>
      <w:tblInd w:w="-1191" w:type="dxa"/>
      <w:tblCellMar>
        <w:top w:w="57" w:type="dxa"/>
        <w:left w:w="0" w:type="dxa"/>
        <w:bottom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rPr>
    <w:tblPr>
      <w:tblInd w:w="0"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Ind w:w="0" w:type="dxa"/>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CellMar>
        <w:top w:w="0" w:type="dxa"/>
        <w:left w:w="108" w:type="dxa"/>
        <w:bottom w:w="0" w:type="dxa"/>
        <w:right w:w="108" w:type="dxa"/>
      </w:tblCellMar>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left w:w="108" w:type="dxa"/>
        <w:bottom w:w="142" w:type="dxa"/>
        <w:right w:w="108" w:type="dxa"/>
      </w:tblCellMar>
    </w:tblPr>
    <w:trPr>
      <w:cantSplit/>
    </w:trPr>
  </w:style>
  <w:style w:type="table" w:customStyle="1" w:styleId="ECHRTableMemo">
    <w:name w:val="ECHR_Table_Memo"/>
    <w:basedOn w:val="TableNormal"/>
    <w:uiPriority w:val="99"/>
    <w:rsid w:val="00210338"/>
    <w:tblPr>
      <w:jc w:val="center"/>
      <w:tblInd w:w="0" w:type="dxa"/>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Ind w:w="0" w:type="dxa"/>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left w:w="108" w:type="dxa"/>
        <w:bottom w:w="57" w:type="dxa"/>
        <w:right w:w="108"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16174F"/>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Para_Quote"/>
    <w:basedOn w:val="Normal"/>
    <w:qFormat/>
    <w:rsid w:val="0016174F"/>
    <w:pPr>
      <w:spacing w:before="120" w:after="120"/>
      <w:ind w:left="425" w:firstLine="142"/>
    </w:pPr>
    <w:rPr>
      <w:sz w:val="20"/>
    </w:rPr>
  </w:style>
  <w:style w:type="table" w:customStyle="1" w:styleId="ECHRTableSimpleBox">
    <w:name w:val="ECHR_Table_Simple_Box"/>
    <w:basedOn w:val="TableNormal"/>
    <w:uiPriority w:val="99"/>
    <w:rsid w:val="00AE354C"/>
    <w:tblPr>
      <w:tblInd w:w="0" w:type="dxa"/>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left w:w="108" w:type="dxa"/>
        <w:bottom w:w="113" w:type="dxa"/>
        <w:right w:w="108" w:type="dxa"/>
      </w:tblCellMar>
    </w:tblPr>
  </w:style>
  <w:style w:type="table" w:customStyle="1" w:styleId="ECHRTableNoLines">
    <w:name w:val="ECHR_Table_No_Lines"/>
    <w:basedOn w:val="TableNormal"/>
    <w:uiPriority w:val="99"/>
    <w:rsid w:val="00F218EF"/>
    <w:tblPr>
      <w:tblInd w:w="0" w:type="dxa"/>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Ind w:w="0" w:type="dxa"/>
      <w:tblCellMar>
        <w:top w:w="113" w:type="dxa"/>
        <w:left w:w="108" w:type="dxa"/>
        <w:bottom w:w="28" w:type="dxa"/>
        <w:right w:w="10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16174F"/>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top w:w="0" w:type="dxa"/>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leNormal"/>
    <w:uiPriority w:val="99"/>
    <w:rsid w:val="00B52BE0"/>
    <w:tblPr>
      <w:tblInd w:w="-680" w:type="dxa"/>
      <w:tblCellMar>
        <w:top w:w="0" w:type="dxa"/>
        <w:left w:w="0" w:type="dxa"/>
        <w:bottom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Signed">
    <w:name w:val="Ju_Signed"/>
    <w:basedOn w:val="Normal"/>
    <w:next w:val="JuParaLast"/>
    <w:uiPriority w:val="32"/>
    <w:qFormat/>
    <w:rsid w:val="0016174F"/>
    <w:pPr>
      <w:tabs>
        <w:tab w:val="center" w:pos="851"/>
        <w:tab w:val="center" w:pos="6407"/>
      </w:tabs>
      <w:spacing w:before="720"/>
      <w:jc w:val="left"/>
    </w:pPr>
  </w:style>
  <w:style w:type="paragraph" w:customStyle="1" w:styleId="JuParaLast">
    <w:name w:val="Ju_Para_Last"/>
    <w:basedOn w:val="Normal"/>
    <w:next w:val="ECHRPara"/>
    <w:uiPriority w:val="30"/>
    <w:qFormat/>
    <w:rsid w:val="0016174F"/>
    <w:pPr>
      <w:keepNext/>
      <w:keepLines/>
      <w:spacing w:before="240"/>
      <w:ind w:firstLine="284"/>
    </w:pPr>
  </w:style>
  <w:style w:type="paragraph" w:customStyle="1" w:styleId="JuCase">
    <w:name w:val="Ju_Case"/>
    <w:basedOn w:val="Normal"/>
    <w:next w:val="ECHRPara"/>
    <w:uiPriority w:val="10"/>
    <w:rsid w:val="0016174F"/>
    <w:pPr>
      <w:ind w:firstLine="284"/>
    </w:pPr>
    <w:rPr>
      <w:b/>
    </w:rPr>
  </w:style>
  <w:style w:type="paragraph" w:customStyle="1" w:styleId="JuList">
    <w:name w:val="Ju_List"/>
    <w:basedOn w:val="Normal"/>
    <w:uiPriority w:val="28"/>
    <w:qFormat/>
    <w:rsid w:val="0016174F"/>
    <w:pPr>
      <w:ind w:left="340" w:hanging="340"/>
    </w:pPr>
  </w:style>
  <w:style w:type="paragraph" w:customStyle="1" w:styleId="OpiTranslation">
    <w:name w:val="Opi_Translation"/>
    <w:basedOn w:val="Normal"/>
    <w:next w:val="OpiPara"/>
    <w:uiPriority w:val="40"/>
    <w:qFormat/>
    <w:rsid w:val="0016174F"/>
    <w:pPr>
      <w:jc w:val="center"/>
      <w:outlineLvl w:val="0"/>
    </w:pPr>
    <w:rPr>
      <w:i/>
    </w:rPr>
  </w:style>
  <w:style w:type="character" w:styleId="PageNumber">
    <w:name w:val="page number"/>
    <w:semiHidden/>
    <w:rsid w:val="00E77CB3"/>
    <w:rPr>
      <w:rFonts w:ascii="Times New Roman" w:hAnsi="Times New Roman" w:cs="Times New Roman"/>
      <w:sz w:val="18"/>
    </w:rPr>
  </w:style>
  <w:style w:type="paragraph" w:customStyle="1" w:styleId="JuLista">
    <w:name w:val="Ju_List_a"/>
    <w:basedOn w:val="JuList"/>
    <w:uiPriority w:val="28"/>
    <w:qFormat/>
    <w:rsid w:val="0016174F"/>
    <w:pPr>
      <w:ind w:left="346" w:firstLine="0"/>
    </w:pPr>
  </w:style>
  <w:style w:type="paragraph" w:customStyle="1" w:styleId="JuListi">
    <w:name w:val="Ju_List_i"/>
    <w:basedOn w:val="Normal"/>
    <w:next w:val="JuLista"/>
    <w:uiPriority w:val="28"/>
    <w:qFormat/>
    <w:rsid w:val="0016174F"/>
    <w:pPr>
      <w:ind w:left="794"/>
    </w:pPr>
  </w:style>
  <w:style w:type="character" w:styleId="CommentReference">
    <w:name w:val="annotation reference"/>
    <w:uiPriority w:val="99"/>
    <w:semiHidden/>
    <w:rsid w:val="00E77CB3"/>
    <w:rPr>
      <w:sz w:val="16"/>
    </w:rPr>
  </w:style>
  <w:style w:type="paragraph" w:styleId="CommentText">
    <w:name w:val="annotation text"/>
    <w:basedOn w:val="Normal"/>
    <w:link w:val="CommentTextChar"/>
    <w:uiPriority w:val="99"/>
    <w:semiHidden/>
    <w:rsid w:val="00E77CB3"/>
    <w:rPr>
      <w:sz w:val="20"/>
    </w:rPr>
  </w:style>
  <w:style w:type="character" w:customStyle="1" w:styleId="CommentTextChar">
    <w:name w:val="Comment Text Char"/>
    <w:basedOn w:val="DefaultParagraphFont"/>
    <w:link w:val="CommentText"/>
    <w:uiPriority w:val="99"/>
    <w:semiHidden/>
    <w:rsid w:val="00E77CB3"/>
    <w:rPr>
      <w:rFonts w:eastAsiaTheme="minorEastAsia"/>
      <w:sz w:val="20"/>
    </w:rPr>
  </w:style>
  <w:style w:type="character" w:styleId="EndnoteReference">
    <w:name w:val="endnote reference"/>
    <w:uiPriority w:val="99"/>
    <w:semiHidden/>
    <w:rsid w:val="00E77CB3"/>
    <w:rPr>
      <w:rFonts w:ascii="Times New Roman" w:hAnsi="Times New Roman" w:cs="Times New Roman"/>
      <w:vertAlign w:val="superscript"/>
    </w:rPr>
  </w:style>
  <w:style w:type="paragraph" w:styleId="EndnoteText">
    <w:name w:val="endnote text"/>
    <w:basedOn w:val="Normal"/>
    <w:link w:val="EndnoteTextChar"/>
    <w:uiPriority w:val="99"/>
    <w:semiHidden/>
    <w:rsid w:val="00E77CB3"/>
    <w:rPr>
      <w:sz w:val="20"/>
    </w:rPr>
  </w:style>
  <w:style w:type="character" w:customStyle="1" w:styleId="EndnoteTextChar">
    <w:name w:val="Endnote Text Char"/>
    <w:basedOn w:val="DefaultParagraphFont"/>
    <w:link w:val="EndnoteText"/>
    <w:uiPriority w:val="99"/>
    <w:semiHidden/>
    <w:rsid w:val="00E77CB3"/>
    <w:rPr>
      <w:rFonts w:eastAsiaTheme="minorEastAsia"/>
      <w:sz w:val="20"/>
    </w:rPr>
  </w:style>
  <w:style w:type="character" w:styleId="FollowedHyperlink">
    <w:name w:val="FollowedHyperlink"/>
    <w:uiPriority w:val="99"/>
    <w:semiHidden/>
    <w:rsid w:val="00E77CB3"/>
    <w:rPr>
      <w:rFonts w:ascii="Times New Roman" w:hAnsi="Times New Roman" w:cs="Times New Roman"/>
      <w:color w:val="800080"/>
      <w:u w:val="single"/>
    </w:rPr>
  </w:style>
  <w:style w:type="paragraph" w:styleId="ListBullet">
    <w:name w:val="List Bullet"/>
    <w:basedOn w:val="Normal"/>
    <w:uiPriority w:val="99"/>
    <w:semiHidden/>
    <w:rsid w:val="00E77CB3"/>
    <w:pPr>
      <w:numPr>
        <w:numId w:val="1"/>
      </w:numPr>
    </w:pPr>
  </w:style>
  <w:style w:type="character" w:customStyle="1" w:styleId="JuNames0">
    <w:name w:val="Ju_Names"/>
    <w:rsid w:val="00E77CB3"/>
    <w:rPr>
      <w:rFonts w:ascii="Times New Roman" w:hAnsi="Times New Roman" w:cs="Times New Roman"/>
      <w:smallCaps/>
    </w:rPr>
  </w:style>
  <w:style w:type="paragraph" w:styleId="CommentSubject">
    <w:name w:val="annotation subject"/>
    <w:basedOn w:val="CommentText"/>
    <w:next w:val="CommentText"/>
    <w:link w:val="CommentSubjectChar"/>
    <w:uiPriority w:val="99"/>
    <w:semiHidden/>
    <w:rsid w:val="00E77CB3"/>
    <w:rPr>
      <w:b/>
      <w:bCs/>
    </w:rPr>
  </w:style>
  <w:style w:type="character" w:customStyle="1" w:styleId="CommentSubjectChar">
    <w:name w:val="Comment Subject Char"/>
    <w:basedOn w:val="CommentTextChar"/>
    <w:link w:val="CommentSubject"/>
    <w:uiPriority w:val="99"/>
    <w:semiHidden/>
    <w:rsid w:val="00E77CB3"/>
    <w:rPr>
      <w:rFonts w:eastAsiaTheme="minorEastAsia"/>
      <w:b/>
      <w:bCs/>
      <w:sz w:val="20"/>
    </w:rPr>
  </w:style>
  <w:style w:type="paragraph" w:styleId="DocumentMap">
    <w:name w:val="Document Map"/>
    <w:basedOn w:val="Normal"/>
    <w:link w:val="DocumentMapChar"/>
    <w:uiPriority w:val="99"/>
    <w:semiHidden/>
    <w:rsid w:val="00E77CB3"/>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E77CB3"/>
    <w:rPr>
      <w:rFonts w:ascii="Tahoma" w:eastAsiaTheme="minorEastAsia" w:hAnsi="Tahoma" w:cs="Tahoma"/>
      <w:sz w:val="20"/>
      <w:shd w:val="clear" w:color="auto" w:fill="000080"/>
    </w:rPr>
  </w:style>
  <w:style w:type="character" w:customStyle="1" w:styleId="JuITMark">
    <w:name w:val="Ju_ITMark"/>
    <w:basedOn w:val="DefaultParagraphFont"/>
    <w:uiPriority w:val="38"/>
    <w:qFormat/>
    <w:rsid w:val="0016174F"/>
    <w:rPr>
      <w:vanish w:val="0"/>
      <w:color w:val="auto"/>
      <w:sz w:val="14"/>
    </w:rPr>
  </w:style>
  <w:style w:type="paragraph" w:styleId="Subtitle">
    <w:name w:val="Subtitle"/>
    <w:basedOn w:val="Normal"/>
    <w:next w:val="Normal"/>
    <w:link w:val="SubtitleChar"/>
    <w:uiPriority w:val="99"/>
    <w:semiHidden/>
    <w:qFormat/>
    <w:rsid w:val="0016174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16174F"/>
    <w:rPr>
      <w:rFonts w:asciiTheme="majorHAnsi" w:eastAsiaTheme="majorEastAsia" w:hAnsiTheme="majorHAnsi" w:cstheme="majorBidi"/>
      <w:i/>
      <w:iCs/>
      <w:spacing w:val="13"/>
      <w:sz w:val="24"/>
      <w:szCs w:val="24"/>
      <w:lang w:bidi="lv-LV"/>
    </w:rPr>
  </w:style>
  <w:style w:type="numbering" w:styleId="111111">
    <w:name w:val="Outline List 2"/>
    <w:basedOn w:val="NoList"/>
    <w:uiPriority w:val="99"/>
    <w:semiHidden/>
    <w:rsid w:val="00E77CB3"/>
    <w:pPr>
      <w:numPr>
        <w:numId w:val="2"/>
      </w:numPr>
    </w:pPr>
  </w:style>
  <w:style w:type="numbering" w:styleId="1ai">
    <w:name w:val="Outline List 1"/>
    <w:basedOn w:val="NoList"/>
    <w:uiPriority w:val="99"/>
    <w:semiHidden/>
    <w:rsid w:val="00E77CB3"/>
    <w:pPr>
      <w:numPr>
        <w:numId w:val="3"/>
      </w:numPr>
    </w:pPr>
  </w:style>
  <w:style w:type="numbering" w:styleId="ArticleSection">
    <w:name w:val="Outline List 3"/>
    <w:basedOn w:val="NoList"/>
    <w:uiPriority w:val="99"/>
    <w:semiHidden/>
    <w:rsid w:val="00E77CB3"/>
    <w:pPr>
      <w:numPr>
        <w:numId w:val="4"/>
      </w:numPr>
    </w:pPr>
  </w:style>
  <w:style w:type="paragraph" w:styleId="Bibliography">
    <w:name w:val="Bibliography"/>
    <w:basedOn w:val="Normal"/>
    <w:next w:val="Normal"/>
    <w:uiPriority w:val="99"/>
    <w:semiHidden/>
    <w:unhideWhenUsed/>
    <w:rsid w:val="00E77CB3"/>
  </w:style>
  <w:style w:type="paragraph" w:styleId="BlockText">
    <w:name w:val="Block Text"/>
    <w:basedOn w:val="Normal"/>
    <w:uiPriority w:val="99"/>
    <w:semiHidden/>
    <w:rsid w:val="00E77CB3"/>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E77CB3"/>
    <w:pPr>
      <w:spacing w:after="120"/>
    </w:pPr>
  </w:style>
  <w:style w:type="character" w:customStyle="1" w:styleId="BodyTextChar">
    <w:name w:val="Body Text Char"/>
    <w:basedOn w:val="DefaultParagraphFont"/>
    <w:link w:val="BodyText"/>
    <w:uiPriority w:val="99"/>
    <w:semiHidden/>
    <w:rsid w:val="00E77CB3"/>
    <w:rPr>
      <w:rFonts w:eastAsiaTheme="minorEastAsia"/>
      <w:sz w:val="24"/>
    </w:rPr>
  </w:style>
  <w:style w:type="paragraph" w:styleId="BodyText2">
    <w:name w:val="Body Text 2"/>
    <w:basedOn w:val="Normal"/>
    <w:link w:val="BodyText2Char"/>
    <w:uiPriority w:val="99"/>
    <w:semiHidden/>
    <w:rsid w:val="00E77CB3"/>
    <w:pPr>
      <w:spacing w:after="120" w:line="480" w:lineRule="auto"/>
    </w:pPr>
  </w:style>
  <w:style w:type="character" w:customStyle="1" w:styleId="BodyText2Char">
    <w:name w:val="Body Text 2 Char"/>
    <w:basedOn w:val="DefaultParagraphFont"/>
    <w:link w:val="BodyText2"/>
    <w:uiPriority w:val="99"/>
    <w:semiHidden/>
    <w:rsid w:val="00E77CB3"/>
    <w:rPr>
      <w:rFonts w:eastAsiaTheme="minorEastAsia"/>
      <w:sz w:val="24"/>
    </w:rPr>
  </w:style>
  <w:style w:type="paragraph" w:styleId="BodyText3">
    <w:name w:val="Body Text 3"/>
    <w:basedOn w:val="Normal"/>
    <w:link w:val="BodyText3Char"/>
    <w:uiPriority w:val="99"/>
    <w:semiHidden/>
    <w:rsid w:val="00E77CB3"/>
    <w:pPr>
      <w:spacing w:after="120"/>
    </w:pPr>
    <w:rPr>
      <w:sz w:val="16"/>
      <w:szCs w:val="16"/>
    </w:rPr>
  </w:style>
  <w:style w:type="character" w:customStyle="1" w:styleId="BodyText3Char">
    <w:name w:val="Body Text 3 Char"/>
    <w:basedOn w:val="DefaultParagraphFont"/>
    <w:link w:val="BodyText3"/>
    <w:uiPriority w:val="99"/>
    <w:semiHidden/>
    <w:rsid w:val="00E77CB3"/>
    <w:rPr>
      <w:rFonts w:eastAsiaTheme="minorEastAsia"/>
      <w:sz w:val="16"/>
      <w:szCs w:val="16"/>
    </w:rPr>
  </w:style>
  <w:style w:type="paragraph" w:styleId="BodyTextFirstIndent">
    <w:name w:val="Body Text First Indent"/>
    <w:basedOn w:val="BodyText"/>
    <w:link w:val="BodyTextFirstIndentChar"/>
    <w:uiPriority w:val="99"/>
    <w:semiHidden/>
    <w:rsid w:val="00E77CB3"/>
    <w:pPr>
      <w:spacing w:after="0"/>
      <w:ind w:firstLine="360"/>
    </w:pPr>
  </w:style>
  <w:style w:type="character" w:customStyle="1" w:styleId="BodyTextFirstIndentChar">
    <w:name w:val="Body Text First Indent Char"/>
    <w:basedOn w:val="BodyTextChar"/>
    <w:link w:val="BodyTextFirstIndent"/>
    <w:uiPriority w:val="99"/>
    <w:semiHidden/>
    <w:rsid w:val="00E77CB3"/>
    <w:rPr>
      <w:rFonts w:eastAsiaTheme="minorEastAsia"/>
      <w:sz w:val="24"/>
    </w:rPr>
  </w:style>
  <w:style w:type="paragraph" w:styleId="BodyTextIndent">
    <w:name w:val="Body Text Indent"/>
    <w:basedOn w:val="Normal"/>
    <w:link w:val="BodyTextIndentChar"/>
    <w:uiPriority w:val="99"/>
    <w:semiHidden/>
    <w:rsid w:val="00E77CB3"/>
    <w:pPr>
      <w:spacing w:after="120"/>
      <w:ind w:left="283"/>
    </w:pPr>
  </w:style>
  <w:style w:type="character" w:customStyle="1" w:styleId="BodyTextIndentChar">
    <w:name w:val="Body Text Indent Char"/>
    <w:basedOn w:val="DefaultParagraphFont"/>
    <w:link w:val="BodyTextIndent"/>
    <w:uiPriority w:val="99"/>
    <w:semiHidden/>
    <w:rsid w:val="00E77CB3"/>
    <w:rPr>
      <w:rFonts w:eastAsiaTheme="minorEastAsia"/>
      <w:sz w:val="24"/>
    </w:rPr>
  </w:style>
  <w:style w:type="paragraph" w:styleId="BodyTextFirstIndent2">
    <w:name w:val="Body Text First Indent 2"/>
    <w:basedOn w:val="BodyTextIndent"/>
    <w:link w:val="BodyTextFirstIndent2Char"/>
    <w:uiPriority w:val="99"/>
    <w:semiHidden/>
    <w:rsid w:val="00E77CB3"/>
    <w:pPr>
      <w:spacing w:after="0"/>
      <w:ind w:left="360" w:firstLine="360"/>
    </w:pPr>
  </w:style>
  <w:style w:type="character" w:customStyle="1" w:styleId="BodyTextFirstIndent2Char">
    <w:name w:val="Body Text First Indent 2 Char"/>
    <w:basedOn w:val="BodyTextIndentChar"/>
    <w:link w:val="BodyTextFirstIndent2"/>
    <w:uiPriority w:val="99"/>
    <w:semiHidden/>
    <w:rsid w:val="00E77CB3"/>
    <w:rPr>
      <w:rFonts w:eastAsiaTheme="minorEastAsia"/>
      <w:sz w:val="24"/>
    </w:rPr>
  </w:style>
  <w:style w:type="paragraph" w:styleId="BodyTextIndent2">
    <w:name w:val="Body Text Indent 2"/>
    <w:basedOn w:val="Normal"/>
    <w:link w:val="BodyTextIndent2Char"/>
    <w:uiPriority w:val="99"/>
    <w:semiHidden/>
    <w:rsid w:val="00E77CB3"/>
    <w:pPr>
      <w:spacing w:after="120" w:line="480" w:lineRule="auto"/>
      <w:ind w:left="283"/>
    </w:pPr>
  </w:style>
  <w:style w:type="character" w:customStyle="1" w:styleId="BodyTextIndent2Char">
    <w:name w:val="Body Text Indent 2 Char"/>
    <w:basedOn w:val="DefaultParagraphFont"/>
    <w:link w:val="BodyTextIndent2"/>
    <w:uiPriority w:val="99"/>
    <w:semiHidden/>
    <w:rsid w:val="00E77CB3"/>
    <w:rPr>
      <w:rFonts w:eastAsiaTheme="minorEastAsia"/>
      <w:sz w:val="24"/>
    </w:rPr>
  </w:style>
  <w:style w:type="paragraph" w:styleId="BodyTextIndent3">
    <w:name w:val="Body Text Indent 3"/>
    <w:basedOn w:val="Normal"/>
    <w:link w:val="BodyTextIndent3Char"/>
    <w:uiPriority w:val="99"/>
    <w:semiHidden/>
    <w:rsid w:val="00E77CB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77CB3"/>
    <w:rPr>
      <w:rFonts w:eastAsiaTheme="minorEastAsia"/>
      <w:sz w:val="16"/>
      <w:szCs w:val="16"/>
    </w:rPr>
  </w:style>
  <w:style w:type="paragraph" w:styleId="Caption">
    <w:name w:val="caption"/>
    <w:basedOn w:val="Normal"/>
    <w:next w:val="Normal"/>
    <w:uiPriority w:val="99"/>
    <w:semiHidden/>
    <w:qFormat/>
    <w:rsid w:val="00E77CB3"/>
    <w:pPr>
      <w:spacing w:after="200"/>
    </w:pPr>
    <w:rPr>
      <w:b/>
      <w:bCs/>
      <w:color w:val="0072BC" w:themeColor="accent1"/>
      <w:sz w:val="18"/>
      <w:szCs w:val="18"/>
    </w:rPr>
  </w:style>
  <w:style w:type="paragraph" w:styleId="Closing">
    <w:name w:val="Closing"/>
    <w:basedOn w:val="Normal"/>
    <w:link w:val="ClosingChar"/>
    <w:uiPriority w:val="99"/>
    <w:semiHidden/>
    <w:rsid w:val="00E77CB3"/>
    <w:pPr>
      <w:ind w:left="4252"/>
    </w:pPr>
  </w:style>
  <w:style w:type="character" w:customStyle="1" w:styleId="ClosingChar">
    <w:name w:val="Closing Char"/>
    <w:basedOn w:val="DefaultParagraphFont"/>
    <w:link w:val="Closing"/>
    <w:uiPriority w:val="99"/>
    <w:semiHidden/>
    <w:rsid w:val="00E77CB3"/>
    <w:rPr>
      <w:rFonts w:eastAsiaTheme="minorEastAsia"/>
      <w:sz w:val="24"/>
    </w:rPr>
  </w:style>
  <w:style w:type="table" w:styleId="ColorfulGrid">
    <w:name w:val="Colorful Grid"/>
    <w:basedOn w:val="TableNormal"/>
    <w:uiPriority w:val="99"/>
    <w:semiHidden/>
    <w:rsid w:val="00E77CB3"/>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E77CB3"/>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E77CB3"/>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E77CB3"/>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E77CB3"/>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E77CB3"/>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E77CB3"/>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E77CB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E77CB3"/>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E77CB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E77CB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E77CB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E77CB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E77CB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E77CB3"/>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E77CB3"/>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E77CB3"/>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E77CB3"/>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E77CB3"/>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E77CB3"/>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E77CB3"/>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E77CB3"/>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E77CB3"/>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E77CB3"/>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E77CB3"/>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E77CB3"/>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E77CB3"/>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E77CB3"/>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E77CB3"/>
  </w:style>
  <w:style w:type="character" w:customStyle="1" w:styleId="DateChar">
    <w:name w:val="Date Char"/>
    <w:basedOn w:val="DefaultParagraphFont"/>
    <w:link w:val="Date"/>
    <w:uiPriority w:val="99"/>
    <w:semiHidden/>
    <w:rsid w:val="00E77CB3"/>
    <w:rPr>
      <w:rFonts w:eastAsiaTheme="minorEastAsia"/>
      <w:sz w:val="24"/>
    </w:rPr>
  </w:style>
  <w:style w:type="paragraph" w:styleId="E-mailSignature">
    <w:name w:val="E-mail Signature"/>
    <w:basedOn w:val="Normal"/>
    <w:link w:val="E-mailSignatureChar"/>
    <w:uiPriority w:val="99"/>
    <w:semiHidden/>
    <w:rsid w:val="00E77CB3"/>
  </w:style>
  <w:style w:type="character" w:customStyle="1" w:styleId="E-mailSignatureChar">
    <w:name w:val="E-mail Signature Char"/>
    <w:basedOn w:val="DefaultParagraphFont"/>
    <w:link w:val="E-mailSignature"/>
    <w:uiPriority w:val="99"/>
    <w:semiHidden/>
    <w:rsid w:val="00E77CB3"/>
    <w:rPr>
      <w:rFonts w:eastAsiaTheme="minorEastAsia"/>
      <w:sz w:val="24"/>
    </w:rPr>
  </w:style>
  <w:style w:type="paragraph" w:styleId="EnvelopeAddress">
    <w:name w:val="envelope address"/>
    <w:basedOn w:val="Normal"/>
    <w:uiPriority w:val="99"/>
    <w:semiHidden/>
    <w:rsid w:val="00E77CB3"/>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E77CB3"/>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E77CB3"/>
  </w:style>
  <w:style w:type="paragraph" w:styleId="HTMLAddress">
    <w:name w:val="HTML Address"/>
    <w:basedOn w:val="Normal"/>
    <w:link w:val="HTMLAddressChar"/>
    <w:uiPriority w:val="99"/>
    <w:semiHidden/>
    <w:rsid w:val="00E77CB3"/>
    <w:rPr>
      <w:i/>
      <w:iCs/>
    </w:rPr>
  </w:style>
  <w:style w:type="character" w:customStyle="1" w:styleId="HTMLAddressChar">
    <w:name w:val="HTML Address Char"/>
    <w:basedOn w:val="DefaultParagraphFont"/>
    <w:link w:val="HTMLAddress"/>
    <w:uiPriority w:val="99"/>
    <w:semiHidden/>
    <w:rsid w:val="00E77CB3"/>
    <w:rPr>
      <w:rFonts w:eastAsiaTheme="minorEastAsia"/>
      <w:i/>
      <w:iCs/>
      <w:sz w:val="24"/>
    </w:rPr>
  </w:style>
  <w:style w:type="character" w:styleId="HTMLCite">
    <w:name w:val="HTML Cite"/>
    <w:basedOn w:val="DefaultParagraphFont"/>
    <w:uiPriority w:val="99"/>
    <w:semiHidden/>
    <w:rsid w:val="00E77CB3"/>
    <w:rPr>
      <w:i/>
      <w:iCs/>
    </w:rPr>
  </w:style>
  <w:style w:type="character" w:styleId="HTMLCode">
    <w:name w:val="HTML Code"/>
    <w:basedOn w:val="DefaultParagraphFont"/>
    <w:uiPriority w:val="99"/>
    <w:semiHidden/>
    <w:rsid w:val="00E77CB3"/>
    <w:rPr>
      <w:rFonts w:ascii="Consolas" w:hAnsi="Consolas" w:cs="Consolas"/>
      <w:sz w:val="20"/>
      <w:szCs w:val="20"/>
    </w:rPr>
  </w:style>
  <w:style w:type="character" w:styleId="HTMLDefinition">
    <w:name w:val="HTML Definition"/>
    <w:basedOn w:val="DefaultParagraphFont"/>
    <w:uiPriority w:val="99"/>
    <w:semiHidden/>
    <w:rsid w:val="00E77CB3"/>
    <w:rPr>
      <w:i/>
      <w:iCs/>
    </w:rPr>
  </w:style>
  <w:style w:type="character" w:styleId="HTMLKeyboard">
    <w:name w:val="HTML Keyboard"/>
    <w:basedOn w:val="DefaultParagraphFont"/>
    <w:uiPriority w:val="99"/>
    <w:semiHidden/>
    <w:rsid w:val="00E77CB3"/>
    <w:rPr>
      <w:rFonts w:ascii="Consolas" w:hAnsi="Consolas" w:cs="Consolas"/>
      <w:sz w:val="20"/>
      <w:szCs w:val="20"/>
    </w:rPr>
  </w:style>
  <w:style w:type="paragraph" w:styleId="HTMLPreformatted">
    <w:name w:val="HTML Preformatted"/>
    <w:basedOn w:val="Normal"/>
    <w:link w:val="HTMLPreformattedChar"/>
    <w:uiPriority w:val="99"/>
    <w:semiHidden/>
    <w:rsid w:val="00E77CB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77CB3"/>
    <w:rPr>
      <w:rFonts w:ascii="Consolas" w:eastAsiaTheme="minorEastAsia" w:hAnsi="Consolas" w:cs="Consolas"/>
      <w:sz w:val="20"/>
      <w:szCs w:val="20"/>
    </w:rPr>
  </w:style>
  <w:style w:type="character" w:styleId="HTMLSample">
    <w:name w:val="HTML Sample"/>
    <w:basedOn w:val="DefaultParagraphFont"/>
    <w:uiPriority w:val="99"/>
    <w:semiHidden/>
    <w:rsid w:val="00E77CB3"/>
    <w:rPr>
      <w:rFonts w:ascii="Consolas" w:hAnsi="Consolas" w:cs="Consolas"/>
      <w:sz w:val="24"/>
      <w:szCs w:val="24"/>
    </w:rPr>
  </w:style>
  <w:style w:type="character" w:styleId="HTMLTypewriter">
    <w:name w:val="HTML Typewriter"/>
    <w:basedOn w:val="DefaultParagraphFont"/>
    <w:uiPriority w:val="99"/>
    <w:semiHidden/>
    <w:rsid w:val="00E77CB3"/>
    <w:rPr>
      <w:rFonts w:ascii="Consolas" w:hAnsi="Consolas" w:cs="Consolas"/>
      <w:sz w:val="20"/>
      <w:szCs w:val="20"/>
    </w:rPr>
  </w:style>
  <w:style w:type="character" w:styleId="HTMLVariable">
    <w:name w:val="HTML Variable"/>
    <w:basedOn w:val="DefaultParagraphFont"/>
    <w:uiPriority w:val="99"/>
    <w:semiHidden/>
    <w:rsid w:val="00E77CB3"/>
    <w:rPr>
      <w:i/>
      <w:iCs/>
    </w:rPr>
  </w:style>
  <w:style w:type="paragraph" w:styleId="Index1">
    <w:name w:val="index 1"/>
    <w:basedOn w:val="Normal"/>
    <w:next w:val="Normal"/>
    <w:autoRedefine/>
    <w:uiPriority w:val="99"/>
    <w:semiHidden/>
    <w:rsid w:val="00E77CB3"/>
    <w:pPr>
      <w:ind w:left="240" w:hanging="240"/>
    </w:pPr>
  </w:style>
  <w:style w:type="paragraph" w:styleId="Index2">
    <w:name w:val="index 2"/>
    <w:basedOn w:val="Normal"/>
    <w:next w:val="Normal"/>
    <w:autoRedefine/>
    <w:uiPriority w:val="99"/>
    <w:semiHidden/>
    <w:rsid w:val="00E77CB3"/>
    <w:pPr>
      <w:ind w:left="480" w:hanging="240"/>
    </w:pPr>
  </w:style>
  <w:style w:type="paragraph" w:styleId="Index3">
    <w:name w:val="index 3"/>
    <w:basedOn w:val="Normal"/>
    <w:next w:val="Normal"/>
    <w:autoRedefine/>
    <w:uiPriority w:val="99"/>
    <w:semiHidden/>
    <w:rsid w:val="00E77CB3"/>
    <w:pPr>
      <w:ind w:left="720" w:hanging="240"/>
    </w:pPr>
  </w:style>
  <w:style w:type="paragraph" w:styleId="Index4">
    <w:name w:val="index 4"/>
    <w:basedOn w:val="Normal"/>
    <w:next w:val="Normal"/>
    <w:autoRedefine/>
    <w:uiPriority w:val="99"/>
    <w:semiHidden/>
    <w:rsid w:val="00E77CB3"/>
    <w:pPr>
      <w:ind w:left="960" w:hanging="240"/>
    </w:pPr>
  </w:style>
  <w:style w:type="paragraph" w:styleId="Index5">
    <w:name w:val="index 5"/>
    <w:basedOn w:val="Normal"/>
    <w:next w:val="Normal"/>
    <w:autoRedefine/>
    <w:uiPriority w:val="99"/>
    <w:semiHidden/>
    <w:rsid w:val="00E77CB3"/>
    <w:pPr>
      <w:ind w:left="1200" w:hanging="240"/>
    </w:pPr>
  </w:style>
  <w:style w:type="paragraph" w:styleId="Index6">
    <w:name w:val="index 6"/>
    <w:basedOn w:val="Normal"/>
    <w:next w:val="Normal"/>
    <w:autoRedefine/>
    <w:uiPriority w:val="99"/>
    <w:semiHidden/>
    <w:rsid w:val="00E77CB3"/>
    <w:pPr>
      <w:ind w:left="1440" w:hanging="240"/>
    </w:pPr>
  </w:style>
  <w:style w:type="paragraph" w:styleId="Index7">
    <w:name w:val="index 7"/>
    <w:basedOn w:val="Normal"/>
    <w:next w:val="Normal"/>
    <w:autoRedefine/>
    <w:uiPriority w:val="99"/>
    <w:semiHidden/>
    <w:rsid w:val="00E77CB3"/>
    <w:pPr>
      <w:ind w:left="1680" w:hanging="240"/>
    </w:pPr>
  </w:style>
  <w:style w:type="paragraph" w:styleId="Index8">
    <w:name w:val="index 8"/>
    <w:basedOn w:val="Normal"/>
    <w:next w:val="Normal"/>
    <w:autoRedefine/>
    <w:uiPriority w:val="99"/>
    <w:semiHidden/>
    <w:rsid w:val="00E77CB3"/>
    <w:pPr>
      <w:ind w:left="1920" w:hanging="240"/>
    </w:pPr>
  </w:style>
  <w:style w:type="paragraph" w:styleId="Index9">
    <w:name w:val="index 9"/>
    <w:basedOn w:val="Normal"/>
    <w:next w:val="Normal"/>
    <w:autoRedefine/>
    <w:uiPriority w:val="99"/>
    <w:semiHidden/>
    <w:rsid w:val="00E77CB3"/>
    <w:pPr>
      <w:ind w:left="2160" w:hanging="240"/>
    </w:pPr>
  </w:style>
  <w:style w:type="paragraph" w:styleId="IndexHeading">
    <w:name w:val="index heading"/>
    <w:basedOn w:val="Normal"/>
    <w:next w:val="Index1"/>
    <w:uiPriority w:val="99"/>
    <w:semiHidden/>
    <w:rsid w:val="00E77CB3"/>
    <w:rPr>
      <w:rFonts w:asciiTheme="majorHAnsi" w:eastAsiaTheme="majorEastAsia" w:hAnsiTheme="majorHAnsi" w:cstheme="majorBidi"/>
      <w:b/>
      <w:bCs/>
    </w:rPr>
  </w:style>
  <w:style w:type="table" w:styleId="LightGrid">
    <w:name w:val="Light Grid"/>
    <w:basedOn w:val="TableNormal"/>
    <w:uiPriority w:val="99"/>
    <w:semiHidden/>
    <w:rsid w:val="00E77CB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E77CB3"/>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E77CB3"/>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E77CB3"/>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E77CB3"/>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E77CB3"/>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E77CB3"/>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E77CB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E77CB3"/>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E77CB3"/>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E77CB3"/>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E77CB3"/>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E77CB3"/>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E77CB3"/>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E77CB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E77CB3"/>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E77CB3"/>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E77CB3"/>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E77CB3"/>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E77CB3"/>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E77CB3"/>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E77CB3"/>
  </w:style>
  <w:style w:type="paragraph" w:styleId="List">
    <w:name w:val="List"/>
    <w:basedOn w:val="Normal"/>
    <w:uiPriority w:val="99"/>
    <w:semiHidden/>
    <w:rsid w:val="00E77CB3"/>
    <w:pPr>
      <w:ind w:left="283" w:hanging="283"/>
      <w:contextualSpacing/>
    </w:pPr>
  </w:style>
  <w:style w:type="paragraph" w:styleId="List2">
    <w:name w:val="List 2"/>
    <w:basedOn w:val="Normal"/>
    <w:uiPriority w:val="99"/>
    <w:semiHidden/>
    <w:rsid w:val="00E77CB3"/>
    <w:pPr>
      <w:ind w:left="566" w:hanging="283"/>
      <w:contextualSpacing/>
    </w:pPr>
  </w:style>
  <w:style w:type="paragraph" w:styleId="List3">
    <w:name w:val="List 3"/>
    <w:basedOn w:val="Normal"/>
    <w:uiPriority w:val="99"/>
    <w:semiHidden/>
    <w:rsid w:val="00E77CB3"/>
    <w:pPr>
      <w:ind w:left="849" w:hanging="283"/>
      <w:contextualSpacing/>
    </w:pPr>
  </w:style>
  <w:style w:type="paragraph" w:styleId="List4">
    <w:name w:val="List 4"/>
    <w:basedOn w:val="Normal"/>
    <w:uiPriority w:val="99"/>
    <w:semiHidden/>
    <w:rsid w:val="00E77CB3"/>
    <w:pPr>
      <w:ind w:left="1132" w:hanging="283"/>
      <w:contextualSpacing/>
    </w:pPr>
  </w:style>
  <w:style w:type="paragraph" w:styleId="List5">
    <w:name w:val="List 5"/>
    <w:basedOn w:val="Normal"/>
    <w:uiPriority w:val="99"/>
    <w:semiHidden/>
    <w:rsid w:val="00E77CB3"/>
    <w:pPr>
      <w:ind w:left="1415" w:hanging="283"/>
      <w:contextualSpacing/>
    </w:pPr>
  </w:style>
  <w:style w:type="paragraph" w:styleId="ListBullet2">
    <w:name w:val="List Bullet 2"/>
    <w:basedOn w:val="Normal"/>
    <w:uiPriority w:val="99"/>
    <w:semiHidden/>
    <w:rsid w:val="00E77CB3"/>
    <w:pPr>
      <w:numPr>
        <w:numId w:val="5"/>
      </w:numPr>
      <w:contextualSpacing/>
    </w:pPr>
  </w:style>
  <w:style w:type="paragraph" w:styleId="ListBullet3">
    <w:name w:val="List Bullet 3"/>
    <w:basedOn w:val="Normal"/>
    <w:uiPriority w:val="99"/>
    <w:semiHidden/>
    <w:rsid w:val="00E77CB3"/>
    <w:pPr>
      <w:numPr>
        <w:numId w:val="6"/>
      </w:numPr>
      <w:contextualSpacing/>
    </w:pPr>
  </w:style>
  <w:style w:type="paragraph" w:styleId="ListBullet4">
    <w:name w:val="List Bullet 4"/>
    <w:basedOn w:val="Normal"/>
    <w:uiPriority w:val="99"/>
    <w:semiHidden/>
    <w:rsid w:val="00E77CB3"/>
    <w:pPr>
      <w:numPr>
        <w:numId w:val="7"/>
      </w:numPr>
      <w:contextualSpacing/>
    </w:pPr>
  </w:style>
  <w:style w:type="paragraph" w:styleId="ListBullet5">
    <w:name w:val="List Bullet 5"/>
    <w:basedOn w:val="Normal"/>
    <w:uiPriority w:val="99"/>
    <w:semiHidden/>
    <w:rsid w:val="00E77CB3"/>
    <w:pPr>
      <w:numPr>
        <w:numId w:val="8"/>
      </w:numPr>
      <w:contextualSpacing/>
    </w:pPr>
  </w:style>
  <w:style w:type="paragraph" w:styleId="ListContinue">
    <w:name w:val="List Continue"/>
    <w:basedOn w:val="Normal"/>
    <w:uiPriority w:val="99"/>
    <w:semiHidden/>
    <w:rsid w:val="00E77CB3"/>
    <w:pPr>
      <w:spacing w:after="120"/>
      <w:ind w:left="283"/>
      <w:contextualSpacing/>
    </w:pPr>
  </w:style>
  <w:style w:type="paragraph" w:styleId="ListContinue2">
    <w:name w:val="List Continue 2"/>
    <w:basedOn w:val="Normal"/>
    <w:uiPriority w:val="99"/>
    <w:semiHidden/>
    <w:rsid w:val="00E77CB3"/>
    <w:pPr>
      <w:spacing w:after="120"/>
      <w:ind w:left="566"/>
      <w:contextualSpacing/>
    </w:pPr>
  </w:style>
  <w:style w:type="paragraph" w:styleId="ListContinue3">
    <w:name w:val="List Continue 3"/>
    <w:basedOn w:val="Normal"/>
    <w:uiPriority w:val="99"/>
    <w:semiHidden/>
    <w:rsid w:val="00E77CB3"/>
    <w:pPr>
      <w:spacing w:after="120"/>
      <w:ind w:left="849"/>
      <w:contextualSpacing/>
    </w:pPr>
  </w:style>
  <w:style w:type="paragraph" w:styleId="ListContinue4">
    <w:name w:val="List Continue 4"/>
    <w:basedOn w:val="Normal"/>
    <w:uiPriority w:val="99"/>
    <w:semiHidden/>
    <w:rsid w:val="00E77CB3"/>
    <w:pPr>
      <w:spacing w:after="120"/>
      <w:ind w:left="1132"/>
      <w:contextualSpacing/>
    </w:pPr>
  </w:style>
  <w:style w:type="paragraph" w:styleId="ListContinue5">
    <w:name w:val="List Continue 5"/>
    <w:basedOn w:val="Normal"/>
    <w:uiPriority w:val="99"/>
    <w:semiHidden/>
    <w:rsid w:val="00E77CB3"/>
    <w:pPr>
      <w:spacing w:after="120"/>
      <w:ind w:left="1415"/>
      <w:contextualSpacing/>
    </w:pPr>
  </w:style>
  <w:style w:type="paragraph" w:styleId="ListNumber">
    <w:name w:val="List Number"/>
    <w:basedOn w:val="Normal"/>
    <w:uiPriority w:val="99"/>
    <w:semiHidden/>
    <w:rsid w:val="00E77CB3"/>
    <w:pPr>
      <w:numPr>
        <w:numId w:val="9"/>
      </w:numPr>
      <w:contextualSpacing/>
    </w:pPr>
  </w:style>
  <w:style w:type="paragraph" w:styleId="ListNumber2">
    <w:name w:val="List Number 2"/>
    <w:basedOn w:val="Normal"/>
    <w:uiPriority w:val="99"/>
    <w:semiHidden/>
    <w:rsid w:val="00E77CB3"/>
    <w:pPr>
      <w:numPr>
        <w:numId w:val="10"/>
      </w:numPr>
      <w:contextualSpacing/>
    </w:pPr>
  </w:style>
  <w:style w:type="paragraph" w:styleId="ListNumber3">
    <w:name w:val="List Number 3"/>
    <w:basedOn w:val="Normal"/>
    <w:uiPriority w:val="99"/>
    <w:semiHidden/>
    <w:rsid w:val="00E77CB3"/>
    <w:pPr>
      <w:numPr>
        <w:numId w:val="11"/>
      </w:numPr>
      <w:contextualSpacing/>
    </w:pPr>
  </w:style>
  <w:style w:type="paragraph" w:styleId="ListNumber4">
    <w:name w:val="List Number 4"/>
    <w:basedOn w:val="Normal"/>
    <w:uiPriority w:val="99"/>
    <w:semiHidden/>
    <w:rsid w:val="00E77CB3"/>
    <w:pPr>
      <w:numPr>
        <w:numId w:val="12"/>
      </w:numPr>
      <w:contextualSpacing/>
    </w:pPr>
  </w:style>
  <w:style w:type="paragraph" w:styleId="ListNumber5">
    <w:name w:val="List Number 5"/>
    <w:basedOn w:val="Normal"/>
    <w:uiPriority w:val="99"/>
    <w:semiHidden/>
    <w:rsid w:val="00E77CB3"/>
    <w:pPr>
      <w:numPr>
        <w:numId w:val="13"/>
      </w:numPr>
      <w:contextualSpacing/>
    </w:pPr>
  </w:style>
  <w:style w:type="paragraph" w:styleId="MacroText">
    <w:name w:val="macro"/>
    <w:link w:val="MacroTextChar"/>
    <w:uiPriority w:val="99"/>
    <w:semiHidden/>
    <w:rsid w:val="00E77CB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E77CB3"/>
    <w:rPr>
      <w:rFonts w:ascii="Consolas" w:eastAsiaTheme="minorEastAsia" w:hAnsi="Consolas" w:cs="Consolas"/>
      <w:sz w:val="20"/>
      <w:szCs w:val="20"/>
    </w:rPr>
  </w:style>
  <w:style w:type="table" w:styleId="MediumGrid1">
    <w:name w:val="Medium Grid 1"/>
    <w:basedOn w:val="TableNormal"/>
    <w:uiPriority w:val="99"/>
    <w:semiHidden/>
    <w:rsid w:val="00E77CB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E77CB3"/>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E77CB3"/>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E77CB3"/>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E77CB3"/>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E77CB3"/>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E77CB3"/>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E77CB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E77CB3"/>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E77CB3"/>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E77CB3"/>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E77CB3"/>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E77CB3"/>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E77CB3"/>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E77CB3"/>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E77CB3"/>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E77CB3"/>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E77CB3"/>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E77CB3"/>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E77CB3"/>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E77CB3"/>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E77CB3"/>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E77CB3"/>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E77CB3"/>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E77CB3"/>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E77CB3"/>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E77CB3"/>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E77CB3"/>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E77CB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E77CB3"/>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E77CB3"/>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E77CB3"/>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E77CB3"/>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E77CB3"/>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E77CB3"/>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E77CB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E77CB3"/>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E77CB3"/>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E77CB3"/>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E77CB3"/>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E77CB3"/>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E77CB3"/>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E77CB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E77CB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E77CB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E77CB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E77CB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E77CB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E77CB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E77C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77CB3"/>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77CB3"/>
    <w:rPr>
      <w:rFonts w:ascii="Times New Roman" w:hAnsi="Times New Roman" w:cs="Times New Roman"/>
      <w:szCs w:val="24"/>
    </w:rPr>
  </w:style>
  <w:style w:type="paragraph" w:styleId="NormalIndent">
    <w:name w:val="Normal Indent"/>
    <w:basedOn w:val="Normal"/>
    <w:uiPriority w:val="99"/>
    <w:semiHidden/>
    <w:rsid w:val="00E77CB3"/>
    <w:pPr>
      <w:ind w:left="720"/>
    </w:pPr>
  </w:style>
  <w:style w:type="paragraph" w:styleId="NoteHeading">
    <w:name w:val="Note Heading"/>
    <w:basedOn w:val="Normal"/>
    <w:next w:val="Normal"/>
    <w:link w:val="NoteHeadingChar"/>
    <w:uiPriority w:val="99"/>
    <w:semiHidden/>
    <w:rsid w:val="00E77CB3"/>
  </w:style>
  <w:style w:type="character" w:customStyle="1" w:styleId="NoteHeadingChar">
    <w:name w:val="Note Heading Char"/>
    <w:basedOn w:val="DefaultParagraphFont"/>
    <w:link w:val="NoteHeading"/>
    <w:uiPriority w:val="99"/>
    <w:semiHidden/>
    <w:rsid w:val="00E77CB3"/>
    <w:rPr>
      <w:rFonts w:eastAsiaTheme="minorEastAsia"/>
      <w:sz w:val="24"/>
    </w:rPr>
  </w:style>
  <w:style w:type="character" w:styleId="PlaceholderText">
    <w:name w:val="Placeholder Text"/>
    <w:basedOn w:val="DefaultParagraphFont"/>
    <w:uiPriority w:val="99"/>
    <w:semiHidden/>
    <w:rsid w:val="00E77CB3"/>
    <w:rPr>
      <w:color w:val="808080"/>
    </w:rPr>
  </w:style>
  <w:style w:type="paragraph" w:styleId="PlainText">
    <w:name w:val="Plain Text"/>
    <w:basedOn w:val="Normal"/>
    <w:link w:val="PlainTextChar"/>
    <w:uiPriority w:val="99"/>
    <w:semiHidden/>
    <w:rsid w:val="00E77CB3"/>
    <w:rPr>
      <w:rFonts w:ascii="Consolas" w:hAnsi="Consolas" w:cs="Consolas"/>
      <w:sz w:val="21"/>
      <w:szCs w:val="21"/>
    </w:rPr>
  </w:style>
  <w:style w:type="character" w:customStyle="1" w:styleId="PlainTextChar">
    <w:name w:val="Plain Text Char"/>
    <w:basedOn w:val="DefaultParagraphFont"/>
    <w:link w:val="PlainText"/>
    <w:uiPriority w:val="99"/>
    <w:semiHidden/>
    <w:rsid w:val="00E77CB3"/>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E77CB3"/>
  </w:style>
  <w:style w:type="character" w:customStyle="1" w:styleId="SalutationChar">
    <w:name w:val="Salutation Char"/>
    <w:basedOn w:val="DefaultParagraphFont"/>
    <w:link w:val="Salutation"/>
    <w:uiPriority w:val="99"/>
    <w:semiHidden/>
    <w:rsid w:val="00E77CB3"/>
    <w:rPr>
      <w:rFonts w:eastAsiaTheme="minorEastAsia"/>
      <w:sz w:val="24"/>
    </w:rPr>
  </w:style>
  <w:style w:type="paragraph" w:styleId="Signature">
    <w:name w:val="Signature"/>
    <w:basedOn w:val="Normal"/>
    <w:link w:val="SignatureChar"/>
    <w:uiPriority w:val="99"/>
    <w:semiHidden/>
    <w:rsid w:val="00E77CB3"/>
    <w:pPr>
      <w:ind w:left="4252"/>
    </w:pPr>
  </w:style>
  <w:style w:type="character" w:customStyle="1" w:styleId="SignatureChar">
    <w:name w:val="Signature Char"/>
    <w:basedOn w:val="DefaultParagraphFont"/>
    <w:link w:val="Signature"/>
    <w:uiPriority w:val="99"/>
    <w:semiHidden/>
    <w:rsid w:val="00E77CB3"/>
    <w:rPr>
      <w:rFonts w:eastAsiaTheme="minorEastAsia"/>
      <w:sz w:val="24"/>
    </w:rPr>
  </w:style>
  <w:style w:type="table" w:styleId="Table3Deffects1">
    <w:name w:val="Table 3D effects 1"/>
    <w:basedOn w:val="TableNormal"/>
    <w:uiPriority w:val="99"/>
    <w:semiHidden/>
    <w:rsid w:val="00E77CB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77CB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77CB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77CB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77CB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77CB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77CB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77CB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77CB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77CB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77CB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77CB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77CB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77CB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E77CB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E77CB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77CB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77CB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77CB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77CB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77CB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77CB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E77CB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E77CB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E77CB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77CB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77CB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77CB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77CB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77CB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77CB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77CB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77CB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77CB3"/>
    <w:pPr>
      <w:ind w:left="240" w:hanging="240"/>
    </w:pPr>
  </w:style>
  <w:style w:type="paragraph" w:styleId="TableofFigures">
    <w:name w:val="table of figures"/>
    <w:basedOn w:val="Normal"/>
    <w:next w:val="Normal"/>
    <w:uiPriority w:val="99"/>
    <w:semiHidden/>
    <w:rsid w:val="00E77CB3"/>
  </w:style>
  <w:style w:type="table" w:styleId="TableProfessional">
    <w:name w:val="Table Professional"/>
    <w:basedOn w:val="TableNormal"/>
    <w:uiPriority w:val="99"/>
    <w:semiHidden/>
    <w:rsid w:val="00E77CB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77CB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77CB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77CB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77CB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77CB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77CB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E77CB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77CB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77CB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E77CB3"/>
    <w:pPr>
      <w:spacing w:after="100"/>
      <w:ind w:left="1200"/>
    </w:pPr>
  </w:style>
  <w:style w:type="paragraph" w:styleId="TOC7">
    <w:name w:val="toc 7"/>
    <w:basedOn w:val="Normal"/>
    <w:next w:val="Normal"/>
    <w:autoRedefine/>
    <w:uiPriority w:val="99"/>
    <w:semiHidden/>
    <w:rsid w:val="00E77CB3"/>
    <w:pPr>
      <w:spacing w:after="100"/>
      <w:ind w:left="1440"/>
    </w:pPr>
  </w:style>
  <w:style w:type="paragraph" w:styleId="TOC8">
    <w:name w:val="toc 8"/>
    <w:basedOn w:val="Normal"/>
    <w:next w:val="Normal"/>
    <w:autoRedefine/>
    <w:uiPriority w:val="99"/>
    <w:semiHidden/>
    <w:rsid w:val="00E77CB3"/>
    <w:pPr>
      <w:spacing w:after="100"/>
      <w:ind w:left="1680"/>
    </w:pPr>
  </w:style>
  <w:style w:type="paragraph" w:styleId="TOC9">
    <w:name w:val="toc 9"/>
    <w:basedOn w:val="Normal"/>
    <w:next w:val="Normal"/>
    <w:autoRedefine/>
    <w:uiPriority w:val="99"/>
    <w:semiHidden/>
    <w:rsid w:val="00E77CB3"/>
    <w:pPr>
      <w:spacing w:after="100"/>
      <w:ind w:left="1920"/>
    </w:pPr>
  </w:style>
  <w:style w:type="paragraph" w:customStyle="1" w:styleId="DecHTitle">
    <w:name w:val="Dec_H_Title"/>
    <w:basedOn w:val="ECHRTitleCentre1"/>
    <w:uiPriority w:val="7"/>
    <w:rsid w:val="0016174F"/>
  </w:style>
  <w:style w:type="paragraph" w:customStyle="1" w:styleId="JuCourt">
    <w:name w:val="Ju_Court"/>
    <w:basedOn w:val="Normal"/>
    <w:next w:val="Normal"/>
    <w:uiPriority w:val="16"/>
    <w:qFormat/>
    <w:rsid w:val="0016174F"/>
    <w:pPr>
      <w:tabs>
        <w:tab w:val="left" w:pos="907"/>
        <w:tab w:val="left" w:pos="1701"/>
        <w:tab w:val="right" w:pos="7371"/>
      </w:tabs>
      <w:spacing w:before="240"/>
      <w:ind w:left="397" w:hanging="397"/>
      <w:jc w:val="left"/>
    </w:pPr>
  </w:style>
  <w:style w:type="paragraph" w:customStyle="1" w:styleId="DecList">
    <w:name w:val="Dec_List"/>
    <w:basedOn w:val="Normal"/>
    <w:uiPriority w:val="9"/>
    <w:rsid w:val="0016174F"/>
    <w:pPr>
      <w:spacing w:before="240"/>
      <w:ind w:left="284"/>
    </w:pPr>
  </w:style>
  <w:style w:type="paragraph" w:customStyle="1" w:styleId="OpiH1">
    <w:name w:val="Opi_H_1"/>
    <w:basedOn w:val="ECHRHeading2"/>
    <w:uiPriority w:val="42"/>
    <w:qFormat/>
    <w:rsid w:val="0016174F"/>
    <w:pPr>
      <w:ind w:left="635" w:hanging="357"/>
      <w:outlineLvl w:val="2"/>
    </w:pPr>
  </w:style>
  <w:style w:type="paragraph" w:customStyle="1" w:styleId="OpiHa0">
    <w:name w:val="Opi_H_a"/>
    <w:basedOn w:val="ECHRHeading3"/>
    <w:uiPriority w:val="43"/>
    <w:qFormat/>
    <w:rsid w:val="0016174F"/>
    <w:pPr>
      <w:ind w:left="833" w:hanging="357"/>
      <w:outlineLvl w:val="3"/>
    </w:pPr>
    <w:rPr>
      <w:b/>
      <w:i w:val="0"/>
      <w:sz w:val="20"/>
    </w:rPr>
  </w:style>
  <w:style w:type="paragraph" w:customStyle="1" w:styleId="OpiHi">
    <w:name w:val="Opi_H_i"/>
    <w:basedOn w:val="ECHRHeading4"/>
    <w:uiPriority w:val="44"/>
    <w:qFormat/>
    <w:rsid w:val="0016174F"/>
    <w:pPr>
      <w:ind w:left="1037" w:hanging="357"/>
      <w:outlineLvl w:val="4"/>
    </w:pPr>
    <w:rPr>
      <w:b w:val="0"/>
      <w:i/>
    </w:rPr>
  </w:style>
  <w:style w:type="paragraph" w:customStyle="1" w:styleId="DummyStyle">
    <w:name w:val="Dummy_Style"/>
    <w:basedOn w:val="Normal"/>
    <w:semiHidden/>
    <w:qFormat/>
    <w:rsid w:val="0016174F"/>
    <w:rPr>
      <w:color w:val="00B050"/>
    </w:rPr>
  </w:style>
  <w:style w:type="character" w:customStyle="1" w:styleId="JuParaCar">
    <w:name w:val="Ju_Para Car"/>
    <w:link w:val="ECHRPara"/>
    <w:uiPriority w:val="12"/>
    <w:rsid w:val="00E21FAB"/>
    <w:rPr>
      <w:rFonts w:eastAsiaTheme="minorEastAsia"/>
      <w:sz w:val="24"/>
    </w:rPr>
  </w:style>
  <w:style w:type="character" w:customStyle="1" w:styleId="JuParaChar">
    <w:name w:val="Ju_Para Char"/>
    <w:aliases w:val="ECHR_Para Char"/>
    <w:basedOn w:val="DefaultParagraphFont"/>
    <w:rsid w:val="003A35B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0466">
      <w:bodyDiv w:val="1"/>
      <w:marLeft w:val="0"/>
      <w:marRight w:val="0"/>
      <w:marTop w:val="0"/>
      <w:marBottom w:val="0"/>
      <w:divBdr>
        <w:top w:val="none" w:sz="0" w:space="0" w:color="auto"/>
        <w:left w:val="none" w:sz="0" w:space="0" w:color="auto"/>
        <w:bottom w:val="none" w:sz="0" w:space="0" w:color="auto"/>
        <w:right w:val="none" w:sz="0" w:space="0" w:color="auto"/>
      </w:divBdr>
      <w:divsChild>
        <w:div w:id="1201866935">
          <w:marLeft w:val="0"/>
          <w:marRight w:val="0"/>
          <w:marTop w:val="0"/>
          <w:marBottom w:val="0"/>
          <w:divBdr>
            <w:top w:val="none" w:sz="0" w:space="0" w:color="auto"/>
            <w:left w:val="none" w:sz="0" w:space="0" w:color="auto"/>
            <w:bottom w:val="none" w:sz="0" w:space="0" w:color="auto"/>
            <w:right w:val="none" w:sz="0" w:space="0" w:color="auto"/>
          </w:divBdr>
          <w:divsChild>
            <w:div w:id="1498304523">
              <w:marLeft w:val="0"/>
              <w:marRight w:val="0"/>
              <w:marTop w:val="0"/>
              <w:marBottom w:val="0"/>
              <w:divBdr>
                <w:top w:val="none" w:sz="0" w:space="0" w:color="auto"/>
                <w:left w:val="none" w:sz="0" w:space="0" w:color="auto"/>
                <w:bottom w:val="none" w:sz="0" w:space="0" w:color="auto"/>
                <w:right w:val="none" w:sz="0" w:space="0" w:color="auto"/>
              </w:divBdr>
              <w:divsChild>
                <w:div w:id="995574497">
                  <w:marLeft w:val="0"/>
                  <w:marRight w:val="0"/>
                  <w:marTop w:val="0"/>
                  <w:marBottom w:val="0"/>
                  <w:divBdr>
                    <w:top w:val="none" w:sz="0" w:space="0" w:color="auto"/>
                    <w:left w:val="none" w:sz="0" w:space="0" w:color="auto"/>
                    <w:bottom w:val="none" w:sz="0" w:space="0" w:color="auto"/>
                    <w:right w:val="none" w:sz="0" w:space="0" w:color="auto"/>
                  </w:divBdr>
                  <w:divsChild>
                    <w:div w:id="1310017559">
                      <w:marLeft w:val="0"/>
                      <w:marRight w:val="0"/>
                      <w:marTop w:val="0"/>
                      <w:marBottom w:val="0"/>
                      <w:divBdr>
                        <w:top w:val="none" w:sz="0" w:space="0" w:color="auto"/>
                        <w:left w:val="none" w:sz="0" w:space="0" w:color="auto"/>
                        <w:bottom w:val="none" w:sz="0" w:space="0" w:color="auto"/>
                        <w:right w:val="none" w:sz="0" w:space="0" w:color="auto"/>
                      </w:divBdr>
                      <w:divsChild>
                        <w:div w:id="1667048496">
                          <w:marLeft w:val="0"/>
                          <w:marRight w:val="0"/>
                          <w:marTop w:val="0"/>
                          <w:marBottom w:val="0"/>
                          <w:divBdr>
                            <w:top w:val="none" w:sz="0" w:space="0" w:color="auto"/>
                            <w:left w:val="none" w:sz="0" w:space="0" w:color="auto"/>
                            <w:bottom w:val="none" w:sz="0" w:space="0" w:color="auto"/>
                            <w:right w:val="none" w:sz="0" w:space="0" w:color="auto"/>
                          </w:divBdr>
                          <w:divsChild>
                            <w:div w:id="719747753">
                              <w:marLeft w:val="0"/>
                              <w:marRight w:val="0"/>
                              <w:marTop w:val="0"/>
                              <w:marBottom w:val="0"/>
                              <w:divBdr>
                                <w:top w:val="none" w:sz="0" w:space="0" w:color="auto"/>
                                <w:left w:val="none" w:sz="0" w:space="0" w:color="auto"/>
                                <w:bottom w:val="none" w:sz="0" w:space="0" w:color="auto"/>
                                <w:right w:val="none" w:sz="0" w:space="0" w:color="auto"/>
                              </w:divBdr>
                              <w:divsChild>
                                <w:div w:id="7124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203758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15800</Words>
  <Characters>9007</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2016-09-08T08:04:00Z</dcterms:created>
  <dcterms:modified xsi:type="dcterms:W3CDTF">2016-11-23T07:11:00Z</dcterms:modified>
  <cp:category/>
</cp:coreProperties>
</file>