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3C09"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445DE58F" w14:textId="77777777" w:rsidR="00B040D6" w:rsidRPr="00B040D6" w:rsidRDefault="00B040D6" w:rsidP="00B040D6">
      <w:pPr>
        <w:pStyle w:val="Heading1"/>
        <w:jc w:val="center"/>
        <w:rPr>
          <w:rFonts w:ascii="Times New Roman" w:hAnsi="Times New Roman"/>
          <w:b/>
          <w:noProof/>
          <w:color w:val="292425"/>
          <w:sz w:val="28"/>
          <w:lang w:val="en-US"/>
        </w:rPr>
      </w:pPr>
      <w:bookmarkStart w:id="0" w:name="UNESCO_Declaration_Concerning_the_Intent"/>
      <w:bookmarkEnd w:id="0"/>
      <w:r w:rsidRPr="00B040D6">
        <w:rPr>
          <w:rFonts w:ascii="Times New Roman" w:hAnsi="Times New Roman"/>
          <w:b/>
          <w:noProof/>
          <w:color w:val="292425"/>
          <w:sz w:val="28"/>
          <w:lang w:val="en-US"/>
        </w:rPr>
        <w:t>UNESCO Deklarācija par kultūras mantojuma tīšu iznīcināšanu</w:t>
      </w:r>
    </w:p>
    <w:p w14:paraId="613C72F1" w14:textId="77777777" w:rsidR="00B040D6" w:rsidRPr="00B040D6" w:rsidRDefault="00B040D6" w:rsidP="00B040D6">
      <w:pPr>
        <w:jc w:val="center"/>
        <w:rPr>
          <w:rFonts w:ascii="Times New Roman" w:hAnsi="Times New Roman" w:cs="Times New Roman"/>
          <w:b/>
          <w:bCs/>
          <w:noProof/>
          <w:color w:val="292425"/>
          <w:sz w:val="28"/>
          <w:szCs w:val="28"/>
          <w:lang w:val="en-US"/>
        </w:rPr>
      </w:pPr>
      <w:r w:rsidRPr="00B040D6">
        <w:rPr>
          <w:rFonts w:ascii="Times New Roman" w:hAnsi="Times New Roman"/>
          <w:b/>
          <w:noProof/>
          <w:color w:val="292425"/>
          <w:sz w:val="28"/>
          <w:lang w:val="en-US"/>
        </w:rPr>
        <w:t>Parīze, 2003. gada 17. oktobris</w:t>
      </w:r>
      <w:r w:rsidRPr="00B040D6">
        <w:rPr>
          <w:rFonts w:ascii="Times New Roman" w:hAnsi="Times New Roman" w:cs="Times New Roman"/>
          <w:b/>
          <w:bCs/>
          <w:noProof/>
          <w:color w:val="292425"/>
          <w:sz w:val="28"/>
          <w:szCs w:val="28"/>
          <w:vertAlign w:val="superscript"/>
          <w:lang w:val="en-US"/>
        </w:rPr>
        <w:footnoteReference w:customMarkFollows="1" w:id="1"/>
        <w:t>*</w:t>
      </w:r>
    </w:p>
    <w:p w14:paraId="67127924" w14:textId="77777777" w:rsidR="00B040D6" w:rsidRPr="00B040D6" w:rsidRDefault="00B040D6" w:rsidP="00B040D6">
      <w:pPr>
        <w:jc w:val="both"/>
        <w:rPr>
          <w:rFonts w:ascii="Times New Roman" w:eastAsia="Trebuchet MS" w:hAnsi="Times New Roman" w:cs="Times New Roman"/>
          <w:noProof/>
          <w:sz w:val="24"/>
          <w:szCs w:val="24"/>
          <w:lang w:val="en-US"/>
        </w:rPr>
      </w:pPr>
    </w:p>
    <w:p w14:paraId="4ABE4201"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Apvienoto Nāciju Izglītības, zinātnes un kultūras organizācijas (UNESCO) Ģenerālā konference, kuras trīsdesmit otrā sesija notika 2003. gadā,</w:t>
      </w:r>
    </w:p>
    <w:p w14:paraId="7FF6F7BA" w14:textId="77777777" w:rsidR="00B040D6" w:rsidRPr="00B040D6" w:rsidRDefault="00B040D6" w:rsidP="00B040D6">
      <w:pPr>
        <w:pStyle w:val="BodyText"/>
        <w:ind w:left="0" w:firstLine="0"/>
        <w:jc w:val="both"/>
        <w:rPr>
          <w:rFonts w:cs="Times New Roman"/>
          <w:i/>
          <w:noProof/>
          <w:color w:val="292425"/>
          <w:sz w:val="24"/>
          <w:szCs w:val="24"/>
          <w:lang w:val="en-US"/>
        </w:rPr>
      </w:pPr>
    </w:p>
    <w:p w14:paraId="408A92D5"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 xml:space="preserve">atgādinot </w:t>
      </w:r>
      <w:r w:rsidRPr="00B040D6">
        <w:rPr>
          <w:noProof/>
          <w:color w:val="292425"/>
          <w:sz w:val="24"/>
          <w:lang w:val="en-US"/>
        </w:rPr>
        <w:t>par Bāmijānas Budas statujas traģisko iznīcināšanu, kas ietekmēja visu starptautisko sabiedrību;</w:t>
      </w:r>
    </w:p>
    <w:p w14:paraId="1F2FBD63" w14:textId="77777777" w:rsidR="00B040D6" w:rsidRPr="00B040D6" w:rsidRDefault="00B040D6" w:rsidP="00B040D6">
      <w:pPr>
        <w:pStyle w:val="BodyText"/>
        <w:ind w:left="0" w:firstLine="0"/>
        <w:jc w:val="both"/>
        <w:rPr>
          <w:rFonts w:cs="Times New Roman"/>
          <w:i/>
          <w:noProof/>
          <w:color w:val="292425"/>
          <w:sz w:val="24"/>
          <w:szCs w:val="24"/>
          <w:lang w:val="en-US"/>
        </w:rPr>
      </w:pPr>
    </w:p>
    <w:p w14:paraId="058147CD"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 xml:space="preserve">paužot </w:t>
      </w:r>
      <w:r w:rsidRPr="00B040D6">
        <w:rPr>
          <w:noProof/>
          <w:color w:val="292425"/>
          <w:sz w:val="24"/>
          <w:lang w:val="en-US"/>
        </w:rPr>
        <w:t>nopietnas bažas par pieaugošo kultūras mantojuma tīšas iznīcināšanas gadījumu skaitu;</w:t>
      </w:r>
    </w:p>
    <w:p w14:paraId="4BAC25DD" w14:textId="77777777" w:rsidR="00B040D6" w:rsidRPr="00B040D6" w:rsidRDefault="00B040D6" w:rsidP="00B040D6">
      <w:pPr>
        <w:pStyle w:val="BodyText"/>
        <w:ind w:left="0" w:firstLine="0"/>
        <w:jc w:val="both"/>
        <w:rPr>
          <w:rFonts w:cs="Times New Roman"/>
          <w:i/>
          <w:noProof/>
          <w:color w:val="292425"/>
          <w:sz w:val="24"/>
          <w:szCs w:val="24"/>
          <w:lang w:val="en-US"/>
        </w:rPr>
      </w:pPr>
    </w:p>
    <w:p w14:paraId="26357770" w14:textId="77777777" w:rsidR="00B040D6" w:rsidRPr="00B040D6" w:rsidRDefault="00B040D6" w:rsidP="00B040D6">
      <w:pPr>
        <w:pStyle w:val="BodyText"/>
        <w:ind w:left="0" w:firstLine="0"/>
        <w:jc w:val="both"/>
        <w:rPr>
          <w:noProof/>
          <w:color w:val="292425"/>
          <w:sz w:val="24"/>
          <w:lang w:val="en-US"/>
        </w:rPr>
      </w:pPr>
      <w:r w:rsidRPr="00B040D6">
        <w:rPr>
          <w:i/>
          <w:iCs/>
          <w:noProof/>
          <w:color w:val="292425"/>
          <w:sz w:val="24"/>
          <w:lang w:val="en-US"/>
        </w:rPr>
        <w:t xml:space="preserve">atsaucoties </w:t>
      </w:r>
      <w:r w:rsidRPr="00B040D6">
        <w:rPr>
          <w:noProof/>
          <w:color w:val="292425"/>
          <w:sz w:val="24"/>
          <w:lang w:val="en-US"/>
        </w:rPr>
        <w:t>uz UNESCO satversmes I panta 2. punkta c) apakšpunktu, kurā noteikts UNESCO uzdevums palīdzēt saglabāt, pilnveidot un izplatīt zināšanas, “nodrošinot grāmatu, mākslas darbu un vēstures un zinātnes pieminekļu pasaules mantojuma saglabāšanu un aizsardzību un iesakot attiecīgajām tautām pieņemt nepieciešamās starptautiskās konvencijas”;</w:t>
      </w:r>
    </w:p>
    <w:p w14:paraId="6C33C998" w14:textId="77777777" w:rsidR="00B040D6" w:rsidRPr="00B040D6" w:rsidRDefault="00B040D6" w:rsidP="00B040D6">
      <w:pPr>
        <w:pStyle w:val="BodyText"/>
        <w:ind w:left="0" w:firstLine="0"/>
        <w:jc w:val="both"/>
        <w:rPr>
          <w:noProof/>
          <w:color w:val="292425"/>
          <w:sz w:val="24"/>
          <w:lang w:val="en-US"/>
        </w:rPr>
      </w:pPr>
    </w:p>
    <w:p w14:paraId="19C9B81E"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 xml:space="preserve">atgādinot </w:t>
      </w:r>
      <w:r w:rsidRPr="00B040D6">
        <w:rPr>
          <w:noProof/>
          <w:color w:val="292425"/>
          <w:sz w:val="24"/>
          <w:lang w:val="en-US"/>
        </w:rPr>
        <w:t>visu UNESCO konvenciju, ieteikumu, deklarāciju un hartu principus kultūras mantojuma aizsardzībai;</w:t>
      </w:r>
    </w:p>
    <w:p w14:paraId="6AA91FF4" w14:textId="77777777" w:rsidR="00B040D6" w:rsidRPr="00B040D6" w:rsidRDefault="00B040D6" w:rsidP="00B040D6">
      <w:pPr>
        <w:pStyle w:val="BodyText"/>
        <w:ind w:left="0" w:firstLine="0"/>
        <w:jc w:val="both"/>
        <w:rPr>
          <w:rFonts w:cs="Times New Roman"/>
          <w:i/>
          <w:noProof/>
          <w:color w:val="292425"/>
          <w:sz w:val="24"/>
          <w:szCs w:val="24"/>
          <w:lang w:val="en-US"/>
        </w:rPr>
      </w:pPr>
    </w:p>
    <w:p w14:paraId="753BB14C"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apzinoties</w:t>
      </w:r>
      <w:r w:rsidRPr="00B040D6">
        <w:rPr>
          <w:noProof/>
          <w:color w:val="292425"/>
          <w:sz w:val="24"/>
          <w:lang w:val="en-US"/>
        </w:rPr>
        <w:t>, ka kultūras mantojums ir svarīga kopienu, grupu un indivīdu kultūras identitātes un sociālās kohēzijas sastāvdaļa, tāpēc tā tīša iznīcināšana var radīt negatīvas sekas – cilvēka cieņas un cilvēktiesību aizskārumu;</w:t>
      </w:r>
    </w:p>
    <w:p w14:paraId="0E0DB2C3" w14:textId="77777777" w:rsidR="00B040D6" w:rsidRPr="00B040D6" w:rsidRDefault="00B040D6" w:rsidP="00B040D6">
      <w:pPr>
        <w:pStyle w:val="BodyText"/>
        <w:ind w:left="0" w:firstLine="0"/>
        <w:jc w:val="both"/>
        <w:rPr>
          <w:rFonts w:cs="Times New Roman"/>
          <w:i/>
          <w:noProof/>
          <w:color w:val="292425"/>
          <w:sz w:val="24"/>
          <w:szCs w:val="24"/>
          <w:lang w:val="en-US"/>
        </w:rPr>
      </w:pPr>
    </w:p>
    <w:p w14:paraId="3E8FA9F2" w14:textId="77777777" w:rsidR="00B040D6" w:rsidRPr="00B040D6" w:rsidRDefault="00B040D6" w:rsidP="00B040D6">
      <w:pPr>
        <w:pStyle w:val="BodyText"/>
        <w:ind w:left="0" w:firstLine="0"/>
        <w:jc w:val="both"/>
        <w:rPr>
          <w:noProof/>
          <w:color w:val="292425"/>
          <w:sz w:val="24"/>
          <w:lang w:val="en-US"/>
        </w:rPr>
      </w:pPr>
      <w:r w:rsidRPr="00B040D6">
        <w:rPr>
          <w:i/>
          <w:iCs/>
          <w:noProof/>
          <w:color w:val="292425"/>
          <w:sz w:val="24"/>
          <w:lang w:val="en-US"/>
        </w:rPr>
        <w:t xml:space="preserve">atgādinot </w:t>
      </w:r>
      <w:r w:rsidRPr="00B040D6">
        <w:rPr>
          <w:noProof/>
          <w:color w:val="292425"/>
          <w:sz w:val="24"/>
          <w:lang w:val="en-US"/>
        </w:rPr>
        <w:t>vienu no 1954. gada Hāgas konvencijas par kultūras vērtību aizsardzību bruņota konflikta gadījumā preambulas pamatprincipiem, kas paredz, ka “jebkuras tautas kultūras vērtību izpostīšana nozīmē visas cilvēces kultūras vērtību izpostīšanu, jo katra tauta sniedz savu ieguldījumu pasaules kultūrā”;</w:t>
      </w:r>
    </w:p>
    <w:p w14:paraId="28779137" w14:textId="77777777" w:rsidR="00B040D6" w:rsidRPr="00B040D6" w:rsidRDefault="00B040D6" w:rsidP="00B040D6">
      <w:pPr>
        <w:pStyle w:val="BodyText"/>
        <w:ind w:left="0" w:firstLine="0"/>
        <w:jc w:val="both"/>
        <w:rPr>
          <w:noProof/>
          <w:color w:val="292425"/>
          <w:sz w:val="24"/>
          <w:lang w:val="en-US"/>
        </w:rPr>
      </w:pPr>
    </w:p>
    <w:p w14:paraId="0E0ABED4" w14:textId="77777777" w:rsidR="00B040D6" w:rsidRPr="00B040D6" w:rsidRDefault="00B040D6" w:rsidP="00B040D6">
      <w:pPr>
        <w:pStyle w:val="BodyText"/>
        <w:ind w:left="0" w:firstLine="0"/>
        <w:jc w:val="both"/>
        <w:rPr>
          <w:noProof/>
          <w:color w:val="292425"/>
          <w:sz w:val="24"/>
          <w:lang w:val="en-US"/>
        </w:rPr>
      </w:pPr>
      <w:r w:rsidRPr="00B040D6">
        <w:rPr>
          <w:i/>
          <w:iCs/>
          <w:noProof/>
          <w:color w:val="292425"/>
          <w:sz w:val="24"/>
          <w:lang w:val="en-US"/>
        </w:rPr>
        <w:t xml:space="preserve">atgādinot </w:t>
      </w:r>
      <w:r w:rsidRPr="00B040D6">
        <w:rPr>
          <w:noProof/>
          <w:color w:val="292425"/>
          <w:sz w:val="24"/>
          <w:lang w:val="en-US"/>
        </w:rPr>
        <w:t>par 1899. un 1907. gada Hāgas konvencijās, jo īpaši 1907. gada IV Hāgas konvencijas noteikumu 27. un 56. pantā, kā arī citos turpmākajos līgumos noteiktajiem principiem attiecībā uz kultūras mantojuma aizsardzību bruņota konflikta gadījumā;</w:t>
      </w:r>
    </w:p>
    <w:p w14:paraId="4D47884E" w14:textId="77777777" w:rsidR="00B040D6" w:rsidRPr="00B040D6" w:rsidRDefault="00B040D6" w:rsidP="00B040D6">
      <w:pPr>
        <w:pStyle w:val="BodyText"/>
        <w:ind w:left="0" w:firstLine="0"/>
        <w:jc w:val="both"/>
        <w:rPr>
          <w:noProof/>
          <w:color w:val="292425"/>
          <w:sz w:val="24"/>
          <w:lang w:val="en-US"/>
        </w:rPr>
      </w:pPr>
    </w:p>
    <w:p w14:paraId="4C450881"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 xml:space="preserve">ņemot vērā </w:t>
      </w:r>
      <w:r w:rsidRPr="00B040D6">
        <w:rPr>
          <w:noProof/>
          <w:color w:val="292425"/>
          <w:sz w:val="24"/>
          <w:lang w:val="en-US"/>
        </w:rPr>
        <w:t>starptautisko paražu tiesību normu attīstību, kā to apstiprina arī tiesu prakse attiecībā uz kultūras mantojuma aizsardzību miera laikā, kā arī bruņota konflikta gadījumā;</w:t>
      </w:r>
    </w:p>
    <w:p w14:paraId="0F64137C" w14:textId="77777777" w:rsidR="00B040D6" w:rsidRPr="00B040D6" w:rsidRDefault="00B040D6" w:rsidP="00B040D6">
      <w:pPr>
        <w:pStyle w:val="BodyText"/>
        <w:ind w:left="0" w:firstLine="0"/>
        <w:jc w:val="both"/>
        <w:rPr>
          <w:rFonts w:cs="Times New Roman"/>
          <w:i/>
          <w:noProof/>
          <w:color w:val="292425"/>
          <w:sz w:val="24"/>
          <w:szCs w:val="24"/>
          <w:lang w:val="en-US"/>
        </w:rPr>
      </w:pPr>
    </w:p>
    <w:p w14:paraId="0D4C2EA0" w14:textId="77777777" w:rsidR="00B040D6" w:rsidRPr="00B040D6" w:rsidRDefault="00B040D6" w:rsidP="00B040D6">
      <w:pPr>
        <w:pStyle w:val="BodyText"/>
        <w:ind w:left="0" w:firstLine="0"/>
        <w:jc w:val="both"/>
        <w:rPr>
          <w:noProof/>
          <w:color w:val="292425"/>
          <w:sz w:val="24"/>
          <w:lang w:val="en-US"/>
        </w:rPr>
      </w:pPr>
      <w:r w:rsidRPr="00B040D6">
        <w:rPr>
          <w:i/>
          <w:iCs/>
          <w:noProof/>
          <w:color w:val="292425"/>
          <w:sz w:val="24"/>
          <w:lang w:val="en-US"/>
        </w:rPr>
        <w:t xml:space="preserve">atgādinot arī </w:t>
      </w:r>
      <w:r w:rsidRPr="00B040D6">
        <w:rPr>
          <w:noProof/>
          <w:color w:val="292425"/>
          <w:sz w:val="24"/>
          <w:lang w:val="en-US"/>
        </w:rPr>
        <w:t>par Starptautiskās krimināltiesas Romas statūtu 8. panta 2. punkta b) apakšpunkta ix) daļu un 8. panta 2. punkta e) apakšpunkta iv) daļu un vajadzības gadījumā Starptautiskā Bijušās Dienvidslāvijas kara noziegumu tribunāla statūtu 3. panta d) apakšpunktu, kuri attiecas uz kultūras mantojuma tīšu iznīcināšanu;</w:t>
      </w:r>
    </w:p>
    <w:p w14:paraId="3EA57AE7" w14:textId="77777777" w:rsidR="00B040D6" w:rsidRPr="00B040D6" w:rsidRDefault="00B040D6" w:rsidP="00B040D6">
      <w:pPr>
        <w:pStyle w:val="BodyText"/>
        <w:ind w:left="0" w:firstLine="0"/>
        <w:jc w:val="both"/>
        <w:rPr>
          <w:noProof/>
          <w:color w:val="292425"/>
          <w:sz w:val="24"/>
          <w:lang w:val="en-US"/>
        </w:rPr>
      </w:pPr>
    </w:p>
    <w:p w14:paraId="6D68D465" w14:textId="77777777" w:rsidR="00B040D6" w:rsidRPr="00B040D6" w:rsidRDefault="00B040D6" w:rsidP="00B040D6">
      <w:pPr>
        <w:pStyle w:val="BodyText"/>
        <w:ind w:left="0" w:firstLine="0"/>
        <w:jc w:val="both"/>
        <w:rPr>
          <w:rFonts w:cs="Times New Roman"/>
          <w:noProof/>
          <w:sz w:val="24"/>
          <w:szCs w:val="24"/>
          <w:lang w:val="en-US"/>
        </w:rPr>
      </w:pPr>
      <w:r w:rsidRPr="00B040D6">
        <w:rPr>
          <w:i/>
          <w:iCs/>
          <w:noProof/>
          <w:color w:val="292425"/>
          <w:sz w:val="24"/>
          <w:lang w:val="en-US"/>
        </w:rPr>
        <w:t>atkārtoti apstiprinot</w:t>
      </w:r>
      <w:r w:rsidRPr="00B040D6">
        <w:rPr>
          <w:noProof/>
          <w:color w:val="292425"/>
          <w:sz w:val="24"/>
          <w:lang w:val="en-US"/>
        </w:rPr>
        <w:t xml:space="preserve">, ka jautājumus, kas nav pilnībā apskatīti šajā deklarācijā un citos starptautiskajos dokumentos par kultūras mantojumu, arī turpmāk reglamentēs starptautisko tiesību normas, cilvēcības un sabiedriskās apziņas,principi </w:t>
      </w:r>
    </w:p>
    <w:p w14:paraId="69A916C8"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16DBECAC" w14:textId="77777777" w:rsidR="00B040D6" w:rsidRPr="00B040D6" w:rsidRDefault="00B040D6" w:rsidP="00B040D6">
      <w:pPr>
        <w:jc w:val="both"/>
        <w:rPr>
          <w:rFonts w:ascii="Times New Roman" w:eastAsia="Trebuchet MS" w:hAnsi="Times New Roman" w:cs="Times New Roman"/>
          <w:noProof/>
          <w:sz w:val="24"/>
          <w:szCs w:val="24"/>
          <w:lang w:val="en-US"/>
        </w:rPr>
      </w:pPr>
      <w:bookmarkStart w:id="1" w:name="I_-_Recognition_of_the_importance_of_cul"/>
      <w:bookmarkStart w:id="2" w:name="II_–_Scope"/>
      <w:bookmarkStart w:id="3" w:name="III_–_Measures_to_combat_intentional_des"/>
      <w:bookmarkEnd w:id="1"/>
      <w:bookmarkEnd w:id="2"/>
      <w:bookmarkEnd w:id="3"/>
      <w:r w:rsidRPr="00B040D6">
        <w:rPr>
          <w:rFonts w:ascii="Times New Roman" w:hAnsi="Times New Roman"/>
          <w:i/>
          <w:iCs/>
          <w:noProof/>
          <w:color w:val="292425"/>
          <w:sz w:val="24"/>
          <w:lang w:val="en-US"/>
        </w:rPr>
        <w:t xml:space="preserve">pieņem un svinīgi pasludina </w:t>
      </w:r>
      <w:r w:rsidRPr="00B040D6">
        <w:rPr>
          <w:rFonts w:ascii="Times New Roman" w:hAnsi="Times New Roman"/>
          <w:noProof/>
          <w:color w:val="292425"/>
          <w:sz w:val="24"/>
          <w:lang w:val="en-US"/>
        </w:rPr>
        <w:t>šo deklarāciju.</w:t>
      </w:r>
    </w:p>
    <w:p w14:paraId="0E13392F" w14:textId="77777777" w:rsidR="00B040D6" w:rsidRPr="00B040D6" w:rsidRDefault="00B040D6" w:rsidP="00B040D6">
      <w:pPr>
        <w:jc w:val="both"/>
        <w:rPr>
          <w:rFonts w:ascii="Times New Roman" w:eastAsia="Trebuchet MS" w:hAnsi="Times New Roman" w:cs="Times New Roman"/>
          <w:noProof/>
          <w:sz w:val="24"/>
          <w:szCs w:val="24"/>
          <w:lang w:val="en-US"/>
        </w:rPr>
      </w:pPr>
    </w:p>
    <w:p w14:paraId="12858A7B" w14:textId="77777777" w:rsidR="00B040D6" w:rsidRPr="00B040D6" w:rsidRDefault="00B040D6" w:rsidP="00B040D6">
      <w:pPr>
        <w:tabs>
          <w:tab w:val="left" w:pos="754"/>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I. Kultūras mantojuma nozīmes atzīšana</w:t>
      </w:r>
    </w:p>
    <w:p w14:paraId="281E5253" w14:textId="77777777" w:rsidR="00B040D6" w:rsidRPr="00B040D6" w:rsidRDefault="00B040D6" w:rsidP="00B040D6">
      <w:pPr>
        <w:pStyle w:val="BodyText"/>
        <w:ind w:left="0" w:firstLine="0"/>
        <w:jc w:val="both"/>
        <w:rPr>
          <w:rFonts w:cs="Times New Roman"/>
          <w:noProof/>
          <w:color w:val="292425"/>
          <w:sz w:val="24"/>
          <w:szCs w:val="24"/>
          <w:lang w:val="en-US"/>
        </w:rPr>
      </w:pPr>
    </w:p>
    <w:p w14:paraId="2E48F220"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Starptautiskā sabiedrība atzīst kultūras mantojuma aizsardzības nozīmi un atkārtoti apstiprina savu apņemšanos cīnīties pret tā tīšu iznīcināšanu jebkurā veidā, lai šādu kultūras mantojumu varētu nodot nākamajām paaudzēm.</w:t>
      </w:r>
    </w:p>
    <w:p w14:paraId="3F7D8367"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4D26CEB9" w14:textId="77777777" w:rsidR="00B040D6" w:rsidRPr="00B040D6" w:rsidRDefault="00B040D6" w:rsidP="00B040D6">
      <w:pPr>
        <w:tabs>
          <w:tab w:val="left" w:pos="820"/>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II. Darbības joma</w:t>
      </w:r>
    </w:p>
    <w:p w14:paraId="64D573E9" w14:textId="77777777" w:rsidR="00B040D6" w:rsidRPr="00B040D6" w:rsidRDefault="00B040D6" w:rsidP="00B040D6">
      <w:pPr>
        <w:pStyle w:val="BodyText"/>
        <w:tabs>
          <w:tab w:val="left" w:pos="643"/>
        </w:tabs>
        <w:ind w:left="0" w:firstLine="0"/>
        <w:jc w:val="both"/>
        <w:rPr>
          <w:rFonts w:cs="Times New Roman"/>
          <w:noProof/>
          <w:color w:val="292425"/>
          <w:sz w:val="24"/>
          <w:szCs w:val="24"/>
          <w:lang w:val="en-US"/>
        </w:rPr>
      </w:pPr>
    </w:p>
    <w:p w14:paraId="6BCC9047" w14:textId="77777777" w:rsidR="00B040D6" w:rsidRPr="00B040D6" w:rsidRDefault="00B040D6" w:rsidP="00B040D6">
      <w:pPr>
        <w:pStyle w:val="BodyText"/>
        <w:tabs>
          <w:tab w:val="left" w:pos="643"/>
        </w:tabs>
        <w:ind w:left="0" w:firstLine="0"/>
        <w:jc w:val="both"/>
        <w:rPr>
          <w:noProof/>
          <w:color w:val="292425"/>
          <w:sz w:val="24"/>
          <w:lang w:val="en-US"/>
        </w:rPr>
      </w:pPr>
      <w:r w:rsidRPr="00B040D6">
        <w:rPr>
          <w:noProof/>
          <w:color w:val="292425"/>
          <w:sz w:val="24"/>
          <w:lang w:val="en-US"/>
        </w:rPr>
        <w:t>1. Šī deklarācija pievērš uzmanību kultūras mantojuma, tostarp dabiskas ainavas kā kultūras mantojuma, tīšai iznīcināšanai.</w:t>
      </w:r>
    </w:p>
    <w:p w14:paraId="21C7DD72" w14:textId="77777777" w:rsidR="00B040D6" w:rsidRPr="00B040D6" w:rsidRDefault="00B040D6" w:rsidP="00B040D6">
      <w:pPr>
        <w:pStyle w:val="BodyText"/>
        <w:tabs>
          <w:tab w:val="left" w:pos="630"/>
        </w:tabs>
        <w:ind w:left="0" w:firstLine="0"/>
        <w:jc w:val="both"/>
        <w:rPr>
          <w:noProof/>
          <w:color w:val="292425"/>
          <w:sz w:val="24"/>
          <w:lang w:val="en-US"/>
        </w:rPr>
      </w:pPr>
    </w:p>
    <w:p w14:paraId="0B871664" w14:textId="77777777" w:rsidR="00B040D6" w:rsidRPr="00B040D6" w:rsidRDefault="00B040D6" w:rsidP="00B040D6">
      <w:pPr>
        <w:pStyle w:val="BodyText"/>
        <w:tabs>
          <w:tab w:val="left" w:pos="630"/>
        </w:tabs>
        <w:ind w:left="0" w:firstLine="0"/>
        <w:jc w:val="both"/>
        <w:rPr>
          <w:noProof/>
          <w:color w:val="292425"/>
          <w:sz w:val="24"/>
          <w:lang w:val="en-US"/>
        </w:rPr>
      </w:pPr>
      <w:r w:rsidRPr="00B040D6">
        <w:rPr>
          <w:noProof/>
          <w:color w:val="292425"/>
          <w:sz w:val="24"/>
          <w:lang w:val="en-US"/>
        </w:rPr>
        <w:t>2. Šīs deklarācijas izpratnē “tīša iznīcināšana” ir darbība ar mērķi pilnīgi vai daļēji iznīcināt kultūras mantojumu, proti, apdraudēt tā veselumu tādā veidā, kas ir starptautisko tiesību pārkāpums vai neattaisnojams cilvēcības un sabiedriskās apziņas principu pārkāpums, ja vien starptautisko tiesību normas jau nereglamentē šādas darbības.</w:t>
      </w:r>
    </w:p>
    <w:p w14:paraId="5872A1BD"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40B3BE54" w14:textId="77777777" w:rsidR="00B040D6" w:rsidRPr="00B040D6" w:rsidRDefault="00B040D6" w:rsidP="00B040D6">
      <w:pPr>
        <w:tabs>
          <w:tab w:val="left" w:pos="886"/>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III. Pasākumi, kas vērsti pret kultūras mantojuma tīšu iznīcināšanu</w:t>
      </w:r>
    </w:p>
    <w:p w14:paraId="4A998138" w14:textId="77777777" w:rsidR="00B040D6" w:rsidRPr="00B040D6" w:rsidRDefault="00B040D6" w:rsidP="00B040D6">
      <w:pPr>
        <w:pStyle w:val="BodyText"/>
        <w:tabs>
          <w:tab w:val="left" w:pos="636"/>
        </w:tabs>
        <w:ind w:left="0" w:firstLine="0"/>
        <w:jc w:val="both"/>
        <w:rPr>
          <w:rFonts w:cs="Times New Roman"/>
          <w:noProof/>
          <w:color w:val="292425"/>
          <w:sz w:val="24"/>
          <w:szCs w:val="24"/>
          <w:lang w:val="en-US"/>
        </w:rPr>
      </w:pPr>
    </w:p>
    <w:p w14:paraId="7DFF1FFA" w14:textId="77777777" w:rsidR="00B040D6" w:rsidRPr="00B040D6" w:rsidRDefault="00B040D6" w:rsidP="00B040D6">
      <w:pPr>
        <w:pStyle w:val="BodyText"/>
        <w:tabs>
          <w:tab w:val="left" w:pos="636"/>
        </w:tabs>
        <w:ind w:left="0" w:firstLine="0"/>
        <w:jc w:val="both"/>
        <w:rPr>
          <w:noProof/>
          <w:color w:val="292425"/>
          <w:sz w:val="24"/>
          <w:lang w:val="en-US"/>
        </w:rPr>
      </w:pPr>
      <w:r w:rsidRPr="00B040D6">
        <w:rPr>
          <w:noProof/>
          <w:color w:val="292425"/>
          <w:sz w:val="24"/>
          <w:lang w:val="en-US"/>
        </w:rPr>
        <w:t>1. Valstīm jāveic visi atbilstošie pasākumi, lai novērstu, nepieļautu, apturētu un apspiestu kultūras mantojuma tīšu iznīcināšanu neatkarīgi no tā, kur šāds mantojums atrodas.</w:t>
      </w:r>
    </w:p>
    <w:p w14:paraId="3F7AA378" w14:textId="77777777" w:rsidR="00B040D6" w:rsidRPr="00B040D6" w:rsidRDefault="00B040D6" w:rsidP="00B040D6">
      <w:pPr>
        <w:pStyle w:val="BodyText"/>
        <w:tabs>
          <w:tab w:val="left" w:pos="653"/>
        </w:tabs>
        <w:ind w:left="0" w:firstLine="0"/>
        <w:jc w:val="both"/>
        <w:rPr>
          <w:noProof/>
          <w:color w:val="292425"/>
          <w:sz w:val="24"/>
          <w:lang w:val="en-US"/>
        </w:rPr>
      </w:pPr>
    </w:p>
    <w:p w14:paraId="5EDE10ED" w14:textId="77777777" w:rsidR="00B040D6" w:rsidRPr="00B040D6" w:rsidRDefault="00B040D6" w:rsidP="00B040D6">
      <w:pPr>
        <w:pStyle w:val="BodyText"/>
        <w:tabs>
          <w:tab w:val="left" w:pos="653"/>
        </w:tabs>
        <w:ind w:left="0" w:firstLine="0"/>
        <w:jc w:val="both"/>
        <w:rPr>
          <w:noProof/>
          <w:color w:val="292425"/>
          <w:sz w:val="24"/>
          <w:lang w:val="en-US"/>
        </w:rPr>
      </w:pPr>
      <w:r w:rsidRPr="00B040D6">
        <w:rPr>
          <w:noProof/>
          <w:color w:val="292425"/>
          <w:sz w:val="24"/>
          <w:lang w:val="en-US"/>
        </w:rPr>
        <w:t>2. Valstīm atbilstoši to saimnieciskajiem resursiem jāpieņem piemēroti likumdošanas, administratīvie, izglītības un tehniskie pasākumi kultūras mantojuma aizsargāšanai un tie periodiski jāpārskata, lai tos pielāgotu jaunākajām valsts un starptautiskā kultūras mantojuma aizsardzības standartu izmaiņām.</w:t>
      </w:r>
    </w:p>
    <w:p w14:paraId="083C483E" w14:textId="77777777" w:rsidR="00B040D6" w:rsidRPr="00B040D6" w:rsidRDefault="00B040D6" w:rsidP="00B040D6">
      <w:pPr>
        <w:pStyle w:val="BodyText"/>
        <w:tabs>
          <w:tab w:val="left" w:pos="653"/>
        </w:tabs>
        <w:ind w:left="0" w:firstLine="0"/>
        <w:jc w:val="both"/>
        <w:rPr>
          <w:noProof/>
          <w:color w:val="292425"/>
          <w:sz w:val="24"/>
          <w:lang w:val="en-US"/>
        </w:rPr>
      </w:pPr>
    </w:p>
    <w:p w14:paraId="0BAC1478" w14:textId="77777777" w:rsidR="00B040D6" w:rsidRPr="00B040D6" w:rsidRDefault="00B040D6" w:rsidP="00B040D6">
      <w:pPr>
        <w:pStyle w:val="BodyText"/>
        <w:tabs>
          <w:tab w:val="left" w:pos="653"/>
        </w:tabs>
        <w:ind w:left="0" w:firstLine="0"/>
        <w:jc w:val="both"/>
        <w:rPr>
          <w:noProof/>
          <w:color w:val="292425"/>
          <w:sz w:val="24"/>
          <w:lang w:val="en-US"/>
        </w:rPr>
      </w:pPr>
      <w:r w:rsidRPr="00B040D6">
        <w:rPr>
          <w:noProof/>
          <w:color w:val="292425"/>
          <w:sz w:val="24"/>
          <w:lang w:val="en-US"/>
        </w:rPr>
        <w:t xml:space="preserve">3. Valstīm jācenšas sabiedrībā nodrošināt cieņu pret kultūras mantojumu, izmantojot visus piemērotos līdzekļus, jo īpaši izglītojošas, izpratni veidojošas un informatīvas programmas. </w:t>
      </w:r>
    </w:p>
    <w:p w14:paraId="6399FDEF" w14:textId="77777777" w:rsidR="00B040D6" w:rsidRPr="00B040D6" w:rsidRDefault="00B040D6" w:rsidP="00B040D6">
      <w:pPr>
        <w:pStyle w:val="BodyText"/>
        <w:tabs>
          <w:tab w:val="left" w:pos="653"/>
        </w:tabs>
        <w:ind w:left="0" w:firstLine="0"/>
        <w:jc w:val="both"/>
        <w:rPr>
          <w:noProof/>
          <w:color w:val="292425"/>
          <w:sz w:val="24"/>
          <w:lang w:val="en-US"/>
        </w:rPr>
      </w:pPr>
    </w:p>
    <w:p w14:paraId="25AF9876" w14:textId="77777777" w:rsidR="00B040D6" w:rsidRPr="00B040D6" w:rsidRDefault="00B040D6" w:rsidP="00B040D6">
      <w:pPr>
        <w:pStyle w:val="BodyText"/>
        <w:tabs>
          <w:tab w:val="left" w:pos="653"/>
        </w:tabs>
        <w:ind w:left="0" w:firstLine="0"/>
        <w:jc w:val="both"/>
        <w:rPr>
          <w:noProof/>
          <w:color w:val="292425"/>
          <w:sz w:val="24"/>
          <w:lang w:val="en-US"/>
        </w:rPr>
      </w:pPr>
      <w:r w:rsidRPr="00B040D6">
        <w:rPr>
          <w:noProof/>
          <w:color w:val="292425"/>
          <w:sz w:val="24"/>
          <w:lang w:val="en-US"/>
        </w:rPr>
        <w:t>4. Valstīm:</w:t>
      </w:r>
    </w:p>
    <w:p w14:paraId="5C78AA27" w14:textId="77777777" w:rsidR="00B040D6" w:rsidRPr="00B040D6" w:rsidRDefault="00B040D6" w:rsidP="00B040D6">
      <w:pPr>
        <w:pStyle w:val="BodyText"/>
        <w:tabs>
          <w:tab w:val="left" w:pos="931"/>
        </w:tabs>
        <w:ind w:left="284" w:firstLine="0"/>
        <w:jc w:val="both"/>
        <w:rPr>
          <w:noProof/>
          <w:color w:val="292425"/>
          <w:sz w:val="24"/>
          <w:lang w:val="en-US"/>
        </w:rPr>
      </w:pPr>
      <w:r w:rsidRPr="00B040D6">
        <w:rPr>
          <w:noProof/>
          <w:color w:val="292425"/>
          <w:sz w:val="24"/>
          <w:lang w:val="en-US"/>
        </w:rPr>
        <w:t>a) jāpievienojas 1954. gada Hāgas konvencijai par kultūras vērtību aizsardzību bruņota konflikta gadījumā un tās diviem protokoliem, kas pieņemti 1954. un 1999. gadā, un četru 1949. gada Ženēvas konvenciju I un II papildprotokolam, ja tās to vēl nav izdarījušas;</w:t>
      </w:r>
    </w:p>
    <w:p w14:paraId="1C24785B" w14:textId="77777777" w:rsidR="00B040D6" w:rsidRPr="00B040D6" w:rsidRDefault="00B040D6" w:rsidP="00B040D6">
      <w:pPr>
        <w:pStyle w:val="BodyText"/>
        <w:tabs>
          <w:tab w:val="left" w:pos="937"/>
        </w:tabs>
        <w:ind w:left="284" w:firstLine="0"/>
        <w:jc w:val="both"/>
        <w:rPr>
          <w:noProof/>
          <w:color w:val="292425"/>
          <w:sz w:val="24"/>
          <w:lang w:val="en-US"/>
        </w:rPr>
      </w:pPr>
      <w:r w:rsidRPr="00B040D6">
        <w:rPr>
          <w:noProof/>
          <w:color w:val="292425"/>
          <w:sz w:val="24"/>
          <w:lang w:val="en-US"/>
        </w:rPr>
        <w:t>b) jāveicina tādu juridisku instrumentu izstrāde un pieņemšana, kas nodrošina augstāku kultūras mantojuma aizsardzības līmeni, un</w:t>
      </w:r>
    </w:p>
    <w:p w14:paraId="3E29FAE6" w14:textId="77777777" w:rsidR="00B040D6" w:rsidRPr="00B040D6" w:rsidRDefault="00B040D6" w:rsidP="00B040D6">
      <w:pPr>
        <w:pStyle w:val="BodyText"/>
        <w:tabs>
          <w:tab w:val="left" w:pos="937"/>
        </w:tabs>
        <w:ind w:left="284" w:firstLine="0"/>
        <w:jc w:val="both"/>
        <w:rPr>
          <w:rFonts w:cs="Times New Roman"/>
          <w:noProof/>
          <w:color w:val="292425"/>
          <w:sz w:val="24"/>
          <w:szCs w:val="24"/>
          <w:lang w:val="en-US"/>
        </w:rPr>
      </w:pPr>
      <w:bookmarkStart w:id="4" w:name="IV_–_Protection_of_cultural_heritage_whe"/>
      <w:bookmarkEnd w:id="4"/>
      <w:r w:rsidRPr="00B040D6">
        <w:rPr>
          <w:noProof/>
          <w:lang w:val="en-US"/>
        </w:rPr>
        <w:t xml:space="preserve">c) </w:t>
      </w:r>
      <w:r w:rsidRPr="00B040D6">
        <w:rPr>
          <w:noProof/>
          <w:color w:val="292425"/>
          <w:sz w:val="24"/>
          <w:lang w:val="en-US"/>
        </w:rPr>
        <w:t>jāveicina koordinēta tādu pašreizējo un turpmāko juridisko instrumentu</w:t>
      </w:r>
      <w:bookmarkStart w:id="5" w:name="V_–_Protection_of_cultural_heritage_in_t"/>
      <w:bookmarkEnd w:id="5"/>
      <w:r w:rsidRPr="00B040D6">
        <w:rPr>
          <w:noProof/>
          <w:color w:val="292425"/>
          <w:sz w:val="24"/>
          <w:lang w:val="en-US"/>
        </w:rPr>
        <w:t xml:space="preserve"> piemērošana, kuri attiecas uz kultūras mantojuma aizsardzību</w:t>
      </w:r>
      <w:r w:rsidRPr="00B040D6">
        <w:rPr>
          <w:noProof/>
          <w:lang w:val="en-US"/>
        </w:rPr>
        <w:t>.</w:t>
      </w:r>
    </w:p>
    <w:p w14:paraId="6B8B1A1A"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52753B66" w14:textId="77777777" w:rsidR="00B040D6" w:rsidRPr="00B040D6" w:rsidRDefault="00B040D6" w:rsidP="00B040D6">
      <w:pPr>
        <w:tabs>
          <w:tab w:val="left" w:pos="895"/>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IV. Kultūras mantojuma aizsardzība, veicot miera laika darbības</w:t>
      </w:r>
    </w:p>
    <w:p w14:paraId="76749DE1" w14:textId="77777777" w:rsidR="00B040D6" w:rsidRPr="00B040D6" w:rsidRDefault="00B040D6" w:rsidP="00B040D6">
      <w:pPr>
        <w:pStyle w:val="BodyText"/>
        <w:ind w:left="0" w:firstLine="0"/>
        <w:jc w:val="both"/>
        <w:rPr>
          <w:rFonts w:cs="Times New Roman"/>
          <w:noProof/>
          <w:color w:val="292425"/>
          <w:sz w:val="24"/>
          <w:szCs w:val="24"/>
          <w:lang w:val="en-US"/>
        </w:rPr>
      </w:pPr>
    </w:p>
    <w:p w14:paraId="72D9BB2B"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Veicot miera laika darbības, valstīm jāīsteno visi atbilstošie pasākumi, lai ar šīm darbībām aizsargātu kultūras mantojumu, jo īpaši saskaņā ar principiem un mērķiem, kuri ietverti 1972. gada Konvencijā par pasaules kultūras un dabas mantojuma aizsardzību, 1956. gada Ieteikumā par starptautiskajiem principiem, kas piemērojami arheoloģiskajiem izrakumiem, 1968. gada Ieteikumā par tādu kultūras vērtību saglabāšanu, ko apdraud publiskie vai privātie būvdarbi, 1972. gada Ieteikumā par kultūras un dabas mantojuma aizsardzību valsts līmenī un 1976. gada Ieteikumā par vēsturisko teritoriju aizsardzību un nozīmi mūsdienās.</w:t>
      </w:r>
    </w:p>
    <w:p w14:paraId="25EE5955"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43E5DD55" w14:textId="77777777" w:rsidR="00B040D6" w:rsidRPr="00B040D6" w:rsidRDefault="00B040D6" w:rsidP="00B040D6">
      <w:pPr>
        <w:keepNext/>
        <w:keepLines/>
        <w:tabs>
          <w:tab w:val="left" w:pos="829"/>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V. Kultūras mantojuma aizsardzība bruņota konflikta, tostarp okupācijas, gadījumā</w:t>
      </w:r>
    </w:p>
    <w:p w14:paraId="6468DC58" w14:textId="77777777" w:rsidR="00B040D6" w:rsidRPr="00B040D6" w:rsidRDefault="00B040D6" w:rsidP="00B040D6">
      <w:pPr>
        <w:pStyle w:val="BodyText"/>
        <w:keepNext/>
        <w:keepLines/>
        <w:ind w:left="0" w:firstLine="0"/>
        <w:jc w:val="both"/>
        <w:rPr>
          <w:rFonts w:cs="Times New Roman"/>
          <w:noProof/>
          <w:color w:val="292425"/>
          <w:sz w:val="24"/>
          <w:szCs w:val="24"/>
          <w:lang w:val="en-US"/>
        </w:rPr>
      </w:pPr>
    </w:p>
    <w:p w14:paraId="25DA0D56" w14:textId="77777777" w:rsidR="00B040D6" w:rsidRPr="00B040D6" w:rsidRDefault="00B040D6" w:rsidP="00B040D6">
      <w:pPr>
        <w:pStyle w:val="BodyText"/>
        <w:keepNext/>
        <w:keepLines/>
        <w:ind w:left="0" w:firstLine="0"/>
        <w:jc w:val="both"/>
        <w:rPr>
          <w:noProof/>
          <w:color w:val="292425"/>
          <w:sz w:val="24"/>
          <w:lang w:val="en-US"/>
        </w:rPr>
      </w:pPr>
      <w:r w:rsidRPr="00B040D6">
        <w:rPr>
          <w:noProof/>
          <w:color w:val="292425"/>
          <w:sz w:val="24"/>
          <w:lang w:val="en-US"/>
        </w:rPr>
        <w:t>Ja valstis ir iesaistītas bruņotā konfliktā neatkarīgi no tā, vai tas ir vai nav starptautisks konflikts, tostarp okupācijas gadījumā, tad valstīm ir jāīsteno visi atbilstošie pasākumi, lai veiktu darbības tādā veidā, kas ļauj aizsargāt kultūras mantojumu saskaņā ar starptautiskajām paražu tiesībām, starptautisko aktu principiem un mērķiem un UNESCO ieteikumiem par šāda mantojuma aizsardzību karadarbības laikā.</w:t>
      </w:r>
    </w:p>
    <w:p w14:paraId="393E6F43"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2B3F4112" w14:textId="77777777" w:rsidR="00B040D6" w:rsidRPr="00B040D6" w:rsidRDefault="00B040D6" w:rsidP="00B040D6">
      <w:pPr>
        <w:tabs>
          <w:tab w:val="left" w:pos="878"/>
        </w:tabs>
        <w:jc w:val="both"/>
        <w:rPr>
          <w:rFonts w:ascii="Times New Roman" w:hAnsi="Times New Roman"/>
          <w:b/>
          <w:noProof/>
          <w:color w:val="292425"/>
          <w:sz w:val="24"/>
          <w:lang w:val="en-US"/>
        </w:rPr>
      </w:pPr>
      <w:bookmarkStart w:id="6" w:name="VI_–_State_responsibility"/>
      <w:bookmarkEnd w:id="6"/>
      <w:r w:rsidRPr="00B040D6">
        <w:rPr>
          <w:rFonts w:ascii="Times New Roman" w:hAnsi="Times New Roman"/>
          <w:b/>
          <w:noProof/>
          <w:color w:val="292425"/>
          <w:sz w:val="24"/>
          <w:lang w:val="en-US"/>
        </w:rPr>
        <w:t>VI. Valsts atbildība</w:t>
      </w:r>
    </w:p>
    <w:p w14:paraId="34B02050" w14:textId="77777777" w:rsidR="00B040D6" w:rsidRPr="00B040D6" w:rsidRDefault="00B040D6" w:rsidP="00B040D6">
      <w:pPr>
        <w:pStyle w:val="BodyText"/>
        <w:ind w:left="0" w:firstLine="0"/>
        <w:jc w:val="both"/>
        <w:rPr>
          <w:rFonts w:cs="Times New Roman"/>
          <w:noProof/>
          <w:color w:val="292425"/>
          <w:sz w:val="24"/>
          <w:szCs w:val="24"/>
          <w:lang w:val="en-US"/>
        </w:rPr>
      </w:pPr>
    </w:p>
    <w:p w14:paraId="63D46F8F"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Valsts, kas tīši iznīcina vai tīši neveic atbilstošus pasākumus, lai aizliegtu, novērstu un apturētu jebkāda cilvēcei ļoti nozīmīga kultūras mantojuma tīšu iznīcināšanu un sodītu par to neatkarīgi no tā, vai tas ir vai nav iekļauts UNESCO vai citas starptautiskas organizācijas uzturētā sarakstā, uzņemas atbildību par šādu iznīcināšanu, ciktāl to paredz starptautiskās tiesības.</w:t>
      </w:r>
    </w:p>
    <w:p w14:paraId="67C89A43"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15D2E9F6" w14:textId="77777777" w:rsidR="00B040D6" w:rsidRPr="00B040D6" w:rsidRDefault="00B040D6" w:rsidP="00B040D6">
      <w:pPr>
        <w:tabs>
          <w:tab w:val="left" w:pos="944"/>
        </w:tabs>
        <w:jc w:val="both"/>
        <w:rPr>
          <w:rFonts w:ascii="Times New Roman" w:hAnsi="Times New Roman"/>
          <w:b/>
          <w:noProof/>
          <w:color w:val="292425"/>
          <w:sz w:val="24"/>
          <w:lang w:val="en-US"/>
        </w:rPr>
      </w:pPr>
      <w:bookmarkStart w:id="7" w:name="VII_–_Individual_criminal_responsibility"/>
      <w:bookmarkEnd w:id="7"/>
      <w:r w:rsidRPr="00B040D6">
        <w:rPr>
          <w:rFonts w:ascii="Times New Roman" w:hAnsi="Times New Roman"/>
          <w:b/>
          <w:noProof/>
          <w:color w:val="292425"/>
          <w:sz w:val="24"/>
          <w:lang w:val="en-US"/>
        </w:rPr>
        <w:t>VII. Individuālā kriminālatbildība</w:t>
      </w:r>
    </w:p>
    <w:p w14:paraId="5766523D" w14:textId="77777777" w:rsidR="00B040D6" w:rsidRPr="00B040D6" w:rsidRDefault="00B040D6" w:rsidP="00B040D6">
      <w:pPr>
        <w:pStyle w:val="BodyText"/>
        <w:ind w:left="0" w:firstLine="0"/>
        <w:jc w:val="both"/>
        <w:rPr>
          <w:rFonts w:cs="Times New Roman"/>
          <w:noProof/>
          <w:color w:val="292425"/>
          <w:sz w:val="24"/>
          <w:szCs w:val="24"/>
          <w:lang w:val="en-US"/>
        </w:rPr>
      </w:pPr>
    </w:p>
    <w:p w14:paraId="0B6DE021"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Valstīm ir jāveic visi atbilstošie pasākumi saskaņā ar starptautiskajām tiesībām, lai noteiktu savu jurisdikciju pār personām, kuras veic vai pavēl veikt darbības</w:t>
      </w:r>
      <w:bookmarkStart w:id="8" w:name="VIII_–_Cooperation_for_the_protection_of"/>
      <w:bookmarkEnd w:id="8"/>
      <w:r w:rsidRPr="00B040D6">
        <w:rPr>
          <w:noProof/>
          <w:color w:val="292425"/>
          <w:sz w:val="24"/>
          <w:lang w:val="en-US"/>
        </w:rPr>
        <w:t>, ar kurām tiek tīši iznīcināts cilvēcei ļoti nozīmīgs kultūras mantojums, neatkarīgi no tā, vai tas ir vai nav iekļauts UNESCO vai citas starptautiskas organizācijas uzturētā sarakstā, un nodrošinātu efektīvas kriminālsankcijas pret šādām personām.</w:t>
      </w:r>
    </w:p>
    <w:p w14:paraId="113C1008"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483FC5AB" w14:textId="77777777" w:rsidR="00B040D6" w:rsidRPr="00B040D6" w:rsidRDefault="00B040D6" w:rsidP="00B040D6">
      <w:pPr>
        <w:tabs>
          <w:tab w:val="left" w:pos="1010"/>
        </w:tabs>
        <w:jc w:val="both"/>
        <w:rPr>
          <w:rFonts w:ascii="Times New Roman" w:hAnsi="Times New Roman"/>
          <w:b/>
          <w:noProof/>
          <w:color w:val="292425"/>
          <w:sz w:val="24"/>
          <w:lang w:val="en-US"/>
        </w:rPr>
      </w:pPr>
      <w:r w:rsidRPr="00B040D6">
        <w:rPr>
          <w:rFonts w:ascii="Times New Roman" w:hAnsi="Times New Roman"/>
          <w:b/>
          <w:noProof/>
          <w:color w:val="292425"/>
          <w:sz w:val="24"/>
          <w:lang w:val="en-US"/>
        </w:rPr>
        <w:t>VIII. Sadarbība kultūras mantojuma aizsardzībai</w:t>
      </w:r>
    </w:p>
    <w:p w14:paraId="518F04E4" w14:textId="77777777" w:rsidR="00B040D6" w:rsidRPr="00B040D6" w:rsidRDefault="00B040D6" w:rsidP="00B040D6">
      <w:pPr>
        <w:pStyle w:val="BodyText"/>
        <w:tabs>
          <w:tab w:val="left" w:pos="856"/>
        </w:tabs>
        <w:ind w:left="0" w:firstLine="0"/>
        <w:jc w:val="both"/>
        <w:rPr>
          <w:rFonts w:cs="Times New Roman"/>
          <w:noProof/>
          <w:color w:val="292425"/>
          <w:sz w:val="24"/>
          <w:szCs w:val="24"/>
          <w:lang w:val="en-US"/>
        </w:rPr>
      </w:pPr>
    </w:p>
    <w:p w14:paraId="76BB7B83" w14:textId="77777777" w:rsidR="00B040D6" w:rsidRPr="00B040D6" w:rsidRDefault="00B040D6" w:rsidP="00B040D6">
      <w:pPr>
        <w:pStyle w:val="BodyText"/>
        <w:tabs>
          <w:tab w:val="left" w:pos="856"/>
        </w:tabs>
        <w:ind w:left="0" w:firstLine="0"/>
        <w:jc w:val="both"/>
        <w:rPr>
          <w:noProof/>
          <w:color w:val="292425"/>
          <w:sz w:val="24"/>
          <w:lang w:val="en-US"/>
        </w:rPr>
      </w:pPr>
      <w:r w:rsidRPr="00B040D6">
        <w:rPr>
          <w:noProof/>
          <w:color w:val="292425"/>
          <w:sz w:val="24"/>
          <w:lang w:val="en-US"/>
        </w:rPr>
        <w:t>1. Lai aizsargātu kultūras mantojumu no tīšas iznīcināšanas, valstīm ir jāsadarbojas citai ar citu un UNESCO. Šādai sadarbībai jāietver vismaz:</w:t>
      </w:r>
    </w:p>
    <w:p w14:paraId="117E44E2" w14:textId="77777777" w:rsidR="00B040D6" w:rsidRPr="00B040D6" w:rsidRDefault="00B040D6" w:rsidP="00B040D6">
      <w:pPr>
        <w:pStyle w:val="BodyText"/>
        <w:tabs>
          <w:tab w:val="left" w:pos="921"/>
        </w:tabs>
        <w:ind w:left="284" w:firstLine="0"/>
        <w:jc w:val="both"/>
        <w:rPr>
          <w:noProof/>
          <w:color w:val="292425"/>
          <w:sz w:val="24"/>
          <w:lang w:val="en-US"/>
        </w:rPr>
      </w:pPr>
      <w:r w:rsidRPr="00B040D6">
        <w:rPr>
          <w:noProof/>
          <w:color w:val="292425"/>
          <w:sz w:val="24"/>
          <w:lang w:val="en-US"/>
        </w:rPr>
        <w:t>i) informācijas sniegšana un apmaiņa par apstākļiem, kas rada kultūras mantojuma tīšas iznīcināšanas risku;</w:t>
      </w:r>
    </w:p>
    <w:p w14:paraId="342541FB" w14:textId="77777777" w:rsidR="00B040D6" w:rsidRPr="00B040D6" w:rsidRDefault="00B040D6" w:rsidP="00B040D6">
      <w:pPr>
        <w:pStyle w:val="BodyText"/>
        <w:tabs>
          <w:tab w:val="left" w:pos="925"/>
        </w:tabs>
        <w:ind w:left="284" w:firstLine="0"/>
        <w:jc w:val="both"/>
        <w:rPr>
          <w:noProof/>
          <w:color w:val="292425"/>
          <w:sz w:val="24"/>
          <w:lang w:val="en-US"/>
        </w:rPr>
      </w:pPr>
      <w:r w:rsidRPr="00B040D6">
        <w:rPr>
          <w:noProof/>
          <w:color w:val="292425"/>
          <w:sz w:val="24"/>
          <w:lang w:val="en-US"/>
        </w:rPr>
        <w:t>ii) konsultēšanās, ja notikusi faktiska kultūras mantojuma iznīcināšana vai pastāv šādas iznīcināšanas draudi;</w:t>
      </w:r>
    </w:p>
    <w:p w14:paraId="146116A6" w14:textId="77777777" w:rsidR="00B040D6" w:rsidRPr="00B040D6" w:rsidRDefault="00B040D6" w:rsidP="00B040D6">
      <w:pPr>
        <w:pStyle w:val="BodyText"/>
        <w:tabs>
          <w:tab w:val="left" w:pos="977"/>
        </w:tabs>
        <w:ind w:left="284" w:firstLine="0"/>
        <w:jc w:val="both"/>
        <w:rPr>
          <w:noProof/>
          <w:color w:val="292425"/>
          <w:sz w:val="24"/>
          <w:lang w:val="en-US"/>
        </w:rPr>
      </w:pPr>
      <w:r w:rsidRPr="00B040D6">
        <w:rPr>
          <w:noProof/>
          <w:color w:val="292425"/>
          <w:sz w:val="24"/>
          <w:lang w:val="en-US"/>
        </w:rPr>
        <w:t>iii) valstu palīdzības lūgumu izskatīšana attiecībā uz izglītības programmu, informētības un resursu palielināšanas veicināšanu, lai novērstu un apturētu jebkādu kultūras mantojuma tīšu iznīcināšanu;</w:t>
      </w:r>
    </w:p>
    <w:p w14:paraId="6BAE9753" w14:textId="77777777" w:rsidR="00B040D6" w:rsidRPr="00B040D6" w:rsidRDefault="00B040D6" w:rsidP="00B040D6">
      <w:pPr>
        <w:pStyle w:val="BodyText"/>
        <w:tabs>
          <w:tab w:val="left" w:pos="977"/>
        </w:tabs>
        <w:ind w:left="284" w:firstLine="0"/>
        <w:jc w:val="both"/>
        <w:rPr>
          <w:noProof/>
          <w:color w:val="292425"/>
          <w:sz w:val="24"/>
          <w:lang w:val="en-US"/>
        </w:rPr>
      </w:pPr>
      <w:r w:rsidRPr="00B040D6">
        <w:rPr>
          <w:noProof/>
          <w:color w:val="292425"/>
          <w:sz w:val="24"/>
          <w:lang w:val="en-US"/>
        </w:rPr>
        <w:t>iv) juridiskas un administratīvās palīdzības sniegšana pēc ieinteresēto valstu lūguma, lai apturētu jebkādu kultūras mantojuma tīšu iznīcināšanu.</w:t>
      </w:r>
    </w:p>
    <w:p w14:paraId="23F02DC3" w14:textId="77777777" w:rsidR="00B040D6" w:rsidRPr="00B040D6" w:rsidRDefault="00B040D6" w:rsidP="00B040D6">
      <w:pPr>
        <w:pStyle w:val="BodyText"/>
        <w:tabs>
          <w:tab w:val="left" w:pos="873"/>
        </w:tabs>
        <w:ind w:left="0" w:firstLine="0"/>
        <w:jc w:val="both"/>
        <w:rPr>
          <w:noProof/>
          <w:color w:val="292425"/>
          <w:sz w:val="24"/>
          <w:lang w:val="en-US"/>
        </w:rPr>
      </w:pPr>
    </w:p>
    <w:p w14:paraId="501846D0" w14:textId="77777777" w:rsidR="00B040D6" w:rsidRPr="00B040D6" w:rsidRDefault="00B040D6" w:rsidP="00B040D6">
      <w:pPr>
        <w:pStyle w:val="BodyText"/>
        <w:tabs>
          <w:tab w:val="left" w:pos="873"/>
        </w:tabs>
        <w:ind w:left="0" w:firstLine="0"/>
        <w:jc w:val="both"/>
        <w:rPr>
          <w:noProof/>
          <w:color w:val="292425"/>
          <w:sz w:val="24"/>
          <w:lang w:val="en-US"/>
        </w:rPr>
      </w:pPr>
      <w:r w:rsidRPr="00B040D6">
        <w:rPr>
          <w:noProof/>
          <w:color w:val="292425"/>
          <w:sz w:val="24"/>
          <w:lang w:val="en-US"/>
        </w:rPr>
        <w:t>2. Visaptverošākai aizsardzībai katra valsts tiek mudināta veikt visus atbilstošos pasākumus saskaņā ar starptautiskajām tiesībām un sadarboties ar citām valstīm, lai noteiktu savu jurisdikciju attiecībā uz personām, kuras ir veikušas vai ir pavēlējušas veikt iepriekš minētās (VII pants “Individuālā kriminālatbildība”) darbības un kuru uzturēšanās ir konstatēta attiecīgās valsts teritorijā, un nodrošinātu efektīvu kriminālsankciju piemērošanu pret šādām personām neatkarīgi no valstspiederības un vietas, kur šāda darbība veikta.</w:t>
      </w:r>
    </w:p>
    <w:p w14:paraId="4E618383"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0DFF0C4A" w14:textId="77777777" w:rsidR="00B040D6" w:rsidRPr="00B040D6" w:rsidRDefault="00B040D6" w:rsidP="00B040D6">
      <w:pPr>
        <w:tabs>
          <w:tab w:val="left" w:pos="893"/>
        </w:tabs>
        <w:jc w:val="both"/>
        <w:rPr>
          <w:rFonts w:ascii="Times New Roman" w:hAnsi="Times New Roman"/>
          <w:b/>
          <w:noProof/>
          <w:color w:val="292425"/>
          <w:sz w:val="24"/>
          <w:lang w:val="en-US"/>
        </w:rPr>
      </w:pPr>
      <w:bookmarkStart w:id="9" w:name="IX_–_Human_rights_and_international_huma"/>
      <w:bookmarkEnd w:id="9"/>
      <w:r w:rsidRPr="00B040D6">
        <w:rPr>
          <w:rFonts w:ascii="Times New Roman" w:hAnsi="Times New Roman"/>
          <w:b/>
          <w:noProof/>
          <w:color w:val="292425"/>
          <w:sz w:val="24"/>
          <w:lang w:val="en-US"/>
        </w:rPr>
        <w:t>IX. Cilvēktiesības un starptautiskie tiesību akti humāno tiesību jomā</w:t>
      </w:r>
    </w:p>
    <w:p w14:paraId="0C87223E" w14:textId="77777777" w:rsidR="00B040D6" w:rsidRPr="00B040D6" w:rsidRDefault="00B040D6" w:rsidP="00B040D6">
      <w:pPr>
        <w:pStyle w:val="BodyText"/>
        <w:ind w:left="0" w:firstLine="0"/>
        <w:jc w:val="both"/>
        <w:rPr>
          <w:rFonts w:cs="Times New Roman"/>
          <w:noProof/>
          <w:color w:val="292425"/>
          <w:sz w:val="24"/>
          <w:szCs w:val="24"/>
          <w:lang w:val="en-US"/>
        </w:rPr>
      </w:pPr>
    </w:p>
    <w:p w14:paraId="37395035" w14:textId="77777777" w:rsidR="00B040D6" w:rsidRPr="00B040D6" w:rsidRDefault="00B040D6" w:rsidP="00B040D6">
      <w:pPr>
        <w:pStyle w:val="BodyText"/>
        <w:ind w:left="0" w:firstLine="0"/>
        <w:jc w:val="both"/>
        <w:rPr>
          <w:noProof/>
          <w:color w:val="292425"/>
          <w:sz w:val="24"/>
          <w:lang w:val="en-US"/>
        </w:rPr>
      </w:pPr>
      <w:r w:rsidRPr="00B040D6">
        <w:rPr>
          <w:noProof/>
          <w:color w:val="292425"/>
          <w:sz w:val="24"/>
          <w:lang w:val="en-US"/>
        </w:rPr>
        <w:t>Piemērojot šo deklarāciju, valstis atzīst nepieciešamību ievērot starptautiskos noteikumus, ar kuriem smagi cilvēktiesību un starptautisko humanitāro tiesību pārkāpumi ir atzīti par kriminālnoziegumu, jo īpaši gadījumos, kad kultūras mantojuma tīša iznīcināšana ir saistīta ar šādiem pārkāpumiem.</w:t>
      </w:r>
    </w:p>
    <w:p w14:paraId="2CC6D720" w14:textId="77777777" w:rsidR="00B040D6" w:rsidRPr="00B040D6" w:rsidRDefault="00B040D6" w:rsidP="00B040D6">
      <w:pPr>
        <w:jc w:val="both"/>
        <w:rPr>
          <w:rFonts w:ascii="Times New Roman" w:eastAsia="Times New Roman" w:hAnsi="Times New Roman" w:cs="Times New Roman"/>
          <w:noProof/>
          <w:sz w:val="24"/>
          <w:szCs w:val="24"/>
          <w:lang w:val="en-US"/>
        </w:rPr>
      </w:pPr>
    </w:p>
    <w:p w14:paraId="6337A03E" w14:textId="77777777" w:rsidR="00B040D6" w:rsidRPr="00B040D6" w:rsidRDefault="00B040D6" w:rsidP="00B040D6">
      <w:pPr>
        <w:tabs>
          <w:tab w:val="left" w:pos="827"/>
        </w:tabs>
        <w:jc w:val="both"/>
        <w:rPr>
          <w:rFonts w:ascii="Times New Roman" w:hAnsi="Times New Roman"/>
          <w:b/>
          <w:noProof/>
          <w:color w:val="292425"/>
          <w:sz w:val="24"/>
          <w:lang w:val="en-US"/>
        </w:rPr>
      </w:pPr>
      <w:bookmarkStart w:id="10" w:name="X_–_Public_awareness"/>
      <w:bookmarkEnd w:id="10"/>
      <w:r w:rsidRPr="00B040D6">
        <w:rPr>
          <w:rFonts w:ascii="Times New Roman" w:hAnsi="Times New Roman"/>
          <w:b/>
          <w:noProof/>
          <w:color w:val="292425"/>
          <w:sz w:val="24"/>
          <w:lang w:val="en-US"/>
        </w:rPr>
        <w:t>X. Sabiedrības informētība</w:t>
      </w:r>
    </w:p>
    <w:p w14:paraId="680B5E83" w14:textId="77777777" w:rsidR="00B040D6" w:rsidRPr="00B040D6" w:rsidRDefault="00B040D6" w:rsidP="00B040D6">
      <w:pPr>
        <w:pStyle w:val="BodyText"/>
        <w:ind w:left="0" w:firstLine="0"/>
        <w:jc w:val="both"/>
        <w:rPr>
          <w:rFonts w:cs="Times New Roman"/>
          <w:noProof/>
          <w:color w:val="292425"/>
          <w:sz w:val="24"/>
          <w:szCs w:val="24"/>
          <w:lang w:val="en-US"/>
        </w:rPr>
      </w:pPr>
    </w:p>
    <w:p w14:paraId="1735A853" w14:textId="77777777" w:rsidR="00B040D6" w:rsidRPr="00B040D6" w:rsidRDefault="00B040D6" w:rsidP="00B040D6">
      <w:pPr>
        <w:pStyle w:val="BodyText"/>
        <w:ind w:left="0" w:firstLine="0"/>
        <w:jc w:val="both"/>
        <w:rPr>
          <w:rFonts w:cs="Times New Roman"/>
          <w:noProof/>
          <w:sz w:val="24"/>
          <w:szCs w:val="24"/>
          <w:lang w:val="en-US"/>
        </w:rPr>
      </w:pPr>
      <w:r w:rsidRPr="00B040D6">
        <w:rPr>
          <w:noProof/>
          <w:color w:val="292425"/>
          <w:sz w:val="24"/>
          <w:lang w:val="en-US"/>
        </w:rPr>
        <w:t xml:space="preserve">Valstīm jāveic visi atbilstošie pasākumi, lai nodrošinātu pēc iespējas plašāku šīs deklarācijas izplatīšanu sabiedrībai un mērķgrupām, </w:t>
      </w:r>
      <w:r w:rsidRPr="00B040D6">
        <w:rPr>
          <w:i/>
          <w:noProof/>
          <w:color w:val="292425"/>
          <w:sz w:val="24"/>
          <w:lang w:val="en-US"/>
        </w:rPr>
        <w:t xml:space="preserve">inter alia </w:t>
      </w:r>
      <w:r w:rsidRPr="00B040D6">
        <w:rPr>
          <w:noProof/>
          <w:color w:val="292425"/>
          <w:sz w:val="24"/>
          <w:lang w:val="en-US"/>
        </w:rPr>
        <w:t>organizējot sabiedrības izpratnes veicināšanas kampaņas.</w:t>
      </w:r>
    </w:p>
    <w:sectPr w:rsidR="00B040D6" w:rsidRPr="00B040D6" w:rsidSect="00A17BEE">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8C86" w14:textId="77777777" w:rsidR="00C51159" w:rsidRPr="00B040D6" w:rsidRDefault="00B10B84">
      <w:pPr>
        <w:rPr>
          <w:noProof/>
          <w:lang w:val="en-US"/>
        </w:rPr>
      </w:pPr>
      <w:r w:rsidRPr="00B040D6">
        <w:rPr>
          <w:noProof/>
          <w:lang w:val="en-US"/>
        </w:rPr>
        <w:separator/>
      </w:r>
    </w:p>
  </w:endnote>
  <w:endnote w:type="continuationSeparator" w:id="0">
    <w:p w14:paraId="6FD58C88" w14:textId="77777777" w:rsidR="00C51159" w:rsidRPr="00B040D6" w:rsidRDefault="00B10B84">
      <w:pPr>
        <w:rPr>
          <w:noProof/>
          <w:lang w:val="en-US"/>
        </w:rPr>
      </w:pPr>
      <w:r w:rsidRPr="00B040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3E95" w14:textId="77777777" w:rsidR="00B040D6" w:rsidRDefault="00B04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0FEF" w14:textId="77777777" w:rsidR="00911ECC" w:rsidRPr="00B040D6" w:rsidRDefault="00911ECC" w:rsidP="00911ECC">
    <w:pPr>
      <w:pStyle w:val="Header"/>
      <w:tabs>
        <w:tab w:val="left" w:pos="9072"/>
      </w:tabs>
      <w:jc w:val="both"/>
      <w:rPr>
        <w:rStyle w:val="PageNumber"/>
        <w:rFonts w:ascii="Times New Roman" w:hAnsi="Times New Roman" w:cs="Times New Roman"/>
        <w:noProof/>
        <w:sz w:val="20"/>
        <w:szCs w:val="20"/>
        <w:lang w:val="en-US"/>
      </w:rPr>
    </w:pPr>
  </w:p>
  <w:p w14:paraId="322C0277" w14:textId="77777777" w:rsidR="00911ECC" w:rsidRPr="00B040D6" w:rsidRDefault="00911ECC" w:rsidP="00911ECC">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B040D6">
      <w:rPr>
        <w:rFonts w:ascii="Times New Roman" w:hAnsi="Times New Roman" w:cs="Times New Roman"/>
        <w:noProof/>
        <w:sz w:val="20"/>
        <w:szCs w:val="20"/>
        <w:lang w:val="en-US"/>
      </w:rPr>
      <w:tab/>
    </w:r>
  </w:p>
  <w:p w14:paraId="5D676360" w14:textId="77777777" w:rsidR="00911ECC" w:rsidRPr="00B040D6" w:rsidRDefault="00911ECC" w:rsidP="00911ECC">
    <w:pPr>
      <w:pStyle w:val="Header"/>
      <w:tabs>
        <w:tab w:val="right" w:pos="9072"/>
      </w:tabs>
      <w:jc w:val="both"/>
      <w:rPr>
        <w:rStyle w:val="PageNumber"/>
        <w:rFonts w:ascii="Times New Roman" w:hAnsi="Times New Roman" w:cs="Times New Roman"/>
        <w:noProof/>
        <w:sz w:val="20"/>
        <w:szCs w:val="20"/>
        <w:lang w:val="en-US"/>
      </w:rPr>
    </w:pPr>
  </w:p>
  <w:p w14:paraId="2B5ED2D4" w14:textId="717BD0E7" w:rsidR="001B1CAC" w:rsidRPr="00B040D6" w:rsidRDefault="00911ECC" w:rsidP="00911ECC">
    <w:pPr>
      <w:pStyle w:val="Footer"/>
      <w:tabs>
        <w:tab w:val="clear" w:pos="4513"/>
        <w:tab w:val="clear" w:pos="9026"/>
        <w:tab w:val="center" w:pos="9072"/>
      </w:tabs>
      <w:jc w:val="both"/>
      <w:rPr>
        <w:rFonts w:ascii="Times New Roman" w:hAnsi="Times New Roman" w:cs="Times New Roman"/>
        <w:noProof/>
        <w:sz w:val="20"/>
        <w:szCs w:val="20"/>
        <w:lang w:val="en-US"/>
      </w:rPr>
    </w:pPr>
    <w:r w:rsidRPr="00B040D6">
      <w:rPr>
        <w:rFonts w:ascii="Times New Roman" w:hAnsi="Times New Roman" w:cs="Times New Roman"/>
        <w:noProof/>
        <w:sz w:val="20"/>
        <w:szCs w:val="20"/>
        <w:lang w:val="en-US"/>
      </w:rPr>
      <w:t xml:space="preserve">Tulkojums </w:t>
    </w:r>
    <w:r w:rsidRPr="00B040D6">
      <w:rPr>
        <w:rFonts w:ascii="Times New Roman" w:hAnsi="Times New Roman" w:cs="Times New Roman"/>
        <w:noProof/>
        <w:sz w:val="20"/>
        <w:szCs w:val="20"/>
        <w:lang w:val="en-US"/>
      </w:rPr>
      <w:fldChar w:fldCharType="begin"/>
    </w:r>
    <w:r w:rsidRPr="00B040D6">
      <w:rPr>
        <w:rFonts w:ascii="Times New Roman" w:hAnsi="Times New Roman" w:cs="Times New Roman"/>
        <w:noProof/>
        <w:sz w:val="20"/>
        <w:szCs w:val="20"/>
        <w:lang w:val="en-US"/>
      </w:rPr>
      <w:instrText>symbol 211 \f "Symbol" \s 9</w:instrText>
    </w:r>
    <w:r w:rsidRPr="00B040D6">
      <w:rPr>
        <w:rFonts w:ascii="Times New Roman" w:hAnsi="Times New Roman" w:cs="Times New Roman"/>
        <w:noProof/>
        <w:sz w:val="20"/>
        <w:szCs w:val="20"/>
        <w:lang w:val="en-US"/>
      </w:rPr>
      <w:fldChar w:fldCharType="separate"/>
    </w:r>
    <w:r w:rsidRPr="00B040D6">
      <w:rPr>
        <w:rFonts w:ascii="Times New Roman" w:hAnsi="Times New Roman" w:cs="Times New Roman"/>
        <w:noProof/>
        <w:sz w:val="20"/>
        <w:szCs w:val="20"/>
        <w:lang w:val="en-US"/>
      </w:rPr>
      <w:t>Ó</w:t>
    </w:r>
    <w:r w:rsidRPr="00B040D6">
      <w:rPr>
        <w:rFonts w:ascii="Times New Roman" w:hAnsi="Times New Roman" w:cs="Times New Roman"/>
        <w:noProof/>
        <w:sz w:val="20"/>
        <w:szCs w:val="20"/>
        <w:lang w:val="en-US"/>
      </w:rPr>
      <w:fldChar w:fldCharType="end"/>
    </w:r>
    <w:r w:rsidRPr="00B040D6">
      <w:rPr>
        <w:rFonts w:ascii="Times New Roman" w:hAnsi="Times New Roman" w:cs="Times New Roman"/>
        <w:noProof/>
        <w:sz w:val="20"/>
        <w:szCs w:val="20"/>
        <w:lang w:val="en-US"/>
      </w:rPr>
      <w:t xml:space="preserve"> Valsts valodas centrs, 2022</w:t>
    </w:r>
    <w:r w:rsidRPr="00B040D6">
      <w:rPr>
        <w:rFonts w:ascii="Times New Roman" w:hAnsi="Times New Roman" w:cs="Times New Roman"/>
        <w:noProof/>
        <w:sz w:val="20"/>
        <w:szCs w:val="20"/>
        <w:lang w:val="en-US"/>
      </w:rPr>
      <w:tab/>
    </w:r>
    <w:r w:rsidRPr="00B040D6">
      <w:rPr>
        <w:rStyle w:val="PageNumber"/>
        <w:rFonts w:ascii="Times New Roman" w:hAnsi="Times New Roman" w:cs="Times New Roman"/>
        <w:noProof/>
        <w:sz w:val="20"/>
        <w:szCs w:val="20"/>
        <w:lang w:val="en-US"/>
      </w:rPr>
      <w:fldChar w:fldCharType="begin"/>
    </w:r>
    <w:r w:rsidRPr="00B040D6">
      <w:rPr>
        <w:rStyle w:val="PageNumber"/>
        <w:rFonts w:ascii="Times New Roman" w:hAnsi="Times New Roman" w:cs="Times New Roman"/>
        <w:noProof/>
        <w:sz w:val="20"/>
        <w:szCs w:val="20"/>
        <w:lang w:val="en-US"/>
      </w:rPr>
      <w:instrText xml:space="preserve">page </w:instrText>
    </w:r>
    <w:r w:rsidRPr="00B040D6">
      <w:rPr>
        <w:rStyle w:val="PageNumber"/>
        <w:rFonts w:ascii="Times New Roman" w:hAnsi="Times New Roman" w:cs="Times New Roman"/>
        <w:noProof/>
        <w:sz w:val="20"/>
        <w:szCs w:val="20"/>
        <w:lang w:val="en-US"/>
      </w:rPr>
      <w:fldChar w:fldCharType="separate"/>
    </w:r>
    <w:r w:rsidRPr="00B040D6">
      <w:rPr>
        <w:rStyle w:val="PageNumber"/>
        <w:rFonts w:ascii="Times New Roman" w:hAnsi="Times New Roman" w:cs="Times New Roman"/>
        <w:noProof/>
        <w:sz w:val="20"/>
        <w:szCs w:val="20"/>
        <w:lang w:val="en-US"/>
      </w:rPr>
      <w:t>2</w:t>
    </w:r>
    <w:r w:rsidRPr="00B040D6">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6DDA" w14:textId="77777777" w:rsidR="00A605A6" w:rsidRPr="00B040D6" w:rsidRDefault="00A605A6" w:rsidP="00A605A6">
    <w:pPr>
      <w:pStyle w:val="Header"/>
      <w:tabs>
        <w:tab w:val="left" w:pos="9072"/>
      </w:tabs>
      <w:jc w:val="both"/>
      <w:rPr>
        <w:rStyle w:val="PageNumber"/>
        <w:rFonts w:ascii="Times New Roman" w:hAnsi="Times New Roman"/>
        <w:noProof/>
        <w:sz w:val="20"/>
        <w:szCs w:val="18"/>
        <w:lang w:val="en-US"/>
      </w:rPr>
    </w:pPr>
    <w:bookmarkStart w:id="25" w:name="_Hlk496261764"/>
    <w:bookmarkStart w:id="26" w:name="_Hlk496261765"/>
    <w:bookmarkStart w:id="27" w:name="_Hlk496261766"/>
    <w:bookmarkStart w:id="28" w:name="_Hlk30491075"/>
    <w:bookmarkStart w:id="29" w:name="_Hlk30491076"/>
  </w:p>
  <w:p w14:paraId="5B6929B9" w14:textId="77777777" w:rsidR="00A605A6" w:rsidRPr="00B040D6" w:rsidRDefault="00A605A6" w:rsidP="00A605A6">
    <w:pPr>
      <w:pStyle w:val="Header"/>
      <w:tabs>
        <w:tab w:val="clear" w:pos="4513"/>
        <w:tab w:val="clear" w:pos="9026"/>
        <w:tab w:val="left" w:leader="underscore" w:pos="9072"/>
      </w:tabs>
      <w:jc w:val="both"/>
      <w:rPr>
        <w:rFonts w:ascii="Times New Roman" w:hAnsi="Times New Roman"/>
        <w:noProof/>
        <w:sz w:val="20"/>
        <w:szCs w:val="18"/>
        <w:lang w:val="en-US"/>
      </w:rPr>
    </w:pPr>
    <w:r w:rsidRPr="00B040D6">
      <w:rPr>
        <w:rFonts w:ascii="Times New Roman" w:hAnsi="Times New Roman"/>
        <w:noProof/>
        <w:sz w:val="20"/>
        <w:szCs w:val="18"/>
        <w:lang w:val="en-US"/>
      </w:rPr>
      <w:tab/>
    </w:r>
  </w:p>
  <w:p w14:paraId="6C727CC4" w14:textId="77777777" w:rsidR="00A605A6" w:rsidRPr="00B040D6" w:rsidRDefault="00A605A6" w:rsidP="00A605A6">
    <w:pPr>
      <w:pStyle w:val="Header"/>
      <w:tabs>
        <w:tab w:val="left" w:pos="9072"/>
      </w:tabs>
      <w:jc w:val="both"/>
      <w:rPr>
        <w:rStyle w:val="PageNumber"/>
        <w:rFonts w:ascii="Times New Roman" w:hAnsi="Times New Roman"/>
        <w:noProof/>
        <w:sz w:val="20"/>
        <w:szCs w:val="18"/>
        <w:lang w:val="en-US"/>
      </w:rPr>
    </w:pPr>
  </w:p>
  <w:p w14:paraId="561D9A29" w14:textId="5ECC2949" w:rsidR="001B1CAC" w:rsidRPr="00B040D6" w:rsidRDefault="00A605A6" w:rsidP="00A605A6">
    <w:pPr>
      <w:pStyle w:val="Footer"/>
      <w:jc w:val="both"/>
      <w:rPr>
        <w:rFonts w:ascii="Times New Roman" w:hAnsi="Times New Roman"/>
        <w:noProof/>
        <w:sz w:val="20"/>
        <w:szCs w:val="18"/>
        <w:lang w:val="en-US"/>
      </w:rPr>
    </w:pPr>
    <w:r w:rsidRPr="00B040D6">
      <w:rPr>
        <w:rFonts w:ascii="Times New Roman" w:hAnsi="Times New Roman"/>
        <w:noProof/>
        <w:sz w:val="20"/>
        <w:szCs w:val="18"/>
        <w:lang w:val="en-US"/>
      </w:rPr>
      <w:t xml:space="preserve">Tulkojums </w:t>
    </w:r>
    <w:r w:rsidRPr="00B040D6">
      <w:rPr>
        <w:rFonts w:ascii="Times New Roman" w:hAnsi="Times New Roman"/>
        <w:noProof/>
        <w:sz w:val="20"/>
        <w:szCs w:val="18"/>
        <w:lang w:val="en-US"/>
      </w:rPr>
      <w:fldChar w:fldCharType="begin"/>
    </w:r>
    <w:r w:rsidRPr="00B040D6">
      <w:rPr>
        <w:rFonts w:ascii="Times New Roman" w:hAnsi="Times New Roman"/>
        <w:noProof/>
        <w:sz w:val="20"/>
        <w:szCs w:val="18"/>
        <w:lang w:val="en-US"/>
      </w:rPr>
      <w:instrText>symbol 211 \f "Symbol" \s 9</w:instrText>
    </w:r>
    <w:r w:rsidRPr="00B040D6">
      <w:rPr>
        <w:rFonts w:ascii="Times New Roman" w:hAnsi="Times New Roman"/>
        <w:noProof/>
        <w:sz w:val="20"/>
        <w:szCs w:val="18"/>
        <w:lang w:val="en-US"/>
      </w:rPr>
      <w:fldChar w:fldCharType="separate"/>
    </w:r>
    <w:r w:rsidRPr="00B040D6">
      <w:rPr>
        <w:rFonts w:ascii="Times New Roman" w:hAnsi="Times New Roman"/>
        <w:noProof/>
        <w:sz w:val="20"/>
        <w:szCs w:val="18"/>
        <w:lang w:val="en-US"/>
      </w:rPr>
      <w:t>Ó</w:t>
    </w:r>
    <w:r w:rsidRPr="00B040D6">
      <w:rPr>
        <w:rFonts w:ascii="Times New Roman" w:hAnsi="Times New Roman"/>
        <w:noProof/>
        <w:sz w:val="20"/>
        <w:szCs w:val="18"/>
        <w:lang w:val="en-US"/>
      </w:rPr>
      <w:fldChar w:fldCharType="end"/>
    </w:r>
    <w:r w:rsidRPr="00B040D6">
      <w:rPr>
        <w:rFonts w:ascii="Times New Roman" w:hAnsi="Times New Roman"/>
        <w:noProof/>
        <w:sz w:val="20"/>
        <w:szCs w:val="18"/>
        <w:lang w:val="en-US"/>
      </w:rPr>
      <w:t xml:space="preserve"> Valsts valodas centrs, 20</w:t>
    </w:r>
    <w:bookmarkEnd w:id="25"/>
    <w:bookmarkEnd w:id="26"/>
    <w:bookmarkEnd w:id="27"/>
    <w:r w:rsidRPr="00B040D6">
      <w:rPr>
        <w:rFonts w:ascii="Times New Roman" w:hAnsi="Times New Roman"/>
        <w:noProof/>
        <w:sz w:val="20"/>
        <w:szCs w:val="18"/>
        <w:lang w:val="en-US"/>
      </w:rPr>
      <w:t>2</w:t>
    </w:r>
    <w:bookmarkEnd w:id="28"/>
    <w:bookmarkEnd w:id="29"/>
    <w:r w:rsidRPr="00B040D6">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8C82" w14:textId="77777777" w:rsidR="00C51159" w:rsidRPr="00B040D6" w:rsidRDefault="00B10B84">
      <w:pPr>
        <w:rPr>
          <w:noProof/>
          <w:lang w:val="en-US"/>
        </w:rPr>
      </w:pPr>
      <w:r w:rsidRPr="00B040D6">
        <w:rPr>
          <w:noProof/>
          <w:lang w:val="en-US"/>
        </w:rPr>
        <w:separator/>
      </w:r>
    </w:p>
  </w:footnote>
  <w:footnote w:type="continuationSeparator" w:id="0">
    <w:p w14:paraId="6FD58C84" w14:textId="77777777" w:rsidR="00C51159" w:rsidRPr="00B040D6" w:rsidRDefault="00B10B84">
      <w:pPr>
        <w:rPr>
          <w:noProof/>
          <w:lang w:val="en-US"/>
        </w:rPr>
      </w:pPr>
      <w:r w:rsidRPr="00B040D6">
        <w:rPr>
          <w:noProof/>
          <w:lang w:val="en-US"/>
        </w:rPr>
        <w:continuationSeparator/>
      </w:r>
    </w:p>
  </w:footnote>
  <w:footnote w:id="1">
    <w:p w14:paraId="00873EBD" w14:textId="77777777" w:rsidR="00B040D6" w:rsidRPr="00B040D6" w:rsidRDefault="00B040D6" w:rsidP="00B040D6">
      <w:pPr>
        <w:tabs>
          <w:tab w:val="left" w:pos="477"/>
        </w:tabs>
        <w:jc w:val="both"/>
        <w:rPr>
          <w:rFonts w:ascii="Times New Roman" w:eastAsia="Trebuchet MS" w:hAnsi="Times New Roman" w:cs="Times New Roman"/>
          <w:noProof/>
          <w:sz w:val="20"/>
          <w:szCs w:val="20"/>
          <w:lang w:val="en-US"/>
        </w:rPr>
      </w:pPr>
      <w:r w:rsidRPr="00B040D6">
        <w:rPr>
          <w:rStyle w:val="FootnoteReference"/>
          <w:noProof/>
          <w:lang w:val="en-US"/>
        </w:rPr>
        <w:t>*</w:t>
      </w:r>
      <w:r w:rsidRPr="00B040D6">
        <w:rPr>
          <w:noProof/>
          <w:lang w:val="en-US"/>
        </w:rPr>
        <w:t xml:space="preserve"> </w:t>
      </w:r>
      <w:r w:rsidRPr="00B040D6">
        <w:rPr>
          <w:rFonts w:ascii="Times New Roman" w:hAnsi="Times New Roman"/>
          <w:noProof/>
          <w:color w:val="292425"/>
          <w:sz w:val="20"/>
          <w:lang w:val="en-US"/>
        </w:rPr>
        <w:t>Deklarācija pieņemta UNESCO Ģenerālās konferences trīsdesmit otrajā sesijā Parīzē, 2003. gada 17. oktobrī. Deklarācija ir pieejama UNESCO tīmekļvietnē: &lt;http://www.unesco.org/culture/laws/intentional/declare.pdf&gt;.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C80" w14:textId="312C7938" w:rsidR="00732A1F" w:rsidRPr="003161B7" w:rsidRDefault="00B040D6">
    <w:pPr>
      <w:spacing w:line="14" w:lineRule="auto"/>
      <w:rPr>
        <w:noProof/>
        <w:sz w:val="20"/>
        <w:szCs w:val="20"/>
      </w:rPr>
    </w:pPr>
    <w:r>
      <w:pict w14:anchorId="6FD58C82">
        <v:group id="_x0000_s2056" style="position:absolute;margin-left:40.3pt;margin-top:46.85pt;width:340.2pt;height:.1pt;z-index:-251658240;mso-position-horizontal-relative:page;mso-position-vertical-relative:page" coordorigin="806,937" coordsize="6804,2">
          <v:shape id="_x0000_s2057" style="position:absolute;left:806;top:937;width:6804;height:2" coordorigin="806,937" coordsize="6804,0" path="m806,937r6803,e" filled="f" strokecolor="#292425" strokeweight=".3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3AD5" w14:textId="77777777" w:rsidR="00122F7B" w:rsidRPr="00B040D6" w:rsidRDefault="00122F7B" w:rsidP="00122F7B">
    <w:pPr>
      <w:pStyle w:val="Header"/>
      <w:rPr>
        <w:rStyle w:val="PageNumber"/>
        <w:rFonts w:ascii="Times New Roman" w:hAnsi="Times New Roman" w:cs="Times New Roman"/>
        <w:noProof/>
        <w:sz w:val="20"/>
        <w:szCs w:val="20"/>
        <w:lang w:val="en-US"/>
      </w:rPr>
    </w:pPr>
    <w:bookmarkStart w:id="11" w:name="_Hlk496261784"/>
    <w:bookmarkStart w:id="12" w:name="_Hlk496261785"/>
    <w:bookmarkStart w:id="13" w:name="_Hlk496261786"/>
    <w:bookmarkStart w:id="14" w:name="_Hlk502757728"/>
    <w:bookmarkStart w:id="15" w:name="_Hlk502757729"/>
    <w:bookmarkStart w:id="16" w:name="_Hlk502757738"/>
    <w:bookmarkStart w:id="17" w:name="_Hlk502757739"/>
    <w:bookmarkStart w:id="18" w:name="_Hlk30491084"/>
    <w:bookmarkStart w:id="19" w:name="_Hlk30491085"/>
  </w:p>
  <w:p w14:paraId="52B2BB58" w14:textId="77777777" w:rsidR="00122F7B" w:rsidRPr="00B040D6" w:rsidRDefault="00122F7B" w:rsidP="00122F7B">
    <w:pPr>
      <w:pStyle w:val="Header"/>
      <w:tabs>
        <w:tab w:val="clear" w:pos="4513"/>
        <w:tab w:val="clear" w:pos="9026"/>
        <w:tab w:val="right" w:leader="underscore" w:pos="9072"/>
      </w:tabs>
      <w:rPr>
        <w:rFonts w:ascii="Times New Roman" w:hAnsi="Times New Roman" w:cs="Times New Roman"/>
        <w:noProof/>
        <w:sz w:val="20"/>
        <w:szCs w:val="20"/>
        <w:lang w:val="en-US"/>
      </w:rPr>
    </w:pPr>
    <w:r w:rsidRPr="00B040D6">
      <w:rPr>
        <w:rFonts w:ascii="Times New Roman" w:hAnsi="Times New Roman" w:cs="Times New Roman"/>
        <w:noProof/>
        <w:sz w:val="20"/>
        <w:szCs w:val="20"/>
        <w:lang w:val="en-US"/>
      </w:rPr>
      <w:tab/>
    </w:r>
  </w:p>
  <w:bookmarkEnd w:id="11"/>
  <w:bookmarkEnd w:id="12"/>
  <w:bookmarkEnd w:id="13"/>
  <w:bookmarkEnd w:id="14"/>
  <w:bookmarkEnd w:id="15"/>
  <w:bookmarkEnd w:id="16"/>
  <w:bookmarkEnd w:id="17"/>
  <w:bookmarkEnd w:id="18"/>
  <w:bookmarkEnd w:id="19"/>
  <w:p w14:paraId="2DCA0120" w14:textId="77777777" w:rsidR="00122F7B" w:rsidRPr="00B040D6" w:rsidRDefault="00122F7B" w:rsidP="00122F7B">
    <w:pPr>
      <w:pStyle w:val="Header"/>
      <w:rPr>
        <w:rFonts w:ascii="Times New Roman" w:hAnsi="Times New Roman" w:cs="Times New Roman"/>
        <w:noProof/>
        <w:sz w:val="20"/>
        <w:szCs w:val="20"/>
        <w:lang w:val="en-US"/>
      </w:rPr>
    </w:pPr>
  </w:p>
  <w:p w14:paraId="6FD58C81" w14:textId="6A7EE5D1" w:rsidR="00732A1F" w:rsidRPr="00B040D6" w:rsidRDefault="00732A1F">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18E8" w14:textId="77777777" w:rsidR="001B1CAC" w:rsidRPr="00B040D6" w:rsidRDefault="001B1CAC" w:rsidP="001B1CAC">
    <w:pPr>
      <w:pBdr>
        <w:bottom w:val="single" w:sz="12" w:space="5" w:color="auto"/>
      </w:pBdr>
      <w:rPr>
        <w:rFonts w:ascii="Times New Roman" w:hAnsi="Times New Roman" w:cs="Times New Roman"/>
        <w:noProof/>
        <w:sz w:val="20"/>
        <w:szCs w:val="20"/>
        <w:lang w:val="en-US"/>
      </w:rPr>
    </w:pPr>
    <w:bookmarkStart w:id="20" w:name="_Hlk496261745"/>
    <w:bookmarkStart w:id="21" w:name="_Hlk496261746"/>
    <w:bookmarkStart w:id="22" w:name="_Hlk496261747"/>
    <w:bookmarkStart w:id="23" w:name="_Hlk30491063"/>
    <w:bookmarkStart w:id="24" w:name="_Hlk30491064"/>
  </w:p>
  <w:bookmarkEnd w:id="20"/>
  <w:bookmarkEnd w:id="21"/>
  <w:bookmarkEnd w:id="22"/>
  <w:bookmarkEnd w:id="23"/>
  <w:bookmarkEnd w:id="24"/>
  <w:p w14:paraId="1A8D38AD" w14:textId="77777777" w:rsidR="001B1CAC" w:rsidRPr="00B040D6" w:rsidRDefault="001B1CAC" w:rsidP="001B1CAC">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45515"/>
    <w:multiLevelType w:val="hybridMultilevel"/>
    <w:tmpl w:val="85D49112"/>
    <w:lvl w:ilvl="0" w:tplc="F8DEFBEC">
      <w:start w:val="1"/>
      <w:numFmt w:val="decimal"/>
      <w:lvlText w:val="%1."/>
      <w:lvlJc w:val="left"/>
      <w:pPr>
        <w:ind w:left="642" w:hanging="290"/>
      </w:pPr>
      <w:rPr>
        <w:rFonts w:ascii="Times New Roman" w:eastAsia="Times New Roman" w:hAnsi="Times New Roman" w:hint="default"/>
        <w:color w:val="292425"/>
        <w:spacing w:val="-1"/>
        <w:sz w:val="22"/>
        <w:szCs w:val="22"/>
      </w:rPr>
    </w:lvl>
    <w:lvl w:ilvl="1" w:tplc="198EC778">
      <w:start w:val="1"/>
      <w:numFmt w:val="bullet"/>
      <w:lvlText w:val="•"/>
      <w:lvlJc w:val="left"/>
      <w:pPr>
        <w:ind w:left="1279" w:hanging="290"/>
      </w:pPr>
      <w:rPr>
        <w:rFonts w:hint="default"/>
      </w:rPr>
    </w:lvl>
    <w:lvl w:ilvl="2" w:tplc="E662DFF0">
      <w:start w:val="1"/>
      <w:numFmt w:val="bullet"/>
      <w:lvlText w:val="•"/>
      <w:lvlJc w:val="left"/>
      <w:pPr>
        <w:ind w:left="1916" w:hanging="290"/>
      </w:pPr>
      <w:rPr>
        <w:rFonts w:hint="default"/>
      </w:rPr>
    </w:lvl>
    <w:lvl w:ilvl="3" w:tplc="A64E6F72">
      <w:start w:val="1"/>
      <w:numFmt w:val="bullet"/>
      <w:lvlText w:val="•"/>
      <w:lvlJc w:val="left"/>
      <w:pPr>
        <w:ind w:left="2553" w:hanging="290"/>
      </w:pPr>
      <w:rPr>
        <w:rFonts w:hint="default"/>
      </w:rPr>
    </w:lvl>
    <w:lvl w:ilvl="4" w:tplc="D068E5CC">
      <w:start w:val="1"/>
      <w:numFmt w:val="bullet"/>
      <w:lvlText w:val="•"/>
      <w:lvlJc w:val="left"/>
      <w:pPr>
        <w:ind w:left="3190" w:hanging="290"/>
      </w:pPr>
      <w:rPr>
        <w:rFonts w:hint="default"/>
      </w:rPr>
    </w:lvl>
    <w:lvl w:ilvl="5" w:tplc="7A081892">
      <w:start w:val="1"/>
      <w:numFmt w:val="bullet"/>
      <w:lvlText w:val="•"/>
      <w:lvlJc w:val="left"/>
      <w:pPr>
        <w:ind w:left="3828" w:hanging="290"/>
      </w:pPr>
      <w:rPr>
        <w:rFonts w:hint="default"/>
      </w:rPr>
    </w:lvl>
    <w:lvl w:ilvl="6" w:tplc="049A0258">
      <w:start w:val="1"/>
      <w:numFmt w:val="bullet"/>
      <w:lvlText w:val="•"/>
      <w:lvlJc w:val="left"/>
      <w:pPr>
        <w:ind w:left="4465" w:hanging="290"/>
      </w:pPr>
      <w:rPr>
        <w:rFonts w:hint="default"/>
      </w:rPr>
    </w:lvl>
    <w:lvl w:ilvl="7" w:tplc="56F6760E">
      <w:start w:val="1"/>
      <w:numFmt w:val="bullet"/>
      <w:lvlText w:val="•"/>
      <w:lvlJc w:val="left"/>
      <w:pPr>
        <w:ind w:left="5102" w:hanging="290"/>
      </w:pPr>
      <w:rPr>
        <w:rFonts w:hint="default"/>
      </w:rPr>
    </w:lvl>
    <w:lvl w:ilvl="8" w:tplc="997825EA">
      <w:start w:val="1"/>
      <w:numFmt w:val="bullet"/>
      <w:lvlText w:val="•"/>
      <w:lvlJc w:val="left"/>
      <w:pPr>
        <w:ind w:left="5739" w:hanging="290"/>
      </w:pPr>
      <w:rPr>
        <w:rFonts w:hint="default"/>
      </w:rPr>
    </w:lvl>
  </w:abstractNum>
  <w:abstractNum w:abstractNumId="1" w15:restartNumberingAfterBreak="0">
    <w:nsid w:val="6621494A"/>
    <w:multiLevelType w:val="hybridMultilevel"/>
    <w:tmpl w:val="C2C8F8C6"/>
    <w:lvl w:ilvl="0" w:tplc="579A1DBA">
      <w:start w:val="1"/>
      <w:numFmt w:val="decimal"/>
      <w:lvlText w:val="%1."/>
      <w:lvlJc w:val="left"/>
      <w:pPr>
        <w:ind w:left="125" w:hanging="220"/>
      </w:pPr>
      <w:rPr>
        <w:rFonts w:ascii="Times New Roman" w:eastAsia="Times New Roman" w:hAnsi="Times New Roman" w:hint="default"/>
        <w:color w:val="292425"/>
        <w:spacing w:val="-1"/>
        <w:sz w:val="22"/>
        <w:szCs w:val="22"/>
      </w:rPr>
    </w:lvl>
    <w:lvl w:ilvl="1" w:tplc="F274D916">
      <w:start w:val="1"/>
      <w:numFmt w:val="bullet"/>
      <w:lvlText w:val="•"/>
      <w:lvlJc w:val="left"/>
      <w:pPr>
        <w:ind w:left="814" w:hanging="220"/>
      </w:pPr>
      <w:rPr>
        <w:rFonts w:hint="default"/>
      </w:rPr>
    </w:lvl>
    <w:lvl w:ilvl="2" w:tplc="B3F2FC8E">
      <w:start w:val="1"/>
      <w:numFmt w:val="bullet"/>
      <w:lvlText w:val="•"/>
      <w:lvlJc w:val="left"/>
      <w:pPr>
        <w:ind w:left="1503" w:hanging="220"/>
      </w:pPr>
      <w:rPr>
        <w:rFonts w:hint="default"/>
      </w:rPr>
    </w:lvl>
    <w:lvl w:ilvl="3" w:tplc="605ACC46">
      <w:start w:val="1"/>
      <w:numFmt w:val="bullet"/>
      <w:lvlText w:val="•"/>
      <w:lvlJc w:val="left"/>
      <w:pPr>
        <w:ind w:left="2192" w:hanging="220"/>
      </w:pPr>
      <w:rPr>
        <w:rFonts w:hint="default"/>
      </w:rPr>
    </w:lvl>
    <w:lvl w:ilvl="4" w:tplc="5428DD98">
      <w:start w:val="1"/>
      <w:numFmt w:val="bullet"/>
      <w:lvlText w:val="•"/>
      <w:lvlJc w:val="left"/>
      <w:pPr>
        <w:ind w:left="2881" w:hanging="220"/>
      </w:pPr>
      <w:rPr>
        <w:rFonts w:hint="default"/>
      </w:rPr>
    </w:lvl>
    <w:lvl w:ilvl="5" w:tplc="8C1EE610">
      <w:start w:val="1"/>
      <w:numFmt w:val="bullet"/>
      <w:lvlText w:val="•"/>
      <w:lvlJc w:val="left"/>
      <w:pPr>
        <w:ind w:left="3569" w:hanging="220"/>
      </w:pPr>
      <w:rPr>
        <w:rFonts w:hint="default"/>
      </w:rPr>
    </w:lvl>
    <w:lvl w:ilvl="6" w:tplc="7918F91A">
      <w:start w:val="1"/>
      <w:numFmt w:val="bullet"/>
      <w:lvlText w:val="•"/>
      <w:lvlJc w:val="left"/>
      <w:pPr>
        <w:ind w:left="4258" w:hanging="220"/>
      </w:pPr>
      <w:rPr>
        <w:rFonts w:hint="default"/>
      </w:rPr>
    </w:lvl>
    <w:lvl w:ilvl="7" w:tplc="098CA434">
      <w:start w:val="1"/>
      <w:numFmt w:val="bullet"/>
      <w:lvlText w:val="•"/>
      <w:lvlJc w:val="left"/>
      <w:pPr>
        <w:ind w:left="4947" w:hanging="220"/>
      </w:pPr>
      <w:rPr>
        <w:rFonts w:hint="default"/>
      </w:rPr>
    </w:lvl>
    <w:lvl w:ilvl="8" w:tplc="E06058EE">
      <w:start w:val="1"/>
      <w:numFmt w:val="bullet"/>
      <w:lvlText w:val="•"/>
      <w:lvlJc w:val="left"/>
      <w:pPr>
        <w:ind w:left="5636" w:hanging="220"/>
      </w:pPr>
      <w:rPr>
        <w:rFonts w:hint="default"/>
      </w:rPr>
    </w:lvl>
  </w:abstractNum>
  <w:abstractNum w:abstractNumId="2" w15:restartNumberingAfterBreak="0">
    <w:nsid w:val="6E6D1AB0"/>
    <w:multiLevelType w:val="hybridMultilevel"/>
    <w:tmpl w:val="0D8E4958"/>
    <w:lvl w:ilvl="0" w:tplc="44FCD6F2">
      <w:start w:val="1"/>
      <w:numFmt w:val="lowerRoman"/>
      <w:lvlText w:val="(%1)"/>
      <w:lvlJc w:val="left"/>
      <w:pPr>
        <w:ind w:left="976" w:hanging="336"/>
      </w:pPr>
      <w:rPr>
        <w:rFonts w:ascii="Times New Roman" w:eastAsia="Times New Roman" w:hAnsi="Times New Roman" w:hint="default"/>
        <w:color w:val="292425"/>
        <w:spacing w:val="6"/>
        <w:sz w:val="22"/>
        <w:szCs w:val="22"/>
      </w:rPr>
    </w:lvl>
    <w:lvl w:ilvl="1" w:tplc="812E2FDE">
      <w:start w:val="1"/>
      <w:numFmt w:val="bullet"/>
      <w:lvlText w:val="•"/>
      <w:lvlJc w:val="left"/>
      <w:pPr>
        <w:ind w:left="1579" w:hanging="336"/>
      </w:pPr>
      <w:rPr>
        <w:rFonts w:hint="default"/>
      </w:rPr>
    </w:lvl>
    <w:lvl w:ilvl="2" w:tplc="D340C398">
      <w:start w:val="1"/>
      <w:numFmt w:val="bullet"/>
      <w:lvlText w:val="•"/>
      <w:lvlJc w:val="left"/>
      <w:pPr>
        <w:ind w:left="2183" w:hanging="336"/>
      </w:pPr>
      <w:rPr>
        <w:rFonts w:hint="default"/>
      </w:rPr>
    </w:lvl>
    <w:lvl w:ilvl="3" w:tplc="211A5AEA">
      <w:start w:val="1"/>
      <w:numFmt w:val="bullet"/>
      <w:lvlText w:val="•"/>
      <w:lvlJc w:val="left"/>
      <w:pPr>
        <w:ind w:left="2787" w:hanging="336"/>
      </w:pPr>
      <w:rPr>
        <w:rFonts w:hint="default"/>
      </w:rPr>
    </w:lvl>
    <w:lvl w:ilvl="4" w:tplc="18C838DA">
      <w:start w:val="1"/>
      <w:numFmt w:val="bullet"/>
      <w:lvlText w:val="•"/>
      <w:lvlJc w:val="left"/>
      <w:pPr>
        <w:ind w:left="3391" w:hanging="336"/>
      </w:pPr>
      <w:rPr>
        <w:rFonts w:hint="default"/>
      </w:rPr>
    </w:lvl>
    <w:lvl w:ilvl="5" w:tplc="6F767BE8">
      <w:start w:val="1"/>
      <w:numFmt w:val="bullet"/>
      <w:lvlText w:val="•"/>
      <w:lvlJc w:val="left"/>
      <w:pPr>
        <w:ind w:left="3995" w:hanging="336"/>
      </w:pPr>
      <w:rPr>
        <w:rFonts w:hint="default"/>
      </w:rPr>
    </w:lvl>
    <w:lvl w:ilvl="6" w:tplc="DA04627C">
      <w:start w:val="1"/>
      <w:numFmt w:val="bullet"/>
      <w:lvlText w:val="•"/>
      <w:lvlJc w:val="left"/>
      <w:pPr>
        <w:ind w:left="4598" w:hanging="336"/>
      </w:pPr>
      <w:rPr>
        <w:rFonts w:hint="default"/>
      </w:rPr>
    </w:lvl>
    <w:lvl w:ilvl="7" w:tplc="9DA652AA">
      <w:start w:val="1"/>
      <w:numFmt w:val="bullet"/>
      <w:lvlText w:val="•"/>
      <w:lvlJc w:val="left"/>
      <w:pPr>
        <w:ind w:left="5202" w:hanging="336"/>
      </w:pPr>
      <w:rPr>
        <w:rFonts w:hint="default"/>
      </w:rPr>
    </w:lvl>
    <w:lvl w:ilvl="8" w:tplc="DE7A6EC4">
      <w:start w:val="1"/>
      <w:numFmt w:val="bullet"/>
      <w:lvlText w:val="•"/>
      <w:lvlJc w:val="left"/>
      <w:pPr>
        <w:ind w:left="5806" w:hanging="336"/>
      </w:pPr>
      <w:rPr>
        <w:rFonts w:hint="default"/>
      </w:rPr>
    </w:lvl>
  </w:abstractNum>
  <w:abstractNum w:abstractNumId="3" w15:restartNumberingAfterBreak="0">
    <w:nsid w:val="7D28484D"/>
    <w:multiLevelType w:val="hybridMultilevel"/>
    <w:tmpl w:val="CB48FDD6"/>
    <w:lvl w:ilvl="0" w:tplc="C8EE02DA">
      <w:start w:val="1"/>
      <w:numFmt w:val="bullet"/>
      <w:lvlText w:val="*"/>
      <w:lvlJc w:val="left"/>
      <w:pPr>
        <w:ind w:left="202" w:hanging="104"/>
      </w:pPr>
      <w:rPr>
        <w:rFonts w:ascii="Trebuchet MS" w:eastAsia="Trebuchet MS" w:hAnsi="Trebuchet MS" w:hint="default"/>
        <w:color w:val="292425"/>
        <w:w w:val="119"/>
        <w:sz w:val="15"/>
        <w:szCs w:val="15"/>
      </w:rPr>
    </w:lvl>
    <w:lvl w:ilvl="1" w:tplc="CE067600">
      <w:start w:val="1"/>
      <w:numFmt w:val="upperRoman"/>
      <w:lvlText w:val="%2"/>
      <w:lvlJc w:val="left"/>
      <w:pPr>
        <w:ind w:left="652" w:hanging="118"/>
      </w:pPr>
      <w:rPr>
        <w:rFonts w:ascii="Trebuchet MS" w:eastAsia="Trebuchet MS" w:hAnsi="Trebuchet MS" w:hint="default"/>
        <w:b/>
        <w:bCs/>
        <w:color w:val="292425"/>
        <w:w w:val="112"/>
        <w:sz w:val="21"/>
        <w:szCs w:val="21"/>
      </w:rPr>
    </w:lvl>
    <w:lvl w:ilvl="2" w:tplc="44FCC2E4">
      <w:start w:val="1"/>
      <w:numFmt w:val="bullet"/>
      <w:lvlText w:val="•"/>
      <w:lvlJc w:val="left"/>
      <w:pPr>
        <w:ind w:left="1324" w:hanging="118"/>
      </w:pPr>
      <w:rPr>
        <w:rFonts w:hint="default"/>
      </w:rPr>
    </w:lvl>
    <w:lvl w:ilvl="3" w:tplc="2DF463EE">
      <w:start w:val="1"/>
      <w:numFmt w:val="bullet"/>
      <w:lvlText w:val="•"/>
      <w:lvlJc w:val="left"/>
      <w:pPr>
        <w:ind w:left="1995" w:hanging="118"/>
      </w:pPr>
      <w:rPr>
        <w:rFonts w:hint="default"/>
      </w:rPr>
    </w:lvl>
    <w:lvl w:ilvl="4" w:tplc="31D4128A">
      <w:start w:val="1"/>
      <w:numFmt w:val="bullet"/>
      <w:lvlText w:val="•"/>
      <w:lvlJc w:val="left"/>
      <w:pPr>
        <w:ind w:left="2666" w:hanging="118"/>
      </w:pPr>
      <w:rPr>
        <w:rFonts w:hint="default"/>
      </w:rPr>
    </w:lvl>
    <w:lvl w:ilvl="5" w:tplc="AABEC14E">
      <w:start w:val="1"/>
      <w:numFmt w:val="bullet"/>
      <w:lvlText w:val="•"/>
      <w:lvlJc w:val="left"/>
      <w:pPr>
        <w:ind w:left="3337" w:hanging="118"/>
      </w:pPr>
      <w:rPr>
        <w:rFonts w:hint="default"/>
      </w:rPr>
    </w:lvl>
    <w:lvl w:ilvl="6" w:tplc="87CC292A">
      <w:start w:val="1"/>
      <w:numFmt w:val="bullet"/>
      <w:lvlText w:val="•"/>
      <w:lvlJc w:val="left"/>
      <w:pPr>
        <w:ind w:left="4009" w:hanging="118"/>
      </w:pPr>
      <w:rPr>
        <w:rFonts w:hint="default"/>
      </w:rPr>
    </w:lvl>
    <w:lvl w:ilvl="7" w:tplc="827C3B34">
      <w:start w:val="1"/>
      <w:numFmt w:val="bullet"/>
      <w:lvlText w:val="•"/>
      <w:lvlJc w:val="left"/>
      <w:pPr>
        <w:ind w:left="4680" w:hanging="118"/>
      </w:pPr>
      <w:rPr>
        <w:rFonts w:hint="default"/>
      </w:rPr>
    </w:lvl>
    <w:lvl w:ilvl="8" w:tplc="C1963FF4">
      <w:start w:val="1"/>
      <w:numFmt w:val="bullet"/>
      <w:lvlText w:val="•"/>
      <w:lvlJc w:val="left"/>
      <w:pPr>
        <w:ind w:left="5351" w:hanging="118"/>
      </w:pPr>
      <w:rPr>
        <w:rFonts w:hint="default"/>
      </w:rPr>
    </w:lvl>
  </w:abstractNum>
  <w:abstractNum w:abstractNumId="4" w15:restartNumberingAfterBreak="0">
    <w:nsid w:val="7D8F2822"/>
    <w:multiLevelType w:val="hybridMultilevel"/>
    <w:tmpl w:val="B802DB8C"/>
    <w:lvl w:ilvl="0" w:tplc="114E32D2">
      <w:start w:val="1"/>
      <w:numFmt w:val="decimal"/>
      <w:lvlText w:val="%1."/>
      <w:lvlJc w:val="left"/>
      <w:pPr>
        <w:ind w:left="629" w:hanging="284"/>
      </w:pPr>
      <w:rPr>
        <w:rFonts w:ascii="Times New Roman" w:eastAsia="Times New Roman" w:hAnsi="Times New Roman" w:hint="default"/>
        <w:color w:val="292425"/>
        <w:spacing w:val="-1"/>
        <w:sz w:val="22"/>
        <w:szCs w:val="22"/>
      </w:rPr>
    </w:lvl>
    <w:lvl w:ilvl="1" w:tplc="2C4E3ACE">
      <w:start w:val="1"/>
      <w:numFmt w:val="lowerLetter"/>
      <w:lvlText w:val="(%2)"/>
      <w:lvlJc w:val="left"/>
      <w:pPr>
        <w:ind w:left="936" w:hanging="328"/>
      </w:pPr>
      <w:rPr>
        <w:rFonts w:ascii="Times New Roman" w:eastAsia="Times New Roman" w:hAnsi="Times New Roman" w:hint="default"/>
        <w:color w:val="292425"/>
        <w:spacing w:val="6"/>
        <w:sz w:val="22"/>
        <w:szCs w:val="22"/>
      </w:rPr>
    </w:lvl>
    <w:lvl w:ilvl="2" w:tplc="7A1E2E06">
      <w:start w:val="1"/>
      <w:numFmt w:val="bullet"/>
      <w:lvlText w:val="•"/>
      <w:lvlJc w:val="left"/>
      <w:pPr>
        <w:ind w:left="1569" w:hanging="328"/>
      </w:pPr>
      <w:rPr>
        <w:rFonts w:hint="default"/>
      </w:rPr>
    </w:lvl>
    <w:lvl w:ilvl="3" w:tplc="E0B0517E">
      <w:start w:val="1"/>
      <w:numFmt w:val="bullet"/>
      <w:lvlText w:val="•"/>
      <w:lvlJc w:val="left"/>
      <w:pPr>
        <w:ind w:left="2202" w:hanging="328"/>
      </w:pPr>
      <w:rPr>
        <w:rFonts w:hint="default"/>
      </w:rPr>
    </w:lvl>
    <w:lvl w:ilvl="4" w:tplc="BA34D8FA">
      <w:start w:val="1"/>
      <w:numFmt w:val="bullet"/>
      <w:lvlText w:val="•"/>
      <w:lvlJc w:val="left"/>
      <w:pPr>
        <w:ind w:left="2835" w:hanging="328"/>
      </w:pPr>
      <w:rPr>
        <w:rFonts w:hint="default"/>
      </w:rPr>
    </w:lvl>
    <w:lvl w:ilvl="5" w:tplc="698A4118">
      <w:start w:val="1"/>
      <w:numFmt w:val="bullet"/>
      <w:lvlText w:val="•"/>
      <w:lvlJc w:val="left"/>
      <w:pPr>
        <w:ind w:left="3468" w:hanging="328"/>
      </w:pPr>
      <w:rPr>
        <w:rFonts w:hint="default"/>
      </w:rPr>
    </w:lvl>
    <w:lvl w:ilvl="6" w:tplc="C714EF18">
      <w:start w:val="1"/>
      <w:numFmt w:val="bullet"/>
      <w:lvlText w:val="•"/>
      <w:lvlJc w:val="left"/>
      <w:pPr>
        <w:ind w:left="4101" w:hanging="328"/>
      </w:pPr>
      <w:rPr>
        <w:rFonts w:hint="default"/>
      </w:rPr>
    </w:lvl>
    <w:lvl w:ilvl="7" w:tplc="F9B41F90">
      <w:start w:val="1"/>
      <w:numFmt w:val="bullet"/>
      <w:lvlText w:val="•"/>
      <w:lvlJc w:val="left"/>
      <w:pPr>
        <w:ind w:left="4734" w:hanging="328"/>
      </w:pPr>
      <w:rPr>
        <w:rFonts w:hint="default"/>
      </w:rPr>
    </w:lvl>
    <w:lvl w:ilvl="8" w:tplc="207C97A2">
      <w:start w:val="1"/>
      <w:numFmt w:val="bullet"/>
      <w:lvlText w:val="•"/>
      <w:lvlJc w:val="left"/>
      <w:pPr>
        <w:ind w:left="5367" w:hanging="328"/>
      </w:pPr>
      <w:rPr>
        <w:rFonts w:hint="default"/>
      </w:rPr>
    </w:lvl>
  </w:abstractNum>
  <w:num w:numId="1" w16cid:durableId="1001783855">
    <w:abstractNumId w:val="2"/>
  </w:num>
  <w:num w:numId="2" w16cid:durableId="669334969">
    <w:abstractNumId w:val="1"/>
  </w:num>
  <w:num w:numId="3" w16cid:durableId="1281492337">
    <w:abstractNumId w:val="4"/>
  </w:num>
  <w:num w:numId="4" w16cid:durableId="338584635">
    <w:abstractNumId w:val="0"/>
  </w:num>
  <w:num w:numId="5" w16cid:durableId="350764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2A1F"/>
    <w:rsid w:val="00122F7B"/>
    <w:rsid w:val="001B1CAC"/>
    <w:rsid w:val="001C36C5"/>
    <w:rsid w:val="00271705"/>
    <w:rsid w:val="00302CDB"/>
    <w:rsid w:val="003161B7"/>
    <w:rsid w:val="0047386B"/>
    <w:rsid w:val="004E2041"/>
    <w:rsid w:val="005D5CEE"/>
    <w:rsid w:val="00686BE1"/>
    <w:rsid w:val="006E4F30"/>
    <w:rsid w:val="00732A1F"/>
    <w:rsid w:val="00746CCF"/>
    <w:rsid w:val="0075326E"/>
    <w:rsid w:val="00911ECC"/>
    <w:rsid w:val="00A17BEE"/>
    <w:rsid w:val="00A605A6"/>
    <w:rsid w:val="00B040D6"/>
    <w:rsid w:val="00B10B84"/>
    <w:rsid w:val="00C51159"/>
    <w:rsid w:val="00EC586E"/>
    <w:rsid w:val="00FD6A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FD5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rebuchet MS" w:eastAsia="Trebuchet MS" w:hAnsi="Trebuchet MS"/>
      <w:sz w:val="29"/>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 w:firstLine="51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161B7"/>
    <w:pPr>
      <w:tabs>
        <w:tab w:val="center" w:pos="4513"/>
        <w:tab w:val="right" w:pos="9026"/>
      </w:tabs>
    </w:pPr>
  </w:style>
  <w:style w:type="character" w:customStyle="1" w:styleId="HeaderChar">
    <w:name w:val="Header Char"/>
    <w:basedOn w:val="DefaultParagraphFont"/>
    <w:link w:val="Header"/>
    <w:rsid w:val="003161B7"/>
  </w:style>
  <w:style w:type="paragraph" w:styleId="Footer">
    <w:name w:val="footer"/>
    <w:basedOn w:val="Normal"/>
    <w:link w:val="FooterChar"/>
    <w:unhideWhenUsed/>
    <w:rsid w:val="003161B7"/>
    <w:pPr>
      <w:tabs>
        <w:tab w:val="center" w:pos="4513"/>
        <w:tab w:val="right" w:pos="9026"/>
      </w:tabs>
    </w:pPr>
  </w:style>
  <w:style w:type="character" w:customStyle="1" w:styleId="FooterChar">
    <w:name w:val="Footer Char"/>
    <w:basedOn w:val="DefaultParagraphFont"/>
    <w:link w:val="Footer"/>
    <w:rsid w:val="003161B7"/>
  </w:style>
  <w:style w:type="paragraph" w:styleId="FootnoteText">
    <w:name w:val="footnote text"/>
    <w:basedOn w:val="Normal"/>
    <w:link w:val="FootnoteTextChar"/>
    <w:uiPriority w:val="99"/>
    <w:semiHidden/>
    <w:unhideWhenUsed/>
    <w:rsid w:val="0047386B"/>
    <w:rPr>
      <w:sz w:val="20"/>
      <w:szCs w:val="20"/>
    </w:rPr>
  </w:style>
  <w:style w:type="character" w:customStyle="1" w:styleId="FootnoteTextChar">
    <w:name w:val="Footnote Text Char"/>
    <w:basedOn w:val="DefaultParagraphFont"/>
    <w:link w:val="FootnoteText"/>
    <w:uiPriority w:val="99"/>
    <w:semiHidden/>
    <w:rsid w:val="0047386B"/>
    <w:rPr>
      <w:sz w:val="20"/>
      <w:szCs w:val="20"/>
    </w:rPr>
  </w:style>
  <w:style w:type="character" w:styleId="FootnoteReference">
    <w:name w:val="footnote reference"/>
    <w:basedOn w:val="DefaultParagraphFont"/>
    <w:uiPriority w:val="99"/>
    <w:semiHidden/>
    <w:unhideWhenUsed/>
    <w:rsid w:val="0047386B"/>
    <w:rPr>
      <w:vertAlign w:val="superscript"/>
    </w:rPr>
  </w:style>
  <w:style w:type="character" w:styleId="PageNumber">
    <w:name w:val="page number"/>
    <w:basedOn w:val="DefaultParagraphFont"/>
    <w:semiHidden/>
    <w:rsid w:val="00A6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7EAC7-E13D-4CB3-B76F-E82E02029A2F}">
  <ds:schemaRefs>
    <ds:schemaRef ds:uri="http://schemas.microsoft.com/sharepoint/v3/contenttype/forms"/>
  </ds:schemaRefs>
</ds:datastoreItem>
</file>

<file path=customXml/itemProps2.xml><?xml version="1.0" encoding="utf-8"?>
<ds:datastoreItem xmlns:ds="http://schemas.openxmlformats.org/officeDocument/2006/customXml" ds:itemID="{FC446E02-0B3C-431C-9F9F-B4C0571246A3}"/>
</file>

<file path=customXml/itemProps3.xml><?xml version="1.0" encoding="utf-8"?>
<ds:datastoreItem xmlns:ds="http://schemas.openxmlformats.org/officeDocument/2006/customXml" ds:itemID="{FA6A9AF9-5FE7-4E06-BBC5-054C2EE6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5378</Words>
  <Characters>3066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2022-04-08T12:10:00Z</dcterms:created>
  <dcterms:modified xsi:type="dcterms:W3CDTF">2022-07-28T09:03:00Z</dcterms:modified>
</cp:coreProperties>
</file>