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9D" w:rsidRPr="000A07D4" w:rsidRDefault="00D5679D" w:rsidP="000A07D4">
      <w:pPr>
        <w:jc w:val="center"/>
        <w:rPr>
          <w:rFonts w:ascii="Times New Roman" w:eastAsia="Arial" w:hAnsi="Times New Roman" w:cs="Arial"/>
          <w:noProof/>
          <w:sz w:val="24"/>
          <w:szCs w:val="20"/>
        </w:rPr>
      </w:pPr>
    </w:p>
    <w:p w:rsidR="00D5679D" w:rsidRDefault="00511004" w:rsidP="000A07D4">
      <w:pPr>
        <w:jc w:val="center"/>
        <w:rPr>
          <w:rFonts w:ascii="Times New Roman" w:eastAsia="Arial" w:hAnsi="Times New Roman" w:cs="Arial"/>
          <w:noProof/>
          <w:sz w:val="24"/>
        </w:rPr>
      </w:pPr>
      <w:r>
        <w:rPr>
          <w:rFonts w:ascii="Times New Roman" w:eastAsia="Arial" w:hAnsi="Times New Roman" w:cs="Arial"/>
          <w:noProof/>
          <w:sz w:val="24"/>
          <w:lang w:eastAsia="lv-LV"/>
        </w:rPr>
        <w:drawing>
          <wp:inline distT="0" distB="0" distL="0" distR="0">
            <wp:extent cx="1685925" cy="155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412" cy="1563130"/>
                    </a:xfrm>
                    <a:prstGeom prst="rect">
                      <a:avLst/>
                    </a:prstGeom>
                    <a:noFill/>
                    <a:ln>
                      <a:noFill/>
                    </a:ln>
                  </pic:spPr>
                </pic:pic>
              </a:graphicData>
            </a:graphic>
          </wp:inline>
        </w:drawing>
      </w: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hAnsi="Times New Roman"/>
          <w:sz w:val="24"/>
        </w:rPr>
      </w:pPr>
    </w:p>
    <w:p w:rsidR="00511004" w:rsidRPr="000A07D4" w:rsidRDefault="00511004" w:rsidP="000A07D4">
      <w:pPr>
        <w:jc w:val="center"/>
        <w:rPr>
          <w:rFonts w:ascii="Times New Roman" w:eastAsia="Arial" w:hAnsi="Times New Roman" w:cs="Arial"/>
          <w:noProof/>
          <w:sz w:val="24"/>
        </w:rPr>
      </w:pPr>
    </w:p>
    <w:p w:rsidR="00C93CAF" w:rsidRDefault="00C93CAF"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Default="000A07D4" w:rsidP="000A07D4">
      <w:pPr>
        <w:jc w:val="center"/>
        <w:rPr>
          <w:rFonts w:ascii="Times New Roman" w:eastAsia="Arial" w:hAnsi="Times New Roman" w:cs="Arial"/>
          <w:noProof/>
          <w:sz w:val="24"/>
        </w:rPr>
      </w:pPr>
    </w:p>
    <w:p w:rsidR="000A07D4" w:rsidRPr="000A07D4" w:rsidRDefault="000A07D4" w:rsidP="000A07D4">
      <w:pPr>
        <w:jc w:val="center"/>
        <w:rPr>
          <w:rFonts w:ascii="Times New Roman" w:eastAsia="Arial" w:hAnsi="Times New Roman" w:cs="Arial"/>
          <w:noProof/>
          <w:sz w:val="24"/>
        </w:rPr>
      </w:pPr>
    </w:p>
    <w:p w:rsidR="00D5679D" w:rsidRPr="000A07D4" w:rsidRDefault="00D5679D" w:rsidP="000A07D4">
      <w:pPr>
        <w:pStyle w:val="Heading5"/>
        <w:spacing w:before="0"/>
        <w:jc w:val="center"/>
        <w:rPr>
          <w:rFonts w:ascii="Times New Roman" w:hAnsi="Times New Roman"/>
          <w:noProof/>
          <w:sz w:val="24"/>
        </w:rPr>
      </w:pPr>
      <w:r w:rsidRPr="000A07D4">
        <w:rPr>
          <w:rFonts w:ascii="Times New Roman" w:hAnsi="Times New Roman"/>
          <w:sz w:val="24"/>
        </w:rPr>
        <w:t>IETEIKUMS PIEAUGUŠO IZGLĪTĪBAS JOMĀ</w:t>
      </w:r>
    </w:p>
    <w:p w:rsidR="000A07D4" w:rsidRDefault="000A07D4">
      <w:pPr>
        <w:rPr>
          <w:rFonts w:ascii="Times New Roman" w:eastAsia="Arial" w:hAnsi="Times New Roman" w:cs="Arial"/>
          <w:b/>
          <w:bCs/>
          <w:noProof/>
          <w:sz w:val="24"/>
          <w:szCs w:val="27"/>
        </w:rPr>
      </w:pPr>
      <w:r>
        <w:rPr>
          <w:rFonts w:ascii="Times New Roman" w:eastAsia="Arial" w:hAnsi="Times New Roman" w:cs="Arial"/>
          <w:b/>
          <w:bCs/>
          <w:noProof/>
          <w:sz w:val="24"/>
          <w:szCs w:val="27"/>
        </w:rPr>
        <w:br w:type="page"/>
      </w:r>
    </w:p>
    <w:p w:rsidR="000A07D4" w:rsidRPr="000A07D4" w:rsidRDefault="000A07D4" w:rsidP="000A07D4">
      <w:pPr>
        <w:pStyle w:val="Heading5"/>
        <w:spacing w:before="0"/>
        <w:jc w:val="center"/>
        <w:rPr>
          <w:rFonts w:ascii="Times New Roman" w:hAnsi="Times New Roman"/>
          <w:noProof/>
          <w:sz w:val="24"/>
        </w:rPr>
      </w:pPr>
      <w:r w:rsidRPr="000A07D4">
        <w:rPr>
          <w:rFonts w:ascii="Times New Roman" w:hAnsi="Times New Roman"/>
          <w:sz w:val="24"/>
        </w:rPr>
        <w:lastRenderedPageBreak/>
        <w:t>IETEIKUMS PIEAUGUŠO IZGLĪTĪBAS JOMĀ</w:t>
      </w:r>
    </w:p>
    <w:p w:rsidR="000A07D4" w:rsidRPr="000A07D4" w:rsidRDefault="000A07D4" w:rsidP="000A07D4">
      <w:pPr>
        <w:jc w:val="both"/>
        <w:rPr>
          <w:rFonts w:ascii="Times New Roman" w:eastAsia="Arial" w:hAnsi="Times New Roman" w:cs="Arial"/>
          <w:b/>
          <w:bCs/>
          <w:noProof/>
          <w:sz w:val="24"/>
          <w:szCs w:val="27"/>
        </w:rPr>
      </w:pPr>
    </w:p>
    <w:p w:rsidR="00D5679D" w:rsidRPr="000A07D4" w:rsidRDefault="00D5679D" w:rsidP="000A07D4">
      <w:pPr>
        <w:pStyle w:val="Heading8"/>
        <w:ind w:left="0"/>
        <w:jc w:val="both"/>
        <w:rPr>
          <w:rFonts w:ascii="Times New Roman" w:hAnsi="Times New Roman"/>
          <w:noProof/>
          <w:sz w:val="24"/>
        </w:rPr>
      </w:pPr>
      <w:r w:rsidRPr="000A07D4">
        <w:rPr>
          <w:rFonts w:ascii="Times New Roman" w:hAnsi="Times New Roman"/>
          <w:sz w:val="24"/>
        </w:rPr>
        <w:t>Preambula</w:t>
      </w:r>
    </w:p>
    <w:p w:rsidR="00D5679D" w:rsidRPr="000A07D4" w:rsidRDefault="00D5679D" w:rsidP="000A07D4">
      <w:pPr>
        <w:jc w:val="both"/>
        <w:rPr>
          <w:rFonts w:ascii="Times New Roman" w:eastAsia="Arial" w:hAnsi="Times New Roman" w:cs="Arial"/>
          <w:b/>
          <w:bCs/>
          <w:noProof/>
          <w:sz w:val="24"/>
          <w:szCs w:val="20"/>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sz w:val="24"/>
        </w:rPr>
        <w:t>Apvienoto Nāciju Izglītības, zinātnes un kultūras organizācijas (UNESCO) Ģenerālā konference, kuras 38. sesija notika Parīzē no 2015. gada 3. līdz 18. novembrim,</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atgādinot</w:t>
      </w:r>
      <w:r w:rsidRPr="000A07D4">
        <w:rPr>
          <w:rFonts w:ascii="Times New Roman" w:hAnsi="Times New Roman"/>
          <w:sz w:val="24"/>
        </w:rPr>
        <w:t xml:space="preserve"> par principiem, kas izklāstīti Vispārējās cilvēktiesību deklarācijas 26. pantā (1948. gads), Starptautiskā pakta par ekonomiskajām, sociālajām un kultūras tiesībām 13. pantā (1966. gads), Konvencijas par jebkādas sieviešu diskriminācijas izskaušanu 10. pantā (1979. gads), Konvencijas par bērnu tiesībām 28. un 29. pantā (1989. gads), kā arī Konvencijas par personu ar invaliditāti tiesībām 24. pantā (2006. gads), un atgādinot par principiem, kas ietverti Konvencijā pret diskrimināciju izglītībā (1960. gads),</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vēlreiz apstiprinot</w:t>
      </w:r>
      <w:r w:rsidR="009817E0">
        <w:rPr>
          <w:rFonts w:ascii="Times New Roman" w:hAnsi="Times New Roman"/>
          <w:sz w:val="24"/>
        </w:rPr>
        <w:t>, ka rakstpratība ir neaizstājams</w:t>
      </w:r>
      <w:r w:rsidRPr="000A07D4">
        <w:rPr>
          <w:rFonts w:ascii="Times New Roman" w:hAnsi="Times New Roman"/>
          <w:sz w:val="24"/>
        </w:rPr>
        <w:t xml:space="preserve"> mūžizglītības procesa pamats, savukārt pieaugušo</w:t>
      </w:r>
      <w:r w:rsidR="009817E0">
        <w:rPr>
          <w:rFonts w:ascii="Times New Roman" w:hAnsi="Times New Roman"/>
          <w:sz w:val="24"/>
        </w:rPr>
        <w:t xml:space="preserve"> mācīšanās un</w:t>
      </w:r>
      <w:r w:rsidRPr="000A07D4">
        <w:rPr>
          <w:rFonts w:ascii="Times New Roman" w:hAnsi="Times New Roman"/>
          <w:sz w:val="24"/>
        </w:rPr>
        <w:t xml:space="preserve"> izglītība ir neatņemama šā procesa daļa. Rakstpratība un pieaugušo</w:t>
      </w:r>
      <w:r w:rsidR="009817E0">
        <w:rPr>
          <w:rFonts w:ascii="Times New Roman" w:hAnsi="Times New Roman"/>
          <w:sz w:val="24"/>
        </w:rPr>
        <w:t xml:space="preserve"> mācīšanās un</w:t>
      </w:r>
      <w:r w:rsidRPr="000A07D4">
        <w:rPr>
          <w:rFonts w:ascii="Times New Roman" w:hAnsi="Times New Roman"/>
          <w:sz w:val="24"/>
        </w:rPr>
        <w:t xml:space="preserve"> izglītība palīdz īstenot tiesī</w:t>
      </w:r>
      <w:r w:rsidR="009817E0">
        <w:rPr>
          <w:rFonts w:ascii="Times New Roman" w:hAnsi="Times New Roman"/>
          <w:sz w:val="24"/>
        </w:rPr>
        <w:t>bas uz izglītību, kas dod</w:t>
      </w:r>
      <w:r w:rsidRPr="000A07D4">
        <w:rPr>
          <w:rFonts w:ascii="Times New Roman" w:hAnsi="Times New Roman"/>
          <w:sz w:val="24"/>
        </w:rPr>
        <w:t xml:space="preserve"> pieaugušajiem iespēju izmantot arī citas to ekonomiskās, politiskās, sociālās un kultūras tiesības, un tās jānodrošina atbilstoši galvenajiem </w:t>
      </w:r>
      <w:r w:rsidR="009817E0">
        <w:rPr>
          <w:rFonts w:ascii="Times New Roman" w:hAnsi="Times New Roman"/>
          <w:sz w:val="24"/>
        </w:rPr>
        <w:t>pamat</w:t>
      </w:r>
      <w:r w:rsidRPr="000A07D4">
        <w:rPr>
          <w:rFonts w:ascii="Times New Roman" w:hAnsi="Times New Roman"/>
          <w:sz w:val="24"/>
        </w:rPr>
        <w:t>kritērijiem par pieejamību, piekļuvi, pieņemamību un pielāgojamību saskaņā ar ANO Ekonomikas un sociālo lietu padomes Ekonomisko, sociālo un kultūras tiesību komitejas Vispārējo komentāru Nr. 13 (21. sesija), atsaucoties uz Starptautiskā pakta par ekonomiskajām, sociālajām un kultūras tiesībām 13. pantu,</w:t>
      </w:r>
    </w:p>
    <w:p w:rsidR="00786E2F" w:rsidRPr="000A07D4" w:rsidRDefault="00786E2F" w:rsidP="000A07D4">
      <w:pPr>
        <w:pStyle w:val="BodyText"/>
        <w:ind w:left="0"/>
        <w:jc w:val="both"/>
        <w:rPr>
          <w:rFonts w:ascii="Times New Roman" w:hAnsi="Times New Roman"/>
          <w:b/>
          <w:i/>
          <w:noProof/>
          <w:sz w:val="24"/>
        </w:rPr>
      </w:pPr>
    </w:p>
    <w:p w:rsidR="00D5679D" w:rsidRPr="000A07D4" w:rsidRDefault="009817E0" w:rsidP="000A07D4">
      <w:pPr>
        <w:pStyle w:val="BodyText"/>
        <w:ind w:left="0"/>
        <w:jc w:val="both"/>
        <w:rPr>
          <w:rFonts w:ascii="Times New Roman" w:hAnsi="Times New Roman"/>
          <w:noProof/>
          <w:sz w:val="24"/>
        </w:rPr>
      </w:pPr>
      <w:r>
        <w:rPr>
          <w:rFonts w:ascii="Times New Roman" w:hAnsi="Times New Roman"/>
          <w:b/>
          <w:i/>
          <w:sz w:val="24"/>
        </w:rPr>
        <w:t>atzīstot</w:t>
      </w:r>
      <w:r w:rsidR="00D5679D" w:rsidRPr="000A07D4">
        <w:rPr>
          <w:rFonts w:ascii="Times New Roman" w:hAnsi="Times New Roman"/>
          <w:sz w:val="24"/>
        </w:rPr>
        <w:t>, ka mūsdienu strauji mainīgajā pasaulē valstu pārv</w:t>
      </w:r>
      <w:r>
        <w:rPr>
          <w:rFonts w:ascii="Times New Roman" w:hAnsi="Times New Roman"/>
          <w:sz w:val="24"/>
        </w:rPr>
        <w:t>aldes un iedzīvotāji vienlaikus</w:t>
      </w:r>
      <w:r w:rsidR="00D5679D" w:rsidRPr="000A07D4">
        <w:rPr>
          <w:rFonts w:ascii="Times New Roman" w:hAnsi="Times New Roman"/>
          <w:sz w:val="24"/>
        </w:rPr>
        <w:t xml:space="preserve"> saskaras ar problēmām, </w:t>
      </w:r>
      <w:r>
        <w:rPr>
          <w:rFonts w:ascii="Times New Roman" w:hAnsi="Times New Roman"/>
          <w:sz w:val="24"/>
        </w:rPr>
        <w:t>kas liek pārskatīt noteikumus par pieaugušo tiesību uz izglītību izmantošanu</w:t>
      </w:r>
      <w:r w:rsidR="00D5679D" w:rsidRPr="000A07D4">
        <w:rPr>
          <w:rFonts w:ascii="Times New Roman" w:hAnsi="Times New Roman"/>
          <w:sz w:val="24"/>
        </w:rPr>
        <w:t>,</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atkārtoti norādot</w:t>
      </w:r>
      <w:r w:rsidRPr="000A07D4">
        <w:rPr>
          <w:rFonts w:ascii="Times New Roman" w:hAnsi="Times New Roman"/>
          <w:sz w:val="24"/>
        </w:rPr>
        <w:t>, ka pieaugušo</w:t>
      </w:r>
      <w:r w:rsidR="009817E0">
        <w:rPr>
          <w:rFonts w:ascii="Times New Roman" w:hAnsi="Times New Roman"/>
          <w:sz w:val="24"/>
        </w:rPr>
        <w:t xml:space="preserve"> mācībām un izglītībai ir</w:t>
      </w:r>
      <w:r w:rsidRPr="000A07D4">
        <w:rPr>
          <w:rFonts w:ascii="Times New Roman" w:hAnsi="Times New Roman"/>
          <w:sz w:val="24"/>
        </w:rPr>
        <w:t xml:space="preserve"> būtiska loma Ilgtspējīgas attīst</w:t>
      </w:r>
      <w:r w:rsidR="009817E0">
        <w:rPr>
          <w:rFonts w:ascii="Times New Roman" w:hAnsi="Times New Roman"/>
          <w:sz w:val="24"/>
        </w:rPr>
        <w:t>ības programmā 2030. gadam, kas</w:t>
      </w:r>
      <w:r w:rsidRPr="000A07D4">
        <w:rPr>
          <w:rFonts w:ascii="Times New Roman" w:hAnsi="Times New Roman"/>
          <w:sz w:val="24"/>
        </w:rPr>
        <w:t xml:space="preserve"> pieņemta Apvienoto Nāciju Organizācijas Ilgtspējīgas attīstības samitā (Ņujorkā, 2015. gada septembrī), un </w:t>
      </w:r>
      <w:r w:rsidRPr="000A07D4">
        <w:rPr>
          <w:rFonts w:ascii="Times New Roman" w:hAnsi="Times New Roman"/>
          <w:b/>
          <w:i/>
          <w:sz w:val="24"/>
        </w:rPr>
        <w:t>ņemot vērā</w:t>
      </w:r>
      <w:r w:rsidRPr="000A07D4">
        <w:rPr>
          <w:rFonts w:ascii="Times New Roman" w:hAnsi="Times New Roman"/>
          <w:sz w:val="24"/>
        </w:rPr>
        <w:t xml:space="preserve"> starptautiskās sabiedrības pausto apņemšanos veicināt sociālo attīstību, ilgtspējīgu un iekļaujošu ekonomisko izaugsmi</w:t>
      </w:r>
      <w:r w:rsidR="009817E0">
        <w:rPr>
          <w:rFonts w:ascii="Times New Roman" w:hAnsi="Times New Roman"/>
          <w:sz w:val="24"/>
        </w:rPr>
        <w:t>,</w:t>
      </w:r>
      <w:r w:rsidRPr="000A07D4">
        <w:rPr>
          <w:rFonts w:ascii="Times New Roman" w:hAnsi="Times New Roman"/>
          <w:sz w:val="24"/>
        </w:rPr>
        <w:t xml:space="preserve"> vides aizsardzību, kā arī izskaust nabadzību un badu,</w:t>
      </w:r>
    </w:p>
    <w:p w:rsidR="00786E2F" w:rsidRPr="000A07D4" w:rsidRDefault="00786E2F" w:rsidP="000A07D4">
      <w:pPr>
        <w:pStyle w:val="BodyText"/>
        <w:ind w:left="0"/>
        <w:jc w:val="both"/>
        <w:rPr>
          <w:rFonts w:ascii="Times New Roman" w:hAnsi="Times New Roman" w:cs="Arial"/>
          <w:b/>
          <w:bCs/>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bCs/>
          <w:i/>
          <w:sz w:val="24"/>
        </w:rPr>
        <w:t>ņemot vērā</w:t>
      </w:r>
      <w:r w:rsidRPr="000A07D4">
        <w:rPr>
          <w:rFonts w:ascii="Times New Roman" w:hAnsi="Times New Roman"/>
          <w:sz w:val="24"/>
        </w:rPr>
        <w:t xml:space="preserve"> Inčhonas Deklarāciju “Izglītība 2030. gadā: </w:t>
      </w:r>
      <w:r w:rsidR="009817E0">
        <w:rPr>
          <w:rFonts w:ascii="Times New Roman" w:hAnsi="Times New Roman"/>
          <w:sz w:val="24"/>
        </w:rPr>
        <w:t>ceļā uz iekļaujošu, taisnīgu un kvalitatīvu izglītību un mūžizglītības iespējām visiem</w:t>
      </w:r>
      <w:r w:rsidRPr="000A07D4">
        <w:rPr>
          <w:rFonts w:ascii="Times New Roman" w:hAnsi="Times New Roman"/>
          <w:sz w:val="24"/>
        </w:rPr>
        <w:t xml:space="preserve">” un rīcības pamatplānu </w:t>
      </w:r>
      <w:r w:rsidR="009817E0">
        <w:rPr>
          <w:rFonts w:ascii="Times New Roman" w:hAnsi="Times New Roman"/>
          <w:sz w:val="24"/>
        </w:rPr>
        <w:t>“Izglītība</w:t>
      </w:r>
      <w:r w:rsidRPr="000A07D4">
        <w:rPr>
          <w:rFonts w:ascii="Times New Roman" w:hAnsi="Times New Roman"/>
          <w:sz w:val="24"/>
        </w:rPr>
        <w:t xml:space="preserve"> 2030. gadā</w:t>
      </w:r>
      <w:r w:rsidR="009817E0">
        <w:rPr>
          <w:rFonts w:ascii="Times New Roman" w:hAnsi="Times New Roman"/>
          <w:sz w:val="24"/>
        </w:rPr>
        <w:t>”</w:t>
      </w:r>
      <w:r w:rsidRPr="000A07D4">
        <w:rPr>
          <w:rFonts w:ascii="Times New Roman" w:hAnsi="Times New Roman"/>
          <w:sz w:val="24"/>
        </w:rPr>
        <w:t>,</w:t>
      </w:r>
    </w:p>
    <w:p w:rsidR="00786E2F" w:rsidRPr="000A07D4" w:rsidRDefault="00786E2F" w:rsidP="000A07D4">
      <w:pPr>
        <w:pStyle w:val="BodyText"/>
        <w:ind w:left="0"/>
        <w:jc w:val="both"/>
        <w:rPr>
          <w:rFonts w:ascii="Times New Roman" w:hAnsi="Times New Roman"/>
          <w:b/>
          <w:i/>
          <w:noProof/>
          <w:sz w:val="24"/>
        </w:rPr>
      </w:pPr>
    </w:p>
    <w:p w:rsidR="00D5679D" w:rsidRPr="000A07D4" w:rsidRDefault="009817E0" w:rsidP="000A07D4">
      <w:pPr>
        <w:pStyle w:val="BodyText"/>
        <w:ind w:left="0"/>
        <w:jc w:val="both"/>
        <w:rPr>
          <w:rFonts w:ascii="Times New Roman" w:hAnsi="Times New Roman"/>
          <w:noProof/>
          <w:sz w:val="24"/>
        </w:rPr>
      </w:pPr>
      <w:r>
        <w:rPr>
          <w:rFonts w:ascii="Times New Roman" w:hAnsi="Times New Roman"/>
          <w:b/>
          <w:i/>
          <w:sz w:val="24"/>
        </w:rPr>
        <w:t>atzīstot</w:t>
      </w:r>
      <w:r w:rsidR="00D5679D" w:rsidRPr="000A07D4">
        <w:rPr>
          <w:rFonts w:ascii="Times New Roman" w:hAnsi="Times New Roman"/>
          <w:sz w:val="24"/>
        </w:rPr>
        <w:t xml:space="preserve"> progresu, kas attiecībā uz pieaugušo</w:t>
      </w:r>
      <w:r>
        <w:rPr>
          <w:rFonts w:ascii="Times New Roman" w:hAnsi="Times New Roman"/>
          <w:sz w:val="24"/>
        </w:rPr>
        <w:t xml:space="preserve"> mācīšanās un izglītības attīstību panākts kopš 1976. gada, par ko diskutēts</w:t>
      </w:r>
      <w:r w:rsidR="00D5679D" w:rsidRPr="000A07D4">
        <w:rPr>
          <w:rFonts w:ascii="Times New Roman" w:hAnsi="Times New Roman"/>
          <w:sz w:val="24"/>
        </w:rPr>
        <w:t xml:space="preserve"> 1985., 1997. un 2009. gada Starptautiskajās Pieaugušo izglītības konferencēs (</w:t>
      </w:r>
      <w:r w:rsidR="00D5679D" w:rsidRPr="000A07D4">
        <w:rPr>
          <w:rFonts w:ascii="Times New Roman" w:hAnsi="Times New Roman"/>
          <w:i/>
          <w:sz w:val="24"/>
        </w:rPr>
        <w:t>CONFINTEA</w:t>
      </w:r>
      <w:r w:rsidR="00D5679D" w:rsidRPr="000A07D4">
        <w:rPr>
          <w:rFonts w:ascii="Times New Roman" w:hAnsi="Times New Roman"/>
          <w:sz w:val="24"/>
        </w:rPr>
        <w:t xml:space="preserve"> IV, V un VI), kā arī kustības “Izglītība visiem” (</w:t>
      </w:r>
      <w:r w:rsidR="00D5679D" w:rsidRPr="000A07D4">
        <w:rPr>
          <w:rFonts w:ascii="Times New Roman" w:hAnsi="Times New Roman"/>
          <w:i/>
          <w:sz w:val="24"/>
        </w:rPr>
        <w:t>EFA</w:t>
      </w:r>
      <w:r>
        <w:rPr>
          <w:rFonts w:ascii="Times New Roman" w:hAnsi="Times New Roman"/>
          <w:sz w:val="24"/>
        </w:rPr>
        <w:t>) konferencēs (Pasaules k</w:t>
      </w:r>
      <w:r w:rsidR="00D5679D" w:rsidRPr="000A07D4">
        <w:rPr>
          <w:rFonts w:ascii="Times New Roman" w:hAnsi="Times New Roman"/>
          <w:sz w:val="24"/>
        </w:rPr>
        <w:t>onference par kustību “Izglītība visiem” (Džomtjena, 1990. gads) un Pasaules izglītības forums (Dakāra, 2000. gads)), un atzīstot nepieciešamību turpināt stiprināt pieaugušo izglītību, kā norādīts 2009. un 2013. gada Vispārējā ziņojumā par pieaugušo</w:t>
      </w:r>
      <w:r>
        <w:rPr>
          <w:rFonts w:ascii="Times New Roman" w:hAnsi="Times New Roman"/>
          <w:sz w:val="24"/>
        </w:rPr>
        <w:t xml:space="preserve"> mācīšanos un</w:t>
      </w:r>
      <w:r w:rsidR="00D5679D" w:rsidRPr="000A07D4">
        <w:rPr>
          <w:rFonts w:ascii="Times New Roman" w:hAnsi="Times New Roman"/>
          <w:sz w:val="24"/>
        </w:rPr>
        <w:t xml:space="preserve"> izglītību (</w:t>
      </w:r>
      <w:r w:rsidR="00D5679D" w:rsidRPr="000A07D4">
        <w:rPr>
          <w:rFonts w:ascii="Times New Roman" w:hAnsi="Times New Roman"/>
          <w:i/>
          <w:sz w:val="24"/>
        </w:rPr>
        <w:t>GRALE</w:t>
      </w:r>
      <w:r w:rsidR="00D5679D" w:rsidRPr="000A07D4">
        <w:rPr>
          <w:rFonts w:ascii="Times New Roman" w:hAnsi="Times New Roman"/>
          <w:sz w:val="24"/>
        </w:rPr>
        <w:t>),</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norādot</w:t>
      </w:r>
      <w:r w:rsidRPr="000A07D4">
        <w:rPr>
          <w:rFonts w:ascii="Times New Roman" w:hAnsi="Times New Roman"/>
          <w:sz w:val="24"/>
        </w:rPr>
        <w:t xml:space="preserve"> uz 2011. gada Starptautisko standartizēto izglītības klasifikāciju,</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uzsverot</w:t>
      </w:r>
      <w:r w:rsidRPr="000A07D4">
        <w:rPr>
          <w:rFonts w:ascii="Times New Roman" w:hAnsi="Times New Roman"/>
          <w:sz w:val="24"/>
        </w:rPr>
        <w:t>, ka ir jāuzlabo tehniskā un profesionālā izglītība un apmācība, kā norādīts UNESCO Ieteikumā par tehnisko un profesionālo izglītību un apmācību (2015. gads), kurā minēti konkrēti nosacījumi apmāc</w:t>
      </w:r>
      <w:r w:rsidR="009817E0">
        <w:rPr>
          <w:rFonts w:ascii="Times New Roman" w:hAnsi="Times New Roman"/>
          <w:sz w:val="24"/>
        </w:rPr>
        <w:t>ības un profesionālās izaugsmes</w:t>
      </w:r>
      <w:r w:rsidRPr="000A07D4">
        <w:rPr>
          <w:rFonts w:ascii="Times New Roman" w:hAnsi="Times New Roman"/>
          <w:sz w:val="24"/>
        </w:rPr>
        <w:t xml:space="preserve"> turpināšanai,</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lastRenderedPageBreak/>
        <w:t>nolemjot</w:t>
      </w:r>
      <w:r w:rsidRPr="000A07D4">
        <w:rPr>
          <w:rFonts w:ascii="Times New Roman" w:hAnsi="Times New Roman"/>
          <w:sz w:val="24"/>
        </w:rPr>
        <w:t xml:space="preserve"> Rezolūcijā 37 C/16, ka 1976. gada Ieteikums pieaugušo izglītībai ir jāpārskata, lai tajā atspoguļotu mūsdienu izaicinājumus izglītības, kultūras, politikas, sociālajā un ekonomikas jomā, kā norādīts Hamburgas deklarācijā u</w:t>
      </w:r>
      <w:r w:rsidR="009817E0">
        <w:rPr>
          <w:rFonts w:ascii="Times New Roman" w:hAnsi="Times New Roman"/>
          <w:sz w:val="24"/>
        </w:rPr>
        <w:t>n Belemas rīcības pamatplānā</w:t>
      </w:r>
      <w:r w:rsidRPr="000A07D4">
        <w:rPr>
          <w:rFonts w:ascii="Times New Roman" w:hAnsi="Times New Roman"/>
          <w:sz w:val="24"/>
        </w:rPr>
        <w:t>, un lai dotu jaunu motivāciju pieaugušo izglītošanai,</w:t>
      </w:r>
    </w:p>
    <w:p w:rsidR="00786E2F" w:rsidRPr="000A07D4" w:rsidRDefault="00786E2F" w:rsidP="000A07D4">
      <w:pPr>
        <w:pStyle w:val="BodyText"/>
        <w:ind w:left="0"/>
        <w:jc w:val="both"/>
        <w:rPr>
          <w:rFonts w:ascii="Times New Roman" w:hAnsi="Times New Roman"/>
          <w:b/>
          <w:i/>
          <w:noProof/>
          <w:sz w:val="24"/>
        </w:rPr>
      </w:pP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b/>
          <w:i/>
          <w:sz w:val="24"/>
        </w:rPr>
        <w:t>ņemot vērā</w:t>
      </w:r>
      <w:r w:rsidRPr="000A07D4">
        <w:rPr>
          <w:rFonts w:ascii="Times New Roman" w:hAnsi="Times New Roman"/>
          <w:sz w:val="24"/>
        </w:rPr>
        <w:t>, ka šajā ieteikumā ir izklāstīti vispārīgi principi, mērķi un vadlīnijas, kas katrai dalībvalstij būtu jāpiemēro, ņemot vērā tās sociāli ekonomiskos apstākļus,</w:t>
      </w:r>
    </w:p>
    <w:p w:rsidR="00D5679D" w:rsidRPr="000A07D4" w:rsidRDefault="00D5679D" w:rsidP="000A07D4">
      <w:pPr>
        <w:pStyle w:val="BodyText"/>
        <w:ind w:left="0"/>
        <w:jc w:val="both"/>
        <w:rPr>
          <w:rFonts w:ascii="Times New Roman" w:hAnsi="Times New Roman"/>
          <w:noProof/>
          <w:sz w:val="24"/>
        </w:rPr>
      </w:pPr>
      <w:r w:rsidRPr="000A07D4">
        <w:rPr>
          <w:rFonts w:ascii="Times New Roman" w:hAnsi="Times New Roman"/>
          <w:sz w:val="24"/>
        </w:rPr>
        <w:t>pārvaldības struktūras un pieejamos resursus, lai paaugstinātu pieaugušo izglītības statusu valsts, reģionālā un starptautiskā līmenī,</w:t>
      </w:r>
    </w:p>
    <w:p w:rsidR="00786E2F" w:rsidRPr="000A07D4" w:rsidRDefault="00786E2F" w:rsidP="000A07D4">
      <w:pPr>
        <w:pStyle w:val="BodyText"/>
        <w:ind w:left="0"/>
        <w:jc w:val="both"/>
        <w:rPr>
          <w:rFonts w:ascii="Times New Roman" w:hAnsi="Times New Roman"/>
          <w:b/>
          <w:i/>
          <w:noProof/>
          <w:sz w:val="24"/>
        </w:rPr>
      </w:pPr>
    </w:p>
    <w:p w:rsidR="00D5679D" w:rsidRPr="000A07D4" w:rsidRDefault="00AF08F7" w:rsidP="000A07D4">
      <w:pPr>
        <w:pStyle w:val="BodyText"/>
        <w:ind w:left="0"/>
        <w:jc w:val="both"/>
        <w:rPr>
          <w:rFonts w:ascii="Times New Roman" w:hAnsi="Times New Roman"/>
          <w:noProof/>
          <w:sz w:val="24"/>
        </w:rPr>
      </w:pPr>
      <w:r>
        <w:rPr>
          <w:rFonts w:ascii="Times New Roman" w:hAnsi="Times New Roman"/>
          <w:b/>
          <w:i/>
          <w:sz w:val="24"/>
        </w:rPr>
        <w:t>izvērtējot</w:t>
      </w:r>
      <w:r w:rsidR="00D5679D" w:rsidRPr="000A07D4">
        <w:rPr>
          <w:rFonts w:ascii="Times New Roman" w:hAnsi="Times New Roman"/>
          <w:sz w:val="24"/>
        </w:rPr>
        <w:t xml:space="preserve"> dokumentu Nr. 38 C</w:t>
      </w:r>
      <w:r>
        <w:rPr>
          <w:rFonts w:ascii="Times New Roman" w:hAnsi="Times New Roman"/>
          <w:sz w:val="24"/>
        </w:rPr>
        <w:t>/31 un tam pievienoto projektu Ieteikumam par pieaugušo</w:t>
      </w:r>
      <w:r w:rsidR="00D5679D" w:rsidRPr="000A07D4">
        <w:rPr>
          <w:rFonts w:ascii="Times New Roman" w:hAnsi="Times New Roman"/>
          <w:sz w:val="24"/>
        </w:rPr>
        <w:t xml:space="preserve"> izglītību,</w:t>
      </w:r>
    </w:p>
    <w:p w:rsidR="00786E2F" w:rsidRPr="000A07D4" w:rsidRDefault="00786E2F" w:rsidP="000A07D4">
      <w:pPr>
        <w:pStyle w:val="BodyText"/>
        <w:ind w:left="0"/>
        <w:jc w:val="both"/>
        <w:rPr>
          <w:rFonts w:ascii="Times New Roman" w:hAnsi="Times New Roman"/>
          <w:noProof/>
          <w:sz w:val="24"/>
        </w:rPr>
      </w:pPr>
    </w:p>
    <w:p w:rsidR="00D5679D" w:rsidRPr="000A07D4" w:rsidRDefault="00D5679D" w:rsidP="00511004">
      <w:pPr>
        <w:pStyle w:val="BodyText"/>
        <w:numPr>
          <w:ilvl w:val="0"/>
          <w:numId w:val="10"/>
        </w:numPr>
        <w:tabs>
          <w:tab w:val="left" w:pos="709"/>
        </w:tabs>
        <w:ind w:left="709" w:hanging="709"/>
        <w:jc w:val="both"/>
        <w:rPr>
          <w:rFonts w:ascii="Times New Roman" w:hAnsi="Times New Roman" w:cs="Times New Roman"/>
          <w:noProof/>
          <w:sz w:val="24"/>
        </w:rPr>
      </w:pPr>
      <w:r w:rsidRPr="000A07D4">
        <w:rPr>
          <w:rFonts w:ascii="Times New Roman" w:hAnsi="Times New Roman"/>
          <w:sz w:val="24"/>
        </w:rPr>
        <w:t xml:space="preserve">2015. gada 13. novembrī pieņem šo ieteikumu </w:t>
      </w:r>
      <w:r w:rsidR="00AF08F7">
        <w:rPr>
          <w:rFonts w:ascii="Times New Roman" w:hAnsi="Times New Roman"/>
          <w:sz w:val="24"/>
        </w:rPr>
        <w:t>pieaugušo izglītības jomā</w:t>
      </w:r>
      <w:r w:rsidRPr="000A07D4">
        <w:rPr>
          <w:rFonts w:ascii="Times New Roman" w:hAnsi="Times New Roman"/>
          <w:sz w:val="24"/>
        </w:rPr>
        <w:t>, ar ko aizstāj 1976. gada ieteikumu;</w:t>
      </w:r>
    </w:p>
    <w:p w:rsidR="00D5679D" w:rsidRPr="000A07D4" w:rsidRDefault="00D5679D" w:rsidP="00511004">
      <w:pPr>
        <w:pStyle w:val="BodyText"/>
        <w:numPr>
          <w:ilvl w:val="0"/>
          <w:numId w:val="10"/>
        </w:numPr>
        <w:tabs>
          <w:tab w:val="left" w:pos="709"/>
        </w:tabs>
        <w:ind w:left="709" w:hanging="709"/>
        <w:jc w:val="both"/>
        <w:rPr>
          <w:rFonts w:ascii="Times New Roman" w:hAnsi="Times New Roman" w:cs="Times New Roman"/>
          <w:noProof/>
          <w:sz w:val="24"/>
        </w:rPr>
      </w:pPr>
      <w:r w:rsidRPr="000A07D4">
        <w:rPr>
          <w:rFonts w:ascii="Times New Roman" w:hAnsi="Times New Roman"/>
          <w:sz w:val="24"/>
        </w:rPr>
        <w:t>iesaka dalībvalstīm piemērot turpmāk minētos noteikumus, pieņemot un īstenojot atbilstošus pasākumus, tostarp normatīvos aktus vai veicot citus pasākumus, kas var būt vajadzīgi, saskaņā ar katras valsts konstitucionālo praksi un pārvaldības struktūru, lai tās savā teritorijā ieviestu šajā ieteikumā noteiktos principus;</w:t>
      </w:r>
    </w:p>
    <w:p w:rsidR="00D5679D" w:rsidRPr="000A07D4" w:rsidRDefault="00D5679D" w:rsidP="00511004">
      <w:pPr>
        <w:pStyle w:val="BodyText"/>
        <w:numPr>
          <w:ilvl w:val="0"/>
          <w:numId w:val="10"/>
        </w:numPr>
        <w:tabs>
          <w:tab w:val="left" w:pos="709"/>
        </w:tabs>
        <w:ind w:left="709" w:hanging="709"/>
        <w:jc w:val="both"/>
        <w:rPr>
          <w:rFonts w:ascii="Times New Roman" w:hAnsi="Times New Roman" w:cs="Times New Roman"/>
          <w:noProof/>
          <w:sz w:val="24"/>
        </w:rPr>
      </w:pPr>
      <w:r w:rsidRPr="000A07D4">
        <w:rPr>
          <w:rFonts w:ascii="Times New Roman" w:hAnsi="Times New Roman"/>
          <w:sz w:val="24"/>
        </w:rPr>
        <w:t>tāpat iesaka dalībvalstīm vērst gan par pieaugušo izglītību atbildīgo iestāžu un struktūru, gan citu pieaugušo izglītībā iesaistīto ieinteresēto pušu uzmanību uz šo ieteikumu;</w:t>
      </w:r>
    </w:p>
    <w:p w:rsidR="00D5679D" w:rsidRPr="000A07D4" w:rsidRDefault="00D5679D" w:rsidP="00511004">
      <w:pPr>
        <w:pStyle w:val="BodyText"/>
        <w:numPr>
          <w:ilvl w:val="0"/>
          <w:numId w:val="10"/>
        </w:numPr>
        <w:tabs>
          <w:tab w:val="left" w:pos="709"/>
        </w:tabs>
        <w:ind w:left="709" w:hanging="709"/>
        <w:jc w:val="both"/>
        <w:rPr>
          <w:rFonts w:ascii="Times New Roman" w:hAnsi="Times New Roman" w:cs="Times New Roman"/>
          <w:noProof/>
          <w:sz w:val="24"/>
        </w:rPr>
      </w:pPr>
      <w:r w:rsidRPr="000A07D4">
        <w:rPr>
          <w:rFonts w:ascii="Times New Roman" w:hAnsi="Times New Roman"/>
          <w:sz w:val="24"/>
        </w:rPr>
        <w:t>turklāt iesaka dalībvalstīm</w:t>
      </w:r>
      <w:r w:rsidR="00AF08F7">
        <w:rPr>
          <w:rFonts w:ascii="Times New Roman" w:hAnsi="Times New Roman"/>
          <w:sz w:val="24"/>
        </w:rPr>
        <w:t xml:space="preserve"> sevis noteiktajā</w:t>
      </w:r>
      <w:r w:rsidRPr="000A07D4">
        <w:rPr>
          <w:rFonts w:ascii="Times New Roman" w:hAnsi="Times New Roman"/>
          <w:sz w:val="24"/>
        </w:rPr>
        <w:t xml:space="preserve"> laikā un veidā</w:t>
      </w:r>
      <w:r w:rsidR="00AF08F7">
        <w:rPr>
          <w:rFonts w:ascii="Times New Roman" w:hAnsi="Times New Roman"/>
          <w:sz w:val="24"/>
        </w:rPr>
        <w:t xml:space="preserve"> </w:t>
      </w:r>
      <w:r w:rsidRPr="000A07D4">
        <w:rPr>
          <w:rFonts w:ascii="Times New Roman" w:hAnsi="Times New Roman"/>
          <w:sz w:val="24"/>
        </w:rPr>
        <w:t>ziņot par pasākumiem, kurus valstis ir veikušas, lai šo ieteikumu īstenotu.</w:t>
      </w:r>
    </w:p>
    <w:p w:rsidR="00D5679D" w:rsidRPr="000A07D4" w:rsidRDefault="00D5679D" w:rsidP="000A07D4">
      <w:pPr>
        <w:jc w:val="both"/>
        <w:rPr>
          <w:rFonts w:ascii="Times New Roman" w:eastAsia="Arial" w:hAnsi="Times New Roman" w:cs="Times New Roman"/>
          <w:noProof/>
          <w:sz w:val="24"/>
          <w:szCs w:val="26"/>
        </w:rPr>
      </w:pPr>
    </w:p>
    <w:p w:rsidR="00D5679D" w:rsidRPr="000A07D4" w:rsidRDefault="00D5679D" w:rsidP="000A07D4">
      <w:pPr>
        <w:pStyle w:val="Heading8"/>
        <w:numPr>
          <w:ilvl w:val="1"/>
          <w:numId w:val="10"/>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DEFINĪCIJA UN PIEMĒROŠANAS JOMA</w:t>
      </w:r>
    </w:p>
    <w:p w:rsidR="00D5679D" w:rsidRPr="000A07D4" w:rsidRDefault="00D5679D" w:rsidP="000A07D4">
      <w:pPr>
        <w:jc w:val="both"/>
        <w:rPr>
          <w:rFonts w:ascii="Times New Roman" w:eastAsia="Arial" w:hAnsi="Times New Roman" w:cs="Times New Roman"/>
          <w:b/>
          <w:bCs/>
          <w:noProof/>
          <w:sz w:val="24"/>
          <w:szCs w:val="20"/>
        </w:rPr>
      </w:pP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Pieaugušo</w:t>
      </w:r>
      <w:r w:rsidR="00AF08F7">
        <w:rPr>
          <w:rFonts w:ascii="Times New Roman" w:hAnsi="Times New Roman"/>
          <w:sz w:val="24"/>
        </w:rPr>
        <w:t xml:space="preserve"> mācīšanās un</w:t>
      </w:r>
      <w:r w:rsidRPr="000A07D4">
        <w:rPr>
          <w:rFonts w:ascii="Times New Roman" w:hAnsi="Times New Roman"/>
          <w:sz w:val="24"/>
        </w:rPr>
        <w:t xml:space="preserve"> izglītība ir viens no mūžizglītības pamatelementiem. Tā ietver </w:t>
      </w:r>
      <w:r w:rsidR="00AF08F7">
        <w:rPr>
          <w:rFonts w:ascii="Times New Roman" w:hAnsi="Times New Roman"/>
          <w:sz w:val="24"/>
        </w:rPr>
        <w:t>visa veida izglītību un mācīšanos</w:t>
      </w:r>
      <w:r w:rsidRPr="000A07D4">
        <w:rPr>
          <w:rFonts w:ascii="Times New Roman" w:hAnsi="Times New Roman"/>
          <w:sz w:val="24"/>
        </w:rPr>
        <w:t>, kuras mērķis ir nodrošināt, ka visi pieaugušie ir aktīvi sabiedrības l</w:t>
      </w:r>
      <w:r w:rsidR="00AF08F7">
        <w:rPr>
          <w:rFonts w:ascii="Times New Roman" w:hAnsi="Times New Roman"/>
          <w:sz w:val="24"/>
        </w:rPr>
        <w:t>ocekļi un iesaistās darba vidē. Tā</w:t>
      </w:r>
      <w:r w:rsidRPr="000A07D4">
        <w:rPr>
          <w:rFonts w:ascii="Times New Roman" w:hAnsi="Times New Roman"/>
          <w:sz w:val="24"/>
        </w:rPr>
        <w:t xml:space="preserve"> apzīmē visu mācību procesu kopumu – gan formālo un neformālo izglītību, gan ikdienējo mācīšanos –, kurā personas, ko attiecīgajā sabiedrībā uzskata par pieaugušajiem, attīsta un pilnveido savas spējas, kas nepieciešanas ikdienas dzīvē un darbā, gan savās interesēs, gan kopienas, organizāciju un sabiedrības interesēs. Pieaugušo</w:t>
      </w:r>
      <w:r w:rsidR="00AF08F7">
        <w:rPr>
          <w:rFonts w:ascii="Times New Roman" w:hAnsi="Times New Roman"/>
          <w:sz w:val="24"/>
        </w:rPr>
        <w:t xml:space="preserve"> mācīšanās un</w:t>
      </w:r>
      <w:r w:rsidRPr="000A07D4">
        <w:rPr>
          <w:rFonts w:ascii="Times New Roman" w:hAnsi="Times New Roman"/>
          <w:sz w:val="24"/>
        </w:rPr>
        <w:t xml:space="preserve"> izglītība ietver ilgstošas darbības un procesus, </w:t>
      </w:r>
      <w:r w:rsidR="00AF08F7">
        <w:rPr>
          <w:rFonts w:ascii="Times New Roman" w:hAnsi="Times New Roman"/>
          <w:sz w:val="24"/>
        </w:rPr>
        <w:t>kuros tiek apgūtas, atpazītas, apspriestas un pielāgotas spējas</w:t>
      </w:r>
      <w:r w:rsidRPr="000A07D4">
        <w:rPr>
          <w:rFonts w:ascii="Times New Roman" w:hAnsi="Times New Roman"/>
          <w:sz w:val="24"/>
        </w:rPr>
        <w:t>. Tā kā lielākajā daļā kultūru izpratne par jaunību un pieauguša cilvēka dzīves laiku mainās, šajā dokumentā termins “pieaugušais” attiecas uz personām, kuras iesaistās pieaugušo</w:t>
      </w:r>
      <w:r w:rsidR="00AF08F7">
        <w:rPr>
          <w:rFonts w:ascii="Times New Roman" w:hAnsi="Times New Roman"/>
          <w:sz w:val="24"/>
        </w:rPr>
        <w:t xml:space="preserve"> mācībās un</w:t>
      </w:r>
      <w:r w:rsidRPr="000A07D4">
        <w:rPr>
          <w:rFonts w:ascii="Times New Roman" w:hAnsi="Times New Roman"/>
          <w:sz w:val="24"/>
        </w:rPr>
        <w:t xml:space="preserve"> izglītībā, pat ja tās vēl nav sasniegušas likumā noteikto brieduma vecumu.</w:t>
      </w: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Pieaugušo</w:t>
      </w:r>
      <w:r w:rsidR="00AF08F7">
        <w:rPr>
          <w:rFonts w:ascii="Times New Roman" w:hAnsi="Times New Roman"/>
          <w:sz w:val="24"/>
        </w:rPr>
        <w:t xml:space="preserve"> mācīšanās un</w:t>
      </w:r>
      <w:r w:rsidRPr="000A07D4">
        <w:rPr>
          <w:rFonts w:ascii="Times New Roman" w:hAnsi="Times New Roman"/>
          <w:sz w:val="24"/>
        </w:rPr>
        <w:t xml:space="preserve"> izglītība ir būtisks kognitīvas sabiedrības stūrakmens un palīdz veidot izglītības kopienas, pilsētas un reģionus, jo sekmē tradīciju mācīties visu dzīvi, kā arī atjauno mācīšanos ģimenē, kopienā un citā mācību vidē, kā arī darbavietā.</w:t>
      </w:r>
    </w:p>
    <w:p w:rsidR="00D5679D" w:rsidRPr="000A07D4" w:rsidRDefault="00AF08F7" w:rsidP="000A07D4">
      <w:pPr>
        <w:pStyle w:val="BodyText"/>
        <w:numPr>
          <w:ilvl w:val="2"/>
          <w:numId w:val="10"/>
        </w:numPr>
        <w:tabs>
          <w:tab w:val="left" w:pos="709"/>
        </w:tabs>
        <w:ind w:left="0" w:firstLine="0"/>
        <w:jc w:val="both"/>
        <w:rPr>
          <w:rFonts w:ascii="Times New Roman" w:hAnsi="Times New Roman" w:cs="Times New Roman"/>
          <w:noProof/>
          <w:sz w:val="24"/>
        </w:rPr>
      </w:pPr>
      <w:r>
        <w:rPr>
          <w:rFonts w:ascii="Times New Roman" w:hAnsi="Times New Roman"/>
          <w:sz w:val="24"/>
        </w:rPr>
        <w:t>Pieaugušo mācīšanās un izglītības pasākumi ir daudzveidīgi. Tie</w:t>
      </w:r>
      <w:r w:rsidR="00D5679D" w:rsidRPr="000A07D4">
        <w:rPr>
          <w:rFonts w:ascii="Times New Roman" w:hAnsi="Times New Roman"/>
          <w:sz w:val="24"/>
        </w:rPr>
        <w:t xml:space="preserve"> sniedz dažādas mācīšanās iespējas, kas pieaugušajiem ļauj apgūt rakstpratību un pamata prasmes, </w:t>
      </w:r>
      <w:r w:rsidR="003B0050">
        <w:rPr>
          <w:rFonts w:ascii="Times New Roman" w:hAnsi="Times New Roman"/>
          <w:sz w:val="24"/>
        </w:rPr>
        <w:t>turpināt apmācību un profesionālo izaugsmi un būt aktīvam pilsonim, piedaloties tā dēvētajā kopienā īstenotajā, tautas vai liberālajā izglītībā</w:t>
      </w:r>
      <w:r w:rsidR="00D5679D" w:rsidRPr="000A07D4">
        <w:rPr>
          <w:rFonts w:ascii="Times New Roman" w:hAnsi="Times New Roman"/>
          <w:sz w:val="24"/>
        </w:rPr>
        <w:t>. Pieaugušo</w:t>
      </w:r>
      <w:r w:rsidR="003B0050">
        <w:rPr>
          <w:rFonts w:ascii="Times New Roman" w:hAnsi="Times New Roman"/>
          <w:sz w:val="24"/>
        </w:rPr>
        <w:t xml:space="preserve"> mācīšanās un</w:t>
      </w:r>
      <w:r w:rsidR="00D5679D" w:rsidRPr="000A07D4">
        <w:rPr>
          <w:rFonts w:ascii="Times New Roman" w:hAnsi="Times New Roman"/>
          <w:sz w:val="24"/>
        </w:rPr>
        <w:t xml:space="preserve"> izglī</w:t>
      </w:r>
      <w:r w:rsidR="003B0050">
        <w:rPr>
          <w:rFonts w:ascii="Times New Roman" w:hAnsi="Times New Roman"/>
          <w:sz w:val="24"/>
        </w:rPr>
        <w:t>tība piedāvā virkni mācīšanās</w:t>
      </w:r>
      <w:r w:rsidR="00D5679D" w:rsidRPr="000A07D4">
        <w:rPr>
          <w:rFonts w:ascii="Times New Roman" w:hAnsi="Times New Roman"/>
          <w:sz w:val="24"/>
        </w:rPr>
        <w:t xml:space="preserve"> veidu un elastīgas mācīšanās iespējas, tostarp otrās iespējas programmas, lai kompensētu sākotnējās izglītošanas trūkumu, tostarp personām, kuras nekad nav apmeklējušas skolu, ir priekšlaicīgi pametušas izglītību vai priekšlaicīgi pārtraukušas mācības.</w:t>
      </w: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Rakstpratība ir pieaugušo</w:t>
      </w:r>
      <w:r w:rsidR="003B0050">
        <w:rPr>
          <w:rFonts w:ascii="Times New Roman" w:hAnsi="Times New Roman"/>
          <w:sz w:val="24"/>
        </w:rPr>
        <w:t xml:space="preserve"> mācīšanās un</w:t>
      </w:r>
      <w:r w:rsidRPr="000A07D4">
        <w:rPr>
          <w:rFonts w:ascii="Times New Roman" w:hAnsi="Times New Roman"/>
          <w:sz w:val="24"/>
        </w:rPr>
        <w:t xml:space="preserve"> izglītības pamatelements. Tā ie</w:t>
      </w:r>
      <w:r w:rsidR="003B0050">
        <w:rPr>
          <w:rFonts w:ascii="Times New Roman" w:hAnsi="Times New Roman"/>
          <w:sz w:val="24"/>
        </w:rPr>
        <w:t>tver nepārtrauktu mācīšanos</w:t>
      </w:r>
      <w:r w:rsidRPr="000A07D4">
        <w:rPr>
          <w:rFonts w:ascii="Times New Roman" w:hAnsi="Times New Roman"/>
          <w:sz w:val="24"/>
        </w:rPr>
        <w:t xml:space="preserve"> un prasmju līmeņus, kas ļauj iedzīvotājiem iesaistīties mūžizglītības </w:t>
      </w:r>
      <w:r w:rsidRPr="000A07D4">
        <w:rPr>
          <w:rFonts w:ascii="Times New Roman" w:hAnsi="Times New Roman"/>
          <w:sz w:val="24"/>
        </w:rPr>
        <w:lastRenderedPageBreak/>
        <w:t>procesā un pilnā mērā piedalīties kopienas, darbavietas un plašākas sabiedrības norisēs. Tā ietver gan lasītprasmi un rakstītprasmi, kas nepieciešama, lai identificētu, saprastu, interpretētu, radītu, sazinātos un rēķinātu, izmantojot drukātu un rakstītu materiālu, gan arī spēju risināt problēmas vidē, kura kļūst aizvien tehnoloģiskāka un ar informāciju bagātāka. Rakstpratība būtiski palīdz veidot cilvēku zināšanas, prasmes un kompetenci risināt jaunas problēmas un sarežģījumus dzīvē, kultūrā, ekonomikā un sabiedrībā.</w:t>
      </w: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Pastāvīga ap</w:t>
      </w:r>
      <w:r w:rsidR="003B0050">
        <w:rPr>
          <w:rFonts w:ascii="Times New Roman" w:hAnsi="Times New Roman"/>
          <w:sz w:val="24"/>
        </w:rPr>
        <w:t>mācība un profesionālā izaugsme</w:t>
      </w:r>
      <w:r w:rsidRPr="000A07D4">
        <w:rPr>
          <w:rFonts w:ascii="Times New Roman" w:hAnsi="Times New Roman"/>
          <w:sz w:val="24"/>
        </w:rPr>
        <w:t xml:space="preserve"> </w:t>
      </w:r>
      <w:r w:rsidR="003B0050">
        <w:rPr>
          <w:rFonts w:ascii="Times New Roman" w:hAnsi="Times New Roman"/>
          <w:sz w:val="24"/>
        </w:rPr>
        <w:t>ir nepārtrauktas mācīšanās</w:t>
      </w:r>
      <w:r w:rsidRPr="000A07D4">
        <w:rPr>
          <w:rFonts w:ascii="Times New Roman" w:hAnsi="Times New Roman"/>
          <w:sz w:val="24"/>
        </w:rPr>
        <w:t xml:space="preserve"> pamatelements un nodrošina pieaugušajam zināšanas</w:t>
      </w:r>
      <w:r w:rsidR="003B0050">
        <w:rPr>
          <w:rFonts w:ascii="Times New Roman" w:hAnsi="Times New Roman"/>
          <w:sz w:val="24"/>
        </w:rPr>
        <w:t>, prasmes un kompetenci, lai</w:t>
      </w:r>
      <w:r w:rsidRPr="000A07D4">
        <w:rPr>
          <w:rFonts w:ascii="Times New Roman" w:hAnsi="Times New Roman"/>
          <w:sz w:val="24"/>
        </w:rPr>
        <w:t xml:space="preserve"> varētu pilnvērtīgi</w:t>
      </w:r>
      <w:r w:rsidR="000A07D4" w:rsidRPr="000A07D4">
        <w:rPr>
          <w:rFonts w:ascii="Times New Roman" w:hAnsi="Times New Roman" w:cs="Times New Roman"/>
          <w:noProof/>
          <w:sz w:val="24"/>
        </w:rPr>
        <w:t xml:space="preserve"> </w:t>
      </w:r>
      <w:r w:rsidRPr="000A07D4">
        <w:rPr>
          <w:rFonts w:ascii="Times New Roman" w:hAnsi="Times New Roman"/>
          <w:sz w:val="24"/>
        </w:rPr>
        <w:t>iesaistīties procesos, kuri norisinās strauji mainīgajā sabiedriskajā un darba vidē. UNESCO Ieteikumā par tehnisko un profesionālo izglītību un apmācību (2015) minēti attiecīgi noteikumi šajā jomā.</w:t>
      </w: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Turklāt pieaugušo</w:t>
      </w:r>
      <w:r w:rsidR="003B0050">
        <w:rPr>
          <w:rFonts w:ascii="Times New Roman" w:hAnsi="Times New Roman"/>
          <w:sz w:val="24"/>
        </w:rPr>
        <w:t xml:space="preserve"> mācīšanās un</w:t>
      </w:r>
      <w:r w:rsidRPr="000A07D4">
        <w:rPr>
          <w:rFonts w:ascii="Times New Roman" w:hAnsi="Times New Roman"/>
          <w:sz w:val="24"/>
        </w:rPr>
        <w:t xml:space="preserve"> izglītība nodrošina izglītošanās un mācīšanās iespējas aktīvam pilsoniskumam, kas zināmas kā kopienā īstenota, tautas vai liberālā izglītība. Tā dod iedzīvotājiem iespēju aktīvi iesaistīties sociālo jautājumu risināšanā, piemēram, par nabadzību, dzimumiem, paaudžu solidaritāti, sociālo mobilitāti, taisnīgumu, vienlīdzību, atstumtību, vardarbību, bezdarbu, vides aizsardzību un klimata pārmaiņām. Tā arī palīdz iedzīvotājiem nodrošināt sev cilvēka cienīgu dzīvi attiecībā uz veselību un labklājību, kultūru, garīgumu un citiem veidiem, kas veicina personas izaugsmi un cieņu.</w:t>
      </w:r>
    </w:p>
    <w:p w:rsidR="00D5679D" w:rsidRPr="000A07D4" w:rsidRDefault="00D5679D" w:rsidP="000A07D4">
      <w:pPr>
        <w:pStyle w:val="BodyText"/>
        <w:numPr>
          <w:ilvl w:val="2"/>
          <w:numId w:val="10"/>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Valda uzskats, ka informācijas un komunikācijas tehnoloģijas (IKT) var ievērojami uzlabot pieaugušo piekļuvi dažādām izglītības iespējām, kā arī veicināt taisnīgumu un iekļaušanu. Tās sniedz dažādas inovatīvas iespējas īstenot mūžizglītību, samazināt atkarību no tradicionālajām izglītības formālajām st</w:t>
      </w:r>
      <w:r w:rsidR="003B0050">
        <w:rPr>
          <w:rFonts w:ascii="Times New Roman" w:hAnsi="Times New Roman"/>
          <w:sz w:val="24"/>
        </w:rPr>
        <w:t>ruktūrām un dot iespēju</w:t>
      </w:r>
      <w:r w:rsidRPr="000A07D4">
        <w:rPr>
          <w:rFonts w:ascii="Times New Roman" w:hAnsi="Times New Roman"/>
          <w:sz w:val="24"/>
        </w:rPr>
        <w:t xml:space="preserve"> mācīties individualizēti. Ar mobilo ierīču, elektroniskās tīklošanas, sociālo plašsaziņas līdzekļu un tiešsaistes mācību kursu starpniecību pieaugušie apmācāmie var mācīties jebkurā laikā un vietā. Turklāt informācijas un komunikācijas tehnoloģijas var ievērojami veicināt izglītības pieejamību gan personām ar invaliditāti, tādējādi ļaujot tām pilnīgāk integrēties sabiedrībā, gan citām sociāli atstumtām vai sociāli neaizsargātām iedzīvotāju grupām.</w:t>
      </w:r>
    </w:p>
    <w:p w:rsidR="00D5679D" w:rsidRPr="000A07D4" w:rsidRDefault="00D5679D" w:rsidP="000A07D4">
      <w:pPr>
        <w:jc w:val="both"/>
        <w:rPr>
          <w:rFonts w:ascii="Times New Roman" w:eastAsia="Arial" w:hAnsi="Times New Roman" w:cs="Times New Roman"/>
          <w:noProof/>
          <w:sz w:val="24"/>
          <w:szCs w:val="26"/>
        </w:rPr>
      </w:pPr>
    </w:p>
    <w:p w:rsidR="00D5679D" w:rsidRPr="000A07D4" w:rsidRDefault="00D5679D" w:rsidP="000A07D4">
      <w:pPr>
        <w:pStyle w:val="Heading8"/>
        <w:numPr>
          <w:ilvl w:val="1"/>
          <w:numId w:val="10"/>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MĒRĶI UN UZDEVUMI</w:t>
      </w:r>
    </w:p>
    <w:p w:rsidR="00786E2F" w:rsidRPr="000A07D4" w:rsidRDefault="00786E2F" w:rsidP="000A07D4">
      <w:pPr>
        <w:pStyle w:val="Heading8"/>
        <w:tabs>
          <w:tab w:val="left" w:pos="668"/>
        </w:tabs>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Pieaugušo</w:t>
      </w:r>
      <w:r w:rsidR="003B0050">
        <w:rPr>
          <w:rFonts w:ascii="Times New Roman" w:hAnsi="Times New Roman"/>
          <w:sz w:val="24"/>
        </w:rPr>
        <w:t xml:space="preserve"> mācīšanās un</w:t>
      </w:r>
      <w:r w:rsidRPr="000A07D4">
        <w:rPr>
          <w:rFonts w:ascii="Times New Roman" w:hAnsi="Times New Roman"/>
          <w:sz w:val="24"/>
        </w:rPr>
        <w:t xml:space="preserve"> izglītības mērķis ir palīdzēt cilvēkiem gūt iemaņas, kas nepieciešamas, lai īstenotu un realizētu savas tiesī</w:t>
      </w:r>
      <w:r w:rsidR="003B0050">
        <w:rPr>
          <w:rFonts w:ascii="Times New Roman" w:hAnsi="Times New Roman"/>
          <w:sz w:val="24"/>
        </w:rPr>
        <w:t>bas un noteiktu savu likteni. Izglītība veicina personisko</w:t>
      </w:r>
      <w:r w:rsidRPr="000A07D4">
        <w:rPr>
          <w:rFonts w:ascii="Times New Roman" w:hAnsi="Times New Roman"/>
          <w:sz w:val="24"/>
        </w:rPr>
        <w:t xml:space="preserve"> un profesionālo izaugsmi, tādējādi sekmējot pieaugušo </w:t>
      </w:r>
      <w:r w:rsidR="003B0050">
        <w:rPr>
          <w:rFonts w:ascii="Times New Roman" w:hAnsi="Times New Roman"/>
          <w:sz w:val="24"/>
        </w:rPr>
        <w:t>aktīvāku līdzdalību</w:t>
      </w:r>
      <w:r w:rsidRPr="000A07D4">
        <w:rPr>
          <w:rFonts w:ascii="Times New Roman" w:hAnsi="Times New Roman"/>
          <w:sz w:val="24"/>
        </w:rPr>
        <w:t xml:space="preserve"> sabiedrībā, kopienā un vidē. Tā sekmē ilgtspējīgu un iekļaujošu ekonomisko izaugsmi, kā arī nodrošina ied</w:t>
      </w:r>
      <w:r w:rsidR="003B0050">
        <w:rPr>
          <w:rFonts w:ascii="Times New Roman" w:hAnsi="Times New Roman"/>
          <w:sz w:val="24"/>
        </w:rPr>
        <w:t>zīvotājiem pienācīgas darba izredzes. Tāpēc izglītība</w:t>
      </w:r>
      <w:r w:rsidRPr="000A07D4">
        <w:rPr>
          <w:rFonts w:ascii="Times New Roman" w:hAnsi="Times New Roman"/>
          <w:sz w:val="24"/>
        </w:rPr>
        <w:t xml:space="preserve"> ir svarīgs instruments nabadzības mazināšanai, veselības un labklājības uzlabošanai, kā arī ilgtspējīgas kognitīvas sabiedrības veicināšanai.</w:t>
      </w:r>
    </w:p>
    <w:p w:rsidR="00D5679D" w:rsidRPr="000A07D4" w:rsidRDefault="00D5679D" w:rsidP="000A07D4">
      <w:pPr>
        <w:pStyle w:val="BodyText"/>
        <w:numPr>
          <w:ilvl w:val="0"/>
          <w:numId w:val="9"/>
        </w:numPr>
        <w:tabs>
          <w:tab w:val="left" w:pos="709"/>
        </w:tabs>
        <w:ind w:left="0" w:firstLine="0"/>
        <w:jc w:val="both"/>
        <w:rPr>
          <w:rFonts w:ascii="Times New Roman" w:hAnsi="Times New Roman" w:cs="Times New Roman"/>
          <w:noProof/>
          <w:sz w:val="24"/>
        </w:rPr>
      </w:pPr>
      <w:r w:rsidRPr="000A07D4">
        <w:rPr>
          <w:rFonts w:ascii="Times New Roman" w:hAnsi="Times New Roman"/>
          <w:sz w:val="24"/>
        </w:rPr>
        <w:t>Pieaugušo</w:t>
      </w:r>
      <w:r w:rsidR="003B0050">
        <w:rPr>
          <w:rFonts w:ascii="Times New Roman" w:hAnsi="Times New Roman"/>
          <w:sz w:val="24"/>
        </w:rPr>
        <w:t xml:space="preserve"> mācīšanās un izglītības mērķi</w:t>
      </w:r>
      <w:r w:rsidRPr="000A07D4">
        <w:rPr>
          <w:rFonts w:ascii="Times New Roman" w:hAnsi="Times New Roman"/>
          <w:sz w:val="24"/>
        </w:rPr>
        <w:t xml:space="preserve"> ir: a) attīstīt indivīda spējas domāt kritiski un rīkoties pa</w:t>
      </w:r>
      <w:r w:rsidR="003B0050">
        <w:rPr>
          <w:rFonts w:ascii="Times New Roman" w:hAnsi="Times New Roman"/>
          <w:sz w:val="24"/>
        </w:rPr>
        <w:t>t</w:t>
      </w:r>
      <w:r w:rsidRPr="000A07D4">
        <w:rPr>
          <w:rFonts w:ascii="Times New Roman" w:hAnsi="Times New Roman"/>
          <w:sz w:val="24"/>
        </w:rPr>
        <w:t>stāvīgi, apzinoties savu atbildību, b) stiprināt spējas risināt ar ekonomiku un darba vidi saistītos notikumus un veidot šādu notikumu gaitu, c) veicināt tādas kognitīvas sabiedrības veidošanos, kurā katram indivīdam ir iespēja mācīties un pilnībā piedalīties ilgtspējīgas attīstības procesos, kā arī vairot solidaritāti cilvēku un kopienu starpā, d) sekmēt mierīgu līdzāspastāvēšanu un cilvēktiesības, e) veicināt gados jaunu un vecāka gadagājuma pieaugušo izturētspēju, f) vairot izpratni par vides aizsardzību.</w:t>
      </w:r>
    </w:p>
    <w:p w:rsidR="00D5679D" w:rsidRPr="000A07D4" w:rsidRDefault="00D5679D" w:rsidP="000A07D4">
      <w:pPr>
        <w:jc w:val="both"/>
        <w:rPr>
          <w:rFonts w:ascii="Times New Roman" w:eastAsia="Arial" w:hAnsi="Times New Roman" w:cs="Times New Roman"/>
          <w:noProof/>
          <w:sz w:val="24"/>
          <w:szCs w:val="26"/>
        </w:rPr>
      </w:pPr>
    </w:p>
    <w:p w:rsidR="00D5679D" w:rsidRPr="000A07D4" w:rsidRDefault="00D5679D" w:rsidP="000A07D4">
      <w:pPr>
        <w:pStyle w:val="Heading8"/>
        <w:numPr>
          <w:ilvl w:val="1"/>
          <w:numId w:val="10"/>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DARBĪBAS JOMAS</w:t>
      </w:r>
    </w:p>
    <w:p w:rsidR="00786E2F" w:rsidRPr="000A07D4" w:rsidRDefault="00786E2F" w:rsidP="000A07D4">
      <w:pPr>
        <w:pStyle w:val="Heading8"/>
        <w:tabs>
          <w:tab w:val="left" w:pos="668"/>
        </w:tabs>
        <w:ind w:left="0"/>
        <w:jc w:val="both"/>
        <w:rPr>
          <w:rFonts w:ascii="Times New Roman" w:hAnsi="Times New Roman" w:cs="Times New Roman"/>
          <w:noProof/>
          <w:sz w:val="24"/>
        </w:rPr>
      </w:pPr>
    </w:p>
    <w:p w:rsidR="00511004" w:rsidRPr="003B0050" w:rsidRDefault="00D5679D" w:rsidP="00435B87">
      <w:pPr>
        <w:pStyle w:val="BodyText"/>
        <w:numPr>
          <w:ilvl w:val="0"/>
          <w:numId w:val="9"/>
        </w:numPr>
        <w:tabs>
          <w:tab w:val="left" w:pos="668"/>
        </w:tabs>
        <w:ind w:left="0" w:firstLine="0"/>
        <w:jc w:val="both"/>
        <w:rPr>
          <w:rFonts w:ascii="Times New Roman" w:hAnsi="Times New Roman" w:cs="Times New Roman"/>
          <w:b/>
          <w:bCs/>
          <w:noProof/>
          <w:sz w:val="24"/>
        </w:rPr>
      </w:pPr>
      <w:r w:rsidRPr="003B0050">
        <w:rPr>
          <w:rFonts w:ascii="Times New Roman" w:hAnsi="Times New Roman"/>
          <w:sz w:val="24"/>
        </w:rPr>
        <w:t>Šajā ieteikumā uzmanība</w:t>
      </w:r>
      <w:r w:rsidR="003B0050" w:rsidRPr="003B0050">
        <w:rPr>
          <w:rFonts w:ascii="Times New Roman" w:hAnsi="Times New Roman"/>
          <w:sz w:val="24"/>
        </w:rPr>
        <w:t xml:space="preserve"> īpaši pievērsta</w:t>
      </w:r>
      <w:r w:rsidRPr="003B0050">
        <w:rPr>
          <w:rFonts w:ascii="Times New Roman" w:hAnsi="Times New Roman"/>
          <w:sz w:val="24"/>
        </w:rPr>
        <w:t xml:space="preserve"> turpmāk minētajām jomām, kas minēta</w:t>
      </w:r>
      <w:r w:rsidR="003B0050" w:rsidRPr="003B0050">
        <w:rPr>
          <w:rFonts w:ascii="Times New Roman" w:hAnsi="Times New Roman"/>
          <w:sz w:val="24"/>
        </w:rPr>
        <w:t>s Belemas rīcības pamatplānā</w:t>
      </w:r>
      <w:r w:rsidRPr="003B0050">
        <w:rPr>
          <w:rFonts w:ascii="Times New Roman" w:hAnsi="Times New Roman"/>
          <w:sz w:val="24"/>
        </w:rPr>
        <w:t>, ko pieņēma sestā Starptautiskā Pieaugušo izglītības konference (</w:t>
      </w:r>
      <w:r w:rsidRPr="003B0050">
        <w:rPr>
          <w:rFonts w:ascii="Times New Roman" w:hAnsi="Times New Roman"/>
          <w:i/>
          <w:sz w:val="24"/>
        </w:rPr>
        <w:t>CONFINTEA</w:t>
      </w:r>
      <w:r w:rsidRPr="003B0050">
        <w:rPr>
          <w:rFonts w:ascii="Times New Roman" w:hAnsi="Times New Roman"/>
          <w:sz w:val="24"/>
        </w:rPr>
        <w:t xml:space="preserve"> VI), proti, politikai, pārvaldībai, finansējumam, līdzdalībai, iekļaušanai un taisnīgumam, kā arī kvalitātei.</w:t>
      </w:r>
      <w:r w:rsidR="00511004" w:rsidRPr="003B0050">
        <w:rPr>
          <w:rFonts w:ascii="Times New Roman" w:hAnsi="Times New Roman" w:cs="Times New Roman"/>
          <w:noProof/>
          <w:sz w:val="24"/>
        </w:rPr>
        <w:br w:type="page"/>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Heading8"/>
        <w:ind w:left="0"/>
        <w:jc w:val="both"/>
        <w:rPr>
          <w:rFonts w:ascii="Times New Roman" w:hAnsi="Times New Roman" w:cs="Times New Roman"/>
          <w:noProof/>
          <w:sz w:val="24"/>
        </w:rPr>
      </w:pPr>
      <w:r w:rsidRPr="000A07D4">
        <w:rPr>
          <w:rFonts w:ascii="Times New Roman" w:hAnsi="Times New Roman"/>
          <w:sz w:val="24"/>
        </w:rPr>
        <w:t>Politika</w:t>
      </w:r>
    </w:p>
    <w:p w:rsidR="00786E2F" w:rsidRPr="000A07D4" w:rsidRDefault="00786E2F" w:rsidP="000A07D4">
      <w:pPr>
        <w:pStyle w:val="Heading8"/>
        <w:ind w:left="0"/>
        <w:jc w:val="both"/>
        <w:rPr>
          <w:rFonts w:ascii="Times New Roman" w:hAnsi="Times New Roman" w:cs="Times New Roman"/>
          <w:noProof/>
          <w:sz w:val="24"/>
        </w:rPr>
      </w:pPr>
    </w:p>
    <w:p w:rsidR="00786E2F"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ņemot vērā to īpašos apstākļus, pārvaldības struktūras un konstitucionālās normas, ir jāizstrādā visaptveroša, iekļaujoša un integrēta politika pieaugušo</w:t>
      </w:r>
      <w:r w:rsidR="003B0050">
        <w:rPr>
          <w:rFonts w:ascii="Times New Roman" w:hAnsi="Times New Roman"/>
          <w:sz w:val="24"/>
        </w:rPr>
        <w:t xml:space="preserve"> mācībām un</w:t>
      </w:r>
      <w:r w:rsidRPr="000A07D4">
        <w:rPr>
          <w:rFonts w:ascii="Times New Roman" w:hAnsi="Times New Roman"/>
          <w:sz w:val="24"/>
        </w:rPr>
        <w:t xml:space="preserve"> izglītībai tās dažādajās formās.</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Dalībvalstīm ir jāizstrādā visaptveroša politika, kurā skatīts jautājums par mācīšanos daudzās jomās, tostarp, ekonomikas, politikas, sociālajā, kultūras, tehnoloģiskajā un vides jomā.</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Dalībvalstīm ir jāizstrādā iekļaujoša politika, ar ko tiktu risinātas visu pieaugušo mācību vajadzības, nodrošinot vienādu piekļuvi mācību iespējām, kā arī atšķirīgas stratēģijas bez jebkādas diskriminācijas.</w:t>
      </w:r>
    </w:p>
    <w:p w:rsidR="00D5679D" w:rsidRPr="000A07D4" w:rsidRDefault="00D5679D" w:rsidP="00511004">
      <w:pPr>
        <w:pStyle w:val="BodyText"/>
        <w:numPr>
          <w:ilvl w:val="1"/>
          <w:numId w:val="9"/>
        </w:numPr>
        <w:tabs>
          <w:tab w:val="left" w:pos="1234"/>
        </w:tabs>
        <w:ind w:left="1134" w:hanging="425"/>
        <w:jc w:val="both"/>
        <w:rPr>
          <w:rFonts w:ascii="Times New Roman" w:hAnsi="Times New Roman" w:cs="Times New Roman"/>
          <w:noProof/>
          <w:sz w:val="24"/>
        </w:rPr>
      </w:pPr>
      <w:r w:rsidRPr="000A07D4">
        <w:rPr>
          <w:rFonts w:ascii="Times New Roman" w:hAnsi="Times New Roman"/>
          <w:sz w:val="24"/>
        </w:rPr>
        <w:t>Dalībvalstīm ir jāizstrādā integrēta politika, izmantojot starpdisciplinārās un starpnozaru zināšanas un zinātību, aptverot izglītības un apmācības politiku un ar to saistītās politikas jomas, piemēram, ekonomikas attīstību, cilvēkresursu attīstību, nodarbinātību, veselību, vidi, tiesiskumu, lauksaimniecību un kultūru.</w:t>
      </w:r>
    </w:p>
    <w:p w:rsidR="00786E2F" w:rsidRPr="000A07D4" w:rsidRDefault="00786E2F" w:rsidP="000A07D4">
      <w:pPr>
        <w:pStyle w:val="BodyText"/>
        <w:tabs>
          <w:tab w:val="left" w:pos="1234"/>
        </w:tabs>
        <w:ind w:left="0"/>
        <w:jc w:val="both"/>
        <w:rPr>
          <w:rFonts w:ascii="Times New Roman" w:hAnsi="Times New Roman" w:cs="Times New Roman"/>
          <w:noProof/>
          <w:sz w:val="24"/>
        </w:rPr>
      </w:pPr>
    </w:p>
    <w:p w:rsidR="00786E2F"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izstrādātu politiku pieaugušo</w:t>
      </w:r>
      <w:r w:rsidR="003B0050">
        <w:rPr>
          <w:rFonts w:ascii="Times New Roman" w:hAnsi="Times New Roman"/>
          <w:sz w:val="24"/>
        </w:rPr>
        <w:t xml:space="preserve"> mācīšanās un</w:t>
      </w:r>
      <w:r w:rsidRPr="000A07D4">
        <w:rPr>
          <w:rFonts w:ascii="Times New Roman" w:hAnsi="Times New Roman"/>
          <w:sz w:val="24"/>
        </w:rPr>
        <w:t xml:space="preserve"> izglītības jomā, dalībvalstīm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stiprināt vai izveidot ministriju forumus, lai visās nozarēs formulētu pieaugušo</w:t>
      </w:r>
      <w:r w:rsidR="003B0050">
        <w:rPr>
          <w:rFonts w:ascii="Times New Roman" w:hAnsi="Times New Roman"/>
          <w:sz w:val="24"/>
        </w:rPr>
        <w:t xml:space="preserve"> mācīšanās un</w:t>
      </w:r>
      <w:r w:rsidRPr="000A07D4">
        <w:rPr>
          <w:rFonts w:ascii="Times New Roman" w:hAnsi="Times New Roman"/>
          <w:sz w:val="24"/>
        </w:rPr>
        <w:t xml:space="preserve"> izglītības uzdevumu mūžizglītības spektrā, kā arī tās devumu sabiedrības attīstībā;</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iesaistīt attiecīgās ieinteresētās puses, tostarp parlamenta deputātus, valsts iestādes, akadēmiskās aprindas, pilsoniskās sabiedrības organizācijas un privāto sektoru, kā partnerus politikas izstrādē;</w:t>
      </w:r>
    </w:p>
    <w:p w:rsidR="00D5679D" w:rsidRPr="000A07D4" w:rsidRDefault="00D5679D" w:rsidP="00511004">
      <w:pPr>
        <w:pStyle w:val="BodyText"/>
        <w:numPr>
          <w:ilvl w:val="1"/>
          <w:numId w:val="9"/>
        </w:numPr>
        <w:tabs>
          <w:tab w:val="left" w:pos="1234"/>
        </w:tabs>
        <w:ind w:left="1134" w:hanging="425"/>
        <w:jc w:val="both"/>
        <w:rPr>
          <w:rFonts w:ascii="Times New Roman" w:hAnsi="Times New Roman" w:cs="Times New Roman"/>
          <w:noProof/>
          <w:sz w:val="24"/>
        </w:rPr>
      </w:pPr>
      <w:r w:rsidRPr="000A07D4">
        <w:rPr>
          <w:rFonts w:ascii="Times New Roman" w:hAnsi="Times New Roman"/>
          <w:sz w:val="24"/>
        </w:rPr>
        <w:t>nodrošināt piemērotas struktūras un mehānismus pieaugušo</w:t>
      </w:r>
      <w:r w:rsidR="003B0050">
        <w:rPr>
          <w:rFonts w:ascii="Times New Roman" w:hAnsi="Times New Roman"/>
          <w:sz w:val="24"/>
        </w:rPr>
        <w:t xml:space="preserve"> mācīšanās un</w:t>
      </w:r>
      <w:r w:rsidRPr="000A07D4">
        <w:rPr>
          <w:rFonts w:ascii="Times New Roman" w:hAnsi="Times New Roman"/>
          <w:sz w:val="24"/>
        </w:rPr>
        <w:t xml:space="preserve"> izglītības politikas izstrādei, vie</w:t>
      </w:r>
      <w:r w:rsidR="003B0050">
        <w:rPr>
          <w:rFonts w:ascii="Times New Roman" w:hAnsi="Times New Roman"/>
          <w:sz w:val="24"/>
        </w:rPr>
        <w:t>nlaikus paredzot, ka izstrādātā politika ir pietiekami pielāgojama</w:t>
      </w:r>
      <w:r w:rsidRPr="000A07D4">
        <w:rPr>
          <w:rFonts w:ascii="Times New Roman" w:hAnsi="Times New Roman"/>
          <w:sz w:val="24"/>
        </w:rPr>
        <w:t xml:space="preserve"> turpmākajām vajadzībām, problēmām un izaicinājumiem.</w:t>
      </w:r>
    </w:p>
    <w:p w:rsidR="00786E2F" w:rsidRPr="000A07D4" w:rsidRDefault="00786E2F" w:rsidP="000A07D4">
      <w:pPr>
        <w:pStyle w:val="BodyText"/>
        <w:tabs>
          <w:tab w:val="left" w:pos="1234"/>
        </w:tabs>
        <w:ind w:left="0"/>
        <w:jc w:val="both"/>
        <w:rPr>
          <w:rFonts w:ascii="Times New Roman" w:hAnsi="Times New Roman" w:cs="Times New Roman"/>
          <w:noProof/>
          <w:sz w:val="24"/>
        </w:rPr>
      </w:pP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radītu labvēlīgu politisko vidi, dalībvalstīm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ind w:left="1134" w:hanging="425"/>
        <w:jc w:val="both"/>
        <w:rPr>
          <w:rFonts w:ascii="Times New Roman" w:hAnsi="Times New Roman" w:cs="Times New Roman"/>
          <w:noProof/>
          <w:sz w:val="24"/>
        </w:rPr>
      </w:pPr>
      <w:r w:rsidRPr="000A07D4">
        <w:rPr>
          <w:rFonts w:ascii="Times New Roman" w:hAnsi="Times New Roman"/>
          <w:sz w:val="24"/>
        </w:rPr>
        <w:t>ar tiesību aktu un iestāžu starpniecību, kā arī paužot stabilu politisko apņemšanos, vairot izpratni par to, ka pieaugušo</w:t>
      </w:r>
      <w:r w:rsidR="003B0050">
        <w:rPr>
          <w:rFonts w:ascii="Times New Roman" w:hAnsi="Times New Roman"/>
          <w:sz w:val="24"/>
        </w:rPr>
        <w:t xml:space="preserve"> mācīšanās un</w:t>
      </w:r>
      <w:r w:rsidRPr="000A07D4">
        <w:rPr>
          <w:rFonts w:ascii="Times New Roman" w:hAnsi="Times New Roman"/>
          <w:sz w:val="24"/>
        </w:rPr>
        <w:t xml:space="preserve"> izglītība ir būtisks tiesību uz izglītību elements un svarīgs izglītības sistēmas pīlārs;</w:t>
      </w:r>
    </w:p>
    <w:p w:rsidR="00D5679D" w:rsidRPr="000A07D4" w:rsidRDefault="00D5679D" w:rsidP="00511004">
      <w:pPr>
        <w:pStyle w:val="BodyText"/>
        <w:numPr>
          <w:ilvl w:val="1"/>
          <w:numId w:val="9"/>
        </w:numPr>
        <w:ind w:left="1134" w:hanging="425"/>
        <w:jc w:val="both"/>
        <w:rPr>
          <w:rFonts w:ascii="Times New Roman" w:hAnsi="Times New Roman" w:cs="Times New Roman"/>
          <w:noProof/>
          <w:sz w:val="24"/>
        </w:rPr>
      </w:pPr>
      <w:r w:rsidRPr="000A07D4">
        <w:rPr>
          <w:rFonts w:ascii="Times New Roman" w:hAnsi="Times New Roman"/>
          <w:sz w:val="24"/>
        </w:rPr>
        <w:t>īstenot pasākumus, lai sniegtu informāciju, motivētu apmācāmo</w:t>
      </w:r>
      <w:r w:rsidR="003B0050">
        <w:rPr>
          <w:rFonts w:ascii="Times New Roman" w:hAnsi="Times New Roman"/>
          <w:sz w:val="24"/>
        </w:rPr>
        <w:t>s un norādītu viņiem atbilstošas</w:t>
      </w:r>
      <w:r w:rsidRPr="000A07D4">
        <w:rPr>
          <w:rFonts w:ascii="Times New Roman" w:hAnsi="Times New Roman"/>
          <w:sz w:val="24"/>
        </w:rPr>
        <w:t xml:space="preserve"> mācību iespējas;</w:t>
      </w:r>
    </w:p>
    <w:p w:rsidR="00D5679D" w:rsidRPr="000A07D4" w:rsidRDefault="003B0050" w:rsidP="00511004">
      <w:pPr>
        <w:pStyle w:val="BodyText"/>
        <w:numPr>
          <w:ilvl w:val="1"/>
          <w:numId w:val="9"/>
        </w:numPr>
        <w:ind w:left="1134" w:hanging="425"/>
        <w:jc w:val="both"/>
        <w:rPr>
          <w:rFonts w:ascii="Times New Roman" w:hAnsi="Times New Roman" w:cs="Times New Roman"/>
          <w:noProof/>
          <w:sz w:val="24"/>
        </w:rPr>
      </w:pPr>
      <w:r>
        <w:rPr>
          <w:rFonts w:ascii="Times New Roman" w:hAnsi="Times New Roman"/>
          <w:sz w:val="24"/>
        </w:rPr>
        <w:t>apkopojot</w:t>
      </w:r>
      <w:r w:rsidR="00D5679D" w:rsidRPr="000A07D4">
        <w:rPr>
          <w:rFonts w:ascii="Times New Roman" w:hAnsi="Times New Roman"/>
          <w:sz w:val="24"/>
        </w:rPr>
        <w:t>, analizējot un izplatot efektīvas politiskās nostādnes un praksi, parādīt plašākus ieguvumus, ko sabiedrībai sniedz rakstpratība un pieaugušo</w:t>
      </w:r>
      <w:r>
        <w:rPr>
          <w:rFonts w:ascii="Times New Roman" w:hAnsi="Times New Roman"/>
          <w:sz w:val="24"/>
        </w:rPr>
        <w:t xml:space="preserve"> mācīšanās un</w:t>
      </w:r>
      <w:r w:rsidR="00D5679D" w:rsidRPr="000A07D4">
        <w:rPr>
          <w:rFonts w:ascii="Times New Roman" w:hAnsi="Times New Roman"/>
          <w:sz w:val="24"/>
        </w:rPr>
        <w:t xml:space="preserve"> izglītība, piemēram, sociālo kohēziju, veselību un labklājību, kopienas attīstību, nodarbinātību un vides aizsardzību, kas ir iekļaujošas, taisnīgas un ilgtspējīgas attīstības aspekti.</w:t>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Heading8"/>
        <w:ind w:left="0"/>
        <w:jc w:val="both"/>
        <w:rPr>
          <w:rFonts w:ascii="Times New Roman" w:hAnsi="Times New Roman" w:cs="Times New Roman"/>
          <w:noProof/>
          <w:sz w:val="24"/>
        </w:rPr>
      </w:pPr>
      <w:r w:rsidRPr="000A07D4">
        <w:rPr>
          <w:rFonts w:ascii="Times New Roman" w:hAnsi="Times New Roman"/>
          <w:sz w:val="24"/>
        </w:rPr>
        <w:t>Pārvaldība</w:t>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Ņemot vērā to īpašos apstākļus, pārvaldības struktūras un konstitucionālās normas, dalībvalstīm ir jāapsver iespēja uzlabot pieaugušo</w:t>
      </w:r>
      <w:r w:rsidR="003B0050">
        <w:rPr>
          <w:rFonts w:ascii="Times New Roman" w:hAnsi="Times New Roman"/>
          <w:sz w:val="24"/>
        </w:rPr>
        <w:t xml:space="preserve"> mācīšanās un</w:t>
      </w:r>
      <w:r w:rsidRPr="000A07D4">
        <w:rPr>
          <w:rFonts w:ascii="Times New Roman" w:hAnsi="Times New Roman"/>
          <w:sz w:val="24"/>
        </w:rPr>
        <w:t xml:space="preserve"> izglītības pārvaldību, tostarp vietējā, valsts, reģionālā un starptautiskā līmenī stiprinot vai izveidojot sadarbības struktūras un līdzdalības procesus, piemēram, ieinteresēto personu daudzpusējas partnerības.</w:t>
      </w: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 xml:space="preserve">Dalībvalstīm ir jāievieš mehānismi un jāuzņemas atbildība par efektīvu, pārskatāmu un </w:t>
      </w:r>
      <w:r w:rsidRPr="000A07D4">
        <w:rPr>
          <w:rFonts w:ascii="Times New Roman" w:hAnsi="Times New Roman"/>
          <w:sz w:val="24"/>
        </w:rPr>
        <w:lastRenderedPageBreak/>
        <w:t>demokrātisku iestāžu un procesu pārvaldi vietējā, valsts, reģionālā un pasaules līmenī, kā arī jāsekmē ieinteresēto personu daudzpusēju partnerību veidošana. Dalībvalstīm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nodrošināt attiecīgo ieinteresēto personu piemērotu pārstāvību un līdzdalību politikas un programmu izstrādē, lai tādējādi nodrošinātu demokrātisku pārvaldību un spēju reaģēt uz visu apmācāmo, īpaši visneaizsargātāko apmācāmo, vajadzībām;</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izveidot ieinteresēto personu daudzpusējas partnerības nolūkā veidot labvēlīgu vidi l</w:t>
      </w:r>
      <w:r w:rsidR="004F023D">
        <w:rPr>
          <w:rFonts w:ascii="Times New Roman" w:hAnsi="Times New Roman"/>
          <w:sz w:val="24"/>
        </w:rPr>
        <w:t>abai pārvaldībai, iesaistot visa</w:t>
      </w:r>
      <w:r w:rsidRPr="000A07D4">
        <w:rPr>
          <w:rFonts w:ascii="Times New Roman" w:hAnsi="Times New Roman"/>
          <w:sz w:val="24"/>
        </w:rPr>
        <w:t>s pieaugušo</w:t>
      </w:r>
      <w:r w:rsidR="004F023D">
        <w:rPr>
          <w:rFonts w:ascii="Times New Roman" w:hAnsi="Times New Roman"/>
          <w:sz w:val="24"/>
        </w:rPr>
        <w:t xml:space="preserve"> mācīšanā un</w:t>
      </w:r>
      <w:r w:rsidRPr="000A07D4">
        <w:rPr>
          <w:rFonts w:ascii="Times New Roman" w:hAnsi="Times New Roman"/>
          <w:sz w:val="24"/>
        </w:rPr>
        <w:t xml:space="preserve"> izglītībā </w:t>
      </w:r>
      <w:r w:rsidR="004F023D">
        <w:rPr>
          <w:rFonts w:ascii="Times New Roman" w:hAnsi="Times New Roman"/>
          <w:sz w:val="24"/>
        </w:rPr>
        <w:t>iesaistītās puses</w:t>
      </w:r>
      <w:r w:rsidRPr="000A07D4">
        <w:rPr>
          <w:rFonts w:ascii="Times New Roman" w:hAnsi="Times New Roman"/>
          <w:sz w:val="24"/>
        </w:rPr>
        <w:t xml:space="preserve"> no valsts iestādēm, pilsoniskās sabiedrības organizācijām un privātā sektora (piemēram, ministrijām, pašvaldības iestādēm, parlamenta, apmācāmo asociācijām, plašsaziņas līdzekļiem, brīvprātīgo grupām, izpētes institūtiem un akadēmiskajām aprindām, privātajiem fondiem, tirdzniecības un rūpniecības palātām, arodbiedrībām, starptautiskām un reģionālām organizācijām), tostarp tos, kuri </w:t>
      </w:r>
      <w:r w:rsidR="004F023D">
        <w:rPr>
          <w:rFonts w:ascii="Times New Roman" w:hAnsi="Times New Roman"/>
          <w:sz w:val="24"/>
        </w:rPr>
        <w:t>organizē izglītības un mācību</w:t>
      </w:r>
      <w:r w:rsidRPr="000A07D4">
        <w:rPr>
          <w:rFonts w:ascii="Times New Roman" w:hAnsi="Times New Roman"/>
          <w:sz w:val="24"/>
        </w:rPr>
        <w:t xml:space="preserve"> procesus un apstiprina kompetences vietējā, valsts, reģionālā un starptautiskā līmenī;</w:t>
      </w:r>
    </w:p>
    <w:p w:rsidR="00D5679D" w:rsidRPr="000A07D4" w:rsidRDefault="004F023D" w:rsidP="00511004">
      <w:pPr>
        <w:pStyle w:val="BodyText"/>
        <w:numPr>
          <w:ilvl w:val="1"/>
          <w:numId w:val="9"/>
        </w:numPr>
        <w:tabs>
          <w:tab w:val="left" w:pos="1234"/>
        </w:tabs>
        <w:ind w:left="1134" w:hanging="425"/>
        <w:jc w:val="both"/>
        <w:rPr>
          <w:rFonts w:ascii="Times New Roman" w:hAnsi="Times New Roman" w:cs="Times New Roman"/>
          <w:noProof/>
          <w:sz w:val="24"/>
        </w:rPr>
      </w:pPr>
      <w:r>
        <w:rPr>
          <w:rFonts w:ascii="Times New Roman" w:hAnsi="Times New Roman"/>
          <w:sz w:val="24"/>
        </w:rPr>
        <w:t>izplatīt</w:t>
      </w:r>
      <w:r w:rsidR="00D5679D" w:rsidRPr="000A07D4">
        <w:rPr>
          <w:rFonts w:ascii="Times New Roman" w:hAnsi="Times New Roman"/>
          <w:sz w:val="24"/>
        </w:rPr>
        <w:t xml:space="preserve"> jauninājumus un sasniegumus</w:t>
      </w:r>
      <w:r>
        <w:rPr>
          <w:rFonts w:ascii="Times New Roman" w:hAnsi="Times New Roman"/>
          <w:sz w:val="24"/>
        </w:rPr>
        <w:t>, kas ir plašākas sabiedrības interesēs</w:t>
      </w:r>
      <w:r w:rsidR="00D5679D" w:rsidRPr="000A07D4">
        <w:rPr>
          <w:rFonts w:ascii="Times New Roman" w:hAnsi="Times New Roman"/>
          <w:sz w:val="24"/>
        </w:rPr>
        <w:t>, lai t</w:t>
      </w:r>
      <w:r>
        <w:rPr>
          <w:rFonts w:ascii="Times New Roman" w:hAnsi="Times New Roman"/>
          <w:sz w:val="24"/>
        </w:rPr>
        <w:t>os varētu izmantot kā etalonus</w:t>
      </w:r>
      <w:r w:rsidR="00D5679D" w:rsidRPr="000A07D4">
        <w:rPr>
          <w:rFonts w:ascii="Times New Roman" w:hAnsi="Times New Roman"/>
          <w:sz w:val="24"/>
        </w:rPr>
        <w:t>.</w:t>
      </w:r>
    </w:p>
    <w:p w:rsidR="00786E2F" w:rsidRPr="000A07D4" w:rsidRDefault="00786E2F" w:rsidP="000A07D4">
      <w:pPr>
        <w:pStyle w:val="BodyText"/>
        <w:tabs>
          <w:tab w:val="left" w:pos="1234"/>
        </w:tabs>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ir jāapsver iespēja valsts un vietējā līmenī ieviest pielāgojamus, reaģējošus un decentralizētus mehānismus un procesus. Lauku un pilsētu teritorijām ir jāparedz iekļaujošas un ilgtspējīgas stratēģijas, lai katram indivīdam būtu iespēja mācīties un pilnībā piedalīties attīstības procesos.</w:t>
      </w: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ir jāapsver iespēja izveidot izglītības pilsētas, mazpilsētas un ciematus,</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mobilizējot resursus, lai veicinātu iekļaujošu mācīšanos;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atjaunojot mācīšanos ģimenēs un kopienās;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sekmējot mācīša</w:t>
      </w:r>
      <w:r w:rsidR="008A3DB0">
        <w:rPr>
          <w:rFonts w:ascii="Times New Roman" w:hAnsi="Times New Roman"/>
          <w:sz w:val="24"/>
        </w:rPr>
        <w:t>nos darbam un darbavietā</w:t>
      </w:r>
      <w:r w:rsidRPr="000A07D4">
        <w:rPr>
          <w:rFonts w:ascii="Times New Roman" w:hAnsi="Times New Roman"/>
          <w:sz w:val="24"/>
        </w:rPr>
        <w:t>;</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paplašinot mūsdienu mācību tehnoloģiju izmantojumu;</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veicinot kvalitāti un izcilību izglītībā;</w:t>
      </w:r>
    </w:p>
    <w:p w:rsidR="00D5679D" w:rsidRPr="000A07D4" w:rsidRDefault="008A3DB0" w:rsidP="00511004">
      <w:pPr>
        <w:pStyle w:val="BodyText"/>
        <w:numPr>
          <w:ilvl w:val="1"/>
          <w:numId w:val="9"/>
        </w:numPr>
        <w:tabs>
          <w:tab w:val="left" w:pos="1235"/>
        </w:tabs>
        <w:ind w:left="1134" w:hanging="425"/>
        <w:jc w:val="both"/>
        <w:rPr>
          <w:rFonts w:ascii="Times New Roman" w:hAnsi="Times New Roman" w:cs="Times New Roman"/>
          <w:noProof/>
          <w:sz w:val="24"/>
        </w:rPr>
      </w:pPr>
      <w:r>
        <w:rPr>
          <w:rFonts w:ascii="Times New Roman" w:hAnsi="Times New Roman"/>
          <w:sz w:val="24"/>
        </w:rPr>
        <w:t>veicinot</w:t>
      </w:r>
      <w:r w:rsidR="00D5679D" w:rsidRPr="000A07D4">
        <w:rPr>
          <w:rFonts w:ascii="Times New Roman" w:hAnsi="Times New Roman"/>
          <w:sz w:val="24"/>
        </w:rPr>
        <w:t xml:space="preserve"> tradīciju mācīties visu dzīvi.</w:t>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Heading8"/>
        <w:ind w:left="0"/>
        <w:jc w:val="both"/>
        <w:rPr>
          <w:rFonts w:ascii="Times New Roman" w:hAnsi="Times New Roman" w:cs="Times New Roman"/>
          <w:noProof/>
          <w:sz w:val="24"/>
        </w:rPr>
      </w:pPr>
      <w:r w:rsidRPr="000A07D4">
        <w:rPr>
          <w:rFonts w:ascii="Times New Roman" w:hAnsi="Times New Roman"/>
          <w:sz w:val="24"/>
        </w:rPr>
        <w:t>Finansējums</w:t>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paredzot atbilstošus mehānismus, tostarp ministriju savstarpēju koordināciju, partnerības un izmaksu sadali, ir jāmobilizē un jāatvēl pietiekami finanšu resursi tam, lai atbalstītu plašu un sekmīgu dalību pieaugušo</w:t>
      </w:r>
      <w:r w:rsidR="008A3DB0">
        <w:rPr>
          <w:rFonts w:ascii="Times New Roman" w:hAnsi="Times New Roman"/>
          <w:sz w:val="24"/>
        </w:rPr>
        <w:t xml:space="preserve"> mācībās un</w:t>
      </w:r>
      <w:r w:rsidRPr="000A07D4">
        <w:rPr>
          <w:rFonts w:ascii="Times New Roman" w:hAnsi="Times New Roman"/>
          <w:sz w:val="24"/>
        </w:rPr>
        <w:t xml:space="preserve"> izglītībā.</w:t>
      </w: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Valsts pārvaldei ir būtiska loma budžeta veidošanā un līdzekļu piešķiršanā, ko īsteno, ņemot vērā katras valsts sociālās prioritātes (cita starpā izglītību, veselību, pārtikas nodrošinājumu) un principu par valsts pārvaldes, privātā sektora un indivīdu kopīgu atbildību. Dalībvalstīm ir jāmobilizē un jāpiešķir pietiekami resursi pieaugušo izglītībai, ņemot vērā konkrētās valsts vajadzības. Ir jāveic pasākumi, kas nepieciešami, lai pieejamos resursus izmantotu ilgtspējīgi, efektīvi, lietderīgi, demokrātiski un atbildīgi.</w:t>
      </w:r>
    </w:p>
    <w:p w:rsidR="008A3DB0" w:rsidRPr="008A3DB0"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Ir jādara viss iespējamais, lai ieviestu stratēģiju to resursu mobilizēšanai, kas ir pieejami visiem attiecīgajiem valsts pārvaldes departamentiem un dažādām ieinteresētajām personām. Rakstpratībai, kas ir mūžizglītības pamats un priekšnoteikums tiesību uz izglītību izmantošanai, ir jābūt vispārēji un brīvi pieejamai. Līdzekļu trūkums nedrīkst būt šķērslis, kas liedz kādam apmācāmajam piedalīties pieaugušo</w:t>
      </w:r>
      <w:r w:rsidR="008A3DB0">
        <w:rPr>
          <w:rFonts w:ascii="Times New Roman" w:hAnsi="Times New Roman"/>
          <w:sz w:val="24"/>
        </w:rPr>
        <w:t xml:space="preserve"> mācību un izglītības programmās.</w:t>
      </w:r>
    </w:p>
    <w:p w:rsidR="008A3DB0" w:rsidRDefault="008A3DB0">
      <w:pPr>
        <w:rPr>
          <w:rFonts w:ascii="Times New Roman" w:eastAsia="Arial" w:hAnsi="Times New Roman"/>
          <w:sz w:val="24"/>
        </w:rPr>
      </w:pPr>
      <w:r>
        <w:rPr>
          <w:rFonts w:ascii="Times New Roman" w:hAnsi="Times New Roman"/>
          <w:sz w:val="24"/>
        </w:rPr>
        <w:br w:type="page"/>
      </w:r>
    </w:p>
    <w:p w:rsidR="00D5679D" w:rsidRPr="00511004" w:rsidRDefault="00D5679D" w:rsidP="008A3DB0">
      <w:pPr>
        <w:pStyle w:val="BodyText"/>
        <w:tabs>
          <w:tab w:val="left" w:pos="668"/>
        </w:tabs>
        <w:ind w:left="0"/>
        <w:rPr>
          <w:rFonts w:ascii="Times New Roman" w:hAnsi="Times New Roman" w:cs="Times New Roman"/>
          <w:noProof/>
          <w:sz w:val="24"/>
        </w:rPr>
      </w:pPr>
      <w:r w:rsidRPr="000A07D4">
        <w:rPr>
          <w:rFonts w:ascii="Times New Roman" w:hAnsi="Times New Roman"/>
          <w:sz w:val="24"/>
        </w:rPr>
        <w:lastRenderedPageBreak/>
        <w:t>Dalībvalstīm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8A3DB0" w:rsidP="00511004">
      <w:pPr>
        <w:pStyle w:val="BodyText"/>
        <w:numPr>
          <w:ilvl w:val="1"/>
          <w:numId w:val="9"/>
        </w:numPr>
        <w:tabs>
          <w:tab w:val="left" w:pos="1234"/>
        </w:tabs>
        <w:ind w:left="1134" w:hanging="425"/>
        <w:jc w:val="both"/>
        <w:rPr>
          <w:rFonts w:ascii="Times New Roman" w:hAnsi="Times New Roman" w:cs="Times New Roman"/>
          <w:noProof/>
          <w:sz w:val="24"/>
        </w:rPr>
      </w:pPr>
      <w:r>
        <w:rPr>
          <w:rFonts w:ascii="Times New Roman" w:hAnsi="Times New Roman"/>
          <w:sz w:val="24"/>
        </w:rPr>
        <w:t>noteikt kā prioritāti</w:t>
      </w:r>
      <w:r w:rsidR="00D5679D" w:rsidRPr="000A07D4">
        <w:rPr>
          <w:rFonts w:ascii="Times New Roman" w:hAnsi="Times New Roman"/>
          <w:sz w:val="24"/>
        </w:rPr>
        <w:t xml:space="preserve"> ieguldījumu rakstpratībā un pamata prasmēs, kā arī turpināt nodrošināt pieaugušo</w:t>
      </w:r>
      <w:r>
        <w:rPr>
          <w:rFonts w:ascii="Times New Roman" w:hAnsi="Times New Roman"/>
          <w:sz w:val="24"/>
        </w:rPr>
        <w:t xml:space="preserve"> mācīšanos un</w:t>
      </w:r>
      <w:r w:rsidR="00D5679D" w:rsidRPr="000A07D4">
        <w:rPr>
          <w:rFonts w:ascii="Times New Roman" w:hAnsi="Times New Roman"/>
          <w:sz w:val="24"/>
        </w:rPr>
        <w:t xml:space="preserve"> izglītību;</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sekmēt ministriju savstarpēju koordināciju politikas jomās (piemēram, ekonomikas attīstībā, cilvēkresursos, nodarbinātībā, veselībā, lauksaimniecībā un vidē), jo tas ir būtisks priekšnoteikums resursu izmantojuma optimizēšanai (izmaksu lietderībai un izmaksu sadalei) un pēc iespējas labāku mācību rezultātu nodrošināšanai;</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nodrošināt, ka resursus piešķir un izmanto pārredzami nolūkā atspoguļot prioritātes, kas noteiktas saskaņā ar izpētes par pašreizējo situāciju pieaugušo izglītībā rezultātiem.</w:t>
      </w:r>
    </w:p>
    <w:p w:rsidR="00786E2F" w:rsidRPr="000A07D4" w:rsidRDefault="00786E2F" w:rsidP="000A07D4">
      <w:pPr>
        <w:pStyle w:val="BodyText"/>
        <w:tabs>
          <w:tab w:val="left" w:pos="1235"/>
        </w:tabs>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Dalībvalstis var piedāvāt līdzfinansējumu un noteikt stimulus mācīšanās sekmēšanai. Piemēram, var ieviest individuālos izglītības kontus, subsīdijas (kuponus un pabalstus), kā arī atbalstīt mācību atvaļinājumus darba ņēmējiem.</w:t>
      </w:r>
    </w:p>
    <w:p w:rsidR="00786E2F" w:rsidRPr="000A07D4" w:rsidRDefault="00786E2F" w:rsidP="000A07D4">
      <w:pPr>
        <w:pStyle w:val="Heading8"/>
        <w:ind w:left="0"/>
        <w:jc w:val="both"/>
        <w:rPr>
          <w:rFonts w:ascii="Times New Roman" w:hAnsi="Times New Roman" w:cs="Times New Roman"/>
          <w:noProof/>
          <w:sz w:val="24"/>
        </w:rPr>
      </w:pPr>
    </w:p>
    <w:p w:rsidR="00D5679D" w:rsidRDefault="00097429" w:rsidP="000A07D4">
      <w:pPr>
        <w:pStyle w:val="Heading8"/>
        <w:ind w:left="0"/>
        <w:jc w:val="both"/>
        <w:rPr>
          <w:rFonts w:ascii="Times New Roman" w:hAnsi="Times New Roman"/>
          <w:sz w:val="24"/>
        </w:rPr>
      </w:pPr>
      <w:r>
        <w:rPr>
          <w:rFonts w:ascii="Times New Roman" w:hAnsi="Times New Roman"/>
          <w:sz w:val="24"/>
        </w:rPr>
        <w:t>Līdzdalība</w:t>
      </w:r>
      <w:r w:rsidR="00D5679D" w:rsidRPr="000A07D4">
        <w:rPr>
          <w:rFonts w:ascii="Times New Roman" w:hAnsi="Times New Roman"/>
          <w:sz w:val="24"/>
        </w:rPr>
        <w:t>, iekļaušana un taisnīgums</w:t>
      </w:r>
    </w:p>
    <w:p w:rsidR="00511004" w:rsidRPr="000A07D4" w:rsidRDefault="00511004" w:rsidP="000A07D4">
      <w:pPr>
        <w:pStyle w:val="Heading8"/>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 xml:space="preserve">Ņemot vērā to īpašos apstākļus, pārvaldības struktūras un konstitucionālās normas, dalībvalstīm ir jāapsver iespēja veicināt </w:t>
      </w:r>
      <w:r w:rsidR="00097429">
        <w:rPr>
          <w:rFonts w:ascii="Times New Roman" w:hAnsi="Times New Roman"/>
          <w:sz w:val="24"/>
        </w:rPr>
        <w:t>līdz</w:t>
      </w:r>
      <w:r w:rsidRPr="000A07D4">
        <w:rPr>
          <w:rFonts w:ascii="Times New Roman" w:hAnsi="Times New Roman"/>
          <w:sz w:val="24"/>
        </w:rPr>
        <w:t>dalību, iekļaušanu un taisnīgumu, lai nevienam nebūtu liegts iesaistīties pieaugušo</w:t>
      </w:r>
      <w:r w:rsidR="00097429">
        <w:rPr>
          <w:rFonts w:ascii="Times New Roman" w:hAnsi="Times New Roman"/>
          <w:sz w:val="24"/>
        </w:rPr>
        <w:t xml:space="preserve"> mācīšanās un izglītības procesos</w:t>
      </w:r>
      <w:r w:rsidRPr="000A07D4">
        <w:rPr>
          <w:rFonts w:ascii="Times New Roman" w:hAnsi="Times New Roman"/>
          <w:sz w:val="24"/>
        </w:rPr>
        <w:t xml:space="preserve"> un lai visas sievietes un vīrieši ar dažādu sociālo, kultūras, valodas, ekonomi</w:t>
      </w:r>
      <w:r w:rsidR="00097429">
        <w:rPr>
          <w:rFonts w:ascii="Times New Roman" w:hAnsi="Times New Roman"/>
          <w:sz w:val="24"/>
        </w:rPr>
        <w:t>sko, izglītības un citu pieredzi</w:t>
      </w:r>
      <w:r w:rsidRPr="000A07D4">
        <w:rPr>
          <w:rFonts w:ascii="Times New Roman" w:hAnsi="Times New Roman"/>
          <w:sz w:val="24"/>
        </w:rPr>
        <w:t xml:space="preserve"> varētu izmantot kvalitatīvas izglītības iespējas.</w:t>
      </w: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veicinātu pieejam</w:t>
      </w:r>
      <w:r w:rsidR="00097429">
        <w:rPr>
          <w:rFonts w:ascii="Times New Roman" w:hAnsi="Times New Roman"/>
          <w:sz w:val="24"/>
        </w:rPr>
        <w:t>ību un plašāku līdzdalību</w:t>
      </w:r>
      <w:r w:rsidRPr="000A07D4">
        <w:rPr>
          <w:rFonts w:ascii="Times New Roman" w:hAnsi="Times New Roman"/>
          <w:sz w:val="24"/>
        </w:rPr>
        <w:t>, dalībvalstīm, ņemot vērā to īpašos apstākļus, pārvaldības struktūras un konstitucionālās normas, ir jāapsver iespēja izstrādāt efektīv</w:t>
      </w:r>
      <w:r w:rsidR="00097429">
        <w:rPr>
          <w:rFonts w:ascii="Times New Roman" w:hAnsi="Times New Roman"/>
          <w:sz w:val="24"/>
        </w:rPr>
        <w:t>us problēmu risinājumus</w:t>
      </w:r>
      <w:r w:rsidRPr="000A07D4">
        <w:rPr>
          <w:rFonts w:ascii="Times New Roman" w:hAnsi="Times New Roman"/>
          <w:sz w:val="24"/>
        </w:rPr>
        <w:t xml:space="preserve"> izglītības jomā,</w:t>
      </w:r>
      <w:r w:rsidR="00097429">
        <w:rPr>
          <w:rFonts w:ascii="Times New Roman" w:hAnsi="Times New Roman"/>
          <w:sz w:val="24"/>
        </w:rPr>
        <w:t xml:space="preserve"> jo</w:t>
      </w:r>
      <w:r w:rsidRPr="000A07D4">
        <w:rPr>
          <w:rFonts w:ascii="Times New Roman" w:hAnsi="Times New Roman"/>
          <w:sz w:val="24"/>
        </w:rPr>
        <w:t xml:space="preserve"> īpaši lai </w:t>
      </w:r>
      <w:r w:rsidR="00097429">
        <w:rPr>
          <w:rFonts w:ascii="Times New Roman" w:hAnsi="Times New Roman"/>
          <w:sz w:val="24"/>
        </w:rPr>
        <w:t>rastu atbildes uz jautājumiem</w:t>
      </w:r>
      <w:r w:rsidRPr="000A07D4">
        <w:rPr>
          <w:rFonts w:ascii="Times New Roman" w:hAnsi="Times New Roman"/>
          <w:sz w:val="24"/>
        </w:rPr>
        <w:t xml:space="preserve"> par pieejamību, autonomiju, taisnīgumu un iekļaušanu. Īpaša uzmanība ir jāpievērš konkrētām mērķgrupām, lai atzītu to ieguldījumu sabiedrības attīstībā un vienlaikus ņemtu vērā kultūras un citas atšķirības, tostarp daudzvalodību, un ir jānod</w:t>
      </w:r>
      <w:r w:rsidR="00097429">
        <w:rPr>
          <w:rFonts w:ascii="Times New Roman" w:hAnsi="Times New Roman"/>
          <w:sz w:val="24"/>
        </w:rPr>
        <w:t>rošina, ka papildu kvalifikācija ir ne tikai atzīta</w:t>
      </w:r>
      <w:r w:rsidRPr="000A07D4">
        <w:rPr>
          <w:rFonts w:ascii="Times New Roman" w:hAnsi="Times New Roman"/>
          <w:sz w:val="24"/>
        </w:rPr>
        <w:t>, bet arī novērtē</w:t>
      </w:r>
      <w:r w:rsidR="00097429">
        <w:rPr>
          <w:rFonts w:ascii="Times New Roman" w:hAnsi="Times New Roman"/>
          <w:sz w:val="24"/>
        </w:rPr>
        <w:t>ta</w:t>
      </w:r>
      <w:r w:rsidRPr="000A07D4">
        <w:rPr>
          <w:rFonts w:ascii="Times New Roman" w:hAnsi="Times New Roman"/>
          <w:sz w:val="24"/>
        </w:rPr>
        <w:t xml:space="preserve"> ienākumu un statusa izteiksmē. Tas nozīmē, ka ir:</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jāizstrādā atbilstošas stratēģijas, lai veicinātu pieaugušo piekļuvi mācīšanās pasākumiem un </w:t>
      </w:r>
      <w:r w:rsidR="00097429">
        <w:rPr>
          <w:rFonts w:ascii="Times New Roman" w:hAnsi="Times New Roman"/>
          <w:sz w:val="24"/>
        </w:rPr>
        <w:t>līdzdalību tajos un celtu</w:t>
      </w:r>
      <w:r w:rsidRPr="000A07D4">
        <w:rPr>
          <w:rFonts w:ascii="Times New Roman" w:hAnsi="Times New Roman"/>
          <w:sz w:val="24"/>
        </w:rPr>
        <w:t xml:space="preserve"> viņu motivāciju piedalīties šādos pasākumos;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jānovērš jebkāda diskriminācija, tostarp vecuma, dzimuma, etniskās piederības, migranta statusa, valodas, reliģijas, invaliditātes, slimības, lauku izcelsmes, dzimumidentitātes vai seksuālās orientācijas, nabadzības, pārvietošanas, ieslodzījuma, nodarbošanās vai profesijas dēļ;</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jāpievērš īpaša uzmanība un attiecīgi jārīkojas, lai veicinātu kvalitatīvu mācīšanās iespēju pieejamību sociāli neaizsargātām un mazaizsargātām personu grupām, piemēram, personām, kuru rakstpratība un rēķinpratība, kā arī izglītība ir zemā līmenī vai nav vispār, vai kuri ir neaizsargāti jaunieši, migrējošie darba ņēmēji, bezdarbnieki, etnisko minoritāšu pārstāvji, pirmiedzīvotāji, personas ar invaliditāti, cietumnieki, vecāka gadagājuma cilvēki, personas, kuras skāruši konflikti vai katastrofas, kā arī bēgļi, bezpavalstnieki vai pārvietotas personas;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jāpievērša</w:t>
      </w:r>
      <w:r w:rsidR="00097429">
        <w:rPr>
          <w:rFonts w:ascii="Times New Roman" w:hAnsi="Times New Roman"/>
          <w:sz w:val="24"/>
        </w:rPr>
        <w:t>s apmācāmo vajadzībām un iecerēm</w:t>
      </w:r>
      <w:r w:rsidRPr="000A07D4">
        <w:rPr>
          <w:rFonts w:ascii="Times New Roman" w:hAnsi="Times New Roman"/>
          <w:sz w:val="24"/>
        </w:rPr>
        <w:t>, īstenojot tādas pieaugušo izglītības pieejas, kurās ņem vērā un atspoguļo apmācāmo valodas un mantojuma daudzveidību, tostarp pirmiedzīvotāju kultūru un vērtības, kā arī rada tiltu starp dažādām grupām un stiprina</w:t>
      </w:r>
      <w:r w:rsidR="00602756">
        <w:rPr>
          <w:rFonts w:ascii="Times New Roman" w:hAnsi="Times New Roman"/>
          <w:sz w:val="24"/>
        </w:rPr>
        <w:t xml:space="preserve"> kopienu integrācijas spējas</w:t>
      </w:r>
      <w:r w:rsidRPr="000A07D4">
        <w:rPr>
          <w:rFonts w:ascii="Times New Roman" w:hAnsi="Times New Roman"/>
          <w:sz w:val="24"/>
        </w:rPr>
        <w:t>;</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jāpievērš īpaša uzmanība p</w:t>
      </w:r>
      <w:r w:rsidR="00602756">
        <w:rPr>
          <w:rFonts w:ascii="Times New Roman" w:hAnsi="Times New Roman"/>
          <w:sz w:val="24"/>
        </w:rPr>
        <w:t>rogrammām vai iniciatīvām, kas</w:t>
      </w:r>
      <w:r w:rsidRPr="000A07D4">
        <w:rPr>
          <w:rFonts w:ascii="Times New Roman" w:hAnsi="Times New Roman"/>
          <w:sz w:val="24"/>
        </w:rPr>
        <w:t xml:space="preserve"> veicina dzimumu </w:t>
      </w:r>
      <w:r w:rsidRPr="000A07D4">
        <w:rPr>
          <w:rFonts w:ascii="Times New Roman" w:hAnsi="Times New Roman"/>
          <w:sz w:val="24"/>
        </w:rPr>
        <w:lastRenderedPageBreak/>
        <w:t>vienlīdzību;</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jāizveido vai jāstiprina atbilstošas institucionālās struktūras, piemēram, kopienu mācību centri, lai varētu piedāvāt pieaugušo</w:t>
      </w:r>
      <w:r w:rsidR="00602756">
        <w:rPr>
          <w:rFonts w:ascii="Times New Roman" w:hAnsi="Times New Roman"/>
          <w:sz w:val="24"/>
        </w:rPr>
        <w:t xml:space="preserve"> mācīšanās un izglītības iespējas</w:t>
      </w:r>
      <w:r w:rsidRPr="000A07D4">
        <w:rPr>
          <w:rFonts w:ascii="Times New Roman" w:hAnsi="Times New Roman"/>
          <w:sz w:val="24"/>
        </w:rPr>
        <w:t xml:space="preserve"> un mudināt pieaugušos izmantot šīs struktūras kā centrus individuālam mācīšanās procesam, kā arī kopienas attīstībai;</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jāizstrādā kvalitatīvi informatīv</w:t>
      </w:r>
      <w:r w:rsidR="00602756">
        <w:rPr>
          <w:rFonts w:ascii="Times New Roman" w:hAnsi="Times New Roman"/>
          <w:sz w:val="24"/>
        </w:rPr>
        <w:t>ie un vadības pakalpojumi, kas</w:t>
      </w:r>
      <w:r w:rsidRPr="000A07D4">
        <w:rPr>
          <w:rFonts w:ascii="Times New Roman" w:hAnsi="Times New Roman"/>
          <w:sz w:val="24"/>
        </w:rPr>
        <w:t xml:space="preserve"> sekmē iespēju iesaistīties, palīdz uzlabot pieaugušo izglītībā gūto ieguvumu redzamību, kā arī palīdz labā</w:t>
      </w:r>
      <w:r w:rsidR="00602756">
        <w:rPr>
          <w:rFonts w:ascii="Times New Roman" w:hAnsi="Times New Roman"/>
          <w:sz w:val="24"/>
        </w:rPr>
        <w:t>k saskaņot indivīdu prasības</w:t>
      </w:r>
      <w:r w:rsidRPr="000A07D4">
        <w:rPr>
          <w:rFonts w:ascii="Times New Roman" w:hAnsi="Times New Roman"/>
          <w:sz w:val="24"/>
        </w:rPr>
        <w:t xml:space="preserve"> un mācību iespējas.</w:t>
      </w:r>
    </w:p>
    <w:p w:rsidR="00786E2F" w:rsidRPr="000A07D4" w:rsidRDefault="00786E2F" w:rsidP="000A07D4">
      <w:pPr>
        <w:pStyle w:val="BodyText"/>
        <w:tabs>
          <w:tab w:val="left" w:pos="1235"/>
        </w:tabs>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ir jānodrošina vienlīdzīga piekļuve pieaugušo</w:t>
      </w:r>
      <w:r w:rsidR="00602756">
        <w:rPr>
          <w:rFonts w:ascii="Times New Roman" w:hAnsi="Times New Roman"/>
          <w:sz w:val="24"/>
        </w:rPr>
        <w:t xml:space="preserve"> mācībām un</w:t>
      </w:r>
      <w:r w:rsidRPr="000A07D4">
        <w:rPr>
          <w:rFonts w:ascii="Times New Roman" w:hAnsi="Times New Roman"/>
          <w:sz w:val="24"/>
        </w:rPr>
        <w:t xml:space="preserve"> izglītībai un jā</w:t>
      </w:r>
      <w:r w:rsidR="00602756">
        <w:rPr>
          <w:rFonts w:ascii="Times New Roman" w:hAnsi="Times New Roman"/>
          <w:sz w:val="24"/>
        </w:rPr>
        <w:t>veicina plašāka un ilgtspējīga līdzdalība</w:t>
      </w:r>
      <w:r w:rsidRPr="000A07D4">
        <w:rPr>
          <w:rFonts w:ascii="Times New Roman" w:hAnsi="Times New Roman"/>
          <w:sz w:val="24"/>
        </w:rPr>
        <w:t>, kopjot tradīciju mācīties visu dzīvi, kā arī samazinot šķēršļus dalībai.</w:t>
      </w:r>
    </w:p>
    <w:p w:rsidR="00786E2F" w:rsidRPr="000A07D4" w:rsidRDefault="00786E2F" w:rsidP="000A07D4">
      <w:pPr>
        <w:pStyle w:val="Heading8"/>
        <w:ind w:left="0"/>
        <w:jc w:val="both"/>
        <w:rPr>
          <w:rFonts w:ascii="Times New Roman" w:hAnsi="Times New Roman" w:cs="Times New Roman"/>
          <w:noProof/>
          <w:sz w:val="24"/>
        </w:rPr>
      </w:pPr>
    </w:p>
    <w:p w:rsidR="00D5679D" w:rsidRPr="000A07D4" w:rsidRDefault="00D5679D" w:rsidP="000A07D4">
      <w:pPr>
        <w:pStyle w:val="Heading8"/>
        <w:ind w:left="0"/>
        <w:jc w:val="both"/>
        <w:rPr>
          <w:rFonts w:ascii="Times New Roman" w:hAnsi="Times New Roman" w:cs="Times New Roman"/>
          <w:noProof/>
          <w:sz w:val="24"/>
        </w:rPr>
      </w:pPr>
      <w:r w:rsidRPr="000A07D4">
        <w:rPr>
          <w:rFonts w:ascii="Times New Roman" w:hAnsi="Times New Roman"/>
          <w:sz w:val="24"/>
        </w:rPr>
        <w:t>Kvalitāte</w:t>
      </w:r>
    </w:p>
    <w:p w:rsidR="00786E2F" w:rsidRPr="000A07D4" w:rsidRDefault="00786E2F" w:rsidP="000A07D4">
      <w:pPr>
        <w:pStyle w:val="Heading8"/>
        <w:ind w:left="0"/>
        <w:jc w:val="both"/>
        <w:rPr>
          <w:rFonts w:ascii="Times New Roman" w:hAnsi="Times New Roman" w:cs="Times New Roman"/>
          <w:noProof/>
          <w:sz w:val="24"/>
        </w:rPr>
      </w:pP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periodiski uzraugot un novērtējot pieaugušo</w:t>
      </w:r>
      <w:r w:rsidR="00602756">
        <w:rPr>
          <w:rFonts w:ascii="Times New Roman" w:hAnsi="Times New Roman"/>
          <w:sz w:val="24"/>
        </w:rPr>
        <w:t xml:space="preserve"> mācīšanās un</w:t>
      </w:r>
      <w:r w:rsidRPr="000A07D4">
        <w:rPr>
          <w:rFonts w:ascii="Times New Roman" w:hAnsi="Times New Roman"/>
          <w:sz w:val="24"/>
        </w:rPr>
        <w:t xml:space="preserve"> izglītības politiku un programmu, nodrošinātu šīs politikas un programmas efektīvu īstenošanu, dalībvalstīm, ņemot vērā to īpašos apstākļus, pārvaldības struktūras un konstitucionālās normas,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ieviest mehānismus un/vai struktūras, kurās piemēro atbilstošus kvalitātes kritērijus un standartus, ko periodiski pārskata;</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īstenot atbilstošus pasākumus, lai veiktu turpmākas darbības saistībā ar uzraudzības un novērtējuma rezultātiem;</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savlaicīgi, </w:t>
      </w:r>
      <w:r w:rsidR="00602756">
        <w:rPr>
          <w:rFonts w:ascii="Times New Roman" w:hAnsi="Times New Roman"/>
          <w:sz w:val="24"/>
        </w:rPr>
        <w:t>uzticami un pamatoti apkopot un analizēt atsevišķus</w:t>
      </w:r>
      <w:r w:rsidRPr="000A07D4">
        <w:rPr>
          <w:rFonts w:ascii="Times New Roman" w:hAnsi="Times New Roman"/>
          <w:sz w:val="24"/>
        </w:rPr>
        <w:t xml:space="preserve"> datus, kā arī apmainīties ar efektīvu un inovatīvu uzraudzības un novērtēšanas praksi.</w:t>
      </w:r>
    </w:p>
    <w:p w:rsidR="00786E2F" w:rsidRPr="000A07D4" w:rsidRDefault="00786E2F" w:rsidP="000A07D4">
      <w:pPr>
        <w:pStyle w:val="BodyText"/>
        <w:tabs>
          <w:tab w:val="left" w:pos="1235"/>
        </w:tabs>
        <w:ind w:left="0"/>
        <w:jc w:val="both"/>
        <w:rPr>
          <w:rFonts w:ascii="Times New Roman" w:hAnsi="Times New Roman" w:cs="Times New Roman"/>
          <w:noProof/>
          <w:sz w:val="24"/>
        </w:rPr>
      </w:pP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nodrošinātu pieaugušo izglītības k</w:t>
      </w:r>
      <w:r w:rsidR="00602756">
        <w:rPr>
          <w:rFonts w:ascii="Times New Roman" w:hAnsi="Times New Roman"/>
          <w:sz w:val="24"/>
        </w:rPr>
        <w:t>valitāti un tās potenciālu ieviest pārmaiņas</w:t>
      </w:r>
      <w:r w:rsidRPr="000A07D4">
        <w:rPr>
          <w:rFonts w:ascii="Times New Roman" w:hAnsi="Times New Roman"/>
          <w:sz w:val="24"/>
        </w:rPr>
        <w:t xml:space="preserve"> visās attiecīgajās jomās, uzmanība ir jāpievērš pieaugušo</w:t>
      </w:r>
      <w:r w:rsidR="00602756">
        <w:rPr>
          <w:rFonts w:ascii="Times New Roman" w:hAnsi="Times New Roman"/>
          <w:sz w:val="24"/>
        </w:rPr>
        <w:t xml:space="preserve"> mācīšanās un</w:t>
      </w:r>
      <w:r w:rsidRPr="000A07D4">
        <w:rPr>
          <w:rFonts w:ascii="Times New Roman" w:hAnsi="Times New Roman"/>
          <w:sz w:val="24"/>
        </w:rPr>
        <w:t xml:space="preserve"> izglītības atbilstībai, objektivitātei, efektivitātei un lietderībai. Tāpēc dalībvalstīm, ņemot vērā to īpašos apstākļus, pārvaldības struktūras un konstitucionālās normas, ir jāapsver iespēja: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īsteno</w:t>
      </w:r>
      <w:r w:rsidR="00602756">
        <w:rPr>
          <w:rFonts w:ascii="Times New Roman" w:hAnsi="Times New Roman"/>
          <w:sz w:val="24"/>
        </w:rPr>
        <w:t>jo</w:t>
      </w:r>
      <w:r w:rsidRPr="000A07D4">
        <w:rPr>
          <w:rFonts w:ascii="Times New Roman" w:hAnsi="Times New Roman"/>
          <w:sz w:val="24"/>
        </w:rPr>
        <w:t xml:space="preserve">t kontekstualizētas un uz apmācāmajiem vērstas kultūras un valodas </w:t>
      </w:r>
      <w:r w:rsidR="00602756">
        <w:rPr>
          <w:rFonts w:ascii="Times New Roman" w:hAnsi="Times New Roman"/>
          <w:sz w:val="24"/>
        </w:rPr>
        <w:t>ziņā atbilstošas programmas, nodrošināt</w:t>
      </w:r>
      <w:r w:rsidRPr="000A07D4">
        <w:rPr>
          <w:rFonts w:ascii="Times New Roman" w:hAnsi="Times New Roman"/>
          <w:sz w:val="24"/>
        </w:rPr>
        <w:t xml:space="preserve"> pieaugušo</w:t>
      </w:r>
      <w:r w:rsidR="00602756">
        <w:rPr>
          <w:rFonts w:ascii="Times New Roman" w:hAnsi="Times New Roman"/>
          <w:sz w:val="24"/>
        </w:rPr>
        <w:t xml:space="preserve"> mācīšanos un izglītību</w:t>
      </w:r>
      <w:r w:rsidRPr="000A07D4">
        <w:rPr>
          <w:rFonts w:ascii="Times New Roman" w:hAnsi="Times New Roman"/>
          <w:sz w:val="24"/>
        </w:rPr>
        <w:t xml:space="preserve"> saskaņā ar visu </w:t>
      </w:r>
      <w:r w:rsidR="00602756">
        <w:rPr>
          <w:rFonts w:ascii="Times New Roman" w:hAnsi="Times New Roman"/>
          <w:sz w:val="24"/>
        </w:rPr>
        <w:t>ieinteresēto personu, tostarp</w:t>
      </w:r>
      <w:r w:rsidRPr="000A07D4">
        <w:rPr>
          <w:rFonts w:ascii="Times New Roman" w:hAnsi="Times New Roman"/>
          <w:sz w:val="24"/>
        </w:rPr>
        <w:t xml:space="preserve"> darba tirgus, vajadzībām;</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nodrošināt taisnīgu piekļuvi pieaugušo</w:t>
      </w:r>
      <w:r w:rsidR="00945B86">
        <w:rPr>
          <w:rFonts w:ascii="Times New Roman" w:hAnsi="Times New Roman"/>
          <w:sz w:val="24"/>
        </w:rPr>
        <w:t xml:space="preserve"> mācībām un</w:t>
      </w:r>
      <w:r w:rsidRPr="000A07D4">
        <w:rPr>
          <w:rFonts w:ascii="Times New Roman" w:hAnsi="Times New Roman"/>
          <w:sz w:val="24"/>
        </w:rPr>
        <w:t xml:space="preserve"> izglītībai, kā arī nepārtrauktu līdzdalību un mācīšanos bez jebkādas diskriminācijas;</w:t>
      </w:r>
    </w:p>
    <w:p w:rsidR="00D5679D" w:rsidRPr="000A07D4" w:rsidRDefault="00D5679D" w:rsidP="00511004">
      <w:pPr>
        <w:pStyle w:val="BodyText"/>
        <w:numPr>
          <w:ilvl w:val="1"/>
          <w:numId w:val="9"/>
        </w:numPr>
        <w:tabs>
          <w:tab w:val="left" w:pos="1234"/>
        </w:tabs>
        <w:ind w:left="1134" w:hanging="425"/>
        <w:jc w:val="both"/>
        <w:rPr>
          <w:rFonts w:ascii="Times New Roman" w:hAnsi="Times New Roman" w:cs="Times New Roman"/>
          <w:noProof/>
          <w:sz w:val="24"/>
        </w:rPr>
      </w:pPr>
      <w:r w:rsidRPr="000A07D4">
        <w:rPr>
          <w:rFonts w:ascii="Times New Roman" w:hAnsi="Times New Roman"/>
          <w:sz w:val="24"/>
        </w:rPr>
        <w:t>novērtēt programmu efekt</w:t>
      </w:r>
      <w:r w:rsidR="00945B86">
        <w:rPr>
          <w:rFonts w:ascii="Times New Roman" w:hAnsi="Times New Roman"/>
          <w:sz w:val="24"/>
        </w:rPr>
        <w:t>ivitāti un lietderību, nosakot</w:t>
      </w:r>
      <w:r w:rsidRPr="000A07D4">
        <w:rPr>
          <w:rFonts w:ascii="Times New Roman" w:hAnsi="Times New Roman"/>
          <w:sz w:val="24"/>
        </w:rPr>
        <w:t>, cik lielā mērā ar šo programmu palīdzību var sasniegt izvirzītos mērķus, tostarp attiecībā uz rezultātiem.</w:t>
      </w:r>
    </w:p>
    <w:p w:rsidR="00786E2F" w:rsidRPr="000A07D4" w:rsidRDefault="00786E2F" w:rsidP="000A07D4">
      <w:pPr>
        <w:pStyle w:val="BodyText"/>
        <w:tabs>
          <w:tab w:val="left" w:pos="1234"/>
        </w:tabs>
        <w:ind w:left="0"/>
        <w:jc w:val="both"/>
        <w:rPr>
          <w:rFonts w:ascii="Times New Roman" w:hAnsi="Times New Roman" w:cs="Times New Roman"/>
          <w:noProof/>
          <w:sz w:val="24"/>
        </w:rPr>
      </w:pPr>
    </w:p>
    <w:p w:rsidR="00D5679D" w:rsidRPr="000A07D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 xml:space="preserve">Dalībvalstīm, ņemot vērā to īpašos apstākļus, pārvaldības struktūras un konstitucionālās normas, </w:t>
      </w:r>
      <w:r w:rsidR="00945B86">
        <w:rPr>
          <w:rFonts w:ascii="Times New Roman" w:hAnsi="Times New Roman"/>
          <w:sz w:val="24"/>
        </w:rPr>
        <w:t>ir jāveicina iespēja mācību procesā elastīgi un nemanāmi pāriet no formālās izglītības un apmācības uz neformālo, un tāpēc ir jāpilnveido arī politikas un programmas novērtēšanai nepieciešamās prasmes</w:t>
      </w:r>
      <w:r w:rsidRPr="000A07D4">
        <w:rPr>
          <w:rFonts w:ascii="Times New Roman" w:hAnsi="Times New Roman"/>
          <w:sz w:val="24"/>
        </w:rPr>
        <w:t>.</w:t>
      </w: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Dalībvalstīm ir jāveicina tāda vide, kurā kvalitatīvu pieaugušo</w:t>
      </w:r>
      <w:r w:rsidR="00945B86">
        <w:rPr>
          <w:rFonts w:ascii="Times New Roman" w:hAnsi="Times New Roman"/>
          <w:sz w:val="24"/>
        </w:rPr>
        <w:t xml:space="preserve"> mācīšanos un</w:t>
      </w:r>
      <w:r w:rsidRPr="000A07D4">
        <w:rPr>
          <w:rFonts w:ascii="Times New Roman" w:hAnsi="Times New Roman"/>
          <w:sz w:val="24"/>
        </w:rPr>
        <w:t xml:space="preserve"> izglītību nodrošina, piemēram:</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izstrādājot atbilstošu saturu un pasniegšanas veidus – vēlams izmantojot dzimto valodu kā mācību valodu – un pieņemot uz apmācāmo vērstas pedagoģijas metodes, ko papildina ar informācijas un komunikācijas tehnoloģijām (IKT) un </w:t>
      </w:r>
      <w:r w:rsidRPr="000A07D4">
        <w:rPr>
          <w:rFonts w:ascii="Times New Roman" w:hAnsi="Times New Roman"/>
          <w:sz w:val="24"/>
        </w:rPr>
        <w:lastRenderedPageBreak/>
        <w:t>atvērtiem izglītības resursiem;</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nodrošinot pienācīgu infrastruktūru, tostarp drošu mācību telpu;</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izveidojot rīkus un mehānismus, kā arī </w:t>
      </w:r>
      <w:r w:rsidR="00945B86">
        <w:rPr>
          <w:rFonts w:ascii="Times New Roman" w:hAnsi="Times New Roman"/>
          <w:sz w:val="24"/>
        </w:rPr>
        <w:t>piln</w:t>
      </w:r>
      <w:r w:rsidRPr="000A07D4">
        <w:rPr>
          <w:rFonts w:ascii="Times New Roman" w:hAnsi="Times New Roman"/>
          <w:sz w:val="24"/>
        </w:rPr>
        <w:t>veidojot prasmes, kas nepieciešamas</w:t>
      </w:r>
      <w:r w:rsidR="00945B86">
        <w:rPr>
          <w:rFonts w:ascii="Times New Roman" w:hAnsi="Times New Roman"/>
          <w:sz w:val="24"/>
        </w:rPr>
        <w:t xml:space="preserve"> pieaugušo mācīšanas un izglītības</w:t>
      </w:r>
      <w:r w:rsidRPr="000A07D4">
        <w:rPr>
          <w:rFonts w:ascii="Times New Roman" w:hAnsi="Times New Roman"/>
          <w:sz w:val="24"/>
        </w:rPr>
        <w:t xml:space="preserve"> uzraudzībai un novērt</w:t>
      </w:r>
      <w:r w:rsidR="00945B86">
        <w:rPr>
          <w:rFonts w:ascii="Times New Roman" w:hAnsi="Times New Roman"/>
          <w:sz w:val="24"/>
        </w:rPr>
        <w:t>ēšanai</w:t>
      </w:r>
      <w:r w:rsidRPr="000A07D4">
        <w:rPr>
          <w:rFonts w:ascii="Times New Roman" w:hAnsi="Times New Roman"/>
          <w:sz w:val="24"/>
        </w:rPr>
        <w:t>, ņemot vērā iesaistes pamatīgumu un apmēru, kā arī mācību procesus, rezultātus un ietekmes pasākumus;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izveidojot piemērotus rīkus rakstpratības novērtēšanai;</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nosakot, ka kvalitātes nodrošināšanas mehānismi, kā arī programmas uzraudzība un novērtēšana ir neatņemama pieaugušo izglītības sistēmas daļa; nosakot kvalitātes standartus, apstiprinot atbilstību šiem standartiem un sabiedrībai izplatot informāciju par pakalpojuma sniedzējiem, kuri ievēro minētos standartus;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pilnveidojot apmācības, spēju </w:t>
      </w:r>
      <w:r w:rsidR="00945B86">
        <w:rPr>
          <w:rFonts w:ascii="Times New Roman" w:hAnsi="Times New Roman"/>
          <w:sz w:val="24"/>
        </w:rPr>
        <w:t>piln</w:t>
      </w:r>
      <w:r w:rsidRPr="000A07D4">
        <w:rPr>
          <w:rFonts w:ascii="Times New Roman" w:hAnsi="Times New Roman"/>
          <w:sz w:val="24"/>
        </w:rPr>
        <w:t>veidošanas un nodarbinātības nosacījumus, kā arī pieaugušo izglītotāju profesionalitāti;</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dodot apmācāmajiem iespēju apgūt un uzkrāt zināšanas, pieredzi un kvalifikāciju, elastīgi piedaloties </w:t>
      </w:r>
      <w:r w:rsidR="00945B86">
        <w:rPr>
          <w:rFonts w:ascii="Times New Roman" w:hAnsi="Times New Roman"/>
          <w:sz w:val="24"/>
        </w:rPr>
        <w:t>un uzkrājot mācību rezultātus dažādos posmos</w:t>
      </w:r>
      <w:r w:rsidRPr="000A07D4">
        <w:rPr>
          <w:rFonts w:ascii="Times New Roman" w:hAnsi="Times New Roman"/>
          <w:sz w:val="24"/>
        </w:rPr>
        <w:t>. Rezultāti, kas iegūti neformālā un ikdienējā pieaugušo izglītībā ir jāatzīst, jāapstiprina un jāakreditē kā līdzvērtīgi tiem, ko nodrošina formālā izglītība (piemēram, saskaņā ar nacionālo kvalifikāciju ietvarstruktūru), lai tādējādi nodrošinātu iespēju turpināt izglītību un iekļūt darba tirgū, nesaskaroties ar diskrimināciju.</w:t>
      </w:r>
    </w:p>
    <w:p w:rsidR="00D5679D" w:rsidRPr="000A07D4" w:rsidRDefault="00D5679D" w:rsidP="000A07D4">
      <w:pPr>
        <w:jc w:val="both"/>
        <w:rPr>
          <w:rFonts w:ascii="Times New Roman" w:eastAsia="Arial" w:hAnsi="Times New Roman" w:cs="Times New Roman"/>
          <w:noProof/>
          <w:sz w:val="24"/>
          <w:szCs w:val="26"/>
        </w:rPr>
      </w:pPr>
    </w:p>
    <w:p w:rsidR="00D5679D" w:rsidRPr="000A07D4" w:rsidRDefault="00D5679D" w:rsidP="000A07D4">
      <w:pPr>
        <w:pStyle w:val="Heading8"/>
        <w:numPr>
          <w:ilvl w:val="1"/>
          <w:numId w:val="10"/>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STARPTAUTISKĀ SADARBĪBA</w:t>
      </w:r>
    </w:p>
    <w:p w:rsidR="00786E2F" w:rsidRPr="000A07D4" w:rsidRDefault="00786E2F" w:rsidP="000A07D4">
      <w:pPr>
        <w:pStyle w:val="Heading8"/>
        <w:tabs>
          <w:tab w:val="left" w:pos="668"/>
        </w:tabs>
        <w:ind w:left="0"/>
        <w:jc w:val="both"/>
        <w:rPr>
          <w:rFonts w:ascii="Times New Roman" w:hAnsi="Times New Roman" w:cs="Times New Roman"/>
          <w:noProof/>
          <w:sz w:val="24"/>
        </w:rPr>
      </w:pP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Lai veicinātu pieaugušo</w:t>
      </w:r>
      <w:r w:rsidR="00945B86">
        <w:rPr>
          <w:rFonts w:ascii="Times New Roman" w:hAnsi="Times New Roman"/>
          <w:sz w:val="24"/>
        </w:rPr>
        <w:t xml:space="preserve"> mācīšanās un</w:t>
      </w:r>
      <w:r w:rsidRPr="000A07D4">
        <w:rPr>
          <w:rFonts w:ascii="Times New Roman" w:hAnsi="Times New Roman"/>
          <w:sz w:val="24"/>
        </w:rPr>
        <w:t xml:space="preserve"> izglītības attīstību un stiprinātu to, dalībvalstīm ir divpusēji vai daudzpusēji jāapsver iespēja uzlabot sadarbību starp visām attiecīgajām ieinteresētajām pusēm, tostarp valsts pārvaldes iestādēm, izpētes institūtiem, pilsoniskās sabiedrības organizācijām, apvienībām, attīstības palīdzības aģentūrām, privāto sektoru un plašsaziņas līdzekļiem, kā arī jāuzlabo Apvienoto Nāciju Organizācijas aģentūru savstarpējā sadarbība. Ilgstoša starptautiskā sadarbība ietver turpmāk minēto:</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veicināt un sekmēt attiecīgo valstu attīstību, izmantojot atbilstošas iestādes un struktūras, kas ir pielāgotas konkrētās valsts īpašajiem apstākļiem;</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izveidot starptautiskai sadarbī</w:t>
      </w:r>
      <w:r w:rsidR="00945B86">
        <w:rPr>
          <w:rFonts w:ascii="Times New Roman" w:hAnsi="Times New Roman"/>
          <w:sz w:val="24"/>
        </w:rPr>
        <w:t>bai labvēlīgu vidi nolūkā pilnveidot</w:t>
      </w:r>
      <w:r w:rsidRPr="000A07D4">
        <w:rPr>
          <w:rFonts w:ascii="Times New Roman" w:hAnsi="Times New Roman"/>
          <w:sz w:val="24"/>
        </w:rPr>
        <w:t xml:space="preserve"> jaunattīstības valstu spējas dažādās pieaugušo</w:t>
      </w:r>
      <w:r w:rsidR="00945B86">
        <w:rPr>
          <w:rFonts w:ascii="Times New Roman" w:hAnsi="Times New Roman"/>
          <w:sz w:val="24"/>
        </w:rPr>
        <w:t xml:space="preserve"> mācīšanās un</w:t>
      </w:r>
      <w:r w:rsidRPr="000A07D4">
        <w:rPr>
          <w:rFonts w:ascii="Times New Roman" w:hAnsi="Times New Roman"/>
          <w:sz w:val="24"/>
        </w:rPr>
        <w:t xml:space="preserve"> izglītības jomās un mudināt visas valstis savstarpēji palīdzēt sadarbības jomā neatkarīgi no šo valstu attīstības līmeņa, kā arī pilnībā izmantot priekšrocības, ko šā procesa sekmēšanai un stiprināšanai sniedz reģionālās integrācijas mehānismi;</w:t>
      </w:r>
    </w:p>
    <w:p w:rsidR="00D5679D" w:rsidRPr="000A07D4" w:rsidRDefault="00D5679D" w:rsidP="00511004">
      <w:pPr>
        <w:pStyle w:val="BodyText"/>
        <w:numPr>
          <w:ilvl w:val="1"/>
          <w:numId w:val="9"/>
        </w:numPr>
        <w:tabs>
          <w:tab w:val="left" w:pos="1234"/>
        </w:tabs>
        <w:ind w:left="1134" w:hanging="425"/>
        <w:jc w:val="both"/>
        <w:rPr>
          <w:rFonts w:ascii="Times New Roman" w:hAnsi="Times New Roman" w:cs="Times New Roman"/>
          <w:noProof/>
          <w:sz w:val="24"/>
        </w:rPr>
      </w:pPr>
      <w:r w:rsidRPr="000A07D4">
        <w:rPr>
          <w:rFonts w:ascii="Times New Roman" w:hAnsi="Times New Roman"/>
          <w:sz w:val="24"/>
        </w:rPr>
        <w:t>nodrošināt, ka starptautiskā sadarbība neizpaužas tikai kā citviet izstrādātu struktūru, mācību programmu, metožu un paņēmienu nodošana.</w:t>
      </w:r>
    </w:p>
    <w:p w:rsidR="00786E2F" w:rsidRPr="000A07D4" w:rsidRDefault="00786E2F" w:rsidP="000A07D4">
      <w:pPr>
        <w:pStyle w:val="BodyText"/>
        <w:tabs>
          <w:tab w:val="left" w:pos="1234"/>
        </w:tabs>
        <w:ind w:left="0"/>
        <w:jc w:val="both"/>
        <w:rPr>
          <w:rFonts w:ascii="Times New Roman" w:hAnsi="Times New Roman" w:cs="Times New Roman"/>
          <w:noProof/>
          <w:sz w:val="24"/>
        </w:rPr>
      </w:pPr>
    </w:p>
    <w:p w:rsidR="00D5679D" w:rsidRPr="00511004" w:rsidRDefault="00D5679D" w:rsidP="000A07D4">
      <w:pPr>
        <w:pStyle w:val="BodyText"/>
        <w:numPr>
          <w:ilvl w:val="0"/>
          <w:numId w:val="9"/>
        </w:numPr>
        <w:tabs>
          <w:tab w:val="left" w:pos="668"/>
        </w:tabs>
        <w:ind w:left="0" w:firstLine="0"/>
        <w:jc w:val="both"/>
        <w:rPr>
          <w:rFonts w:ascii="Times New Roman" w:hAnsi="Times New Roman" w:cs="Times New Roman"/>
          <w:noProof/>
          <w:sz w:val="24"/>
        </w:rPr>
      </w:pPr>
      <w:r w:rsidRPr="000A07D4">
        <w:rPr>
          <w:rFonts w:ascii="Times New Roman" w:hAnsi="Times New Roman"/>
          <w:sz w:val="24"/>
        </w:rPr>
        <w:t xml:space="preserve">Kā starptautiskās sabiedrības loceklēm, dalībvalstīm ir jāapsver iespēja apmainīties ar savu pieredzi, stiprināt un uzlabot savstarpējo palīdzību sadarbības jomā, kā arī jāpalīdz </w:t>
      </w:r>
      <w:r w:rsidR="00945B86">
        <w:rPr>
          <w:rFonts w:ascii="Times New Roman" w:hAnsi="Times New Roman"/>
          <w:sz w:val="24"/>
        </w:rPr>
        <w:t>piln</w:t>
      </w:r>
      <w:r w:rsidRPr="000A07D4">
        <w:rPr>
          <w:rFonts w:ascii="Times New Roman" w:hAnsi="Times New Roman"/>
          <w:sz w:val="24"/>
        </w:rPr>
        <w:t>veidot citai citas spējas pieaugušo izglītības jomā, ņemot vērā to valsts noteiktās prioritātes. Tas nozīmē, ka:</w:t>
      </w:r>
    </w:p>
    <w:p w:rsidR="00511004" w:rsidRPr="000A07D4" w:rsidRDefault="00511004" w:rsidP="00511004">
      <w:pPr>
        <w:pStyle w:val="BodyText"/>
        <w:tabs>
          <w:tab w:val="left" w:pos="668"/>
        </w:tabs>
        <w:ind w:left="0"/>
        <w:jc w:val="both"/>
        <w:rPr>
          <w:rFonts w:ascii="Times New Roman" w:hAnsi="Times New Roman" w:cs="Times New Roman"/>
          <w:noProof/>
          <w:sz w:val="24"/>
        </w:rPr>
      </w:pP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ir jāveicina regulāra informācijas, dokumentu un materiālu apmaiņa jautājumos par politiku, koncepciju, praksi un attiecīgo izpēti, kā arī pieaugušo</w:t>
      </w:r>
      <w:r w:rsidR="00945B86">
        <w:rPr>
          <w:rFonts w:ascii="Times New Roman" w:hAnsi="Times New Roman"/>
          <w:sz w:val="24"/>
        </w:rPr>
        <w:t xml:space="preserve"> mācīšanās un</w:t>
      </w:r>
      <w:r w:rsidRPr="000A07D4">
        <w:rPr>
          <w:rFonts w:ascii="Times New Roman" w:hAnsi="Times New Roman"/>
          <w:sz w:val="24"/>
        </w:rPr>
        <w:t xml:space="preserve"> izglītības profesionāļu apmaiņa valsts, reģionālā un starptautiskā līmenī. Pēc iespējas vairāk jāizmanto un jānodod jaunas informācijas un komunikāciju tehnoloģijas, kā arī jāveicina apmācāmo mobilitāte dalībvalstu starpā;</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 xml:space="preserve">piemērojot starptautisko ziņojumu un izpētes secinājumus, ir jāuzlabo dienvidu sadarbība ar dienvidiem, ziemeļu sadarbība ar dienvidiem, kā arī trīspusēja </w:t>
      </w:r>
      <w:r w:rsidRPr="000A07D4">
        <w:rPr>
          <w:rFonts w:ascii="Times New Roman" w:hAnsi="Times New Roman"/>
          <w:sz w:val="24"/>
        </w:rPr>
        <w:lastRenderedPageBreak/>
        <w:t>sadarbība, prioritāri pievēršoties valstīm, kurās visvairāk trūkst izglītības iespēju;</w:t>
      </w:r>
    </w:p>
    <w:p w:rsidR="00D5679D" w:rsidRPr="000A07D4" w:rsidRDefault="00945B86" w:rsidP="00511004">
      <w:pPr>
        <w:pStyle w:val="BodyText"/>
        <w:numPr>
          <w:ilvl w:val="1"/>
          <w:numId w:val="9"/>
        </w:numPr>
        <w:tabs>
          <w:tab w:val="left" w:pos="1235"/>
        </w:tabs>
        <w:ind w:left="1134" w:hanging="425"/>
        <w:jc w:val="both"/>
        <w:rPr>
          <w:rFonts w:ascii="Times New Roman" w:hAnsi="Times New Roman" w:cs="Times New Roman"/>
          <w:noProof/>
          <w:sz w:val="24"/>
        </w:rPr>
      </w:pPr>
      <w:r>
        <w:rPr>
          <w:rFonts w:ascii="Times New Roman" w:hAnsi="Times New Roman"/>
          <w:sz w:val="24"/>
        </w:rPr>
        <w:t>ir jāapkopo</w:t>
      </w:r>
      <w:r w:rsidR="00D5679D" w:rsidRPr="000A07D4">
        <w:rPr>
          <w:rFonts w:ascii="Times New Roman" w:hAnsi="Times New Roman"/>
          <w:sz w:val="24"/>
        </w:rPr>
        <w:t xml:space="preserve"> un jānāk klajā ar datiem par pieaugušo</w:t>
      </w:r>
      <w:r>
        <w:rPr>
          <w:rFonts w:ascii="Times New Roman" w:hAnsi="Times New Roman"/>
          <w:sz w:val="24"/>
        </w:rPr>
        <w:t xml:space="preserve"> mācīšanos un</w:t>
      </w:r>
      <w:r w:rsidR="00D5679D" w:rsidRPr="000A07D4">
        <w:rPr>
          <w:rFonts w:ascii="Times New Roman" w:hAnsi="Times New Roman"/>
          <w:sz w:val="24"/>
        </w:rPr>
        <w:t xml:space="preserve"> izglītību ar UNESCO starpniecību un atbalstu, tostarp UNESCO Mūžizglītības institūta atbalstu, un ir jāizmanto esošie mehānismi attiecīgu ziņojumu sagatavošanai, piemēram, Vispārējā ziņojuma par pieaugušo</w:t>
      </w:r>
      <w:r>
        <w:rPr>
          <w:rFonts w:ascii="Times New Roman" w:hAnsi="Times New Roman"/>
          <w:sz w:val="24"/>
        </w:rPr>
        <w:t xml:space="preserve"> mācīšanos un</w:t>
      </w:r>
      <w:r w:rsidR="00D5679D" w:rsidRPr="000A07D4">
        <w:rPr>
          <w:rFonts w:ascii="Times New Roman" w:hAnsi="Times New Roman"/>
          <w:sz w:val="24"/>
        </w:rPr>
        <w:t xml:space="preserve"> izglītību (</w:t>
      </w:r>
      <w:r w:rsidR="00D5679D" w:rsidRPr="000A07D4">
        <w:rPr>
          <w:rFonts w:ascii="Times New Roman" w:hAnsi="Times New Roman"/>
          <w:i/>
          <w:sz w:val="24"/>
        </w:rPr>
        <w:t>GRALE</w:t>
      </w:r>
      <w:r w:rsidR="00D5679D" w:rsidRPr="000A07D4">
        <w:rPr>
          <w:rFonts w:ascii="Times New Roman" w:hAnsi="Times New Roman"/>
          <w:sz w:val="24"/>
        </w:rPr>
        <w:t>) sagatavošanai. Tas nozīmē, ka ir tālāk jāpilnveido starptautiskie datu vākšanas mehānismi, kuru pamatā ir saskaņoti rādītāji un definīcijas, balstoties uz valstu spējām sniegt datus, un šie dati ir jāizplata dažādos līmeņos;</w:t>
      </w:r>
    </w:p>
    <w:p w:rsidR="00D5679D" w:rsidRPr="000A07D4" w:rsidRDefault="00945B86" w:rsidP="00511004">
      <w:pPr>
        <w:pStyle w:val="BodyText"/>
        <w:numPr>
          <w:ilvl w:val="1"/>
          <w:numId w:val="9"/>
        </w:numPr>
        <w:tabs>
          <w:tab w:val="left" w:pos="1235"/>
        </w:tabs>
        <w:ind w:left="1134" w:hanging="425"/>
        <w:jc w:val="both"/>
        <w:rPr>
          <w:rFonts w:ascii="Times New Roman" w:hAnsi="Times New Roman" w:cs="Times New Roman"/>
          <w:noProof/>
          <w:sz w:val="24"/>
        </w:rPr>
      </w:pPr>
      <w:r>
        <w:rPr>
          <w:rFonts w:ascii="Times New Roman" w:hAnsi="Times New Roman"/>
          <w:sz w:val="24"/>
        </w:rPr>
        <w:t xml:space="preserve">ir </w:t>
      </w:r>
      <w:r w:rsidR="00D5679D" w:rsidRPr="000A07D4">
        <w:rPr>
          <w:rFonts w:ascii="Times New Roman" w:hAnsi="Times New Roman"/>
          <w:sz w:val="24"/>
        </w:rPr>
        <w:t>jāmudina valstu pārvaldes un attīstības sadarbības aģentūras atbalstīt vietēja, reģionāla un globāla mēroga sadarbības un tīklošanas u</w:t>
      </w:r>
      <w:bookmarkStart w:id="0" w:name="_GoBack"/>
      <w:bookmarkEnd w:id="0"/>
      <w:r w:rsidR="00D5679D" w:rsidRPr="000A07D4">
        <w:rPr>
          <w:rFonts w:ascii="Times New Roman" w:hAnsi="Times New Roman"/>
          <w:sz w:val="24"/>
        </w:rPr>
        <w:t>zlabošanu visu attiecīgo ieinteresēto pušu starpā. Ir jāizpēta, kādā veidā varētu ieviest un stiprināt reģionālus un globālus finansēšanas mehānismus rakstpratības un pieaugušo izglītības nodrošināšanai un kā pieejamie mehānismi var palīdzēt īstenot iepriekš minētos starptautiska, reģionāla un valsts mēroga pasākumus;</w:t>
      </w:r>
    </w:p>
    <w:p w:rsidR="00D5679D" w:rsidRPr="000A07D4" w:rsidRDefault="00D5679D" w:rsidP="00511004">
      <w:pPr>
        <w:pStyle w:val="BodyText"/>
        <w:numPr>
          <w:ilvl w:val="1"/>
          <w:numId w:val="9"/>
        </w:numPr>
        <w:tabs>
          <w:tab w:val="left" w:pos="1235"/>
        </w:tabs>
        <w:ind w:left="1134" w:hanging="425"/>
        <w:jc w:val="both"/>
        <w:rPr>
          <w:rFonts w:ascii="Times New Roman" w:hAnsi="Times New Roman" w:cs="Times New Roman"/>
          <w:noProof/>
          <w:sz w:val="24"/>
        </w:rPr>
      </w:pPr>
      <w:r w:rsidRPr="000A07D4">
        <w:rPr>
          <w:rFonts w:ascii="Times New Roman" w:hAnsi="Times New Roman"/>
          <w:sz w:val="24"/>
        </w:rPr>
        <w:t>attiecīgā gadījumā starptautiskos nolīgumos par sadarbību tādās jomās kā izglītība, zinātne un kultūra ir jāiestrādā īpaši noteikumi par pieaugušo izglītību, un Apvienoto Nāciju Organizācijas dalībvalstīs un UNESCO dalībvalstīs, kā arī cenšoties īstenot ANO Ilgtspējīgas attīstības mērķus, ir jāveicina pieaugušo izglītības pasākumu izstrāde un stiprināšana.</w:t>
      </w:r>
    </w:p>
    <w:p w:rsidR="00D5679D" w:rsidRPr="000A07D4" w:rsidRDefault="00D5679D" w:rsidP="000A07D4">
      <w:pPr>
        <w:jc w:val="both"/>
        <w:rPr>
          <w:rFonts w:ascii="Times New Roman" w:eastAsia="Arial" w:hAnsi="Times New Roman" w:cs="Times New Roman"/>
          <w:noProof/>
          <w:sz w:val="24"/>
          <w:szCs w:val="7"/>
        </w:rPr>
      </w:pPr>
    </w:p>
    <w:sectPr w:rsidR="00D5679D" w:rsidRPr="000A07D4" w:rsidSect="000A07D4">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1C7" w:rsidRPr="00D5679D" w:rsidRDefault="004321C7">
      <w:pPr>
        <w:rPr>
          <w:noProof/>
        </w:rPr>
      </w:pPr>
      <w:r w:rsidRPr="00D5679D">
        <w:rPr>
          <w:noProof/>
        </w:rPr>
        <w:separator/>
      </w:r>
    </w:p>
  </w:endnote>
  <w:endnote w:type="continuationSeparator" w:id="0">
    <w:p w:rsidR="004321C7" w:rsidRPr="00D5679D" w:rsidRDefault="004321C7">
      <w:pPr>
        <w:rPr>
          <w:noProof/>
        </w:rPr>
      </w:pPr>
      <w:r w:rsidRPr="00D5679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D4" w:rsidRPr="004F5D11" w:rsidRDefault="000A07D4" w:rsidP="000A07D4">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0A07D4" w:rsidRPr="004F5D11" w:rsidRDefault="000A07D4" w:rsidP="000A07D4">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A07D4" w:rsidRPr="004F5D11" w:rsidRDefault="000A07D4" w:rsidP="000A07D4">
    <w:pPr>
      <w:pStyle w:val="Header"/>
      <w:tabs>
        <w:tab w:val="clear" w:pos="4153"/>
        <w:tab w:val="clear" w:pos="8306"/>
        <w:tab w:val="right" w:pos="9072"/>
      </w:tabs>
      <w:jc w:val="both"/>
      <w:rPr>
        <w:rStyle w:val="PageNumber"/>
        <w:rFonts w:ascii="Times New Roman" w:hAnsi="Times New Roman"/>
        <w:sz w:val="20"/>
        <w:szCs w:val="20"/>
      </w:rPr>
    </w:pPr>
  </w:p>
  <w:p w:rsidR="000A07D4" w:rsidRPr="004F5D11" w:rsidRDefault="000A07D4" w:rsidP="000A07D4">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945B86">
      <w:rPr>
        <w:rStyle w:val="PageNumber"/>
        <w:rFonts w:ascii="Times New Roman" w:hAnsi="Times New Roman"/>
        <w:noProof/>
        <w:sz w:val="20"/>
        <w:szCs w:val="20"/>
      </w:rPr>
      <w:t>10</w:t>
    </w:r>
    <w:r w:rsidRPr="004F5D11">
      <w:rPr>
        <w:rStyle w:val="PageNumber"/>
        <w:rFonts w:ascii="Times New Roman" w:hAnsi="Times New Roman"/>
        <w:sz w:val="20"/>
        <w:szCs w:val="20"/>
      </w:rPr>
      <w:fldChar w:fldCharType="end"/>
    </w:r>
  </w:p>
  <w:p w:rsidR="00876ACD" w:rsidRPr="00D5679D" w:rsidRDefault="00876ACD">
    <w:pPr>
      <w:spacing w:line="14" w:lineRule="auto"/>
      <w:rPr>
        <w:noProo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D4" w:rsidRPr="004F5D11" w:rsidRDefault="000A07D4" w:rsidP="000A07D4">
    <w:pPr>
      <w:pStyle w:val="Header"/>
      <w:tabs>
        <w:tab w:val="clear" w:pos="4153"/>
        <w:tab w:val="clear" w:pos="8306"/>
        <w:tab w:val="left" w:pos="9072"/>
      </w:tabs>
      <w:jc w:val="both"/>
      <w:rPr>
        <w:rStyle w:val="PageNumber"/>
        <w:rFonts w:ascii="Times New Roman" w:hAnsi="Times New Roman"/>
        <w:sz w:val="20"/>
        <w:szCs w:val="20"/>
      </w:rPr>
    </w:pPr>
  </w:p>
  <w:p w:rsidR="000A07D4" w:rsidRPr="004F5D11" w:rsidRDefault="000A07D4" w:rsidP="000A07D4">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A07D4" w:rsidRPr="004F5D11" w:rsidRDefault="000A07D4" w:rsidP="000A07D4">
    <w:pPr>
      <w:pStyle w:val="Header"/>
      <w:tabs>
        <w:tab w:val="clear" w:pos="4153"/>
        <w:tab w:val="clear" w:pos="8306"/>
        <w:tab w:val="left" w:pos="9072"/>
      </w:tabs>
      <w:jc w:val="both"/>
      <w:rPr>
        <w:rStyle w:val="PageNumber"/>
        <w:rFonts w:ascii="Times New Roman" w:hAnsi="Times New Roman"/>
        <w:sz w:val="20"/>
        <w:szCs w:val="20"/>
      </w:rPr>
    </w:pPr>
  </w:p>
  <w:p w:rsidR="000A07D4" w:rsidRPr="004F5D11" w:rsidRDefault="000A07D4" w:rsidP="000A07D4">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1C7" w:rsidRPr="00D5679D" w:rsidRDefault="004321C7">
      <w:pPr>
        <w:rPr>
          <w:noProof/>
        </w:rPr>
      </w:pPr>
      <w:r w:rsidRPr="00D5679D">
        <w:rPr>
          <w:noProof/>
        </w:rPr>
        <w:separator/>
      </w:r>
    </w:p>
  </w:footnote>
  <w:footnote w:type="continuationSeparator" w:id="0">
    <w:p w:rsidR="004321C7" w:rsidRPr="00D5679D" w:rsidRDefault="004321C7">
      <w:pPr>
        <w:rPr>
          <w:noProof/>
        </w:rPr>
      </w:pPr>
      <w:r w:rsidRPr="00D5679D">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D4" w:rsidRPr="004F5D11" w:rsidRDefault="000A07D4" w:rsidP="000A07D4">
    <w:pPr>
      <w:pStyle w:val="Header"/>
      <w:tabs>
        <w:tab w:val="clear" w:pos="4153"/>
        <w:tab w:val="clear" w:pos="8306"/>
      </w:tabs>
      <w:jc w:val="both"/>
      <w:rPr>
        <w:rStyle w:val="PageNumber"/>
        <w:rFonts w:ascii="Times New Roman" w:hAnsi="Times New Roman"/>
        <w:sz w:val="20"/>
        <w:szCs w:val="20"/>
      </w:rPr>
    </w:pPr>
  </w:p>
  <w:p w:rsidR="000A07D4" w:rsidRPr="004F5D11" w:rsidRDefault="000A07D4" w:rsidP="000A07D4">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A07D4" w:rsidRPr="004F5D11" w:rsidRDefault="000A07D4" w:rsidP="000A07D4">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D4" w:rsidRPr="004F5D11" w:rsidRDefault="000A07D4" w:rsidP="000A07D4">
    <w:pPr>
      <w:pBdr>
        <w:bottom w:val="single" w:sz="12" w:space="5" w:color="auto"/>
      </w:pBdr>
      <w:jc w:val="both"/>
      <w:rPr>
        <w:rFonts w:ascii="Times New Roman" w:hAnsi="Times New Roman"/>
        <w:spacing w:val="-2"/>
        <w:sz w:val="20"/>
        <w:szCs w:val="20"/>
      </w:rPr>
    </w:pPr>
  </w:p>
  <w:p w:rsidR="000A07D4" w:rsidRPr="004F5D11" w:rsidRDefault="000A07D4" w:rsidP="000A07D4">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4E7D"/>
    <w:multiLevelType w:val="hybridMultilevel"/>
    <w:tmpl w:val="8A2AF32C"/>
    <w:lvl w:ilvl="0" w:tplc="A4748BB6">
      <w:start w:val="3"/>
      <w:numFmt w:val="upperRoman"/>
      <w:lvlText w:val="%1."/>
      <w:lvlJc w:val="left"/>
      <w:pPr>
        <w:ind w:left="681" w:hanging="568"/>
        <w:jc w:val="left"/>
      </w:pPr>
      <w:rPr>
        <w:rFonts w:ascii="Times New Roman" w:eastAsia="Times New Roman" w:hAnsi="Times New Roman" w:hint="default"/>
        <w:b/>
        <w:bCs/>
        <w:spacing w:val="-1"/>
        <w:sz w:val="20"/>
        <w:szCs w:val="20"/>
      </w:rPr>
    </w:lvl>
    <w:lvl w:ilvl="1" w:tplc="6C683A0A">
      <w:start w:val="1"/>
      <w:numFmt w:val="bullet"/>
      <w:lvlText w:val="•"/>
      <w:lvlJc w:val="left"/>
      <w:pPr>
        <w:ind w:left="1599" w:hanging="568"/>
      </w:pPr>
      <w:rPr>
        <w:rFonts w:hint="default"/>
      </w:rPr>
    </w:lvl>
    <w:lvl w:ilvl="2" w:tplc="1F24183A">
      <w:start w:val="1"/>
      <w:numFmt w:val="bullet"/>
      <w:lvlText w:val="•"/>
      <w:lvlJc w:val="left"/>
      <w:pPr>
        <w:ind w:left="2518" w:hanging="568"/>
      </w:pPr>
      <w:rPr>
        <w:rFonts w:hint="default"/>
      </w:rPr>
    </w:lvl>
    <w:lvl w:ilvl="3" w:tplc="C540C6C2">
      <w:start w:val="1"/>
      <w:numFmt w:val="bullet"/>
      <w:lvlText w:val="•"/>
      <w:lvlJc w:val="left"/>
      <w:pPr>
        <w:ind w:left="3436" w:hanging="568"/>
      </w:pPr>
      <w:rPr>
        <w:rFonts w:hint="default"/>
      </w:rPr>
    </w:lvl>
    <w:lvl w:ilvl="4" w:tplc="8DE0492C">
      <w:start w:val="1"/>
      <w:numFmt w:val="bullet"/>
      <w:lvlText w:val="•"/>
      <w:lvlJc w:val="left"/>
      <w:pPr>
        <w:ind w:left="4354" w:hanging="568"/>
      </w:pPr>
      <w:rPr>
        <w:rFonts w:hint="default"/>
      </w:rPr>
    </w:lvl>
    <w:lvl w:ilvl="5" w:tplc="92D20860">
      <w:start w:val="1"/>
      <w:numFmt w:val="bullet"/>
      <w:lvlText w:val="•"/>
      <w:lvlJc w:val="left"/>
      <w:pPr>
        <w:ind w:left="5273" w:hanging="568"/>
      </w:pPr>
      <w:rPr>
        <w:rFonts w:hint="default"/>
      </w:rPr>
    </w:lvl>
    <w:lvl w:ilvl="6" w:tplc="CF208A3E">
      <w:start w:val="1"/>
      <w:numFmt w:val="bullet"/>
      <w:lvlText w:val="•"/>
      <w:lvlJc w:val="left"/>
      <w:pPr>
        <w:ind w:left="6191" w:hanging="568"/>
      </w:pPr>
      <w:rPr>
        <w:rFonts w:hint="default"/>
      </w:rPr>
    </w:lvl>
    <w:lvl w:ilvl="7" w:tplc="FD5EAE36">
      <w:start w:val="1"/>
      <w:numFmt w:val="bullet"/>
      <w:lvlText w:val="•"/>
      <w:lvlJc w:val="left"/>
      <w:pPr>
        <w:ind w:left="7109" w:hanging="568"/>
      </w:pPr>
      <w:rPr>
        <w:rFonts w:hint="default"/>
      </w:rPr>
    </w:lvl>
    <w:lvl w:ilvl="8" w:tplc="C37AA94C">
      <w:start w:val="1"/>
      <w:numFmt w:val="bullet"/>
      <w:lvlText w:val="•"/>
      <w:lvlJc w:val="left"/>
      <w:pPr>
        <w:ind w:left="8027" w:hanging="568"/>
      </w:pPr>
      <w:rPr>
        <w:rFonts w:hint="default"/>
      </w:rPr>
    </w:lvl>
  </w:abstractNum>
  <w:abstractNum w:abstractNumId="1">
    <w:nsid w:val="0F987ED3"/>
    <w:multiLevelType w:val="hybridMultilevel"/>
    <w:tmpl w:val="6DFCB804"/>
    <w:lvl w:ilvl="0" w:tplc="008E8B1E">
      <w:start w:val="8"/>
      <w:numFmt w:val="decimal"/>
      <w:lvlText w:val="%1."/>
      <w:lvlJc w:val="left"/>
      <w:pPr>
        <w:ind w:left="114" w:hanging="568"/>
        <w:jc w:val="left"/>
      </w:pPr>
      <w:rPr>
        <w:rFonts w:ascii="Arial" w:eastAsia="Arial" w:hAnsi="Arial" w:hint="default"/>
        <w:w w:val="99"/>
        <w:sz w:val="22"/>
        <w:szCs w:val="22"/>
      </w:rPr>
    </w:lvl>
    <w:lvl w:ilvl="1" w:tplc="9F2CDB30">
      <w:start w:val="1"/>
      <w:numFmt w:val="lowerLetter"/>
      <w:lvlText w:val="(%2)"/>
      <w:lvlJc w:val="left"/>
      <w:pPr>
        <w:ind w:left="1248" w:hanging="567"/>
        <w:jc w:val="left"/>
      </w:pPr>
      <w:rPr>
        <w:rFonts w:ascii="Arial" w:eastAsia="Arial" w:hAnsi="Arial" w:hint="default"/>
        <w:w w:val="99"/>
        <w:sz w:val="22"/>
        <w:szCs w:val="22"/>
      </w:rPr>
    </w:lvl>
    <w:lvl w:ilvl="2" w:tplc="508C8F66">
      <w:start w:val="1"/>
      <w:numFmt w:val="bullet"/>
      <w:lvlText w:val="•"/>
      <w:lvlJc w:val="left"/>
      <w:pPr>
        <w:ind w:left="1248" w:hanging="567"/>
      </w:pPr>
      <w:rPr>
        <w:rFonts w:hint="default"/>
      </w:rPr>
    </w:lvl>
    <w:lvl w:ilvl="3" w:tplc="AE22E5EC">
      <w:start w:val="1"/>
      <w:numFmt w:val="bullet"/>
      <w:lvlText w:val="•"/>
      <w:lvlJc w:val="left"/>
      <w:pPr>
        <w:ind w:left="1248" w:hanging="567"/>
      </w:pPr>
      <w:rPr>
        <w:rFonts w:hint="default"/>
      </w:rPr>
    </w:lvl>
    <w:lvl w:ilvl="4" w:tplc="3DFA2BDA">
      <w:start w:val="1"/>
      <w:numFmt w:val="bullet"/>
      <w:lvlText w:val="•"/>
      <w:lvlJc w:val="left"/>
      <w:pPr>
        <w:ind w:left="1248" w:hanging="567"/>
      </w:pPr>
      <w:rPr>
        <w:rFonts w:hint="default"/>
      </w:rPr>
    </w:lvl>
    <w:lvl w:ilvl="5" w:tplc="BB78984E">
      <w:start w:val="1"/>
      <w:numFmt w:val="bullet"/>
      <w:lvlText w:val="•"/>
      <w:lvlJc w:val="left"/>
      <w:pPr>
        <w:ind w:left="1248" w:hanging="567"/>
      </w:pPr>
      <w:rPr>
        <w:rFonts w:hint="default"/>
      </w:rPr>
    </w:lvl>
    <w:lvl w:ilvl="6" w:tplc="86AA8682">
      <w:start w:val="1"/>
      <w:numFmt w:val="bullet"/>
      <w:lvlText w:val="•"/>
      <w:lvlJc w:val="left"/>
      <w:pPr>
        <w:ind w:left="1248" w:hanging="567"/>
      </w:pPr>
      <w:rPr>
        <w:rFonts w:hint="default"/>
      </w:rPr>
    </w:lvl>
    <w:lvl w:ilvl="7" w:tplc="B166388C">
      <w:start w:val="1"/>
      <w:numFmt w:val="bullet"/>
      <w:lvlText w:val="•"/>
      <w:lvlJc w:val="left"/>
      <w:pPr>
        <w:ind w:left="1248" w:hanging="567"/>
      </w:pPr>
      <w:rPr>
        <w:rFonts w:hint="default"/>
      </w:rPr>
    </w:lvl>
    <w:lvl w:ilvl="8" w:tplc="E67263AA">
      <w:start w:val="1"/>
      <w:numFmt w:val="bullet"/>
      <w:lvlText w:val="•"/>
      <w:lvlJc w:val="left"/>
      <w:pPr>
        <w:ind w:left="1248" w:hanging="567"/>
      </w:pPr>
      <w:rPr>
        <w:rFonts w:hint="default"/>
      </w:rPr>
    </w:lvl>
  </w:abstractNum>
  <w:abstractNum w:abstractNumId="2">
    <w:nsid w:val="158C55BD"/>
    <w:multiLevelType w:val="hybridMultilevel"/>
    <w:tmpl w:val="C966CF82"/>
    <w:lvl w:ilvl="0" w:tplc="1EAC09E6">
      <w:start w:val="1"/>
      <w:numFmt w:val="decimal"/>
      <w:lvlText w:val="%1."/>
      <w:lvlJc w:val="left"/>
      <w:pPr>
        <w:ind w:left="667" w:hanging="568"/>
        <w:jc w:val="left"/>
      </w:pPr>
      <w:rPr>
        <w:rFonts w:ascii="Times New Roman" w:eastAsia="Arial" w:hAnsi="Times New Roman" w:cs="Times New Roman" w:hint="default"/>
        <w:w w:val="99"/>
        <w:sz w:val="24"/>
        <w:szCs w:val="24"/>
      </w:rPr>
    </w:lvl>
    <w:lvl w:ilvl="1" w:tplc="78165DFA">
      <w:start w:val="1"/>
      <w:numFmt w:val="upperRoman"/>
      <w:lvlText w:val="%2."/>
      <w:lvlJc w:val="left"/>
      <w:pPr>
        <w:ind w:left="667" w:hanging="568"/>
        <w:jc w:val="left"/>
      </w:pPr>
      <w:rPr>
        <w:rFonts w:ascii="Times New Roman" w:eastAsia="Arial" w:hAnsi="Times New Roman" w:cs="Times New Roman" w:hint="default"/>
        <w:b/>
        <w:bCs/>
        <w:w w:val="99"/>
        <w:sz w:val="24"/>
        <w:szCs w:val="24"/>
      </w:rPr>
    </w:lvl>
    <w:lvl w:ilvl="2" w:tplc="53288382">
      <w:start w:val="1"/>
      <w:numFmt w:val="decimal"/>
      <w:lvlText w:val="%3."/>
      <w:lvlJc w:val="left"/>
      <w:pPr>
        <w:ind w:left="100" w:hanging="568"/>
        <w:jc w:val="left"/>
      </w:pPr>
      <w:rPr>
        <w:rFonts w:ascii="Times New Roman" w:eastAsia="Arial" w:hAnsi="Times New Roman" w:cs="Times New Roman" w:hint="default"/>
        <w:w w:val="99"/>
        <w:sz w:val="24"/>
        <w:szCs w:val="24"/>
      </w:rPr>
    </w:lvl>
    <w:lvl w:ilvl="3" w:tplc="CA20EA7A">
      <w:start w:val="1"/>
      <w:numFmt w:val="bullet"/>
      <w:lvlText w:val="•"/>
      <w:lvlJc w:val="left"/>
      <w:pPr>
        <w:ind w:left="1739" w:hanging="568"/>
      </w:pPr>
      <w:rPr>
        <w:rFonts w:hint="default"/>
      </w:rPr>
    </w:lvl>
    <w:lvl w:ilvl="4" w:tplc="EDC6692A">
      <w:start w:val="1"/>
      <w:numFmt w:val="bullet"/>
      <w:lvlText w:val="•"/>
      <w:lvlJc w:val="left"/>
      <w:pPr>
        <w:ind w:left="2811" w:hanging="568"/>
      </w:pPr>
      <w:rPr>
        <w:rFonts w:hint="default"/>
      </w:rPr>
    </w:lvl>
    <w:lvl w:ilvl="5" w:tplc="068EB2D6">
      <w:start w:val="1"/>
      <w:numFmt w:val="bullet"/>
      <w:lvlText w:val="•"/>
      <w:lvlJc w:val="left"/>
      <w:pPr>
        <w:ind w:left="3883" w:hanging="568"/>
      </w:pPr>
      <w:rPr>
        <w:rFonts w:hint="default"/>
      </w:rPr>
    </w:lvl>
    <w:lvl w:ilvl="6" w:tplc="2D0A64B0">
      <w:start w:val="1"/>
      <w:numFmt w:val="bullet"/>
      <w:lvlText w:val="•"/>
      <w:lvlJc w:val="left"/>
      <w:pPr>
        <w:ind w:left="4956" w:hanging="568"/>
      </w:pPr>
      <w:rPr>
        <w:rFonts w:hint="default"/>
      </w:rPr>
    </w:lvl>
    <w:lvl w:ilvl="7" w:tplc="42761674">
      <w:start w:val="1"/>
      <w:numFmt w:val="bullet"/>
      <w:lvlText w:val="•"/>
      <w:lvlJc w:val="left"/>
      <w:pPr>
        <w:ind w:left="6028" w:hanging="568"/>
      </w:pPr>
      <w:rPr>
        <w:rFonts w:hint="default"/>
      </w:rPr>
    </w:lvl>
    <w:lvl w:ilvl="8" w:tplc="C9FECC3E">
      <w:start w:val="1"/>
      <w:numFmt w:val="bullet"/>
      <w:lvlText w:val="•"/>
      <w:lvlJc w:val="left"/>
      <w:pPr>
        <w:ind w:left="7100" w:hanging="568"/>
      </w:pPr>
      <w:rPr>
        <w:rFonts w:hint="default"/>
      </w:rPr>
    </w:lvl>
  </w:abstractNum>
  <w:abstractNum w:abstractNumId="3">
    <w:nsid w:val="210B4ECA"/>
    <w:multiLevelType w:val="hybridMultilevel"/>
    <w:tmpl w:val="9CE2234C"/>
    <w:lvl w:ilvl="0" w:tplc="9704DB02">
      <w:start w:val="8"/>
      <w:numFmt w:val="decimal"/>
      <w:lvlText w:val="%1."/>
      <w:lvlJc w:val="left"/>
      <w:pPr>
        <w:ind w:left="114" w:hanging="568"/>
        <w:jc w:val="left"/>
      </w:pPr>
      <w:rPr>
        <w:rFonts w:ascii="Arial" w:eastAsia="Arial" w:hAnsi="Arial" w:hint="default"/>
        <w:w w:val="99"/>
        <w:sz w:val="22"/>
        <w:szCs w:val="22"/>
      </w:rPr>
    </w:lvl>
    <w:lvl w:ilvl="1" w:tplc="880A7A3A">
      <w:start w:val="1"/>
      <w:numFmt w:val="lowerLetter"/>
      <w:lvlText w:val="(%2)"/>
      <w:lvlJc w:val="left"/>
      <w:pPr>
        <w:ind w:left="1248" w:hanging="567"/>
        <w:jc w:val="left"/>
      </w:pPr>
      <w:rPr>
        <w:rFonts w:ascii="Arial" w:eastAsia="Arial" w:hAnsi="Arial" w:hint="default"/>
        <w:w w:val="99"/>
        <w:sz w:val="22"/>
        <w:szCs w:val="22"/>
      </w:rPr>
    </w:lvl>
    <w:lvl w:ilvl="2" w:tplc="5F525EA6">
      <w:start w:val="1"/>
      <w:numFmt w:val="bullet"/>
      <w:lvlText w:val="•"/>
      <w:lvlJc w:val="left"/>
      <w:pPr>
        <w:ind w:left="1193" w:hanging="567"/>
      </w:pPr>
      <w:rPr>
        <w:rFonts w:hint="default"/>
      </w:rPr>
    </w:lvl>
    <w:lvl w:ilvl="3" w:tplc="6D6413FE">
      <w:start w:val="1"/>
      <w:numFmt w:val="bullet"/>
      <w:lvlText w:val="•"/>
      <w:lvlJc w:val="left"/>
      <w:pPr>
        <w:ind w:left="1247" w:hanging="567"/>
      </w:pPr>
      <w:rPr>
        <w:rFonts w:hint="default"/>
      </w:rPr>
    </w:lvl>
    <w:lvl w:ilvl="4" w:tplc="6FB86E7A">
      <w:start w:val="1"/>
      <w:numFmt w:val="bullet"/>
      <w:lvlText w:val="•"/>
      <w:lvlJc w:val="left"/>
      <w:pPr>
        <w:ind w:left="1247" w:hanging="567"/>
      </w:pPr>
      <w:rPr>
        <w:rFonts w:hint="default"/>
      </w:rPr>
    </w:lvl>
    <w:lvl w:ilvl="5" w:tplc="D2B4B8F6">
      <w:start w:val="1"/>
      <w:numFmt w:val="bullet"/>
      <w:lvlText w:val="•"/>
      <w:lvlJc w:val="left"/>
      <w:pPr>
        <w:ind w:left="1247" w:hanging="567"/>
      </w:pPr>
      <w:rPr>
        <w:rFonts w:hint="default"/>
      </w:rPr>
    </w:lvl>
    <w:lvl w:ilvl="6" w:tplc="4B4056F0">
      <w:start w:val="1"/>
      <w:numFmt w:val="bullet"/>
      <w:lvlText w:val="•"/>
      <w:lvlJc w:val="left"/>
      <w:pPr>
        <w:ind w:left="1248" w:hanging="567"/>
      </w:pPr>
      <w:rPr>
        <w:rFonts w:hint="default"/>
      </w:rPr>
    </w:lvl>
    <w:lvl w:ilvl="7" w:tplc="86B43728">
      <w:start w:val="1"/>
      <w:numFmt w:val="bullet"/>
      <w:lvlText w:val="•"/>
      <w:lvlJc w:val="left"/>
      <w:pPr>
        <w:ind w:left="1248" w:hanging="567"/>
      </w:pPr>
      <w:rPr>
        <w:rFonts w:hint="default"/>
      </w:rPr>
    </w:lvl>
    <w:lvl w:ilvl="8" w:tplc="78C217C8">
      <w:start w:val="1"/>
      <w:numFmt w:val="bullet"/>
      <w:lvlText w:val="•"/>
      <w:lvlJc w:val="left"/>
      <w:pPr>
        <w:ind w:left="1248" w:hanging="567"/>
      </w:pPr>
      <w:rPr>
        <w:rFonts w:hint="default"/>
      </w:rPr>
    </w:lvl>
  </w:abstractNum>
  <w:abstractNum w:abstractNumId="4">
    <w:nsid w:val="532B6EA6"/>
    <w:multiLevelType w:val="hybridMultilevel"/>
    <w:tmpl w:val="EDE6531A"/>
    <w:lvl w:ilvl="0" w:tplc="4A6A23A6">
      <w:start w:val="8"/>
      <w:numFmt w:val="decimal"/>
      <w:lvlText w:val="%1."/>
      <w:lvlJc w:val="left"/>
      <w:pPr>
        <w:ind w:left="100" w:hanging="568"/>
        <w:jc w:val="left"/>
      </w:pPr>
      <w:rPr>
        <w:rFonts w:ascii="Times New Roman" w:eastAsia="Arial" w:hAnsi="Times New Roman" w:cs="Times New Roman" w:hint="default"/>
        <w:w w:val="99"/>
        <w:sz w:val="24"/>
        <w:szCs w:val="24"/>
      </w:rPr>
    </w:lvl>
    <w:lvl w:ilvl="1" w:tplc="04260017">
      <w:start w:val="1"/>
      <w:numFmt w:val="lowerLetter"/>
      <w:lvlText w:val="%2)"/>
      <w:lvlJc w:val="left"/>
      <w:pPr>
        <w:ind w:left="1234" w:hanging="567"/>
        <w:jc w:val="left"/>
      </w:pPr>
      <w:rPr>
        <w:rFonts w:hint="default"/>
        <w:w w:val="99"/>
        <w:sz w:val="24"/>
        <w:szCs w:val="24"/>
      </w:rPr>
    </w:lvl>
    <w:lvl w:ilvl="2" w:tplc="AB44D274">
      <w:start w:val="1"/>
      <w:numFmt w:val="bullet"/>
      <w:lvlText w:val="•"/>
      <w:lvlJc w:val="left"/>
      <w:pPr>
        <w:ind w:left="1234" w:hanging="567"/>
      </w:pPr>
      <w:rPr>
        <w:rFonts w:hint="default"/>
      </w:rPr>
    </w:lvl>
    <w:lvl w:ilvl="3" w:tplc="6B1A4AA4">
      <w:start w:val="1"/>
      <w:numFmt w:val="bullet"/>
      <w:lvlText w:val="•"/>
      <w:lvlJc w:val="left"/>
      <w:pPr>
        <w:ind w:left="1234" w:hanging="567"/>
      </w:pPr>
      <w:rPr>
        <w:rFonts w:hint="default"/>
      </w:rPr>
    </w:lvl>
    <w:lvl w:ilvl="4" w:tplc="E16215D6">
      <w:start w:val="1"/>
      <w:numFmt w:val="bullet"/>
      <w:lvlText w:val="•"/>
      <w:lvlJc w:val="left"/>
      <w:pPr>
        <w:ind w:left="1234" w:hanging="567"/>
      </w:pPr>
      <w:rPr>
        <w:rFonts w:hint="default"/>
      </w:rPr>
    </w:lvl>
    <w:lvl w:ilvl="5" w:tplc="F4D05A1E">
      <w:start w:val="1"/>
      <w:numFmt w:val="bullet"/>
      <w:lvlText w:val="•"/>
      <w:lvlJc w:val="left"/>
      <w:pPr>
        <w:ind w:left="1234" w:hanging="567"/>
      </w:pPr>
      <w:rPr>
        <w:rFonts w:hint="default"/>
      </w:rPr>
    </w:lvl>
    <w:lvl w:ilvl="6" w:tplc="9FA04FA4">
      <w:start w:val="1"/>
      <w:numFmt w:val="bullet"/>
      <w:lvlText w:val="•"/>
      <w:lvlJc w:val="left"/>
      <w:pPr>
        <w:ind w:left="1234" w:hanging="567"/>
      </w:pPr>
      <w:rPr>
        <w:rFonts w:hint="default"/>
      </w:rPr>
    </w:lvl>
    <w:lvl w:ilvl="7" w:tplc="A48E87FE">
      <w:start w:val="1"/>
      <w:numFmt w:val="bullet"/>
      <w:lvlText w:val="•"/>
      <w:lvlJc w:val="left"/>
      <w:pPr>
        <w:ind w:left="1234" w:hanging="567"/>
      </w:pPr>
      <w:rPr>
        <w:rFonts w:hint="default"/>
      </w:rPr>
    </w:lvl>
    <w:lvl w:ilvl="8" w:tplc="AF12D28E">
      <w:start w:val="1"/>
      <w:numFmt w:val="bullet"/>
      <w:lvlText w:val="•"/>
      <w:lvlJc w:val="left"/>
      <w:pPr>
        <w:ind w:left="3904" w:hanging="567"/>
      </w:pPr>
      <w:rPr>
        <w:rFonts w:hint="default"/>
      </w:rPr>
    </w:lvl>
  </w:abstractNum>
  <w:abstractNum w:abstractNumId="5">
    <w:nsid w:val="5E5B12D0"/>
    <w:multiLevelType w:val="hybridMultilevel"/>
    <w:tmpl w:val="EAA0A25A"/>
    <w:lvl w:ilvl="0" w:tplc="FF0E7CE4">
      <w:start w:val="8"/>
      <w:numFmt w:val="decimal"/>
      <w:lvlText w:val="%1."/>
      <w:lvlJc w:val="left"/>
      <w:pPr>
        <w:ind w:left="114" w:hanging="568"/>
        <w:jc w:val="left"/>
      </w:pPr>
      <w:rPr>
        <w:rFonts w:ascii="Arial" w:eastAsia="Arial" w:hAnsi="Arial" w:hint="default"/>
        <w:w w:val="99"/>
        <w:sz w:val="22"/>
        <w:szCs w:val="22"/>
      </w:rPr>
    </w:lvl>
    <w:lvl w:ilvl="1" w:tplc="97FABD82">
      <w:start w:val="1"/>
      <w:numFmt w:val="lowerLetter"/>
      <w:lvlText w:val="(%2)"/>
      <w:lvlJc w:val="left"/>
      <w:pPr>
        <w:ind w:left="1248" w:hanging="567"/>
        <w:jc w:val="left"/>
      </w:pPr>
      <w:rPr>
        <w:rFonts w:ascii="Arial" w:eastAsia="Arial" w:hAnsi="Arial" w:hint="default"/>
        <w:w w:val="99"/>
        <w:sz w:val="22"/>
        <w:szCs w:val="22"/>
      </w:rPr>
    </w:lvl>
    <w:lvl w:ilvl="2" w:tplc="DAAEDB18">
      <w:start w:val="2"/>
      <w:numFmt w:val="lowerLetter"/>
      <w:lvlText w:val="(%3)"/>
      <w:lvlJc w:val="left"/>
      <w:pPr>
        <w:ind w:left="1248" w:hanging="567"/>
        <w:jc w:val="left"/>
      </w:pPr>
      <w:rPr>
        <w:rFonts w:ascii="Arial" w:eastAsia="Arial" w:hAnsi="Arial" w:hint="default"/>
        <w:w w:val="99"/>
        <w:sz w:val="22"/>
        <w:szCs w:val="22"/>
      </w:rPr>
    </w:lvl>
    <w:lvl w:ilvl="3" w:tplc="C3EE29BC">
      <w:start w:val="1"/>
      <w:numFmt w:val="bullet"/>
      <w:lvlText w:val="•"/>
      <w:lvlJc w:val="left"/>
      <w:pPr>
        <w:ind w:left="1248" w:hanging="567"/>
      </w:pPr>
      <w:rPr>
        <w:rFonts w:hint="default"/>
      </w:rPr>
    </w:lvl>
    <w:lvl w:ilvl="4" w:tplc="5D562936">
      <w:start w:val="1"/>
      <w:numFmt w:val="bullet"/>
      <w:lvlText w:val="•"/>
      <w:lvlJc w:val="left"/>
      <w:pPr>
        <w:ind w:left="1248" w:hanging="567"/>
      </w:pPr>
      <w:rPr>
        <w:rFonts w:hint="default"/>
      </w:rPr>
    </w:lvl>
    <w:lvl w:ilvl="5" w:tplc="5CD23A04">
      <w:start w:val="1"/>
      <w:numFmt w:val="bullet"/>
      <w:lvlText w:val="•"/>
      <w:lvlJc w:val="left"/>
      <w:pPr>
        <w:ind w:left="1248" w:hanging="567"/>
      </w:pPr>
      <w:rPr>
        <w:rFonts w:hint="default"/>
      </w:rPr>
    </w:lvl>
    <w:lvl w:ilvl="6" w:tplc="FF4A4582">
      <w:start w:val="1"/>
      <w:numFmt w:val="bullet"/>
      <w:lvlText w:val="•"/>
      <w:lvlJc w:val="left"/>
      <w:pPr>
        <w:ind w:left="1248" w:hanging="567"/>
      </w:pPr>
      <w:rPr>
        <w:rFonts w:hint="default"/>
      </w:rPr>
    </w:lvl>
    <w:lvl w:ilvl="7" w:tplc="1C86B904">
      <w:start w:val="1"/>
      <w:numFmt w:val="bullet"/>
      <w:lvlText w:val="•"/>
      <w:lvlJc w:val="left"/>
      <w:pPr>
        <w:ind w:left="1248" w:hanging="567"/>
      </w:pPr>
      <w:rPr>
        <w:rFonts w:hint="default"/>
      </w:rPr>
    </w:lvl>
    <w:lvl w:ilvl="8" w:tplc="3E9EC50C">
      <w:start w:val="1"/>
      <w:numFmt w:val="bullet"/>
      <w:lvlText w:val="•"/>
      <w:lvlJc w:val="left"/>
      <w:pPr>
        <w:ind w:left="1248" w:hanging="567"/>
      </w:pPr>
      <w:rPr>
        <w:rFonts w:hint="default"/>
      </w:rPr>
    </w:lvl>
  </w:abstractNum>
  <w:abstractNum w:abstractNumId="6">
    <w:nsid w:val="5EF403D1"/>
    <w:multiLevelType w:val="hybridMultilevel"/>
    <w:tmpl w:val="3EB894AC"/>
    <w:lvl w:ilvl="0" w:tplc="08DC4DEE">
      <w:start w:val="1"/>
      <w:numFmt w:val="decimal"/>
      <w:lvlText w:val="%1."/>
      <w:lvlJc w:val="left"/>
      <w:pPr>
        <w:ind w:left="681" w:hanging="568"/>
        <w:jc w:val="left"/>
      </w:pPr>
      <w:rPr>
        <w:rFonts w:ascii="Arial" w:eastAsia="Arial" w:hAnsi="Arial" w:hint="default"/>
        <w:w w:val="99"/>
        <w:sz w:val="22"/>
        <w:szCs w:val="22"/>
      </w:rPr>
    </w:lvl>
    <w:lvl w:ilvl="1" w:tplc="29ECA586">
      <w:start w:val="1"/>
      <w:numFmt w:val="upperRoman"/>
      <w:lvlText w:val="%2."/>
      <w:lvlJc w:val="left"/>
      <w:pPr>
        <w:ind w:left="681" w:hanging="568"/>
        <w:jc w:val="left"/>
      </w:pPr>
      <w:rPr>
        <w:rFonts w:ascii="Arial" w:eastAsia="Arial" w:hAnsi="Arial" w:hint="default"/>
        <w:b/>
        <w:bCs/>
        <w:w w:val="99"/>
        <w:sz w:val="22"/>
        <w:szCs w:val="22"/>
      </w:rPr>
    </w:lvl>
    <w:lvl w:ilvl="2" w:tplc="B9F43B84">
      <w:start w:val="1"/>
      <w:numFmt w:val="decimal"/>
      <w:lvlText w:val="%3."/>
      <w:lvlJc w:val="left"/>
      <w:pPr>
        <w:ind w:left="113" w:hanging="568"/>
        <w:jc w:val="left"/>
      </w:pPr>
      <w:rPr>
        <w:rFonts w:ascii="Arial" w:eastAsia="Arial" w:hAnsi="Arial" w:hint="default"/>
        <w:w w:val="99"/>
        <w:sz w:val="22"/>
        <w:szCs w:val="22"/>
      </w:rPr>
    </w:lvl>
    <w:lvl w:ilvl="3" w:tplc="A4F61ECA">
      <w:start w:val="1"/>
      <w:numFmt w:val="bullet"/>
      <w:lvlText w:val="•"/>
      <w:lvlJc w:val="left"/>
      <w:pPr>
        <w:ind w:left="1829" w:hanging="568"/>
      </w:pPr>
      <w:rPr>
        <w:rFonts w:hint="default"/>
      </w:rPr>
    </w:lvl>
    <w:lvl w:ilvl="4" w:tplc="A13E6184">
      <w:start w:val="1"/>
      <w:numFmt w:val="bullet"/>
      <w:lvlText w:val="•"/>
      <w:lvlJc w:val="left"/>
      <w:pPr>
        <w:ind w:left="2977" w:hanging="568"/>
      </w:pPr>
      <w:rPr>
        <w:rFonts w:hint="default"/>
      </w:rPr>
    </w:lvl>
    <w:lvl w:ilvl="5" w:tplc="5934717E">
      <w:start w:val="1"/>
      <w:numFmt w:val="bullet"/>
      <w:lvlText w:val="•"/>
      <w:lvlJc w:val="left"/>
      <w:pPr>
        <w:ind w:left="4125" w:hanging="568"/>
      </w:pPr>
      <w:rPr>
        <w:rFonts w:hint="default"/>
      </w:rPr>
    </w:lvl>
    <w:lvl w:ilvl="6" w:tplc="71D6AB60">
      <w:start w:val="1"/>
      <w:numFmt w:val="bullet"/>
      <w:lvlText w:val="•"/>
      <w:lvlJc w:val="left"/>
      <w:pPr>
        <w:ind w:left="5273" w:hanging="568"/>
      </w:pPr>
      <w:rPr>
        <w:rFonts w:hint="default"/>
      </w:rPr>
    </w:lvl>
    <w:lvl w:ilvl="7" w:tplc="18BEA568">
      <w:start w:val="1"/>
      <w:numFmt w:val="bullet"/>
      <w:lvlText w:val="•"/>
      <w:lvlJc w:val="left"/>
      <w:pPr>
        <w:ind w:left="6420" w:hanging="568"/>
      </w:pPr>
      <w:rPr>
        <w:rFonts w:hint="default"/>
      </w:rPr>
    </w:lvl>
    <w:lvl w:ilvl="8" w:tplc="15C8E146">
      <w:start w:val="1"/>
      <w:numFmt w:val="bullet"/>
      <w:lvlText w:val="•"/>
      <w:lvlJc w:val="left"/>
      <w:pPr>
        <w:ind w:left="7568" w:hanging="568"/>
      </w:pPr>
      <w:rPr>
        <w:rFonts w:hint="default"/>
      </w:rPr>
    </w:lvl>
  </w:abstractNum>
  <w:abstractNum w:abstractNumId="7">
    <w:nsid w:val="6B3768A9"/>
    <w:multiLevelType w:val="hybridMultilevel"/>
    <w:tmpl w:val="AD4A6908"/>
    <w:lvl w:ilvl="0" w:tplc="EBFEFC32">
      <w:start w:val="1"/>
      <w:numFmt w:val="decimal"/>
      <w:lvlText w:val="%1."/>
      <w:lvlJc w:val="left"/>
      <w:pPr>
        <w:ind w:left="681" w:hanging="568"/>
        <w:jc w:val="left"/>
      </w:pPr>
      <w:rPr>
        <w:rFonts w:ascii="Arial" w:eastAsia="Arial" w:hAnsi="Arial" w:hint="default"/>
        <w:w w:val="99"/>
        <w:sz w:val="22"/>
        <w:szCs w:val="22"/>
      </w:rPr>
    </w:lvl>
    <w:lvl w:ilvl="1" w:tplc="9B408BFA">
      <w:start w:val="1"/>
      <w:numFmt w:val="upperRoman"/>
      <w:lvlText w:val="%2."/>
      <w:lvlJc w:val="left"/>
      <w:pPr>
        <w:ind w:left="681" w:hanging="568"/>
        <w:jc w:val="left"/>
      </w:pPr>
      <w:rPr>
        <w:rFonts w:ascii="Arial" w:eastAsia="Arial" w:hAnsi="Arial" w:hint="default"/>
        <w:b/>
        <w:bCs/>
        <w:w w:val="99"/>
        <w:sz w:val="22"/>
        <w:szCs w:val="22"/>
      </w:rPr>
    </w:lvl>
    <w:lvl w:ilvl="2" w:tplc="84F40E48">
      <w:start w:val="1"/>
      <w:numFmt w:val="decimal"/>
      <w:lvlText w:val="%3."/>
      <w:lvlJc w:val="left"/>
      <w:pPr>
        <w:ind w:left="114" w:hanging="568"/>
        <w:jc w:val="left"/>
      </w:pPr>
      <w:rPr>
        <w:rFonts w:ascii="Arial" w:eastAsia="Arial" w:hAnsi="Arial" w:hint="default"/>
        <w:w w:val="99"/>
        <w:sz w:val="22"/>
        <w:szCs w:val="22"/>
      </w:rPr>
    </w:lvl>
    <w:lvl w:ilvl="3" w:tplc="362A71FE">
      <w:start w:val="1"/>
      <w:numFmt w:val="bullet"/>
      <w:lvlText w:val="•"/>
      <w:lvlJc w:val="left"/>
      <w:pPr>
        <w:ind w:left="1829" w:hanging="568"/>
      </w:pPr>
      <w:rPr>
        <w:rFonts w:hint="default"/>
      </w:rPr>
    </w:lvl>
    <w:lvl w:ilvl="4" w:tplc="86525D04">
      <w:start w:val="1"/>
      <w:numFmt w:val="bullet"/>
      <w:lvlText w:val="•"/>
      <w:lvlJc w:val="left"/>
      <w:pPr>
        <w:ind w:left="2977" w:hanging="568"/>
      </w:pPr>
      <w:rPr>
        <w:rFonts w:hint="default"/>
      </w:rPr>
    </w:lvl>
    <w:lvl w:ilvl="5" w:tplc="E25ED936">
      <w:start w:val="1"/>
      <w:numFmt w:val="bullet"/>
      <w:lvlText w:val="•"/>
      <w:lvlJc w:val="left"/>
      <w:pPr>
        <w:ind w:left="4125" w:hanging="568"/>
      </w:pPr>
      <w:rPr>
        <w:rFonts w:hint="default"/>
      </w:rPr>
    </w:lvl>
    <w:lvl w:ilvl="6" w:tplc="7E9EF81A">
      <w:start w:val="1"/>
      <w:numFmt w:val="bullet"/>
      <w:lvlText w:val="•"/>
      <w:lvlJc w:val="left"/>
      <w:pPr>
        <w:ind w:left="5273" w:hanging="568"/>
      </w:pPr>
      <w:rPr>
        <w:rFonts w:hint="default"/>
      </w:rPr>
    </w:lvl>
    <w:lvl w:ilvl="7" w:tplc="CA0E235A">
      <w:start w:val="1"/>
      <w:numFmt w:val="bullet"/>
      <w:lvlText w:val="•"/>
      <w:lvlJc w:val="left"/>
      <w:pPr>
        <w:ind w:left="6420" w:hanging="568"/>
      </w:pPr>
      <w:rPr>
        <w:rFonts w:hint="default"/>
      </w:rPr>
    </w:lvl>
    <w:lvl w:ilvl="8" w:tplc="AC92EAAE">
      <w:start w:val="1"/>
      <w:numFmt w:val="bullet"/>
      <w:lvlText w:val="•"/>
      <w:lvlJc w:val="left"/>
      <w:pPr>
        <w:ind w:left="7568" w:hanging="568"/>
      </w:pPr>
      <w:rPr>
        <w:rFonts w:hint="default"/>
      </w:rPr>
    </w:lvl>
  </w:abstractNum>
  <w:abstractNum w:abstractNumId="8">
    <w:nsid w:val="6E685B8E"/>
    <w:multiLevelType w:val="hybridMultilevel"/>
    <w:tmpl w:val="5F9C3AEA"/>
    <w:lvl w:ilvl="0" w:tplc="B178D164">
      <w:start w:val="1"/>
      <w:numFmt w:val="decimal"/>
      <w:lvlText w:val="%1."/>
      <w:lvlJc w:val="left"/>
      <w:pPr>
        <w:ind w:left="681" w:hanging="568"/>
        <w:jc w:val="left"/>
      </w:pPr>
      <w:rPr>
        <w:rFonts w:ascii="Arial" w:eastAsia="Arial" w:hAnsi="Arial" w:hint="default"/>
        <w:w w:val="99"/>
        <w:sz w:val="22"/>
        <w:szCs w:val="22"/>
      </w:rPr>
    </w:lvl>
    <w:lvl w:ilvl="1" w:tplc="6BCCFC52">
      <w:start w:val="1"/>
      <w:numFmt w:val="upperRoman"/>
      <w:lvlText w:val="%2."/>
      <w:lvlJc w:val="left"/>
      <w:pPr>
        <w:ind w:left="681" w:hanging="568"/>
        <w:jc w:val="left"/>
      </w:pPr>
      <w:rPr>
        <w:rFonts w:ascii="Arial" w:eastAsia="Arial" w:hAnsi="Arial" w:hint="default"/>
        <w:b/>
        <w:bCs/>
        <w:w w:val="99"/>
        <w:sz w:val="22"/>
        <w:szCs w:val="22"/>
      </w:rPr>
    </w:lvl>
    <w:lvl w:ilvl="2" w:tplc="5FD04CC4">
      <w:start w:val="1"/>
      <w:numFmt w:val="decimal"/>
      <w:lvlText w:val="%3."/>
      <w:lvlJc w:val="left"/>
      <w:pPr>
        <w:ind w:left="114" w:hanging="568"/>
        <w:jc w:val="left"/>
      </w:pPr>
      <w:rPr>
        <w:rFonts w:ascii="Arial" w:eastAsia="Arial" w:hAnsi="Arial" w:hint="default"/>
        <w:w w:val="99"/>
        <w:sz w:val="22"/>
        <w:szCs w:val="22"/>
      </w:rPr>
    </w:lvl>
    <w:lvl w:ilvl="3" w:tplc="4E6E209E">
      <w:start w:val="1"/>
      <w:numFmt w:val="bullet"/>
      <w:lvlText w:val="•"/>
      <w:lvlJc w:val="left"/>
      <w:pPr>
        <w:ind w:left="1829" w:hanging="568"/>
      </w:pPr>
      <w:rPr>
        <w:rFonts w:hint="default"/>
      </w:rPr>
    </w:lvl>
    <w:lvl w:ilvl="4" w:tplc="A418B562">
      <w:start w:val="1"/>
      <w:numFmt w:val="bullet"/>
      <w:lvlText w:val="•"/>
      <w:lvlJc w:val="left"/>
      <w:pPr>
        <w:ind w:left="2977" w:hanging="568"/>
      </w:pPr>
      <w:rPr>
        <w:rFonts w:hint="default"/>
      </w:rPr>
    </w:lvl>
    <w:lvl w:ilvl="5" w:tplc="1BEECECC">
      <w:start w:val="1"/>
      <w:numFmt w:val="bullet"/>
      <w:lvlText w:val="•"/>
      <w:lvlJc w:val="left"/>
      <w:pPr>
        <w:ind w:left="4125" w:hanging="568"/>
      </w:pPr>
      <w:rPr>
        <w:rFonts w:hint="default"/>
      </w:rPr>
    </w:lvl>
    <w:lvl w:ilvl="6" w:tplc="2294EC58">
      <w:start w:val="1"/>
      <w:numFmt w:val="bullet"/>
      <w:lvlText w:val="•"/>
      <w:lvlJc w:val="left"/>
      <w:pPr>
        <w:ind w:left="5273" w:hanging="568"/>
      </w:pPr>
      <w:rPr>
        <w:rFonts w:hint="default"/>
      </w:rPr>
    </w:lvl>
    <w:lvl w:ilvl="7" w:tplc="7A92B02A">
      <w:start w:val="1"/>
      <w:numFmt w:val="bullet"/>
      <w:lvlText w:val="•"/>
      <w:lvlJc w:val="left"/>
      <w:pPr>
        <w:ind w:left="6420" w:hanging="568"/>
      </w:pPr>
      <w:rPr>
        <w:rFonts w:hint="default"/>
      </w:rPr>
    </w:lvl>
    <w:lvl w:ilvl="8" w:tplc="AFE44EAA">
      <w:start w:val="1"/>
      <w:numFmt w:val="bullet"/>
      <w:lvlText w:val="•"/>
      <w:lvlJc w:val="left"/>
      <w:pPr>
        <w:ind w:left="7568" w:hanging="568"/>
      </w:pPr>
      <w:rPr>
        <w:rFonts w:hint="default"/>
      </w:rPr>
    </w:lvl>
  </w:abstractNum>
  <w:abstractNum w:abstractNumId="9">
    <w:nsid w:val="70D60C34"/>
    <w:multiLevelType w:val="hybridMultilevel"/>
    <w:tmpl w:val="AC362D82"/>
    <w:lvl w:ilvl="0" w:tplc="1FD24704">
      <w:start w:val="1"/>
      <w:numFmt w:val="bullet"/>
      <w:lvlText w:val="•"/>
      <w:lvlJc w:val="left"/>
      <w:pPr>
        <w:ind w:left="253" w:hanging="153"/>
      </w:pPr>
      <w:rPr>
        <w:rFonts w:ascii="Arial" w:eastAsia="Arial" w:hAnsi="Arial" w:hint="default"/>
        <w:color w:val="B3B3B3"/>
        <w:w w:val="108"/>
        <w:sz w:val="21"/>
        <w:szCs w:val="21"/>
      </w:rPr>
    </w:lvl>
    <w:lvl w:ilvl="1" w:tplc="D20EFF42">
      <w:start w:val="1"/>
      <w:numFmt w:val="bullet"/>
      <w:lvlText w:val="•"/>
      <w:lvlJc w:val="left"/>
      <w:pPr>
        <w:ind w:left="1146" w:hanging="153"/>
      </w:pPr>
      <w:rPr>
        <w:rFonts w:hint="default"/>
      </w:rPr>
    </w:lvl>
    <w:lvl w:ilvl="2" w:tplc="4AB0BEE0">
      <w:start w:val="1"/>
      <w:numFmt w:val="bullet"/>
      <w:lvlText w:val="•"/>
      <w:lvlJc w:val="left"/>
      <w:pPr>
        <w:ind w:left="2038" w:hanging="153"/>
      </w:pPr>
      <w:rPr>
        <w:rFonts w:hint="default"/>
      </w:rPr>
    </w:lvl>
    <w:lvl w:ilvl="3" w:tplc="373A2604">
      <w:start w:val="1"/>
      <w:numFmt w:val="bullet"/>
      <w:lvlText w:val="•"/>
      <w:lvlJc w:val="left"/>
      <w:pPr>
        <w:ind w:left="2931" w:hanging="153"/>
      </w:pPr>
      <w:rPr>
        <w:rFonts w:hint="default"/>
      </w:rPr>
    </w:lvl>
    <w:lvl w:ilvl="4" w:tplc="E1C02EA4">
      <w:start w:val="1"/>
      <w:numFmt w:val="bullet"/>
      <w:lvlText w:val="•"/>
      <w:lvlJc w:val="left"/>
      <w:pPr>
        <w:ind w:left="3824" w:hanging="153"/>
      </w:pPr>
      <w:rPr>
        <w:rFonts w:hint="default"/>
      </w:rPr>
    </w:lvl>
    <w:lvl w:ilvl="5" w:tplc="9C723B60">
      <w:start w:val="1"/>
      <w:numFmt w:val="bullet"/>
      <w:lvlText w:val="•"/>
      <w:lvlJc w:val="left"/>
      <w:pPr>
        <w:ind w:left="4716" w:hanging="153"/>
      </w:pPr>
      <w:rPr>
        <w:rFonts w:hint="default"/>
      </w:rPr>
    </w:lvl>
    <w:lvl w:ilvl="6" w:tplc="65AE6488">
      <w:start w:val="1"/>
      <w:numFmt w:val="bullet"/>
      <w:lvlText w:val="•"/>
      <w:lvlJc w:val="left"/>
      <w:pPr>
        <w:ind w:left="5609" w:hanging="153"/>
      </w:pPr>
      <w:rPr>
        <w:rFonts w:hint="default"/>
      </w:rPr>
    </w:lvl>
    <w:lvl w:ilvl="7" w:tplc="1C44B9D2">
      <w:start w:val="1"/>
      <w:numFmt w:val="bullet"/>
      <w:lvlText w:val="•"/>
      <w:lvlJc w:val="left"/>
      <w:pPr>
        <w:ind w:left="6502" w:hanging="153"/>
      </w:pPr>
      <w:rPr>
        <w:rFonts w:hint="default"/>
      </w:rPr>
    </w:lvl>
    <w:lvl w:ilvl="8" w:tplc="5A2CB56A">
      <w:start w:val="1"/>
      <w:numFmt w:val="bullet"/>
      <w:lvlText w:val="•"/>
      <w:lvlJc w:val="left"/>
      <w:pPr>
        <w:ind w:left="7394" w:hanging="153"/>
      </w:pPr>
      <w:rPr>
        <w:rFonts w:hint="default"/>
      </w:rPr>
    </w:lvl>
  </w:abstractNum>
  <w:num w:numId="1">
    <w:abstractNumId w:val="9"/>
  </w:num>
  <w:num w:numId="2">
    <w:abstractNumId w:val="0"/>
  </w:num>
  <w:num w:numId="3">
    <w:abstractNumId w:val="3"/>
  </w:num>
  <w:num w:numId="4">
    <w:abstractNumId w:val="6"/>
  </w:num>
  <w:num w:numId="5">
    <w:abstractNumId w:val="5"/>
  </w:num>
  <w:num w:numId="6">
    <w:abstractNumId w:val="8"/>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876ACD"/>
    <w:rsid w:val="00097429"/>
    <w:rsid w:val="000A07D4"/>
    <w:rsid w:val="003B0050"/>
    <w:rsid w:val="004321C7"/>
    <w:rsid w:val="004F023D"/>
    <w:rsid w:val="00511004"/>
    <w:rsid w:val="00602756"/>
    <w:rsid w:val="00786E2F"/>
    <w:rsid w:val="007E52F1"/>
    <w:rsid w:val="00876ACD"/>
    <w:rsid w:val="008A3DB0"/>
    <w:rsid w:val="00945B86"/>
    <w:rsid w:val="009817E0"/>
    <w:rsid w:val="00AF08F7"/>
    <w:rsid w:val="00C93CAF"/>
    <w:rsid w:val="00D5679D"/>
    <w:rsid w:val="00D574AC"/>
    <w:rsid w:val="00FA5B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4"/>
      <w:outlineLvl w:val="0"/>
    </w:pPr>
    <w:rPr>
      <w:rFonts w:ascii="Times New Roman" w:eastAsia="Times New Roman" w:hAnsi="Times New Roman"/>
      <w:b/>
      <w:bCs/>
      <w:sz w:val="40"/>
      <w:szCs w:val="40"/>
    </w:rPr>
  </w:style>
  <w:style w:type="paragraph" w:styleId="Heading2">
    <w:name w:val="heading 2"/>
    <w:basedOn w:val="Normal"/>
    <w:uiPriority w:val="1"/>
    <w:qFormat/>
    <w:pPr>
      <w:spacing w:before="210"/>
      <w:outlineLvl w:val="1"/>
    </w:pPr>
    <w:rPr>
      <w:rFonts w:ascii="Times New Roman" w:eastAsia="Times New Roman" w:hAnsi="Times New Roman"/>
      <w:b/>
      <w:bCs/>
      <w:sz w:val="28"/>
      <w:szCs w:val="28"/>
    </w:rPr>
  </w:style>
  <w:style w:type="paragraph" w:styleId="Heading3">
    <w:name w:val="heading 3"/>
    <w:basedOn w:val="Normal"/>
    <w:uiPriority w:val="1"/>
    <w:qFormat/>
    <w:pPr>
      <w:ind w:left="115"/>
      <w:outlineLvl w:val="2"/>
    </w:pPr>
    <w:rPr>
      <w:rFonts w:ascii="Arial Unicode MS" w:eastAsia="Arial Unicode MS" w:hAnsi="Arial Unicode MS"/>
      <w:sz w:val="28"/>
      <w:szCs w:val="28"/>
    </w:rPr>
  </w:style>
  <w:style w:type="paragraph" w:styleId="Heading4">
    <w:name w:val="heading 4"/>
    <w:basedOn w:val="Normal"/>
    <w:uiPriority w:val="1"/>
    <w:qFormat/>
    <w:pPr>
      <w:ind w:left="114"/>
      <w:outlineLvl w:val="3"/>
    </w:pPr>
    <w:rPr>
      <w:rFonts w:ascii="Arial" w:eastAsia="Arial" w:hAnsi="Arial"/>
      <w:i/>
      <w:sz w:val="27"/>
      <w:szCs w:val="27"/>
    </w:rPr>
  </w:style>
  <w:style w:type="paragraph" w:styleId="Heading5">
    <w:name w:val="heading 5"/>
    <w:basedOn w:val="Normal"/>
    <w:uiPriority w:val="1"/>
    <w:qFormat/>
    <w:pPr>
      <w:spacing w:before="67"/>
      <w:outlineLvl w:val="4"/>
    </w:pPr>
    <w:rPr>
      <w:rFonts w:ascii="Arial" w:eastAsia="Arial" w:hAnsi="Arial"/>
      <w:b/>
      <w:bCs/>
      <w:sz w:val="26"/>
      <w:szCs w:val="26"/>
    </w:rPr>
  </w:style>
  <w:style w:type="paragraph" w:styleId="Heading6">
    <w:name w:val="heading 6"/>
    <w:basedOn w:val="Normal"/>
    <w:uiPriority w:val="1"/>
    <w:qFormat/>
    <w:pPr>
      <w:outlineLvl w:val="5"/>
    </w:pPr>
    <w:rPr>
      <w:rFonts w:ascii="Times New Roman" w:eastAsia="Times New Roman" w:hAnsi="Times New Roman"/>
      <w:sz w:val="26"/>
      <w:szCs w:val="26"/>
    </w:rPr>
  </w:style>
  <w:style w:type="paragraph" w:styleId="Heading7">
    <w:name w:val="heading 7"/>
    <w:basedOn w:val="Normal"/>
    <w:uiPriority w:val="1"/>
    <w:qFormat/>
    <w:pPr>
      <w:spacing w:before="56"/>
      <w:ind w:left="105"/>
      <w:outlineLvl w:val="6"/>
    </w:pPr>
    <w:rPr>
      <w:rFonts w:ascii="Arial" w:eastAsia="Arial" w:hAnsi="Arial"/>
      <w:b/>
      <w:bCs/>
      <w:sz w:val="24"/>
      <w:szCs w:val="24"/>
    </w:rPr>
  </w:style>
  <w:style w:type="paragraph" w:styleId="Heading8">
    <w:name w:val="heading 8"/>
    <w:basedOn w:val="Normal"/>
    <w:uiPriority w:val="1"/>
    <w:qFormat/>
    <w:pPr>
      <w:ind w:left="681"/>
      <w:outlineLvl w:val="7"/>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5679D"/>
    <w:pPr>
      <w:tabs>
        <w:tab w:val="center" w:pos="4153"/>
        <w:tab w:val="right" w:pos="8306"/>
      </w:tabs>
    </w:pPr>
  </w:style>
  <w:style w:type="character" w:customStyle="1" w:styleId="HeaderChar">
    <w:name w:val="Header Char"/>
    <w:basedOn w:val="DefaultParagraphFont"/>
    <w:link w:val="Header"/>
    <w:uiPriority w:val="99"/>
    <w:rsid w:val="00D5679D"/>
  </w:style>
  <w:style w:type="paragraph" w:styleId="Footer">
    <w:name w:val="footer"/>
    <w:basedOn w:val="Normal"/>
    <w:link w:val="FooterChar"/>
    <w:unhideWhenUsed/>
    <w:rsid w:val="00D5679D"/>
    <w:pPr>
      <w:tabs>
        <w:tab w:val="center" w:pos="4153"/>
        <w:tab w:val="right" w:pos="8306"/>
      </w:tabs>
    </w:pPr>
  </w:style>
  <w:style w:type="character" w:customStyle="1" w:styleId="FooterChar">
    <w:name w:val="Footer Char"/>
    <w:basedOn w:val="DefaultParagraphFont"/>
    <w:link w:val="Footer"/>
    <w:uiPriority w:val="99"/>
    <w:rsid w:val="00D5679D"/>
  </w:style>
  <w:style w:type="table" w:styleId="TableGrid">
    <w:name w:val="Table Grid"/>
    <w:basedOn w:val="TableNormal"/>
    <w:uiPriority w:val="39"/>
    <w:rsid w:val="00C93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0A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17475</Words>
  <Characters>9962</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2016-10-21T11:56:00Z</dcterms:created>
  <dcterms:modified xsi:type="dcterms:W3CDTF">2017-02-09T10:21:00Z</dcterms:modified>
</cp:coreProperties>
</file>