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bidi w:val="0"/>
        <w:jc w:val="start"/>
        <w:rPr/>
      </w:pPr>
      <w:r>
        <w:rPr>
          <w:rFonts w:ascii="Times New Roman" w:hAnsi="Times New Roman"/>
          <w:color w:val="000000"/>
          <w:sz w:val="24"/>
        </w:rPr>
        <w:t>[NB! SPĒKĀ LĪDZ 26/12/1983]</w:t>
      </w:r>
    </w:p>
    <w:p>
      <w:pPr>
        <w:pStyle w:val="PlainText"/>
        <w:bidi w:val="0"/>
        <w:jc w:val="start"/>
        <w:rPr>
          <w:rFonts w:ascii="Times New Roman" w:hAnsi="Times New Roman"/>
          <w:sz w:val="24"/>
        </w:rPr>
      </w:pPr>
      <w:r>
        <w:rPr>
          <w:rFonts w:ascii="Times New Roman" w:hAnsi="Times New Roman"/>
          <w:sz w:val="24"/>
        </w:rPr>
      </w:r>
    </w:p>
    <w:p>
      <w:pPr>
        <w:pStyle w:val="Normal"/>
        <w:bidi w:val="0"/>
        <w:jc w:val="center"/>
        <w:rPr>
          <w:lang w:val="lv-LV"/>
        </w:rPr>
      </w:pPr>
      <w:r>
        <w:rPr>
          <w:b/>
          <w:color w:val="000000"/>
          <w:sz w:val="24"/>
          <w:lang w:val="lv-LV"/>
        </w:rPr>
        <w:t>Padomes 1981. gada 11. marta Nolikums Nr. 1681/81, ar ko groza Nolikumu Nr. 616/78 par izcelsmes apliecinājumiem dažiem Kopienā ievedamiem tekstilizstrādājumiem, kas ietilpst Kopējo muitas tarifu 51. un 53.—62. grupā, un par nosacījumiem šādu apliecinājumu akceptēšanai</w:t>
      </w:r>
    </w:p>
    <w:p>
      <w:pPr>
        <w:pStyle w:val="PlainText"/>
        <w:bidi w:val="0"/>
        <w:jc w:val="start"/>
        <w:rPr>
          <w:rFonts w:ascii="Times New Roman" w:hAnsi="Times New Roman"/>
          <w:sz w:val="24"/>
        </w:rPr>
      </w:pPr>
      <w:r>
        <w:rPr>
          <w:rFonts w:ascii="Times New Roman" w:hAnsi="Times New Roman"/>
          <w:sz w:val="24"/>
        </w:rPr>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EIROPAS KOPIENU PADOME,</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ņemot vērā Eiropas Ekonomikas kopienas dibināšanas līgumu, jo īpaši tā 113. pantu,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ņemot vērā Komisijas priekšlikumu,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tā kā kārtībā, kas no 1978. gada 1. janvāra attiecas uz dažiem Kopienā importējamiem tekstilizstrādājumiem, kuri ietilpst Kopējo muitas tarifu 51. un 53.—62. grupā, ir paredzēti limiti, kurus nosaka vai par kuriem vienojas ar trešām valstīm, kas piegādā preces Kopienai; tā kā uz minēto tekstilizstrādājumu importu turklāt attiecas uzraudzības sistēma;</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tā kā, lai novērstu tirdzniecības novirzes un pārkāpumus, kas varētu traucēt piemērot šo kārtību,    Kopienā ar Nolikumu (EEK) Nr. 616/78</w:t>
      </w:r>
      <w:r>
        <w:rPr>
          <w:color w:val="000000"/>
          <w:sz w:val="24"/>
          <w:vertAlign w:val="superscript"/>
          <w:lang w:val="lv-LV"/>
        </w:rPr>
        <w:t>1</w:t>
      </w:r>
      <w:r>
        <w:rPr>
          <w:color w:val="000000"/>
          <w:sz w:val="24"/>
          <w:lang w:val="lv-LV"/>
        </w:rPr>
        <w:t xml:space="preserve"> ir pieņemta tajā importējamo tekstilizstrādājumu izcelsmes kontroles sistēma, kuras pamatā ir prasība uzrādīt izcelsmes sertifikātu vai — mazāk diskutējamos gadījumos — izcelsmes deklarāciju;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tā kā, lai gan šādi izveidotā izcelsmes kontrole vispār ir izrādījusies pietiekami sekmīga, dažos gadījumos, sevišķi izcelsmes sertifikātu viltošanas ziņā, krāpšanas novēršanai ar to tomēr nav pieticis; tā kā līdz ar to ir jāpastiprina Kopienas rīcībā esošie līdzekļi, lai novērstu ar tekstilizstrādājumu izcelsmi saistīto krāpšanu;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tā kā krāpšanu sekmīgi novērst var vienīgi precīzi noteikta administratīva sadarbība; tā kā ir jāizstrādā krāpšanas gadījumiem piemērota kārtība informācijas apritei starp dalībvalstīm un starp dalībvalstīm un Komisiju;</w:t>
      </w:r>
    </w:p>
    <w:p>
      <w:pPr>
        <w:pStyle w:val="PlainText"/>
        <w:bidi w:val="0"/>
        <w:jc w:val="start"/>
        <w:rPr>
          <w:rFonts w:ascii="Times New Roman" w:hAnsi="Times New Roman"/>
          <w:sz w:val="24"/>
        </w:rPr>
      </w:pPr>
      <w:r>
        <w:rPr>
          <w:rFonts w:ascii="Times New Roman" w:hAnsi="Times New Roman"/>
          <w:sz w:val="24"/>
        </w:rPr>
      </w:r>
    </w:p>
    <w:p>
      <w:pPr>
        <w:pStyle w:val="Normal"/>
        <w:tabs>
          <w:tab w:val="clear" w:pos="720"/>
          <w:tab w:val="left" w:pos="4560" w:leader="none"/>
        </w:tabs>
        <w:bidi w:val="0"/>
        <w:jc w:val="start"/>
        <w:rPr>
          <w:lang w:val="lv-LV"/>
        </w:rPr>
      </w:pPr>
      <w:r>
        <w:rPr>
          <w:color w:val="000000"/>
          <w:sz w:val="24"/>
          <w:lang w:val="lv-LV"/>
        </w:rPr>
        <w:t>tā kā ar šādu informācijas apriti, sevišķi tādās reizēs, kad nelikumīgi pārvadājumi draud sazaroties vairākās dalībvalstīs, būtu jārada iespēja dalībvalstīm koordinēt darbību un Komisijai tekstila nozarē nodrošināt tirdzniecības politikas normu pareizu piemērošanu,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aps/>
          <w:color w:val="000000"/>
          <w:sz w:val="24"/>
          <w:lang w:val="lv-LV"/>
        </w:rPr>
        <w:t>ir pieņēmusi šo nolikumu.</w:t>
      </w:r>
      <w:r>
        <w:rPr>
          <w:rFonts w:ascii="Courier New" w:hAnsi="Courier New"/>
          <w:vanish/>
          <w:color w:val="800080"/>
          <w:sz w:val="24"/>
          <w:vertAlign w:val="subscript"/>
          <w:lang w:val="lv-LV"/>
        </w:rPr>
        <w:t xml:space="preserve"> </w:t>
      </w:r>
    </w:p>
    <w:p>
      <w:pPr>
        <w:pStyle w:val="PlainText"/>
        <w:bidi w:val="0"/>
        <w:jc w:val="start"/>
        <w:rPr>
          <w:rFonts w:ascii="Times New Roman" w:hAnsi="Times New Roman"/>
          <w:sz w:val="24"/>
        </w:rPr>
      </w:pPr>
      <w:r>
        <w:rPr>
          <w:rFonts w:ascii="Times New Roman" w:hAnsi="Times New Roman"/>
          <w:sz w:val="24"/>
        </w:rPr>
      </w:r>
    </w:p>
    <w:p>
      <w:pPr>
        <w:pStyle w:val="PlainText"/>
        <w:bidi w:val="0"/>
        <w:jc w:val="start"/>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1. pants</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 xml:space="preserve">Nolikumu (EEK) Nr. 616/78 groza šādi. </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1. Nolikuma 4. pantu aizstāj ar šādu: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w:t>
      </w:r>
      <w:r>
        <w:rPr>
          <w:i/>
          <w:color w:val="000000"/>
          <w:sz w:val="24"/>
          <w:lang w:val="lv-LV"/>
        </w:rPr>
        <w:t>4. pants</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1. Lai Komisija varētu nodrošināt tirdzniecības politikas pasākumu pareizu piemērošanu tekstila nozarē, dalībvalstis sadarbojas ar Komisiju, izpildot Padomes 1981. gada 19. maija Nolikumu (EEK) Nr. 1468/81 par dalībvalstu pārvaldes iestāžu un šo iestāžu un Komisijas savstarpēju palīdzību muitas vai lauksaimniecības jautājumos, lai nodrošinātu likumu pareizu piemērošanu</w:t>
      </w:r>
      <w:r>
        <w:rPr>
          <w:color w:val="000000"/>
          <w:sz w:val="24"/>
          <w:vertAlign w:val="superscript"/>
          <w:lang w:val="lv-LV"/>
        </w:rPr>
        <w:t>1</w:t>
      </w:r>
      <w:r>
        <w:rPr>
          <w:color w:val="000000"/>
          <w:sz w:val="24"/>
          <w:lang w:val="lv-LV"/>
        </w:rPr>
        <w:t>. Tādēļ dalībvalstis vajadzības gadījumā sakarā ar rupjiem pārkāpumiem un nelikumībām, kuri tām zināmi vai par kuriem ir dibināts iemesls domāt, ka tādi pastāv attiecībā uz preču izcelsmi, sniedz visu to rīcībā esošo informāciju, pievienojot visu dokumentu kopijas, iespējams, izvilkumu veidā, kas nepieciešamas, lai konstatētu visus faktus un sagādātu pierādījumus par pārkāpumiem un nelikumībām, kas saistīti ar attiecīgajām trešām valstīm. Komisija par to informē pārējās dalībvalstis.</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2. Pēc dalībvalsts lūguma vai pēc Komisijas ierosmes Preču izcelsmes komiteja, tiklīdz iespējams, ievērojot Nolikuma (EEK) Nr. 802/68 13. pantā noteikto kārtību, izskata jautājumus, kas saistīti ar 1. punkta piemērošanu, un izzina viedokļus, lai dalībvalstis un Komisija varētu iegūt pilnīgu informāciju un nākt klajā ar apsvērumiem par 1. punkta piemērošanu.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3. Ja 3. pantā minētajiem izstrādājumiem piemērots šā panta 1. punkts, Preču izcelsmes komiteja, ievērojot 2. punktā noteikto kārtību izskata jautājumu par to, vai attiecībā uz konkrētajiem izstrādājumiem un trešām valstīm prasīt uzrādīt izcelsmes sertifikātu saskaņā ar 2. pantu.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Lēmumu pieņem Nolikuma Nr. 802/68/EEK 14. pantā noteiktajā kārtībā.</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vertAlign w:val="superscript"/>
          <w:lang w:val="lv-LV"/>
        </w:rPr>
        <w:t>1</w:t>
      </w:r>
      <w:r>
        <w:rPr>
          <w:color w:val="000000"/>
          <w:sz w:val="24"/>
          <w:lang w:val="lv-LV"/>
        </w:rPr>
        <w:t xml:space="preserve"> </w:t>
      </w:r>
      <w:r>
        <w:rPr>
          <w:i/>
          <w:color w:val="000000"/>
          <w:sz w:val="24"/>
          <w:lang w:val="lv-LV"/>
        </w:rPr>
        <w:t>OJ No L 144, 2.6.1981, p. 1.”</w:t>
      </w:r>
      <w:r>
        <w:rPr>
          <w:color w:val="000000"/>
          <w:sz w:val="24"/>
          <w:lang w:val="lv-LV"/>
        </w:rPr>
        <w:t xml:space="preserve"> </w:t>
      </w:r>
    </w:p>
    <w:p>
      <w:pPr>
        <w:pStyle w:val="PlainText"/>
        <w:bidi w:val="0"/>
        <w:jc w:val="start"/>
        <w:rPr>
          <w:rFonts w:ascii="Times New Roman" w:hAnsi="Times New Roman"/>
          <w:sz w:val="24"/>
        </w:rPr>
      </w:pPr>
      <w:r>
        <w:rPr>
          <w:rFonts w:ascii="Times New Roman" w:hAnsi="Times New Roman"/>
          <w:sz w:val="24"/>
        </w:rPr>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2. Nolikumu papildina ar šādu pantu:</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w:t>
      </w:r>
      <w:r>
        <w:rPr>
          <w:i/>
          <w:color w:val="000000"/>
          <w:sz w:val="24"/>
          <w:lang w:val="lv-LV"/>
        </w:rPr>
        <w:t>4.a pants</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1. Informācija, kas jebkurā veidā sniegta, ievērojot 4. pantu, ir konfidenciāla. Uz to attiecas arodnoslēpuma un komercnoslēpuma glabāšanas pienākums, un tai pienākas aizsardzība, ko uz tamlīdzīgu informāciju attiecina gan pēc tās dalībvalsts likumiem, kas tās saņēmusi, gan pēc attiecīgajiem noteikumiem, kas skar Kopienas oficiālās iestādes.</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2. Informāciju, kas iegūta, ievērojot 4. pantu, ar tās dalībvalsts piekrišanu, kas to sniegusi, drīkst nodot trešām valstīm, lai nodrošinātu tekstila nozarē noteikto tirdzniecības politikas pasākumu pareizu piemērošanu. Šādas informācijas nodošanas gadījumā ar pienācīgiem līdzekļiem nodrošināma tāda pati aizsardzība, kāda paredzēta 1. punktā.</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3. Šā panta 1. punktā minētā informācija nav sūtāma personām, kuru pienākumos nav paredzēts to saņemt, un tā izmantojama vienīgi šajā nolikumā noteiktajiem mērķiem.</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4. Šā nolikuma noteikumi neuzliek dalībvalstu pārvaldes iestādēm pienākumu izpaust informāciju gadījumos, kad šāda rīcība varētu kaitēt sabiedriskajai kārtībai vai citām tās valsts pamatinteresēm, kurā šīs iestādes ir dibinātas.</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5. Šā nolikuma noteikumi neuzliek dalībvalstu pārvaldes iestādēm pienākumu bez attiecīgās tiesu iestādes iepriekšējas piekrišanas izpaust informāciju, kuras slepenību sargā tiesvedības noteikumi.</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6. Atsakoties izpaust informāciju, jāpaziņo atteikšanās iemesli.”</w:t>
      </w:r>
    </w:p>
    <w:p>
      <w:pPr>
        <w:pStyle w:val="PlainText"/>
        <w:bidi w:val="0"/>
        <w:jc w:val="start"/>
        <w:rPr>
          <w:rFonts w:ascii="Times New Roman" w:hAnsi="Times New Roman"/>
          <w:sz w:val="24"/>
        </w:rPr>
      </w:pPr>
      <w:r>
        <w:rPr>
          <w:rFonts w:ascii="Times New Roman" w:hAnsi="Times New Roman"/>
          <w:sz w:val="24"/>
        </w:rPr>
      </w:r>
    </w:p>
    <w:p>
      <w:pPr>
        <w:pStyle w:val="PlainText"/>
        <w:bidi w:val="0"/>
        <w:jc w:val="start"/>
        <w:rPr/>
      </w:pPr>
      <w:r>
        <w:rPr/>
      </w:r>
      <w:r>
        <w:br w:type="page"/>
      </w:r>
    </w:p>
    <w:p>
      <w:pPr>
        <w:pStyle w:val="PlainText"/>
        <w:bidi w:val="0"/>
        <w:jc w:val="start"/>
        <w:rPr>
          <w:rFonts w:ascii="Times New Roman" w:hAnsi="Times New Roman"/>
          <w:sz w:val="24"/>
        </w:rPr>
      </w:pPr>
      <w:r>
        <w:rPr>
          <w:rFonts w:ascii="Times New Roman" w:hAnsi="Times New Roman"/>
          <w:sz w:val="24"/>
        </w:rPr>
      </w:r>
    </w:p>
    <w:p>
      <w:pPr>
        <w:pStyle w:val="Normal"/>
        <w:bidi w:val="0"/>
        <w:jc w:val="center"/>
        <w:rPr>
          <w:lang w:val="lv-LV"/>
        </w:rPr>
      </w:pPr>
      <w:r>
        <w:rPr>
          <w:i/>
          <w:color w:val="000000"/>
          <w:sz w:val="24"/>
          <w:lang w:val="lv-LV"/>
        </w:rPr>
        <w:t>2. pants</w:t>
      </w:r>
    </w:p>
    <w:p>
      <w:pPr>
        <w:pStyle w:val="PlainText"/>
        <w:bidi w:val="0"/>
        <w:jc w:val="start"/>
        <w:rPr>
          <w:rFonts w:ascii="Times New Roman" w:hAnsi="Times New Roman"/>
          <w:sz w:val="24"/>
        </w:rPr>
      </w:pPr>
      <w:r>
        <w:rPr>
          <w:rFonts w:ascii="Times New Roman" w:hAnsi="Times New Roman"/>
          <w:sz w:val="24"/>
        </w:rPr>
      </w:r>
    </w:p>
    <w:p>
      <w:pPr>
        <w:pStyle w:val="Normal"/>
        <w:bidi w:val="0"/>
        <w:jc w:val="start"/>
        <w:rPr>
          <w:lang w:val="lv-LV"/>
        </w:rPr>
      </w:pPr>
      <w:r>
        <w:rPr>
          <w:color w:val="000000"/>
          <w:sz w:val="24"/>
          <w:lang w:val="lv-LV"/>
        </w:rPr>
        <w:t>Šis nolikums stājas spēkā 1981. gada 1. jūlijā.</w:t>
      </w:r>
    </w:p>
    <w:p>
      <w:pPr>
        <w:pStyle w:val="PlainText"/>
        <w:bidi w:val="0"/>
        <w:jc w:val="start"/>
        <w:rPr>
          <w:rFonts w:ascii="Times New Roman" w:hAnsi="Times New Roman"/>
          <w:sz w:val="24"/>
        </w:rPr>
      </w:pPr>
      <w:r>
        <w:rPr>
          <w:rFonts w:ascii="Times New Roman" w:hAnsi="Times New Roman"/>
          <w:sz w:val="24"/>
        </w:rPr>
      </w:r>
    </w:p>
    <w:p>
      <w:pPr>
        <w:pStyle w:val="PlainText"/>
        <w:bidi w:val="0"/>
        <w:jc w:val="start"/>
        <w:rPr>
          <w:rFonts w:ascii="Times New Roman" w:hAnsi="Times New Roman"/>
          <w:sz w:val="24"/>
        </w:rPr>
      </w:pPr>
      <w:r>
        <w:rPr>
          <w:rFonts w:ascii="Times New Roman" w:hAnsi="Times New Roman"/>
          <w:sz w:val="24"/>
        </w:rPr>
      </w:r>
    </w:p>
    <w:p>
      <w:pPr>
        <w:pStyle w:val="Normal"/>
        <w:bidi w:val="0"/>
        <w:ind w:start="567" w:hanging="0"/>
        <w:jc w:val="start"/>
        <w:rPr>
          <w:lang w:val="lv-LV"/>
        </w:rPr>
      </w:pPr>
      <w:r>
        <w:rPr>
          <w:color w:val="000000"/>
          <w:sz w:val="24"/>
          <w:lang w:val="lv-LV"/>
        </w:rPr>
        <w:t>Šis nolikums uzliek saistības kopumā un ir tieši piemērojams visās dalībvalstīs.</w:t>
      </w:r>
    </w:p>
    <w:p>
      <w:pPr>
        <w:pStyle w:val="PlainText"/>
        <w:bidi w:val="0"/>
        <w:ind w:start="567" w:hanging="0"/>
        <w:jc w:val="start"/>
        <w:rPr>
          <w:rFonts w:ascii="Times New Roman" w:hAnsi="Times New Roman"/>
          <w:sz w:val="24"/>
        </w:rPr>
      </w:pPr>
      <w:r>
        <w:rPr>
          <w:rFonts w:ascii="Times New Roman" w:hAnsi="Times New Roman"/>
          <w:sz w:val="24"/>
        </w:rPr>
      </w:r>
    </w:p>
    <w:p>
      <w:pPr>
        <w:pStyle w:val="Normal"/>
        <w:bidi w:val="0"/>
        <w:ind w:start="567" w:hanging="0"/>
        <w:jc w:val="start"/>
        <w:rPr>
          <w:lang w:val="lv-LV"/>
        </w:rPr>
      </w:pPr>
      <w:r>
        <w:rPr>
          <w:color w:val="000000"/>
          <w:sz w:val="24"/>
          <w:lang w:val="lv-LV"/>
        </w:rPr>
        <w:t>Luksemburgā, 1981. gada 11. jūnijā.</w:t>
      </w:r>
    </w:p>
    <w:p>
      <w:pPr>
        <w:pStyle w:val="PlainText"/>
        <w:bidi w:val="0"/>
        <w:jc w:val="start"/>
        <w:rPr>
          <w:rFonts w:ascii="Times New Roman" w:hAnsi="Times New Roman"/>
          <w:sz w:val="24"/>
        </w:rPr>
      </w:pPr>
      <w:r>
        <w:rPr>
          <w:rFonts w:ascii="Times New Roman" w:hAnsi="Times New Roman"/>
          <w:sz w:val="24"/>
        </w:rPr>
      </w:r>
    </w:p>
    <w:p>
      <w:pPr>
        <w:pStyle w:val="PlainText"/>
        <w:bidi w:val="0"/>
        <w:jc w:val="start"/>
        <w:rPr>
          <w:rFonts w:ascii="Times New Roman" w:hAnsi="Times New Roman"/>
          <w:sz w:val="24"/>
        </w:rPr>
      </w:pPr>
      <w:r>
        <w:rPr>
          <w:rFonts w:ascii="Times New Roman" w:hAnsi="Times New Roman"/>
          <w:sz w:val="24"/>
        </w:rPr>
      </w:r>
    </w:p>
    <w:p>
      <w:pPr>
        <w:pStyle w:val="Normal"/>
        <w:keepNext w:val="true"/>
        <w:tabs>
          <w:tab w:val="clear" w:pos="720"/>
          <w:tab w:val="center" w:pos="4536" w:leader="none"/>
        </w:tabs>
        <w:bidi w:val="0"/>
        <w:jc w:val="start"/>
        <w:rPr>
          <w:lang w:val="lv-LV"/>
        </w:rPr>
      </w:pPr>
      <w:r>
        <w:rPr>
          <w:rFonts w:ascii="Courier New" w:hAnsi="Courier New"/>
          <w:color w:val="800080"/>
          <w:sz w:val="24"/>
          <w:vertAlign w:val="subscript"/>
          <w:lang w:val="lv-LV"/>
        </w:rPr>
        <w:tab/>
      </w:r>
      <w:r>
        <w:rPr>
          <w:color w:val="000000"/>
          <w:sz w:val="24"/>
          <w:lang w:val="lv-LV"/>
        </w:rPr>
        <w:t>Padomes vārdā —</w:t>
      </w:r>
    </w:p>
    <w:p>
      <w:pPr>
        <w:pStyle w:val="PlainText"/>
        <w:keepNext w:val="true"/>
        <w:tabs>
          <w:tab w:val="clear" w:pos="720"/>
          <w:tab w:val="center" w:pos="4536"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center" w:pos="4536" w:leader="none"/>
        </w:tabs>
        <w:bidi w:val="0"/>
        <w:jc w:val="start"/>
        <w:rPr>
          <w:lang w:val="lv-LV"/>
        </w:rPr>
      </w:pPr>
      <w:r>
        <w:rPr>
          <w:rFonts w:ascii="Courier New" w:hAnsi="Courier New"/>
          <w:color w:val="800080"/>
          <w:sz w:val="24"/>
          <w:vertAlign w:val="subscript"/>
          <w:lang w:val="lv-LV"/>
        </w:rPr>
        <w:tab/>
      </w:r>
      <w:r>
        <w:rPr>
          <w:color w:val="000000"/>
          <w:sz w:val="24"/>
          <w:lang w:val="lv-LV"/>
        </w:rPr>
        <w:t>priekšsēdētājs</w:t>
      </w:r>
    </w:p>
    <w:p>
      <w:pPr>
        <w:pStyle w:val="PlainText"/>
        <w:keepNext w:val="true"/>
        <w:tabs>
          <w:tab w:val="clear" w:pos="720"/>
          <w:tab w:val="center" w:pos="4536" w:leader="none"/>
        </w:tabs>
        <w:bidi w:val="0"/>
        <w:jc w:val="start"/>
        <w:rPr>
          <w:rFonts w:ascii="Times New Roman" w:hAnsi="Times New Roman"/>
          <w:sz w:val="24"/>
        </w:rPr>
      </w:pPr>
      <w:r>
        <w:rPr>
          <w:rFonts w:ascii="Times New Roman" w:hAnsi="Times New Roman"/>
          <w:sz w:val="24"/>
        </w:rPr>
      </w:r>
    </w:p>
    <w:p>
      <w:pPr>
        <w:pStyle w:val="Normal"/>
        <w:tabs>
          <w:tab w:val="clear" w:pos="720"/>
          <w:tab w:val="center" w:pos="4536" w:leader="none"/>
        </w:tabs>
        <w:bidi w:val="0"/>
        <w:jc w:val="start"/>
        <w:rPr>
          <w:lang w:val="lv-LV"/>
        </w:rPr>
      </w:pPr>
      <w:r>
        <w:rPr>
          <w:rFonts w:ascii="Courier New" w:hAnsi="Courier New"/>
          <w:color w:val="800080"/>
          <w:sz w:val="24"/>
          <w:vertAlign w:val="subscript"/>
          <w:lang w:val="lv-LV"/>
        </w:rPr>
        <w:tab/>
      </w:r>
      <w:r>
        <w:rPr>
          <w:color w:val="000000"/>
          <w:sz w:val="24"/>
          <w:lang w:val="lv-LV"/>
        </w:rPr>
        <w:t>L. GINJĀRS (</w:t>
      </w:r>
      <w:r>
        <w:rPr>
          <w:i/>
          <w:color w:val="000000"/>
          <w:sz w:val="24"/>
          <w:lang w:val="lv-LV"/>
        </w:rPr>
        <w:t>L. GINJAAR</w:t>
      </w:r>
      <w:r>
        <w:rPr>
          <w:color w:val="000000"/>
          <w:sz w:val="24"/>
          <w:lang w:val="lv-LV"/>
        </w:rPr>
        <w:t>)</w:t>
      </w:r>
    </w:p>
    <w:p>
      <w:pPr>
        <w:pStyle w:val="PlainText"/>
        <w:bidi w:val="0"/>
        <w:jc w:val="start"/>
        <w:rPr>
          <w:rFonts w:ascii="Times New Roman" w:hAnsi="Times New Roman"/>
          <w:sz w:val="24"/>
        </w:rPr>
      </w:pPr>
      <w:r>
        <w:rPr>
          <w:rFonts w:ascii="Times New Roman" w:hAnsi="Times New Roman"/>
          <w:sz w:val="24"/>
        </w:rPr>
      </w:r>
    </w:p>
    <w:p>
      <w:pPr>
        <w:pStyle w:val="PlainText"/>
        <w:bidi w:val="0"/>
        <w:jc w:val="start"/>
        <w:rPr>
          <w:lang w:val="en-US"/>
        </w:rPr>
      </w:pPr>
      <w:r>
        <w:rPr>
          <w:rFonts w:ascii="Times New Roman" w:hAnsi="Times New Roman"/>
          <w:sz w:val="24"/>
          <w:vertAlign w:val="superscript"/>
          <w:lang w:val="en-US"/>
        </w:rPr>
        <w:t>1</w:t>
      </w:r>
      <w:r>
        <w:rPr>
          <w:rFonts w:ascii="Times New Roman" w:hAnsi="Times New Roman"/>
          <w:sz w:val="24"/>
          <w:lang w:val="en-US"/>
        </w:rPr>
        <w:t xml:space="preserve"> </w:t>
      </w:r>
      <w:r>
        <w:rPr>
          <w:rFonts w:ascii="Times New Roman" w:hAnsi="Times New Roman"/>
          <w:i/>
          <w:sz w:val="24"/>
          <w:lang w:val="en-US"/>
        </w:rPr>
        <w:t>OJ No L 84, 31.3.1978, p. 1.</w:t>
      </w:r>
    </w:p>
    <w:p>
      <w:pPr>
        <w:pStyle w:val="PlainText"/>
        <w:bidi w:val="0"/>
        <w:jc w:val="start"/>
        <w:rPr>
          <w:rFonts w:ascii="Times New Roman" w:hAnsi="Times New Roman"/>
          <w:i/>
          <w:i/>
          <w:sz w:val="24"/>
        </w:rPr>
      </w:pPr>
      <w:r>
        <w:rPr>
          <w:rFonts w:ascii="Times New Roman" w:hAnsi="Times New Roman"/>
          <w:i/>
          <w:sz w:val="24"/>
        </w:rPr>
      </w:r>
    </w:p>
    <w:p>
      <w:pPr>
        <w:pStyle w:val="PlainText"/>
        <w:bidi w:val="0"/>
        <w:jc w:val="start"/>
        <w:rPr>
          <w:rFonts w:ascii="Times New Roman" w:hAnsi="Times New Roman"/>
          <w:sz w:val="24"/>
        </w:rPr>
      </w:pPr>
      <w:r>
        <w:rPr>
          <w:rFonts w:ascii="Times New Roman" w:hAnsi="Times New Roman"/>
          <w:sz w:val="24"/>
        </w:rPr>
      </w:r>
    </w:p>
    <w:p>
      <w:pPr>
        <w:pStyle w:val="PlainText"/>
        <w:bidi w:val="0"/>
        <w:jc w:val="start"/>
        <w:rPr>
          <w:lang w:val="en-US"/>
        </w:rPr>
      </w:pPr>
      <w:r>
        <w:rPr>
          <w:rFonts w:ascii="Times New Roman" w:hAnsi="Times New Roman"/>
          <w:i/>
          <w:sz w:val="24"/>
          <w:lang w:val="en-US"/>
        </w:rPr>
        <w:t>REGISTER :</w:t>
      </w:r>
      <w:r>
        <w:rPr>
          <w:rFonts w:ascii="Times New Roman" w:hAnsi="Times New Roman"/>
          <w:i/>
          <w:sz w:val="24"/>
        </w:rPr>
        <w:t xml:space="preserve"> 02203000</w:t>
      </w:r>
    </w:p>
    <w:p>
      <w:pPr>
        <w:pStyle w:val="PlainText"/>
        <w:bidi w:val="0"/>
        <w:jc w:val="start"/>
        <w:rPr>
          <w:lang w:val="en-US"/>
        </w:rPr>
      </w:pPr>
      <w:r>
        <w:rPr>
          <w:rFonts w:ascii="Times New Roman" w:hAnsi="Times New Roman"/>
          <w:i/>
          <w:sz w:val="24"/>
          <w:lang w:val="en-US"/>
        </w:rPr>
        <w:t>DOCNUM :</w:t>
      </w:r>
      <w:r>
        <w:rPr>
          <w:rFonts w:ascii="Times New Roman" w:hAnsi="Times New Roman"/>
          <w:i/>
          <w:sz w:val="24"/>
        </w:rPr>
        <w:t xml:space="preserve"> </w:t>
      </w:r>
      <w:r>
        <w:rPr>
          <w:rFonts w:ascii="Times New Roman" w:hAnsi="Times New Roman"/>
          <w:i/>
          <w:sz w:val="24"/>
          <w:lang w:val="en-US"/>
        </w:rPr>
        <w:t xml:space="preserve">381R1681 </w:t>
      </w:r>
    </w:p>
    <w:p>
      <w:pPr>
        <w:pStyle w:val="PlainText"/>
        <w:bidi w:val="0"/>
        <w:jc w:val="start"/>
        <w:rPr/>
      </w:pPr>
      <w:r>
        <w:rPr>
          <w:rFonts w:ascii="Times New Roman" w:hAnsi="Times New Roman"/>
          <w:i/>
          <w:sz w:val="24"/>
          <w:lang w:val="en-US"/>
        </w:rPr>
        <w:t>PUBREF :</w:t>
      </w:r>
      <w:r>
        <w:rPr>
          <w:rFonts w:ascii="Times New Roman" w:hAnsi="Times New Roman"/>
          <w:i/>
          <w:sz w:val="24"/>
        </w:rPr>
        <w:t xml:space="preserve"> </w:t>
      </w:r>
      <w:r>
        <w:rPr>
          <w:rFonts w:ascii="Times New Roman" w:hAnsi="Times New Roman"/>
          <w:i/>
          <w:sz w:val="24"/>
          <w:lang w:val="en-US"/>
        </w:rPr>
        <w:t xml:space="preserve">Official Journal L 169, 26/06/1981 p. 0005 </w:t>
      </w:r>
    </w:p>
    <w:sectPr>
      <w:footerReference w:type="default" r:id="rId2"/>
      <w:type w:val="nextPage"/>
      <w:pgSz w:w="11906" w:h="16838"/>
      <w:pgMar w:left="1701" w:right="1134" w:gutter="0" w:header="0" w:top="1134" w:footer="851"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hanging="0"/>
      <w:jc w:val="start"/>
      <w:rPr>
        <w:rFonts w:ascii="Times New Roman" w:hAnsi="Times New Roman"/>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TopAndBottom/>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447.5pt;mso-position-horizontal:right;mso-position-horizontal-relative:margin">
              <v:fill opacity="0f"/>
              <v:textbox inset="0in,0in,0in,0in">
                <w:txbxContent>
                  <w:p>
                    <w:pPr>
                      <w:pStyle w:val="Footer"/>
                      <w:pBdr/>
                      <w:bidi w:val="0"/>
                      <w:jc w:val="start"/>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3</w:t>
                    </w:r>
                    <w:r>
                      <w:rPr>
                        <w:rStyle w:val="Pagenumber"/>
                        <w:lang w:val="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Noto Sans Devanagari"/>
        <w:kern w:val="2"/>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kern w:val="2"/>
      <w:sz w:val="20"/>
      <w:szCs w:val="24"/>
      <w:lang w:val="en-GB" w:eastAsia="zh-CN" w:bidi="hi-IN"/>
    </w:rPr>
  </w:style>
  <w:style w:type="character" w:styleId="DefaultParagraphFont">
    <w:name w:val="Default Paragraph Font"/>
    <w:qFormat/>
    <w:rPr/>
  </w:style>
  <w:style w:type="character" w:styleId="Pagenumber">
    <w:name w:val="page number"/>
    <w:basedOn w:val="DefaultParagraphFont"/>
    <w:qFormat/>
    <w:rPr>
      <w:sz w:val="24"/>
    </w:rPr>
  </w:style>
  <w:style w:type="paragraph" w:styleId="Heading">
    <w:name w:val="Heading"/>
    <w:basedOn w:val="Normal"/>
    <w:next w:val="TextBody"/>
    <w:qFormat/>
    <w:pPr>
      <w:keepNext w:val="true"/>
      <w:spacing w:before="240" w:after="120"/>
    </w:pPr>
    <w:rPr>
      <w:rFonts w:ascii="Liberation Sans" w:hAnsi="Liberation Sans" w:eastAsia="AR PL SungtiL GB"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PlainText">
    <w:name w:val="Plain Text"/>
    <w:basedOn w:val="Normal"/>
    <w:qFormat/>
    <w:pPr/>
    <w:rPr>
      <w:rFonts w:ascii="Courier New" w:hAnsi="Courier New"/>
      <w:lang w:val="lv-LV"/>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color w:val="000000"/>
      <w:lang w:val="lv-LV"/>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LibreOffice/7.3.5.2$Linux_X86_64 LibreOffice_project/30$Build-2</Application>
  <AppVersion>15.0000</AppVersion>
  <Pages>99</Pages>
  <Words>785</Words>
  <Characters>0</Characters>
  <CharactersWithSpaces>4478</CharactersWithSpaces>
  <Company>TTC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2000-03-03T16:01:00Z</dcterms:created>
  <dc:creator>PUD</dc:creator>
  <dc:description/>
  <dc:language>en-US</dc:language>
  <cp:lastModifiedBy/>
  <dcterms:modified xsi:type="dcterms:W3CDTF">2000-03-03T16:26:00Z</dcterms:modified>
  <cp:revision>5</cp:revision>
  <dc:subject/>
  <dc:title>COUNCIL REGULATION (EEC) No 1681/81 of 11 June 1981 amending Regulation (EEC) No 616/78 on proof of origin for certain textile products falling within Chapter 51 or Chapters 53 to 62 of the Common Customs Tariff and imported into the Community, and on th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Agris</vt:lpwstr>
  </property>
</Properties>
</file>