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center"/>
        <w:rPr>
          <w:lang w:val="lv-LV"/>
        </w:rPr>
      </w:pPr>
      <w:r>
        <w:rPr>
          <w:rFonts w:ascii="Times New Roman" w:hAnsi="Times New Roman"/>
          <w:b/>
          <w:sz w:val="24"/>
          <w:lang w:val="lv-LV"/>
        </w:rPr>
        <w:t>Padomes 1983. gada 19. decembra Nolikums Nr. 3626/83, ar ko groza Nolikumu Nr. 616/78 par izcelsmes apliecinājumiem dažiem Kopienā ievedamiem tekstilizstrādājumiem, kas ietilpst Kopējo muitas tarifu 51. un 53.—62. grupā, un par nosacījumiem šādu apliecinājumu akceptēšanai</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EIROPAS KOPIENU PADOME,</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ņemot vērā Eiropas Ekonomikas kopienas dibināšanas līgumu, jo īpaši 113. pantu,</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ņemot vērā Komisijas priekšlikumu,</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tā kā kārtībā, kas no 1978. gada 1. janvāra attiecas uz dažiem Kopienā importējamiem tekstilizstrādājumiem, kuri ietilpst Kopējo muitas tarifu 51. vai 53.—62. grupā, ir paredzēti limiti, kurus nosaka vai par kuriem vienojas ar trešām valstīm, kas piegādā preces Kopienai; tā kā uz minēto tekstilizstrādājumu importu turklāt attiecas uzraudzības sistēma; tā kā no 1983. gada 1. janvāra šī kārtība un sistēmas ir atjauninātas;</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tā kā, lai novērstu tirdzniecības novirzes un pārkāpumus, kas var traucēt piemērot šo kārtību, Padome Nolikumā (EEK) Nr. 616/78</w:t>
      </w:r>
      <w:r>
        <w:rPr>
          <w:rFonts w:ascii="Times New Roman" w:hAnsi="Times New Roman"/>
          <w:sz w:val="24"/>
          <w:vertAlign w:val="superscript"/>
          <w:lang w:val="lv-LV"/>
        </w:rPr>
        <w:t>1</w:t>
      </w:r>
      <w:r>
        <w:rPr>
          <w:rFonts w:ascii="Times New Roman" w:hAnsi="Times New Roman"/>
          <w:sz w:val="24"/>
          <w:lang w:val="lv-LV"/>
        </w:rPr>
        <w:t>, kas grozīts ar Nolikumu (EEK) Nr. 1681/81</w:t>
      </w:r>
      <w:r>
        <w:rPr>
          <w:rFonts w:ascii="Times New Roman" w:hAnsi="Times New Roman"/>
          <w:sz w:val="24"/>
          <w:vertAlign w:val="superscript"/>
          <w:lang w:val="lv-LV"/>
        </w:rPr>
        <w:t>2</w:t>
      </w:r>
      <w:r>
        <w:rPr>
          <w:rFonts w:ascii="Times New Roman" w:hAnsi="Times New Roman"/>
          <w:sz w:val="24"/>
          <w:lang w:val="lv-LV"/>
        </w:rPr>
        <w:t>, ir noteikusi Kopienā importējamo tekstilizstrādājumu izcelsmes kontroles sistēmu, kuras pamatā ir prasība uzrādīt izcelsmes sertifikātu vai — mazāk diskutējamos gadījumos — izcelsmes deklarāciju; tā kā Nolikumā (EEK) Nr. 1681/81 šī sistēma ir nostiprināta, nosakot    iekšējo kārtību informācijas apritei starp dalībvalstīm un starp dalībvalstīm un Komisiju krāpšanas gadījumos;</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tā kā pieredze rāda, ka šādi ieviestās kārtības darbības joma ir jāpaplašina un jāprecizē;</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tā kā pieredze rāda arī to, ka krāpšanas novēršanai Komisijai sadarbībā ar dalībvalstīm jo īpaši ir jāorganizē Kopienas administratīvā sadarbība un jāuzņemas izziņas misijas trešās valstīs, lai konstatētu faktus un pierādījumus par negodīgiem pārvadājumiem, un tādējādi varētu Kopienā un pret trešām valstīm veikt piemērotus pasākumus,</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caps/>
          <w:sz w:val="24"/>
          <w:lang w:val="lv-LV"/>
        </w:rPr>
        <w:t>ir pieņēmusi šo nolikumu.</w:t>
      </w:r>
      <w:r>
        <w:rPr>
          <w:rFonts w:ascii="Courier New" w:hAnsi="Courier New"/>
          <w:vanish/>
          <w:color w:val="800080"/>
          <w:sz w:val="24"/>
          <w:vertAlign w:val="subscript"/>
          <w:lang w:val="lv-LV"/>
        </w:rPr>
        <w:t xml:space="preserve"> </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center"/>
        <w:rPr>
          <w:lang w:val="lv-LV"/>
        </w:rPr>
      </w:pPr>
      <w:r>
        <w:rPr>
          <w:rFonts w:ascii="Times New Roman" w:hAnsi="Times New Roman"/>
          <w:i/>
          <w:sz w:val="24"/>
          <w:lang w:val="lv-LV"/>
        </w:rPr>
        <w:t>1. pants</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Nolikumā (EEK) Nr. 616/78 tiek izdarīti šādi grozījumi.</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1. Nolikuma 4. pantu aizstāj ar šādu:</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w:t>
      </w:r>
      <w:r>
        <w:rPr>
          <w:rFonts w:ascii="Times New Roman" w:hAnsi="Times New Roman"/>
          <w:i/>
          <w:sz w:val="24"/>
          <w:lang w:val="lv-LV"/>
        </w:rPr>
        <w:t>4. pants</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1. Lai nodrošinātu tirdzniecības politikas pasākumu pareizu ieviešanu tekstila nozarē, dalībvalstis sadarbojas ar Komisiju, izpildot Padomes 1981. gada 19. maija Nolikumu (EEK) Nr. 1468/81 par dalībvalstu pārvaldes iestāžu savstarpēju palīdzību un šo iestāžu un Komisijas sadarbību, lai nodrošinātu likumu pareizu piemērošanu muitas vai lauksaimniecības jautājumos</w:t>
      </w:r>
      <w:r>
        <w:rPr>
          <w:rFonts w:ascii="Times New Roman" w:hAnsi="Times New Roman"/>
          <w:sz w:val="24"/>
          <w:vertAlign w:val="superscript"/>
          <w:lang w:val="lv-LV"/>
        </w:rPr>
        <w:t>1</w:t>
      </w:r>
      <w:r>
        <w:rPr>
          <w:rFonts w:ascii="Times New Roman" w:hAnsi="Times New Roman"/>
          <w:sz w:val="24"/>
          <w:lang w:val="lv-LV"/>
        </w:rPr>
        <w:t>. Tādēļ dalībvalstis sakarā ar šādiem tirdzniecības politikas pasākumiem, tiklīdz iespējams, sniedz attiecīgo to rīcībā esošo informāciju par rupjiem pārkāpumiem un nelikumībām, kas tām zināmi vai par kuriem ir dibināts iemesls domāt, ka tādi pastāv. Komisija par to informē pārējās dalībvalstis. Bez tam dalībvalstis pēc savas ierosmes vai Komisijas lūguma sniedz papildu informāciju, ieskaitot dokumentu kopijas, iespējams, izvilkuma veidā, kas nepieciešamas, lai pilnīgi konstatētu faktus un pierādījumus par pārkāpumiem un nelikumībām, kas saistīti ar attiecīgajām trešām valstīm, lai varētu</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i) īstenot administratīvo sadarbību ar trešām valstīm, kā noteikts 4.a panta 2. punktā;</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ii) precizēt limitus, ko tekstilizstrādājumiem nosaka saskaņā ar paredzēto kārtību divpusējos līgumos vai Kopienas likumos;</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iii) izpildīt 4.b pantā minētās misijas.</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2. Pēc dalībvalsts lūguma vai savas ierosmes Komisija, tiklīdz iespējams, izskata jautājumus, kas attiecas uz 1. punkta piemērošanu, un izzina viedokļus, lai dalībvalstis un Komisija varētu iegūt pilnīgu informāciju un eventuāli nākt klajā ar apsvērumiem par 1. punkta piemērošanu.</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3. Ja 3. pantā minētajiem izstrādājumiem tiek piemērots šā panta 1. punkts, Preču izcelsmes komiteja, ievērojot Nolikuma (EEK) Nr. 802/68 13. punktā noteikto kārtību, izskata jautājumu par to, vai attiecībā uz konkrētajiem izstrādājumiem un trešām valstīm prasīt uzrādīt izcelsmes sertifikātu saskaņā ar 2. pantu.</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Lēmumu pieņem saskaņā ar Nolikuma Nr. 802/68/EEK 14. pantā noteikto kārtību.</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en-US"/>
        </w:rPr>
      </w:pPr>
      <w:r>
        <w:rPr>
          <w:rFonts w:ascii="Times New Roman" w:hAnsi="Times New Roman"/>
          <w:i/>
          <w:sz w:val="24"/>
          <w:vertAlign w:val="superscript"/>
          <w:lang w:val="en-US"/>
        </w:rPr>
        <w:t>1</w:t>
      </w:r>
      <w:r>
        <w:rPr>
          <w:rFonts w:ascii="Times New Roman" w:hAnsi="Times New Roman"/>
          <w:i/>
          <w:sz w:val="24"/>
          <w:lang w:val="en-US"/>
        </w:rPr>
        <w:t xml:space="preserve"> OJ No L 144, 2. 6. 1981, p. 1.”</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2. Nolikuma 4.a panta 1. punktu aizstāj ar šādu:</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w:t>
      </w:r>
      <w:r>
        <w:rPr>
          <w:rFonts w:ascii="Times New Roman" w:hAnsi="Times New Roman"/>
          <w:sz w:val="24"/>
          <w:lang w:val="lv-LV"/>
        </w:rPr>
        <w:t>1. Informācija, kas jebkurā veidā sniegta, ievērojot 4. pantu, ieskaitot informāciju, kas iegūta 4.b pantā minētajās misijās, ir konfidenciāla. Uz to attiecas arodnoslēpuma un komercnoslēpuma glabāšanas pienākums, un tai pienākas aizsardzība, ko uz tamlīdzīgām ziņām attiecina gan pēc tās dalībvalsts likumiem, kas tās saņēmusi, gan pēc attiecīgajiem noteikumiem, kas skar Kopienas iestādes.”</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3. Nolikumu papildina ar šādu 4.b pantu:</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w:t>
      </w:r>
      <w:r>
        <w:rPr>
          <w:rFonts w:ascii="Times New Roman" w:hAnsi="Times New Roman"/>
          <w:i/>
          <w:sz w:val="24"/>
          <w:lang w:val="lv-LV"/>
        </w:rPr>
        <w:t>4.b pants</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1. Lai tekstila nozarē nodrošinātu tirdzniecības politikas pasākumu pareizu ieviešanu, Komisija sadarbībā ar dalībvalstīm jo īpaši organizē Kopienas administratīvo sadarbību un misijas trešās valstīs ar šādiem noteikumiem:</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i) Komisija var uzņemties šādu misiju pēc savas ierosmes vai pēc attiecīgās(o) dalībvalsts(u) pieprasījuma;</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ii) šādās misijās dodas Komisijas amatpersonas un eksperti, ko attiecīgā(s) dalībvalst(i)s norīkojusi(ušas) veikt šādus uzdevumus;</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iii) dalībvalstis un Komisija saskaņā ar 4. pantā noteikto kārtību sniedz informāciju un dokumentus, kas vajadzīgi misiju izpildei;</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iv) misijas izdevumus, kas vajadzīgi šajā pantā minēto uzdevumu izpildei, sedz Komisija.</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2. Komisija informē dalībvalstis par 1. punktā minētās misijas iznākumu.”</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keepNext w:val="true"/>
        <w:widowControl/>
        <w:bidi w:val="0"/>
        <w:jc w:val="center"/>
        <w:rPr>
          <w:lang w:val="lv-LV"/>
        </w:rPr>
      </w:pPr>
      <w:r>
        <w:rPr>
          <w:rFonts w:ascii="Times New Roman" w:hAnsi="Times New Roman"/>
          <w:i/>
          <w:sz w:val="24"/>
          <w:lang w:val="lv-LV"/>
        </w:rPr>
        <w:t>2. pants</w:t>
      </w:r>
    </w:p>
    <w:p>
      <w:pPr>
        <w:pStyle w:val="Normal"/>
        <w:keepNext w:val="true"/>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lv-LV"/>
        </w:rPr>
      </w:pPr>
      <w:r>
        <w:rPr>
          <w:rFonts w:ascii="Times New Roman" w:hAnsi="Times New Roman"/>
          <w:sz w:val="24"/>
          <w:lang w:val="lv-LV"/>
        </w:rPr>
        <w:t>Šis nolikums stājas spēkā trešajā dienā pēc publicēšanas “Eiropas Kopienu Oficiālajā Vēstnesī”.</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ind w:start="567" w:hanging="0"/>
        <w:jc w:val="both"/>
        <w:rPr>
          <w:lang w:val="lv-LV"/>
        </w:rPr>
      </w:pPr>
      <w:r>
        <w:rPr>
          <w:rFonts w:ascii="Times New Roman" w:hAnsi="Times New Roman"/>
          <w:sz w:val="24"/>
          <w:lang w:val="lv-LV"/>
        </w:rPr>
        <w:t>Šis nolikums uzliek saistības kopumā un ir tieši piemērojams visās dalībvalstīs.</w:t>
      </w:r>
    </w:p>
    <w:p>
      <w:pPr>
        <w:pStyle w:val="Normal"/>
        <w:widowControl/>
        <w:bidi w:val="0"/>
        <w:ind w:start="567" w:hanging="0"/>
        <w:jc w:val="both"/>
        <w:rPr>
          <w:rFonts w:ascii="Times New Roman" w:hAnsi="Times New Roman"/>
          <w:sz w:val="24"/>
          <w:lang w:val="lv-LV"/>
        </w:rPr>
      </w:pPr>
      <w:r>
        <w:rPr>
          <w:rFonts w:ascii="Times New Roman" w:hAnsi="Times New Roman"/>
          <w:sz w:val="24"/>
          <w:lang w:val="lv-LV"/>
        </w:rPr>
      </w:r>
    </w:p>
    <w:p>
      <w:pPr>
        <w:pStyle w:val="Normal"/>
        <w:widowControl/>
        <w:bidi w:val="0"/>
        <w:ind w:start="567" w:hanging="0"/>
        <w:jc w:val="both"/>
        <w:rPr>
          <w:lang w:val="lv-LV"/>
        </w:rPr>
      </w:pPr>
      <w:r>
        <w:rPr>
          <w:rFonts w:ascii="Times New Roman" w:hAnsi="Times New Roman"/>
          <w:sz w:val="24"/>
          <w:lang w:val="lv-LV"/>
        </w:rPr>
        <w:t>Briselē, 1983. gada 19. decembrī.</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tabs>
          <w:tab w:val="clear" w:pos="720"/>
          <w:tab w:val="center" w:pos="6804" w:leader="none"/>
        </w:tabs>
        <w:bidi w:val="0"/>
        <w:jc w:val="both"/>
        <w:rPr>
          <w:lang w:val="lv-LV"/>
        </w:rPr>
      </w:pPr>
      <w:r>
        <w:rPr>
          <w:rFonts w:ascii="Courier New" w:hAnsi="Courier New"/>
          <w:color w:val="800080"/>
          <w:sz w:val="24"/>
          <w:vertAlign w:val="subscript"/>
          <w:lang w:val="lv-LV"/>
        </w:rPr>
        <w:tab/>
      </w:r>
      <w:r>
        <w:rPr>
          <w:rFonts w:ascii="Times New Roman" w:hAnsi="Times New Roman"/>
          <w:sz w:val="24"/>
          <w:lang w:val="lv-LV"/>
        </w:rPr>
        <w:t>Padomes vārdā —</w:t>
      </w:r>
    </w:p>
    <w:p>
      <w:pPr>
        <w:pStyle w:val="Normal"/>
        <w:widowControl/>
        <w:tabs>
          <w:tab w:val="clear" w:pos="720"/>
          <w:tab w:val="center" w:pos="6804" w:leader="none"/>
        </w:tabs>
        <w:bidi w:val="0"/>
        <w:jc w:val="both"/>
        <w:rPr>
          <w:rFonts w:ascii="Times New Roman" w:hAnsi="Times New Roman"/>
          <w:sz w:val="24"/>
          <w:lang w:val="lv-LV"/>
        </w:rPr>
      </w:pPr>
      <w:r>
        <w:rPr>
          <w:rFonts w:ascii="Times New Roman" w:hAnsi="Times New Roman"/>
          <w:sz w:val="24"/>
          <w:lang w:val="lv-LV"/>
        </w:rPr>
      </w:r>
    </w:p>
    <w:p>
      <w:pPr>
        <w:pStyle w:val="Normal"/>
        <w:widowControl/>
        <w:tabs>
          <w:tab w:val="clear" w:pos="720"/>
          <w:tab w:val="center" w:pos="6804" w:leader="none"/>
        </w:tabs>
        <w:bidi w:val="0"/>
        <w:jc w:val="both"/>
        <w:rPr>
          <w:lang w:val="lv-LV"/>
        </w:rPr>
      </w:pPr>
      <w:r>
        <w:rPr>
          <w:rFonts w:ascii="Courier New" w:hAnsi="Courier New"/>
          <w:color w:val="800080"/>
          <w:sz w:val="24"/>
          <w:vertAlign w:val="subscript"/>
          <w:lang w:val="lv-LV"/>
        </w:rPr>
        <w:tab/>
      </w:r>
      <w:r>
        <w:rPr>
          <w:rFonts w:ascii="Times New Roman" w:hAnsi="Times New Roman"/>
          <w:sz w:val="24"/>
          <w:lang w:val="lv-LV"/>
        </w:rPr>
        <w:t>priekšsēdētājs</w:t>
      </w:r>
    </w:p>
    <w:p>
      <w:pPr>
        <w:pStyle w:val="Normal"/>
        <w:widowControl/>
        <w:tabs>
          <w:tab w:val="clear" w:pos="720"/>
          <w:tab w:val="center" w:pos="6804" w:leader="none"/>
        </w:tabs>
        <w:bidi w:val="0"/>
        <w:jc w:val="both"/>
        <w:rPr>
          <w:rFonts w:ascii="Times New Roman" w:hAnsi="Times New Roman"/>
          <w:sz w:val="24"/>
          <w:lang w:val="lv-LV"/>
        </w:rPr>
      </w:pPr>
      <w:r>
        <w:rPr>
          <w:rFonts w:ascii="Times New Roman" w:hAnsi="Times New Roman"/>
          <w:sz w:val="24"/>
          <w:lang w:val="lv-LV"/>
        </w:rPr>
      </w:r>
    </w:p>
    <w:p>
      <w:pPr>
        <w:pStyle w:val="Normal"/>
        <w:widowControl/>
        <w:tabs>
          <w:tab w:val="clear" w:pos="720"/>
          <w:tab w:val="center" w:pos="6804" w:leader="none"/>
        </w:tabs>
        <w:bidi w:val="0"/>
        <w:jc w:val="both"/>
        <w:rPr>
          <w:lang w:val="lv-LV"/>
        </w:rPr>
      </w:pPr>
      <w:r>
        <w:rPr>
          <w:rFonts w:ascii="Courier New" w:hAnsi="Courier New"/>
          <w:color w:val="800080"/>
          <w:sz w:val="24"/>
          <w:vertAlign w:val="subscript"/>
          <w:lang w:val="lv-LV"/>
        </w:rPr>
        <w:tab/>
      </w:r>
      <w:r>
        <w:rPr>
          <w:rFonts w:ascii="Times New Roman" w:hAnsi="Times New Roman"/>
          <w:sz w:val="24"/>
          <w:lang w:val="lv-LV"/>
        </w:rPr>
        <w:t>G. VARFIS* (</w:t>
      </w:r>
      <w:r>
        <w:rPr>
          <w:rFonts w:ascii="Times New Roman" w:hAnsi="Times New Roman"/>
          <w:i/>
          <w:sz w:val="24"/>
          <w:lang w:val="lv-LV"/>
        </w:rPr>
        <w:t xml:space="preserve">Γ. ΒΑΡΦΗΣ </w:t>
      </w:r>
      <w:r>
        <w:rPr>
          <w:rFonts w:ascii="Times New Roman" w:hAnsi="Times New Roman"/>
          <w:sz w:val="24"/>
          <w:lang w:val="lv-LV"/>
        </w:rPr>
        <w:t>)</w:t>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rFonts w:ascii="Times New Roman" w:hAnsi="Times New Roman"/>
          <w:sz w:val="24"/>
          <w:lang w:val="lv-LV"/>
        </w:rPr>
      </w:pPr>
      <w:r>
        <w:rPr>
          <w:rFonts w:ascii="Times New Roman" w:hAnsi="Times New Roman"/>
          <w:sz w:val="24"/>
          <w:lang w:val="lv-LV"/>
        </w:rPr>
      </w:r>
    </w:p>
    <w:p>
      <w:pPr>
        <w:pStyle w:val="Normal"/>
        <w:widowControl/>
        <w:bidi w:val="0"/>
        <w:jc w:val="both"/>
        <w:rPr>
          <w:lang w:val="en-US"/>
        </w:rPr>
      </w:pPr>
      <w:r>
        <w:rPr>
          <w:rFonts w:ascii="Times New Roman" w:hAnsi="Times New Roman"/>
          <w:sz w:val="24"/>
          <w:vertAlign w:val="superscript"/>
          <w:lang w:val="en-US"/>
        </w:rPr>
        <w:t>1</w:t>
      </w:r>
      <w:r>
        <w:rPr>
          <w:rFonts w:ascii="Times New Roman" w:hAnsi="Times New Roman"/>
          <w:i/>
          <w:sz w:val="24"/>
          <w:lang w:val="en-US"/>
        </w:rPr>
        <w:t xml:space="preserve"> OJ No L 84, 31. 3. 1978, p. 1.</w:t>
      </w:r>
    </w:p>
    <w:p>
      <w:pPr>
        <w:pStyle w:val="Normal"/>
        <w:widowControl/>
        <w:bidi w:val="0"/>
        <w:jc w:val="both"/>
        <w:rPr>
          <w:lang w:val="en-US"/>
        </w:rPr>
      </w:pPr>
      <w:r>
        <w:rPr>
          <w:rFonts w:ascii="Times New Roman" w:hAnsi="Times New Roman"/>
          <w:sz w:val="24"/>
          <w:vertAlign w:val="superscript"/>
          <w:lang w:val="en-US"/>
        </w:rPr>
        <w:t>2</w:t>
      </w:r>
      <w:r>
        <w:rPr>
          <w:rFonts w:ascii="Times New Roman" w:hAnsi="Times New Roman"/>
          <w:i/>
          <w:sz w:val="24"/>
          <w:lang w:val="en-US"/>
        </w:rPr>
        <w:t xml:space="preserve"> OJ No L 169, 26. 6. 1981, p. 5.</w:t>
      </w:r>
    </w:p>
    <w:p>
      <w:pPr>
        <w:pStyle w:val="Normal"/>
        <w:widowControl/>
        <w:bidi w:val="0"/>
        <w:jc w:val="both"/>
        <w:rPr>
          <w:rFonts w:ascii="Times New Roman" w:hAnsi="Times New Roman"/>
          <w:i/>
          <w:i/>
          <w:sz w:val="24"/>
          <w:lang w:val="lv-LV"/>
        </w:rPr>
      </w:pPr>
      <w:r>
        <w:rPr>
          <w:rFonts w:ascii="Times New Roman" w:hAnsi="Times New Roman"/>
          <w:i/>
          <w:sz w:val="24"/>
          <w:lang w:val="lv-LV"/>
        </w:rPr>
      </w:r>
    </w:p>
    <w:p>
      <w:pPr>
        <w:pStyle w:val="PlainText"/>
        <w:bidi w:val="0"/>
        <w:jc w:val="start"/>
        <w:rPr>
          <w:lang w:val="en-US"/>
        </w:rPr>
      </w:pPr>
      <w:r>
        <w:rPr>
          <w:rFonts w:ascii="Times New Roman" w:hAnsi="Times New Roman"/>
          <w:i/>
          <w:sz w:val="24"/>
          <w:lang w:val="en-US"/>
        </w:rPr>
        <w:t>REGISTER :</w:t>
      </w:r>
      <w:r>
        <w:rPr>
          <w:rFonts w:ascii="Times New Roman" w:hAnsi="Times New Roman"/>
          <w:i/>
          <w:sz w:val="24"/>
          <w:lang w:val="lv-LV"/>
        </w:rPr>
        <w:t xml:space="preserve"> 02203000</w:t>
      </w:r>
    </w:p>
    <w:p>
      <w:pPr>
        <w:pStyle w:val="PlainText"/>
        <w:bidi w:val="0"/>
        <w:jc w:val="start"/>
        <w:rPr>
          <w:lang w:val="en-US"/>
        </w:rPr>
      </w:pPr>
      <w:r>
        <w:rPr>
          <w:rFonts w:ascii="Times New Roman" w:hAnsi="Times New Roman"/>
          <w:i/>
          <w:sz w:val="24"/>
          <w:lang w:val="en-US"/>
        </w:rPr>
        <w:t>DOCNUM :</w:t>
      </w:r>
      <w:r>
        <w:rPr>
          <w:rFonts w:ascii="Times New Roman" w:hAnsi="Times New Roman"/>
          <w:i/>
          <w:sz w:val="24"/>
          <w:lang w:val="lv-LV"/>
        </w:rPr>
        <w:t xml:space="preserve"> </w:t>
      </w:r>
      <w:r>
        <w:rPr>
          <w:rFonts w:ascii="Times New Roman" w:hAnsi="Times New Roman"/>
          <w:i/>
          <w:sz w:val="24"/>
          <w:lang w:val="en-US"/>
        </w:rPr>
        <w:t xml:space="preserve">383R3626 </w:t>
      </w:r>
    </w:p>
    <w:p>
      <w:pPr>
        <w:pStyle w:val="Normal"/>
        <w:widowControl/>
        <w:bidi w:val="0"/>
        <w:jc w:val="both"/>
        <w:rPr>
          <w:lang w:val="en-US"/>
        </w:rPr>
      </w:pPr>
      <w:r>
        <w:rPr>
          <w:rFonts w:ascii="Times New Roman" w:hAnsi="Times New Roman"/>
          <w:i/>
          <w:sz w:val="24"/>
          <w:lang w:val="en-US"/>
        </w:rPr>
        <w:t>PUBREF :</w:t>
      </w:r>
      <w:r>
        <w:rPr>
          <w:rFonts w:ascii="Times New Roman" w:hAnsi="Times New Roman"/>
          <w:i/>
          <w:sz w:val="24"/>
          <w:lang w:val="lv-LV"/>
        </w:rPr>
        <w:t xml:space="preserve"> </w:t>
      </w:r>
      <w:r>
        <w:rPr>
          <w:rFonts w:ascii="Times New Roman" w:hAnsi="Times New Roman"/>
          <w:i/>
          <w:sz w:val="24"/>
          <w:lang w:val="en-US"/>
        </w:rPr>
        <w:t>Official Journal L 360, 23/12/1983 p. 0005 - 0006</w:t>
      </w:r>
    </w:p>
    <w:p>
      <w:pPr>
        <w:pStyle w:val="Normal"/>
        <w:widowControl/>
        <w:bidi w:val="0"/>
        <w:jc w:val="both"/>
        <w:rPr/>
      </w:pPr>
      <w:r>
        <w:rPr/>
      </w:r>
    </w:p>
    <w:sectPr>
      <w:type w:val="nextPage"/>
      <w:pgSz w:w="11906" w:h="16838"/>
      <w:pgMar w:left="1701"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imes New Roman">
    <w:charset w:val="01" w:characterSet="utf-8"/>
    <w:family w:val="roman"/>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Noto Sans Devanagari"/>
        <w:kern w:val="2"/>
        <w:sz w:val="24"/>
        <w:szCs w:val="24"/>
        <w:lang w:val="en-US" w:eastAsia="zh-CN" w:bidi="hi-IN"/>
      </w:rPr>
    </w:rPrDefault>
    <w:pPrDefault>
      <w:pPr>
        <w:suppressAutoHyphens w:val="true"/>
      </w:pPr>
    </w:pPrDefault>
  </w:docDefaults>
  <w:style w:type="paragraph" w:styleId="Normal">
    <w:name w:val="Normal"/>
    <w:qFormat/>
    <w:pPr>
      <w:widowControl/>
      <w:bidi w:val="0"/>
    </w:pPr>
    <w:rPr>
      <w:rFonts w:ascii="Liberation Serif" w:hAnsi="Liberation Serif" w:eastAsia="AR PL SungtiL GB" w:cs="Noto Sans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AR PL SungtiL GB"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PlainText">
    <w:name w:val="Plain Text"/>
    <w:qFormat/>
    <w:pPr>
      <w:widowControl/>
      <w:bidi w:val="0"/>
    </w:pPr>
    <w:rPr>
      <w:rFonts w:ascii="Courier New" w:hAnsi="Courier New" w:eastAsia="AR PL SungtiL GB" w:cs="Noto Sans Devanagari"/>
      <w:color w:val="auto"/>
      <w:kern w:val="2"/>
      <w:sz w:val="20"/>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LibreOffice/7.3.5.2$Linux_X86_64 LibreOffice_project/30$Build-2</Application>
  <AppVersion>15.0000</AppVersion>
  <Pages>99</Pages>
  <Words>1859</Words>
  <Characters>13016</Characters>
  <CharactersWithSpaces>10599</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2000-03-09T13:34:00Z</dcterms:created>
  <dc:creator>Agris Grikovs</dc:creator>
  <dc:description/>
  <dc:language>en-US</dc:language>
  <cp:lastModifiedBy/>
  <dcterms:modified xsi:type="dcterms:W3CDTF">2000-03-09T13:34:00Z</dcterms:modified>
  <cp:revision>2</cp:revision>
  <dc:subject/>
  <dc:title>Council Regulation (EEC) No 3626/83 of 19 December 1983 amending Regulation (EEC) No 616/78 on proof of origin for certain textile products falling within Chapter 51 or Chapters 53 to 62 of the Common Customs Tariff and imported into the Community and 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Agris</vt:lpwstr>
  </property>
</Properties>
</file>