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bidi w:val="0"/>
        <w:ind w:start="0" w:hanging="0"/>
        <w:jc w:val="center"/>
        <w:rPr>
          <w:rFonts w:ascii="Times New Roman" w:hAnsi="Times New Roman"/>
          <w:b/>
          <w:b/>
          <w:lang w:val="lv-LV"/>
        </w:rPr>
      </w:pPr>
      <w:r>
        <w:rPr>
          <w:b/>
          <w:lang w:val="lv-LV"/>
        </w:rPr>
      </w:r>
    </w:p>
    <w:p>
      <w:pPr>
        <w:pStyle w:val="BodyText2"/>
        <w:bidi w:val="0"/>
        <w:ind w:start="0" w:hanging="0"/>
        <w:jc w:val="center"/>
        <w:rPr>
          <w:lang w:val="lv-LV"/>
        </w:rPr>
      </w:pPr>
      <w:r>
        <w:rPr>
          <w:b/>
          <w:lang w:val="lv-LV"/>
        </w:rPr>
        <w:t xml:space="preserve">KOMISIJAS REGULA (EK) Nr. 433/2004 </w:t>
      </w:r>
    </w:p>
    <w:p>
      <w:pPr>
        <w:pStyle w:val="BodyText2"/>
        <w:bidi w:val="0"/>
        <w:ind w:start="0" w:hanging="0"/>
        <w:jc w:val="center"/>
        <w:rPr>
          <w:lang w:val="lv-LV"/>
        </w:rPr>
      </w:pPr>
      <w:r>
        <w:rPr>
          <w:b/>
          <w:lang w:val="lv-LV"/>
        </w:rPr>
        <w:t xml:space="preserve">(2004. gada 9. marts), </w:t>
      </w:r>
    </w:p>
    <w:p>
      <w:pPr>
        <w:pStyle w:val="BodyText2"/>
        <w:bidi w:val="0"/>
        <w:ind w:start="0" w:hanging="0"/>
        <w:jc w:val="center"/>
        <w:rPr>
          <w:lang w:val="lv-LV"/>
        </w:rPr>
      </w:pPr>
      <w:r>
        <w:rPr>
          <w:b/>
          <w:lang w:val="lv-LV"/>
        </w:rPr>
        <w:t>ar ko atceļ vairākus lēmumus attiecībā uz dzīvnieku blakusproduktu ievešanu no trešām valstīm (dokuments attiecas uz EEZ)</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EIROPAS KOPIENU KOMISIJA,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ņemot vērā Eiropas Kopienas dibināšanas līgumu,</w:t>
      </w:r>
    </w:p>
    <w:p>
      <w:pPr>
        <w:pStyle w:val="Normal"/>
        <w:bidi w:val="0"/>
        <w:jc w:val="both"/>
        <w:rPr>
          <w:rFonts w:ascii="Times New Roman" w:hAnsi="Times New Roman"/>
          <w:sz w:val="24"/>
          <w:lang w:val="lv-LV"/>
        </w:rPr>
      </w:pPr>
      <w:r>
        <w:rPr>
          <w:sz w:val="24"/>
          <w:lang w:val="lv-LV"/>
        </w:rPr>
      </w:r>
    </w:p>
    <w:p>
      <w:pPr>
        <w:pStyle w:val="TextBody"/>
        <w:bidi w:val="0"/>
        <w:rPr>
          <w:lang w:val="lv-LV"/>
        </w:rPr>
      </w:pPr>
      <w:r>
        <w:rPr>
          <w:lang w:val="lv-LV"/>
        </w:rPr>
        <w:t>ņemot vērā Padomes 1972. gada 12. decembra Direktīvu 72/462/EEK par veselības un veterinārās pārbaudes problēmām, ievedot liellopus, aitas, kazas, cūkas un svaigu gaļu vai gaļas produktus no trešām valstīm</w:t>
      </w:r>
      <w:r>
        <w:rPr>
          <w:rStyle w:val="FootnoteAnchor"/>
          <w:lang w:val="lv-LV"/>
        </w:rPr>
        <w:footnoteReference w:id="2"/>
      </w:r>
      <w:r>
        <w:rPr>
          <w:lang w:val="lv-LV"/>
        </w:rPr>
        <w:t>, kurā jaunākie grozījumi izdarīti ar Regulu (EK) Nr. 807/2003</w:t>
      </w:r>
      <w:r>
        <w:rPr>
          <w:rStyle w:val="FootnoteAnchor"/>
          <w:lang w:val="lv-LV"/>
        </w:rPr>
        <w:footnoteReference w:id="3"/>
      </w:r>
      <w:r>
        <w:rPr>
          <w:lang w:val="lv-LV"/>
        </w:rPr>
        <w:t xml:space="preserve"> un jo īpaši ar tās 3. un 16. pantu,</w:t>
      </w:r>
    </w:p>
    <w:p>
      <w:pPr>
        <w:pStyle w:val="TextBody"/>
        <w:bidi w:val="0"/>
        <w:rPr>
          <w:rFonts w:ascii="Times New Roman" w:hAnsi="Times New Roman"/>
          <w:lang w:val="lv-LV"/>
        </w:rPr>
      </w:pPr>
      <w:r>
        <w:rPr>
          <w:lang w:val="lv-LV"/>
        </w:rPr>
      </w:r>
    </w:p>
    <w:p>
      <w:pPr>
        <w:pStyle w:val="Normal"/>
        <w:bidi w:val="0"/>
        <w:jc w:val="both"/>
        <w:rPr>
          <w:lang w:val="lv-LV"/>
        </w:rPr>
      </w:pPr>
      <w:r>
        <w:rPr>
          <w:sz w:val="24"/>
          <w:lang w:val="lv-LV"/>
        </w:rPr>
        <w:t>ņemot vērā Padomes 1992. gada 17. decembra Direktīvu 92/118/EEK, ar ko paredz dzīvnieku veselības un sabiedrības veselības prasības attiecībā uz tādu produktu tirdzniecību un importu Kopienā, uz kuriem neattiecas šādas prasības, kas paredzētas īpašos Kopienas noteikumos, kuri minēti Direktīvas 89/662/EEK A pielikuma I daļā, un — attiecībā uz slimību izraisītājiem — īpašos Kopienas noteikumos, kuri minēti Direktīvā 90/425/EEK</w:t>
      </w:r>
      <w:r>
        <w:rPr>
          <w:rStyle w:val="FootnoteAnchor"/>
          <w:sz w:val="24"/>
          <w:lang w:val="lv-LV"/>
        </w:rPr>
        <w:footnoteReference w:id="4"/>
      </w:r>
      <w:r>
        <w:rPr>
          <w:sz w:val="24"/>
          <w:lang w:val="lv-LV"/>
        </w:rPr>
        <w:t>, kurā jaunākie grozījumi izdarīti ar Komisijas Lēmumu 2003/42/EK</w:t>
      </w:r>
      <w:r>
        <w:rPr>
          <w:rStyle w:val="FootnoteAnchor"/>
          <w:sz w:val="24"/>
          <w:lang w:val="lv-LV"/>
        </w:rPr>
        <w:footnoteReference w:id="5"/>
      </w:r>
      <w:r>
        <w:rPr>
          <w:sz w:val="24"/>
          <w:lang w:val="lv-LV"/>
        </w:rPr>
        <w:t>, un jo īpaši ar tā 10.  un 13. pantu,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tā kā</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1) Direktīva 72/462/EEK paredz noteikumus par veselības un veterinārās pārbaudes prasībām attiecībā uz atsevišķu dzīvnieku un to gaļas, kā arī gaļas produktu ievešanu Kopienā. Šī direktīva arī paredz juridisko pamatu turpmākiem Komisijas lēmumiem attiecībā uz atsevišķu dzīvnieku produktu un blakusproduktu ievešanu Kopienā:</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lang w:val="lv-LV"/>
        </w:rPr>
      </w:pPr>
      <w:r>
        <w:rPr>
          <w:sz w:val="24"/>
          <w:lang w:val="lv-LV"/>
        </w:rPr>
        <w:t xml:space="preserve">- </w:t>
        <w:tab/>
        <w:t>Komisijas 1988. gada 22. decembra Lēmumam 89/18/EEK attiecībā uz nosacījumiem svaigas gaļas ievešanai no trešām valstīm nolūkos, kas nav domāti lietošanai pārtikā</w:t>
      </w:r>
      <w:r>
        <w:rPr>
          <w:rStyle w:val="FootnoteAnchor"/>
          <w:sz w:val="24"/>
          <w:lang w:val="lv-LV"/>
        </w:rPr>
        <w:footnoteReference w:id="6"/>
      </w:r>
      <w:r>
        <w:rPr>
          <w:sz w:val="24"/>
          <w:lang w:val="lv-LV"/>
        </w:rPr>
        <w:t>,</w:t>
      </w:r>
    </w:p>
    <w:p>
      <w:pPr>
        <w:pStyle w:val="BodyText2"/>
        <w:bidi w:val="0"/>
        <w:ind w:start="709" w:hanging="283"/>
        <w:rPr>
          <w:rFonts w:ascii="Times New Roman" w:hAnsi="Times New Roman"/>
          <w:lang w:val="lv-LV"/>
        </w:rPr>
      </w:pPr>
      <w:r>
        <w:rPr>
          <w:lang w:val="lv-LV"/>
        </w:rPr>
      </w:r>
    </w:p>
    <w:p>
      <w:pPr>
        <w:pStyle w:val="BodyText2"/>
        <w:bidi w:val="0"/>
        <w:ind w:start="709" w:hanging="283"/>
        <w:rPr>
          <w:lang w:val="lv-LV"/>
        </w:rPr>
      </w:pPr>
      <w:r>
        <w:rPr>
          <w:lang w:val="lv-LV"/>
        </w:rPr>
        <w:t xml:space="preserve">- </w:t>
        <w:tab/>
        <w:t>Komisijas 1992. gada 28. februāra Lēmumam 92/187/EEK, ar kuru nosaka nosacījumus, kas ir jāievēro, ievedot noteiktas izejvielas farmaceitiskās pārstrādes rūpniecībai no konkrētām trešām valstīm, kuras nav ietvertas Padomes Lēmuma 79/542/EEK sarakstā</w:t>
      </w:r>
      <w:r>
        <w:rPr>
          <w:rStyle w:val="FootnoteAnchor"/>
          <w:lang w:val="lv-LV"/>
        </w:rPr>
        <w:footnoteReference w:id="7"/>
      </w:r>
      <w:r>
        <w:rPr>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lang w:val="lv-LV"/>
        </w:rPr>
      </w:pPr>
      <w:r>
        <w:rPr>
          <w:sz w:val="24"/>
          <w:lang w:val="lv-LV"/>
        </w:rPr>
        <w:t xml:space="preserve">- </w:t>
        <w:tab/>
        <w:t>Komisijas 1992. gada 3. marta Lēmumam 92/183/EEK, ar kuru nosaka, kādi vispārīgie nosacījumi ir jāievēro, ievedot noteiktas izejvielas farmaceitiskās pārstrādes rūpniecībai no trešām valstīm, kuras ir ietvertas Padomes Lēmuma 79/542/EEK sarakstā</w:t>
      </w:r>
      <w:r>
        <w:rPr>
          <w:rStyle w:val="FootnoteAnchor"/>
          <w:sz w:val="24"/>
          <w:lang w:val="lv-LV"/>
        </w:rPr>
        <w:footnoteReference w:id="8"/>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2) Direktīvā 92/118/EEK ir izklāstīti Kopienas noteikumi par dzīvnieku veselības un sabiedrības veselības aizsardzības prasībām, kas reglamentē konkrētu dzīvnieku izcelsmes produktu tirdzniecību un importu Kopienā. Šī direktīva arī paredz juridisko pamatu turpmākiem Komisijas lēmumiem:</w:t>
      </w:r>
    </w:p>
    <w:p>
      <w:pPr>
        <w:pStyle w:val="Normal"/>
        <w:bidi w:val="0"/>
        <w:jc w:val="both"/>
        <w:rPr>
          <w:rFonts w:ascii="Times New Roman" w:hAnsi="Times New Roman"/>
          <w:sz w:val="24"/>
          <w:lang w:val="lv-LV"/>
        </w:rPr>
      </w:pPr>
      <w:r>
        <w:rPr>
          <w:sz w:val="24"/>
          <w:lang w:val="lv-LV"/>
        </w:rPr>
      </w:r>
    </w:p>
    <w:p>
      <w:pPr>
        <w:pStyle w:val="BodyText2"/>
        <w:bidi w:val="0"/>
        <w:ind w:start="709" w:hanging="283"/>
        <w:rPr>
          <w:lang w:val="lv-LV"/>
        </w:rPr>
      </w:pPr>
      <w:r>
        <w:rPr>
          <w:lang w:val="lv-LV"/>
        </w:rPr>
        <w:t xml:space="preserve">- </w:t>
        <w:tab/>
        <w:t>Komisijas 1994. gada 1. marta Lēmumam 94/143/EK, ar ko nosaka dzīvnieku veselības prasības un veterināro sertifikāciju, kas piemērojama, ievedot zirgu dzimtas dzīvnieku serumu no trešām valstīm</w:t>
      </w:r>
      <w:r>
        <w:rPr>
          <w:rStyle w:val="FootnoteAnchor"/>
          <w:lang w:val="lv-LV"/>
        </w:rPr>
        <w:footnoteReference w:id="9"/>
      </w:r>
      <w:r>
        <w:rPr>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lang w:val="lv-LV"/>
        </w:rPr>
      </w:pPr>
      <w:r>
        <w:rPr>
          <w:sz w:val="24"/>
          <w:lang w:val="lv-LV"/>
        </w:rPr>
        <w:t xml:space="preserve">- </w:t>
        <w:tab/>
        <w:t>Komisijas 1994. gada 27. aprīļa Lēmumam 94/309/EK, ar ko nosaka dzīvnieku veselības prasības un veterināro sertifikāciju, kas piemērojama, importējot konkrētu mājdzīvnieku barību un dažus nemiecētus mājdzīvnieku barības produktus, kuros ir zema riska dzīvnieku atkritumprodukti no trešām valstīm</w:t>
      </w:r>
      <w:r>
        <w:rPr>
          <w:rStyle w:val="FootnoteAnchor"/>
          <w:sz w:val="24"/>
          <w:lang w:val="lv-LV"/>
        </w:rPr>
        <w:footnoteReference w:id="10"/>
      </w:r>
      <w:r>
        <w:rPr>
          <w:sz w:val="24"/>
          <w:lang w:val="lv-LV"/>
        </w:rPr>
        <w:t>, un kurā jaunākie grozījumi izdarīti ar Lēmumu 97/199/EK</w:t>
      </w:r>
      <w:r>
        <w:rPr>
          <w:rStyle w:val="FootnoteAnchor"/>
          <w:sz w:val="24"/>
          <w:lang w:val="lv-LV"/>
        </w:rPr>
        <w:footnoteReference w:id="11"/>
      </w:r>
      <w:r>
        <w:rPr>
          <w:sz w:val="24"/>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pPr>
      <w:r>
        <w:rPr>
          <w:sz w:val="24"/>
          <w:lang w:val="lv-LV"/>
        </w:rPr>
        <w:t xml:space="preserve">- </w:t>
        <w:tab/>
        <w:t>Komisijas 1994. gada 27. aprīļa Lēmumam 94/344/EK, ar ko nosaka dzīvnieku veselības prasības un veterināro sertifikāciju, kas piemērojama, no trešām valstīm importējot pārstrādātas dzīvnieku barībai paredzētas olbaltumvielas, tostarp produktus, kas satur šādas olbaltumvielas</w:t>
      </w:r>
      <w:r>
        <w:rPr>
          <w:rStyle w:val="FootnoteAnchor"/>
          <w:sz w:val="24"/>
          <w:lang w:val="lv-LV"/>
        </w:rPr>
        <w:footnoteReference w:id="12"/>
      </w:r>
      <w:r>
        <w:rPr>
          <w:sz w:val="24"/>
          <w:lang w:val="lv-LV"/>
        </w:rPr>
        <w:t>, un kurā jaunākie grozījumi izdarīti ar Lēmumu 97/198/EK</w:t>
      </w:r>
      <w:r>
        <w:rPr>
          <w:rStyle w:val="FootnoteAnchor"/>
          <w:sz w:val="24"/>
          <w:lang w:val="lv-LV"/>
        </w:rPr>
        <w:footnoteReference w:id="13"/>
      </w:r>
      <w:r>
        <w:rPr>
          <w:sz w:val="24"/>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pPr>
      <w:r>
        <w:rPr>
          <w:sz w:val="24"/>
          <w:lang w:val="lv-LV"/>
        </w:rPr>
        <w:t xml:space="preserve">- </w:t>
        <w:tab/>
        <w:t>Komisijas 1994. gada 10. jūnija Lēmumam 94/435/EK, ar ko nosaka dzīvnieku veselības prasības un veterināro sertifikāciju, kas piemērojama, ievedot cūku sarus no trešām valstīm</w:t>
      </w:r>
      <w:r>
        <w:rPr>
          <w:rStyle w:val="FootnoteAnchor"/>
          <w:sz w:val="24"/>
          <w:lang w:val="lv-LV"/>
        </w:rPr>
        <w:footnoteReference w:id="14"/>
      </w:r>
      <w:r>
        <w:rPr>
          <w:sz w:val="24"/>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numPr>
          <w:ilvl w:val="0"/>
          <w:numId w:val="1"/>
        </w:numPr>
        <w:tabs>
          <w:tab w:val="clear" w:pos="720"/>
          <w:tab w:val="left" w:pos="709" w:leader="none"/>
          <w:tab w:val="left" w:pos="786" w:leader="none"/>
        </w:tabs>
        <w:bidi w:val="0"/>
        <w:jc w:val="both"/>
        <w:rPr>
          <w:lang w:val="lv-LV"/>
        </w:rPr>
      </w:pPr>
      <w:r>
        <w:rPr>
          <w:sz w:val="24"/>
          <w:lang w:val="lv-LV"/>
        </w:rPr>
        <w:t>Komisijas 1994. gada 14. jūnija Lēmumam 94/446/EK, ar ko nosaka prasības, kas piemērojamas, no trešām valstīm importējot kaulus un kaulu produktus, ragus un ragu produktus un nagus un nagu produktus, izņemot miltus, turpmākai pārstrādei, nevis lietošanai pārtikā vai dzīvnieku barībā</w:t>
      </w:r>
      <w:r>
        <w:rPr>
          <w:rStyle w:val="FootnoteAnchor"/>
          <w:sz w:val="24"/>
          <w:lang w:val="lv-LV"/>
        </w:rPr>
        <w:footnoteReference w:id="15"/>
      </w:r>
      <w:r>
        <w:rPr>
          <w:sz w:val="24"/>
          <w:lang w:val="lv-LV"/>
        </w:rPr>
        <w:t>, un kurā jaunākie grozījumi izdarīti ar Lēmumu 97/197/EK</w:t>
      </w:r>
      <w:r>
        <w:rPr>
          <w:rStyle w:val="FootnoteAnchor"/>
          <w:sz w:val="24"/>
          <w:lang w:val="lv-LV"/>
        </w:rPr>
        <w:footnoteReference w:id="16"/>
      </w:r>
      <w:r>
        <w:rPr>
          <w:sz w:val="24"/>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lang w:val="lv-LV"/>
        </w:rPr>
      </w:pPr>
      <w:r>
        <w:rPr>
          <w:sz w:val="24"/>
          <w:lang w:val="lv-LV"/>
        </w:rPr>
        <w:t xml:space="preserve">- </w:t>
        <w:tab/>
        <w:t>Komisijas 1994. gada 20. decembra Lēmumam 94/860/EK, ar ko nosaka prasības, kas piemērojamas biškopībā izmantojamu biškopības produktu ievešanai no trešām valstīm</w:t>
      </w:r>
      <w:r>
        <w:rPr>
          <w:rStyle w:val="FootnoteAnchor"/>
          <w:sz w:val="24"/>
          <w:lang w:val="lv-LV"/>
        </w:rPr>
        <w:footnoteReference w:id="17"/>
      </w:r>
      <w:r>
        <w:rPr>
          <w:sz w:val="24"/>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pPr>
      <w:r>
        <w:rPr>
          <w:sz w:val="24"/>
          <w:lang w:val="lv-LV"/>
        </w:rPr>
        <w:t xml:space="preserve">- </w:t>
        <w:tab/>
        <w:t>Komisijas 1995. gada 27. jūlija Lēmumam 95/341/EK par dzīvnieku veselības prasībām un veterināro sertifikāciju, kas piemērojama, no trešām valstīm ievedot pienu un piena produktus, kas nav domāti lietošanai pārtikā</w:t>
      </w:r>
      <w:r>
        <w:rPr>
          <w:rStyle w:val="FootnoteAnchor"/>
          <w:sz w:val="24"/>
          <w:lang w:val="lv-LV"/>
        </w:rPr>
        <w:footnoteReference w:id="18"/>
      </w:r>
      <w:r>
        <w:rPr>
          <w:sz w:val="24"/>
          <w:lang w:val="lv-LV"/>
        </w:rPr>
        <w:t>, un kurā grozījumi izdarīti ar Lēmumu 96/106/EK</w:t>
      </w:r>
      <w:r>
        <w:rPr>
          <w:rStyle w:val="FootnoteAnchor"/>
          <w:sz w:val="24"/>
          <w:lang w:val="lv-LV"/>
        </w:rPr>
        <w:footnoteReference w:id="19"/>
      </w:r>
      <w:r>
        <w:rPr>
          <w:sz w:val="24"/>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pPr>
      <w:r>
        <w:rPr>
          <w:sz w:val="24"/>
          <w:lang w:val="lv-LV"/>
        </w:rPr>
        <w:t xml:space="preserve">- </w:t>
        <w:tab/>
        <w:t>Komisijas 1996. gada 22. jūlija Lēmumam 96/500/EK, ar ko nosaka dzīvnieku veselības prasības un sertifikāciju vai oficiālu deklarāciju attiecībā uz tādu putnu un nagaiņu medību trofeju ievešanu no trešām valstīm, kam pilnā mērā nav veikta taksidermija</w:t>
      </w:r>
      <w:r>
        <w:rPr>
          <w:rStyle w:val="FootnoteAnchor"/>
          <w:sz w:val="24"/>
          <w:lang w:val="lv-LV"/>
        </w:rPr>
        <w:footnoteReference w:id="20"/>
      </w:r>
      <w:r>
        <w:rPr>
          <w:sz w:val="24"/>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pPr>
      <w:r>
        <w:rPr>
          <w:sz w:val="24"/>
          <w:lang w:val="lv-LV"/>
        </w:rPr>
        <w:t xml:space="preserve">- </w:t>
        <w:tab/>
        <w:t>Komisijas</w:t>
      </w:r>
      <w:r>
        <w:rPr>
          <w:caps/>
          <w:sz w:val="24"/>
          <w:lang w:val="lv-LV"/>
        </w:rPr>
        <w:t xml:space="preserve"> </w:t>
      </w:r>
      <w:r>
        <w:rPr>
          <w:sz w:val="24"/>
          <w:lang w:val="lv-LV"/>
        </w:rPr>
        <w:t>1996. gada 29. novembra Lēmumam 97/168/EK, ar ko nosaka dzīvnieku veselības prasības un sertifikāciju vai oficiālo deklarāciju nagaiņu jēlādu un ādu importam no trešām valstīm</w:t>
      </w:r>
      <w:r>
        <w:rPr>
          <w:rStyle w:val="FootnoteAnchor"/>
          <w:sz w:val="24"/>
          <w:lang w:val="lv-LV"/>
        </w:rPr>
        <w:footnoteReference w:id="21"/>
      </w:r>
      <w:r>
        <w:rPr>
          <w:sz w:val="24"/>
          <w:lang w:val="lv-LV"/>
        </w:rPr>
        <w:t>,</w:t>
      </w:r>
    </w:p>
    <w:p>
      <w:pPr>
        <w:pStyle w:val="Normal"/>
        <w:tabs>
          <w:tab w:val="clear" w:pos="720"/>
          <w:tab w:val="left" w:pos="709" w:leader="none"/>
        </w:tabs>
        <w:bidi w:val="0"/>
        <w:ind w:start="709" w:hanging="283"/>
        <w:jc w:val="both"/>
        <w:rPr>
          <w:rFonts w:ascii="Times New Roman" w:hAnsi="Times New Roman"/>
          <w:sz w:val="24"/>
          <w:lang w:val="lv-LV"/>
        </w:rPr>
      </w:pPr>
      <w:r>
        <w:rPr>
          <w:sz w:val="24"/>
          <w:lang w:val="lv-LV"/>
        </w:rPr>
      </w:r>
    </w:p>
    <w:p>
      <w:pPr>
        <w:pStyle w:val="Normal"/>
        <w:tabs>
          <w:tab w:val="clear" w:pos="720"/>
          <w:tab w:val="left" w:pos="709" w:leader="none"/>
        </w:tabs>
        <w:bidi w:val="0"/>
        <w:ind w:start="709" w:hanging="283"/>
        <w:jc w:val="both"/>
        <w:rPr/>
      </w:pPr>
      <w:r>
        <w:rPr>
          <w:sz w:val="24"/>
          <w:lang w:val="lv-LV"/>
        </w:rPr>
        <w:t xml:space="preserve">- </w:t>
        <w:tab/>
        <w:t>Komisijas 1997. gada 25. marta Lēmumam 97/198/EK, ar ko nosaka dzīvnieku veselības prasības un veterināro sertifikāciju pārstrādātu dzīvnieku olbaltumvielu ievešanai no dažām trešajām valstīm, kurās izmanto alternatīvas karsēšanas sistēmas, un ar ko groza Lēmumu 94/344/EK</w:t>
      </w:r>
      <w:r>
        <w:rPr>
          <w:rStyle w:val="FootnoteAnchor"/>
          <w:sz w:val="24"/>
          <w:lang w:val="lv-LV"/>
        </w:rPr>
        <w:footnoteReference w:id="22"/>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3) ar Eiropas Parlamenta un Padomes 2002. gada 21. oktobra Direktīvu 2002/33/EK</w:t>
      </w:r>
      <w:r>
        <w:rPr>
          <w:rStyle w:val="FootnoteAnchor"/>
          <w:sz w:val="24"/>
          <w:lang w:val="lv-LV"/>
        </w:rPr>
        <w:footnoteReference w:id="23"/>
      </w:r>
      <w:r>
        <w:rPr>
          <w:sz w:val="24"/>
          <w:lang w:val="lv-LV"/>
        </w:rPr>
        <w:t>, ar ko groza Padomes Direktīvas 90/425/EEK un 92/118/EEK par veselības aizsardzības prasībām attiecībā uz dzīvnieku izcelsmes blakusproduktiem, ir ievērojami grozīta Direktīva 92/118/EEK — jo īpaši tādēļ, lai ierobežotu tās darbības jomu, lai tā attiektos tikai uz dzīvnieku izcelsmes produktiem, kas domāti lietošanai pārtikā, un slimību izraisītājiem;</w:t>
      </w:r>
    </w:p>
    <w:p>
      <w:pPr>
        <w:pStyle w:val="Normal"/>
        <w:bidi w:val="0"/>
        <w:jc w:val="both"/>
        <w:rPr>
          <w:rFonts w:ascii="Times New Roman" w:hAnsi="Times New Roman"/>
          <w:sz w:val="24"/>
          <w:lang w:val="lv-LV"/>
        </w:rPr>
      </w:pPr>
      <w:r>
        <w:rPr>
          <w:sz w:val="24"/>
          <w:lang w:val="lv-LV"/>
        </w:rPr>
      </w:r>
    </w:p>
    <w:p>
      <w:pPr>
        <w:pStyle w:val="Normal"/>
        <w:bidi w:val="0"/>
        <w:jc w:val="both"/>
        <w:rPr/>
      </w:pPr>
      <w:r>
        <w:rPr>
          <w:sz w:val="24"/>
          <w:lang w:val="lv-LV"/>
        </w:rPr>
        <w:t>4) visi Kopienas noteikumi par dzīvnieku blakusproduktiem, kas nav domāti lietošanai pārtikā, šobrīd ir paredzēti Eiropas Parlamenta un Padomes Regulā (EK) Nr. 1774/2002</w:t>
      </w:r>
      <w:r>
        <w:rPr>
          <w:rStyle w:val="FootnoteAnchor"/>
          <w:sz w:val="24"/>
          <w:lang w:val="lv-LV"/>
        </w:rPr>
        <w:footnoteReference w:id="24"/>
      </w:r>
      <w:r>
        <w:rPr>
          <w:sz w:val="24"/>
          <w:lang w:val="lv-LV"/>
        </w:rPr>
        <w:t>;</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5) tātad, Kopienas tiesību aktu konsekvences un skaidrības labad šie atšķirīgie Komisijas lēmumi par dzīvnieku blakusproduktiem, kas nav domāti lietošanai pārtikā, un kuru juridiskais pamats ir Direktīva 72/462/EEK un Direktīva 92/118/EEK, tādēļ ir jāatceļ;</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6) šajā regulā paredzētie pasākumi ir saskaņā ar Pastāvīgās pārtikas aprites un dzīvnieku veselības komitejas atzinumu,</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IR PIEŅĒMUSI ŠO REGULU.</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Heading1"/>
        <w:bidi w:val="0"/>
        <w:rPr>
          <w:lang w:val="lv-LV"/>
        </w:rPr>
      </w:pPr>
      <w:r>
        <w:rPr>
          <w:lang w:val="lv-LV"/>
        </w:rPr>
        <w:t>1. pants</w:t>
      </w:r>
    </w:p>
    <w:p>
      <w:pPr>
        <w:pStyle w:val="Normal"/>
        <w:keepNext w:val="true"/>
        <w:bidi w:val="0"/>
        <w:jc w:val="both"/>
        <w:rPr>
          <w:rFonts w:ascii="Times New Roman" w:hAnsi="Times New Roman"/>
          <w:sz w:val="24"/>
          <w:lang w:val="lv-LV"/>
        </w:rPr>
      </w:pPr>
      <w:r>
        <w:rPr>
          <w:sz w:val="24"/>
          <w:lang w:val="lv-LV"/>
        </w:rPr>
      </w:r>
    </w:p>
    <w:p>
      <w:pPr>
        <w:pStyle w:val="Heading2"/>
        <w:bidi w:val="0"/>
        <w:rPr>
          <w:lang w:val="lv-LV"/>
        </w:rPr>
      </w:pPr>
      <w:r>
        <w:rPr>
          <w:lang w:val="lv-LV"/>
        </w:rPr>
        <w:t>Atceltie lēmumi</w:t>
      </w:r>
    </w:p>
    <w:p>
      <w:pPr>
        <w:pStyle w:val="Normal"/>
        <w:keepNext w:val="true"/>
        <w:bidi w:val="0"/>
        <w:jc w:val="both"/>
        <w:rPr>
          <w:rFonts w:ascii="Times New Roman" w:hAnsi="Times New Roman"/>
          <w:sz w:val="24"/>
          <w:lang w:val="lv-LV"/>
        </w:rPr>
      </w:pPr>
      <w:r>
        <w:rPr>
          <w:sz w:val="24"/>
          <w:lang w:val="lv-LV"/>
        </w:rPr>
      </w:r>
    </w:p>
    <w:p>
      <w:pPr>
        <w:pStyle w:val="Normal"/>
        <w:keepNext w:val="true"/>
        <w:bidi w:val="0"/>
        <w:jc w:val="both"/>
        <w:rPr>
          <w:lang w:val="lv-LV"/>
        </w:rPr>
      </w:pPr>
      <w:r>
        <w:rPr>
          <w:sz w:val="24"/>
          <w:lang w:val="lv-LV"/>
        </w:rPr>
        <w:t>Lēmumi 89/18/EEK, 92/187/EEK, 92/183/EEK, 94/143/EK, 94/309/EK, 94/344/EK, 94/435/EK, 94/446/EK, 94/860/EK, 95/341/EK, 96/500/EK, 97/168/EK un 97/198/EK ir atcelti.</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Heading1"/>
        <w:bidi w:val="0"/>
        <w:rPr>
          <w:lang w:val="lv-LV"/>
        </w:rPr>
      </w:pPr>
      <w:r>
        <w:rPr>
          <w:lang w:val="lv-LV"/>
        </w:rPr>
        <w:t>2. pants</w:t>
      </w:r>
    </w:p>
    <w:p>
      <w:pPr>
        <w:pStyle w:val="Normal"/>
        <w:bidi w:val="0"/>
        <w:jc w:val="center"/>
        <w:rPr>
          <w:rFonts w:ascii="Times New Roman" w:hAnsi="Times New Roman"/>
          <w:sz w:val="24"/>
          <w:lang w:val="lv-LV"/>
        </w:rPr>
      </w:pPr>
      <w:r>
        <w:rPr>
          <w:sz w:val="24"/>
          <w:lang w:val="lv-LV"/>
        </w:rPr>
      </w:r>
    </w:p>
    <w:p>
      <w:pPr>
        <w:pStyle w:val="Heading2"/>
        <w:bidi w:val="0"/>
        <w:rPr>
          <w:lang w:val="lv-LV"/>
        </w:rPr>
      </w:pPr>
      <w:r>
        <w:rPr>
          <w:lang w:val="lv-LV"/>
        </w:rPr>
        <w:t>Stāšanās spēkā un piemērošana</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Šī regula stājas spēkā trešajā dienā pēc tās publicēšanas “Eiropas Savienības Oficiālajā Vēstnesī”.</w:t>
      </w:r>
    </w:p>
    <w:p>
      <w:pPr>
        <w:pStyle w:val="Normal"/>
        <w:bidi w:val="0"/>
        <w:jc w:val="both"/>
        <w:rPr>
          <w:rFonts w:ascii="Times New Roman" w:hAnsi="Times New Roman"/>
          <w:i/>
          <w:i/>
          <w:sz w:val="24"/>
          <w:lang w:val="lv-LV"/>
        </w:rPr>
      </w:pPr>
      <w:r>
        <w:rPr>
          <w:i/>
          <w:sz w:val="24"/>
          <w:lang w:val="lv-LV"/>
        </w:rPr>
      </w:r>
    </w:p>
    <w:p>
      <w:pPr>
        <w:pStyle w:val="Normal"/>
        <w:bidi w:val="0"/>
        <w:jc w:val="both"/>
        <w:rPr>
          <w:lang w:val="lv-LV"/>
        </w:rPr>
      </w:pPr>
      <w:r>
        <w:rPr>
          <w:sz w:val="24"/>
          <w:lang w:val="lv-LV"/>
        </w:rPr>
        <w:t xml:space="preserve"> </w:t>
      </w:r>
      <w:r>
        <w:rPr>
          <w:sz w:val="24"/>
          <w:lang w:val="lv-LV"/>
        </w:rPr>
        <w:t>Šo regulu piemēro no 2004. gada 1. maija.</w:t>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Šī regula uzliek saistības kopumā un ir tieši piemērojama visās dalībvalstīs.</w:t>
      </w:r>
    </w:p>
    <w:p>
      <w:pPr>
        <w:pStyle w:val="Normal"/>
        <w:bidi w:val="0"/>
        <w:jc w:val="both"/>
        <w:rPr>
          <w:rFonts w:ascii="Times New Roman" w:hAnsi="Times New Roman"/>
          <w:sz w:val="24"/>
          <w:lang w:val="lv-LV"/>
        </w:rPr>
      </w:pPr>
      <w:r>
        <w:rPr>
          <w:sz w:val="24"/>
          <w:lang w:val="lv-LV"/>
        </w:rPr>
      </w:r>
    </w:p>
    <w:p>
      <w:pPr>
        <w:pStyle w:val="Normal"/>
        <w:bidi w:val="0"/>
        <w:jc w:val="both"/>
        <w:rPr>
          <w:lang w:val="lv-LV"/>
        </w:rPr>
      </w:pPr>
      <w:r>
        <w:rPr>
          <w:sz w:val="24"/>
          <w:lang w:val="lv-LV"/>
        </w:rPr>
        <w:t>Briselē, 2004. gada 9.martā.</w:t>
      </w:r>
    </w:p>
    <w:p>
      <w:pPr>
        <w:pStyle w:val="Normal"/>
        <w:bidi w:val="0"/>
        <w:jc w:val="both"/>
        <w:rPr>
          <w:rFonts w:ascii="Times New Roman" w:hAnsi="Times New Roman"/>
          <w:sz w:val="24"/>
          <w:lang w:val="lv-LV"/>
        </w:rPr>
      </w:pPr>
      <w:r>
        <w:rPr>
          <w:sz w:val="24"/>
          <w:lang w:val="lv-LV"/>
        </w:rPr>
      </w:r>
    </w:p>
    <w:tbl>
      <w:tblPr>
        <w:tblW w:w="9286" w:type="dxa"/>
        <w:jc w:val="start"/>
        <w:tblInd w:w="-109" w:type="dxa"/>
        <w:tblLayout w:type="fixed"/>
        <w:tblCellMar>
          <w:top w:w="0" w:type="dxa"/>
          <w:start w:w="108" w:type="dxa"/>
          <w:bottom w:w="0" w:type="dxa"/>
          <w:end w:w="108" w:type="dxa"/>
        </w:tblCellMar>
      </w:tblPr>
      <w:tblGrid>
        <w:gridCol w:w="4643"/>
        <w:gridCol w:w="4642"/>
      </w:tblGrid>
      <w:tr>
        <w:trPr/>
        <w:tc>
          <w:tcPr>
            <w:tcW w:w="4643" w:type="dxa"/>
            <w:tcBorders/>
          </w:tcPr>
          <w:p>
            <w:pPr>
              <w:pStyle w:val="Normal"/>
              <w:keepNext w:val="true"/>
              <w:widowControl w:val="false"/>
              <w:tabs>
                <w:tab w:val="clear" w:pos="720"/>
              </w:tabs>
              <w:bidi w:val="0"/>
              <w:jc w:val="center"/>
              <w:rPr>
                <w:rFonts w:ascii="Times New Roman" w:hAnsi="Times New Roman"/>
                <w:sz w:val="24"/>
                <w:lang w:val="lv-LV"/>
              </w:rPr>
            </w:pPr>
            <w:r>
              <w:rPr>
                <w:sz w:val="24"/>
                <w:lang w:val="lv-LV"/>
              </w:rPr>
            </w:r>
          </w:p>
        </w:tc>
        <w:tc>
          <w:tcPr>
            <w:tcW w:w="4642" w:type="dxa"/>
            <w:tcBorders/>
          </w:tcPr>
          <w:p>
            <w:pPr>
              <w:pStyle w:val="Normal"/>
              <w:keepNext w:val="true"/>
              <w:widowControl w:val="false"/>
              <w:tabs>
                <w:tab w:val="clear" w:pos="720"/>
              </w:tabs>
              <w:bidi w:val="0"/>
              <w:jc w:val="center"/>
              <w:rPr>
                <w:lang w:val="lv-LV"/>
              </w:rPr>
            </w:pPr>
            <w:r>
              <w:rPr>
                <w:sz w:val="24"/>
                <w:lang w:val="lv-LV"/>
              </w:rPr>
              <w:t>Komisijas vārdā –</w:t>
            </w:r>
          </w:p>
          <w:p>
            <w:pPr>
              <w:pStyle w:val="Normal"/>
              <w:keepNext w:val="true"/>
              <w:widowControl w:val="false"/>
              <w:tabs>
                <w:tab w:val="clear" w:pos="720"/>
              </w:tabs>
              <w:bidi w:val="0"/>
              <w:jc w:val="center"/>
              <w:rPr>
                <w:rFonts w:ascii="Times New Roman" w:hAnsi="Times New Roman"/>
                <w:sz w:val="24"/>
                <w:lang w:val="lv-LV"/>
              </w:rPr>
            </w:pPr>
            <w:r>
              <w:rPr>
                <w:sz w:val="24"/>
                <w:lang w:val="lv-LV"/>
              </w:rPr>
            </w:r>
          </w:p>
          <w:p>
            <w:pPr>
              <w:pStyle w:val="Normal"/>
              <w:keepNext w:val="true"/>
              <w:widowControl w:val="false"/>
              <w:tabs>
                <w:tab w:val="clear" w:pos="720"/>
              </w:tabs>
              <w:bidi w:val="0"/>
              <w:jc w:val="center"/>
              <w:rPr/>
            </w:pPr>
            <w:r>
              <w:rPr>
                <w:sz w:val="24"/>
                <w:lang w:val="lv-LV"/>
              </w:rPr>
              <w:t xml:space="preserve">Deivids </w:t>
            </w:r>
            <w:r>
              <w:rPr>
                <w:caps/>
                <w:sz w:val="24"/>
                <w:lang w:val="lv-LV"/>
              </w:rPr>
              <w:t>B</w:t>
            </w:r>
            <w:r>
              <w:rPr>
                <w:sz w:val="24"/>
                <w:lang w:val="lv-LV"/>
              </w:rPr>
              <w:t>ērns</w:t>
            </w:r>
            <w:r>
              <w:rPr>
                <w:i/>
                <w:sz w:val="24"/>
                <w:lang w:val="lv-LV"/>
              </w:rPr>
              <w:t xml:space="preserve"> </w:t>
            </w:r>
            <w:r>
              <w:rPr>
                <w:sz w:val="24"/>
                <w:lang w:val="lv-LV"/>
              </w:rPr>
              <w:t>[</w:t>
            </w:r>
            <w:r>
              <w:rPr>
                <w:i/>
                <w:sz w:val="24"/>
                <w:lang w:val="lv-LV"/>
              </w:rPr>
              <w:t xml:space="preserve">David </w:t>
            </w:r>
            <w:r>
              <w:rPr>
                <w:i/>
                <w:caps/>
                <w:sz w:val="24"/>
                <w:lang w:val="lv-LV"/>
              </w:rPr>
              <w:t>B</w:t>
            </w:r>
            <w:r>
              <w:rPr>
                <w:i/>
                <w:sz w:val="24"/>
                <w:lang w:val="lv-LV"/>
              </w:rPr>
              <w:t>yrne</w:t>
            </w:r>
            <w:r>
              <w:rPr>
                <w:sz w:val="24"/>
                <w:lang w:val="lv-LV"/>
              </w:rPr>
              <w:t>],</w:t>
            </w:r>
          </w:p>
          <w:p>
            <w:pPr>
              <w:pStyle w:val="Normal"/>
              <w:keepNext w:val="true"/>
              <w:widowControl w:val="false"/>
              <w:tabs>
                <w:tab w:val="clear" w:pos="720"/>
              </w:tabs>
              <w:bidi w:val="0"/>
              <w:jc w:val="center"/>
              <w:rPr>
                <w:rFonts w:ascii="Times New Roman" w:hAnsi="Times New Roman"/>
                <w:sz w:val="24"/>
                <w:lang w:val="lv-LV"/>
              </w:rPr>
            </w:pPr>
            <w:r>
              <w:rPr>
                <w:sz w:val="24"/>
                <w:lang w:val="lv-LV"/>
              </w:rPr>
            </w:r>
          </w:p>
          <w:p>
            <w:pPr>
              <w:pStyle w:val="Normal"/>
              <w:keepNext w:val="true"/>
              <w:widowControl w:val="false"/>
              <w:tabs>
                <w:tab w:val="clear" w:pos="720"/>
              </w:tabs>
              <w:bidi w:val="0"/>
              <w:jc w:val="center"/>
              <w:rPr/>
            </w:pPr>
            <w:r>
              <w:rPr>
                <w:sz w:val="24"/>
                <w:lang w:val="lv-LV"/>
              </w:rPr>
              <w:t>Komisijas loceklis</w:t>
            </w:r>
          </w:p>
        </w:tc>
      </w:tr>
    </w:tbl>
    <w:p>
      <w:pPr>
        <w:pStyle w:val="Normal"/>
        <w:widowControl w:val="false"/>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start"/>
        <w:rPr>
          <w:lang w:val="lv-LV"/>
        </w:rPr>
      </w:pPr>
      <w:r>
        <w:rPr>
          <w:i/>
          <w:lang w:val="lv-LV"/>
        </w:rPr>
        <w:t>REGISTER: 03503000</w:t>
      </w:r>
    </w:p>
    <w:p>
      <w:pPr>
        <w:pStyle w:val="Normal"/>
        <w:bidi w:val="0"/>
        <w:jc w:val="both"/>
        <w:rPr>
          <w:lang w:val="lv-LV"/>
        </w:rPr>
      </w:pPr>
      <w:r>
        <w:rPr>
          <w:i/>
          <w:lang w:val="lv-LV"/>
        </w:rPr>
        <w:t>DOCNUM: 32004R0433</w:t>
      </w:r>
    </w:p>
    <w:p>
      <w:pPr>
        <w:pStyle w:val="Normal"/>
        <w:bidi w:val="0"/>
        <w:jc w:val="start"/>
        <w:rPr/>
      </w:pPr>
      <w:r>
        <w:rPr>
          <w:i/>
          <w:lang w:val="lv-LV"/>
        </w:rPr>
        <w:t xml:space="preserve">PUBREF: Official Journal L 071 , 10/03/2004 P. 0005 - 0006 </w:t>
      </w:r>
    </w:p>
    <w:sectPr>
      <w:headerReference w:type="default" r:id="rId2"/>
      <w:headerReference w:type="first" r:id="rId3"/>
      <w:footerReference w:type="default" r:id="rId4"/>
      <w:footerReference w:type="first" r:id="rId5"/>
      <w:footnotePr>
        <w:numFmt w:val="decimal"/>
      </w:footnotePr>
      <w:type w:val="nextPage"/>
      <w:pgSz w:w="11906" w:h="16838"/>
      <w:pgMar w:left="1701" w:right="1134" w:gutter="0" w:header="567" w:top="1134" w:footer="567"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Symbol">
    <w:charset w:val="01" w:characterSet="utf-8"/>
    <w:family w:val="roman"/>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left" w:pos="9072" w:leader="none"/>
      </w:tabs>
      <w:bidi w:val="0"/>
      <w:jc w:val="start"/>
      <w:rPr/>
    </w:pPr>
    <w:r>
      <w:rPr>
        <w:rStyle w:val="Pagenumber"/>
        <w:sz w:val="18"/>
        <w:u w:val="single"/>
        <w:lang w:val="en-GB"/>
      </w:rPr>
      <w:tab/>
    </w:r>
  </w:p>
  <w:p>
    <w:pPr>
      <w:pStyle w:val="Header"/>
      <w:tabs>
        <w:tab w:val="clear" w:pos="4153"/>
        <w:tab w:val="clear" w:pos="8306"/>
        <w:tab w:val="left" w:pos="9072" w:leader="none"/>
      </w:tabs>
      <w:bidi w:val="0"/>
      <w:jc w:val="start"/>
      <w:rPr>
        <w:rStyle w:val="Pagenumber"/>
        <w:rFonts w:ascii="Times New Roman" w:hAnsi="Times New Roman"/>
        <w:sz w:val="18"/>
        <w:u w:val="single"/>
        <w:lang w:val="en-GB"/>
      </w:rPr>
    </w:pPr>
    <w:r>
      <w:rPr>
        <w:sz w:val="18"/>
        <w:u w:val="single"/>
        <w:lang w:val="en-GB"/>
      </w:rPr>
    </w:r>
  </w:p>
  <w:p>
    <w:pPr>
      <w:pStyle w:val="Footer"/>
      <w:tabs>
        <w:tab w:val="clear" w:pos="4153"/>
        <w:tab w:val="clear" w:pos="8306"/>
        <w:tab w:val="center" w:pos="9072" w:leader="none"/>
        <w:tab w:val="right" w:pos="9356" w:leader="none"/>
      </w:tabs>
      <w:bidi w:val="0"/>
      <w:jc w:val="start"/>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w:rPr>
        <w:sz w:val="18"/>
        <w:lang w:val="lv-LV"/>
      </w:rPr>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4</w:t>
    </w:r>
    <w:r>
      <w:rPr>
        <w:rStyle w:val="Pagenumber"/>
        <w:lang w:val="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left" w:pos="9072" w:leader="none"/>
      </w:tabs>
      <w:bidi w:val="0"/>
      <w:jc w:val="start"/>
      <w:rPr/>
    </w:pPr>
    <w:r>
      <w:rPr>
        <w:rStyle w:val="Pagenumber"/>
        <w:sz w:val="18"/>
        <w:u w:val="single"/>
        <w:lang w:val="en-GB"/>
      </w:rPr>
      <w:tab/>
    </w:r>
  </w:p>
  <w:p>
    <w:pPr>
      <w:pStyle w:val="Header"/>
      <w:tabs>
        <w:tab w:val="clear" w:pos="4153"/>
        <w:tab w:val="clear" w:pos="8306"/>
        <w:tab w:val="left" w:pos="9072" w:leader="none"/>
      </w:tabs>
      <w:bidi w:val="0"/>
      <w:jc w:val="start"/>
      <w:rPr>
        <w:rStyle w:val="Pagenumber"/>
        <w:rFonts w:ascii="Times New Roman" w:hAnsi="Times New Roman"/>
        <w:sz w:val="18"/>
        <w:u w:val="single"/>
        <w:lang w:val="en-GB"/>
      </w:rPr>
    </w:pPr>
    <w:r>
      <w:rPr>
        <w:sz w:val="18"/>
        <w:u w:val="single"/>
        <w:lang w:val="en-GB"/>
      </w:rPr>
    </w:r>
  </w:p>
  <w:p>
    <w:pPr>
      <w:pStyle w:val="Footer"/>
      <w:bidi w:val="0"/>
      <w:jc w:val="start"/>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mc:AlternateContent>
        <mc:Choice Requires="wps">
          <w:drawing>
            <wp:anchor behindDoc="0" distT="0" distB="0" distL="114935" distR="114935" simplePos="0" locked="0" layoutInCell="0" allowOverlap="1" relativeHeight="2">
              <wp:simplePos x="0" y="0"/>
              <wp:positionH relativeFrom="page">
                <wp:posOffset>3836670</wp:posOffset>
              </wp:positionH>
              <wp:positionV relativeFrom="page">
                <wp:posOffset>10058400</wp:posOffset>
              </wp:positionV>
              <wp:extent cx="372110" cy="403860"/>
              <wp:effectExtent l="0" t="0" r="0" b="0"/>
              <wp:wrapTopAndBottom/>
              <wp:docPr id="1" name="Frame1"/>
              <a:graphic xmlns:a="http://schemas.openxmlformats.org/drawingml/2006/main">
                <a:graphicData uri="http://schemas.microsoft.com/office/word/2010/wordprocessingShape">
                  <wps:wsp>
                    <wps:cNvSpPr txBox="1"/>
                    <wps:spPr>
                      <a:xfrm>
                        <a:off x="0" y="0"/>
                        <a:ext cx="372110" cy="403860"/>
                      </a:xfrm>
                      <a:prstGeom prst="rect"/>
                      <a:solidFill>
                        <a:srgbClr val="FFFFFF">
                          <a:alpha val="0"/>
                        </a:srgbClr>
                      </a:solidFill>
                    </wps:spPr>
                    <wps:txbx>
                      <w:txbxContent>
                        <w:p>
                          <w:pPr>
                            <w:pStyle w:val="Footer"/>
                            <w:pBdr/>
                            <w:bidi w:val="0"/>
                            <w:jc w:val="center"/>
                            <w:rPr>
                              <w:rFonts w:ascii="Times New Roman" w:hAnsi="Times New Roman"/>
                              <w:sz w:val="18"/>
                            </w:rPr>
                          </w:pPr>
                          <w:r>
                            <w:rPr/>
                            <w:drawing>
                              <wp:inline distT="0" distB="0" distL="0" distR="0">
                                <wp:extent cx="371475" cy="4038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371475" cy="403860"/>
                                        </a:xfrm>
                                        <a:prstGeom prst="rect">
                                          <a:avLst/>
                                        </a:prstGeom>
                                      </pic:spPr>
                                    </pic:pic>
                                  </a:graphicData>
                                </a:graphic>
                              </wp:inline>
                            </w:drawing>
                          </w:r>
                        </w:p>
                      </w:txbxContent>
                    </wps:txbx>
                    <wps:bodyPr anchor="t" lIns="0" tIns="0" rIns="0" bIns="0">
                      <a:spAutoFit/>
                    </wps:bodyPr>
                  </wps:wsp>
                </a:graphicData>
              </a:graphic>
            </wp:anchor>
          </w:drawing>
        </mc:Choice>
        <mc:Fallback>
          <w:pict>
            <v:rect fillcolor="#FFFFFF" style="position:absolute;rotation:-0;width:29.3pt;height:31.8pt;mso-wrap-distance-left:9.05pt;mso-wrap-distance-right:9.05pt;mso-wrap-distance-top:0pt;mso-wrap-distance-bottom:0pt;margin-top:792pt;mso-position-vertical-relative:page;margin-left:302.1pt;mso-position-horizontal-relative:page">
              <v:fill opacity="0f"/>
              <v:textbox inset="0in,0in,0in,0in">
                <w:txbxContent>
                  <w:p>
                    <w:pPr>
                      <w:pStyle w:val="Footer"/>
                      <w:pBdr/>
                      <w:bidi w:val="0"/>
                      <w:jc w:val="center"/>
                      <w:rPr>
                        <w:rFonts w:ascii="Times New Roman" w:hAnsi="Times New Roman"/>
                        <w:sz w:val="18"/>
                      </w:rPr>
                    </w:pPr>
                    <w:r>
                      <w:rPr/>
                      <w:drawing>
                        <wp:inline distT="0" distB="0" distL="0" distR="0">
                          <wp:extent cx="371475" cy="4038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tretch>
                                    <a:fillRect/>
                                  </a:stretch>
                                </pic:blipFill>
                                <pic:spPr bwMode="auto">
                                  <a:xfrm>
                                    <a:off x="0" y="0"/>
                                    <a:ext cx="371475" cy="403860"/>
                                  </a:xfrm>
                                  <a:prstGeom prst="rect">
                                    <a:avLst/>
                                  </a:prstGeom>
                                </pic:spPr>
                              </pic:pic>
                            </a:graphicData>
                          </a:graphic>
                        </wp:inline>
                      </w:drawing>
                    </w:r>
                  </w:p>
                </w:txbxContent>
              </v:textbox>
              <w10:wrap type="topAndBottom"/>
            </v:rect>
          </w:pict>
        </mc:Fallback>
      </mc:AlternateContent>
    </w:r>
  </w:p>
  <w:p>
    <w:pPr>
      <w:pStyle w:val="Footer"/>
      <w:bidi w:val="0"/>
      <w:jc w:val="start"/>
      <w:rPr>
        <w:rFonts w:ascii="Times New Roman" w:hAnsi="Times New Roman"/>
        <w:sz w:val="18"/>
      </w:rPr>
    </w:pPr>
    <w:r>
      <w:rPr>
        <w:sz w:val="1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
        <w:bidi w:val="0"/>
        <w:jc w:val="start"/>
        <w:rPr/>
      </w:pPr>
      <w:r>
        <w:rPr>
          <w:rStyle w:val="FootnoteCharacters"/>
        </w:rPr>
        <w:footnoteRef/>
      </w:r>
      <w:r>
        <w:rPr>
          <w:i/>
          <w:lang w:val="lv-LV"/>
        </w:rPr>
        <w:t>OJ L 302, 31.12.1972., p. 28.</w:t>
      </w:r>
    </w:p>
  </w:footnote>
  <w:footnote w:id="3">
    <w:p>
      <w:pPr>
        <w:pStyle w:val="Footnote"/>
        <w:bidi w:val="0"/>
        <w:jc w:val="start"/>
        <w:rPr/>
      </w:pPr>
      <w:r>
        <w:rPr>
          <w:rStyle w:val="FootnoteCharacters"/>
        </w:rPr>
        <w:footnoteRef/>
      </w:r>
      <w:r>
        <w:rPr>
          <w:i/>
          <w:lang w:val="lv-LV"/>
        </w:rPr>
        <w:t>OJ L 122, 16.5.2003, p. 36.</w:t>
      </w:r>
    </w:p>
  </w:footnote>
  <w:footnote w:id="4">
    <w:p>
      <w:pPr>
        <w:pStyle w:val="Footnote"/>
        <w:bidi w:val="0"/>
        <w:jc w:val="start"/>
        <w:rPr/>
      </w:pPr>
      <w:r>
        <w:rPr>
          <w:rStyle w:val="FootnoteCharacters"/>
        </w:rPr>
        <w:footnoteRef/>
      </w:r>
      <w:r>
        <w:rPr>
          <w:i/>
          <w:lang w:val="lv-LV"/>
        </w:rPr>
        <w:t>OJ L 62, 15.3.1993, p. 49.</w:t>
      </w:r>
    </w:p>
  </w:footnote>
  <w:footnote w:id="5">
    <w:p>
      <w:pPr>
        <w:pStyle w:val="Footnote"/>
        <w:bidi w:val="0"/>
        <w:jc w:val="start"/>
        <w:rPr/>
      </w:pPr>
      <w:r>
        <w:rPr>
          <w:rStyle w:val="FootnoteCharacters"/>
        </w:rPr>
        <w:footnoteRef/>
      </w:r>
      <w:r>
        <w:rPr>
          <w:i/>
          <w:lang w:val="lv-LV"/>
        </w:rPr>
        <w:t>OJ L 13, 18.1.2003, p. 24.</w:t>
      </w:r>
    </w:p>
  </w:footnote>
  <w:footnote w:id="6">
    <w:p>
      <w:pPr>
        <w:pStyle w:val="Footnote"/>
        <w:bidi w:val="0"/>
        <w:jc w:val="start"/>
        <w:rPr/>
      </w:pPr>
      <w:r>
        <w:rPr>
          <w:rStyle w:val="FootnoteCharacters"/>
        </w:rPr>
        <w:footnoteRef/>
      </w:r>
      <w:r>
        <w:rPr>
          <w:lang w:val="lv-LV"/>
        </w:rPr>
        <w:t xml:space="preserve">OJ L 8, 11.1.1989, p. 17. </w:t>
      </w:r>
    </w:p>
  </w:footnote>
  <w:footnote w:id="7">
    <w:p>
      <w:pPr>
        <w:pStyle w:val="Footnote"/>
        <w:bidi w:val="0"/>
        <w:jc w:val="start"/>
        <w:rPr/>
      </w:pPr>
      <w:r>
        <w:rPr>
          <w:rStyle w:val="FootnoteCharacters"/>
        </w:rPr>
        <w:footnoteRef/>
      </w:r>
      <w:r>
        <w:rPr>
          <w:i/>
          <w:lang w:val="lv-LV"/>
        </w:rPr>
        <w:t>OJ L 87, 2.4.1992, p. 20.</w:t>
      </w:r>
    </w:p>
  </w:footnote>
  <w:footnote w:id="8">
    <w:p>
      <w:pPr>
        <w:pStyle w:val="Footnote"/>
        <w:bidi w:val="0"/>
        <w:jc w:val="start"/>
        <w:rPr/>
      </w:pPr>
      <w:r>
        <w:rPr>
          <w:rStyle w:val="FootnoteCharacters"/>
        </w:rPr>
        <w:footnoteRef/>
      </w:r>
      <w:r>
        <w:rPr>
          <w:i/>
          <w:lang w:val="lv-LV"/>
        </w:rPr>
        <w:t>OJ L 84, 31.3.1992, p. 33.</w:t>
      </w:r>
    </w:p>
  </w:footnote>
  <w:footnote w:id="9">
    <w:p>
      <w:pPr>
        <w:pStyle w:val="Footnote"/>
        <w:bidi w:val="0"/>
        <w:jc w:val="start"/>
        <w:rPr/>
      </w:pPr>
      <w:r>
        <w:rPr>
          <w:rStyle w:val="FootnoteCharacters"/>
        </w:rPr>
        <w:footnoteRef/>
      </w:r>
      <w:r>
        <w:rPr>
          <w:i/>
          <w:lang w:val="lv-LV"/>
        </w:rPr>
        <w:t>OJ L 62, 5.3.1994, p. 41.</w:t>
      </w:r>
    </w:p>
  </w:footnote>
  <w:footnote w:id="10">
    <w:p>
      <w:pPr>
        <w:pStyle w:val="Footnote"/>
        <w:bidi w:val="0"/>
        <w:jc w:val="start"/>
        <w:rPr/>
      </w:pPr>
      <w:r>
        <w:rPr>
          <w:rStyle w:val="FootnoteCharacters"/>
        </w:rPr>
        <w:footnoteRef/>
      </w:r>
      <w:r>
        <w:rPr>
          <w:i/>
          <w:lang w:val="lv-LV"/>
        </w:rPr>
        <w:t>OJ L 137, 1.6..1994, p. 62.</w:t>
      </w:r>
    </w:p>
  </w:footnote>
  <w:footnote w:id="11">
    <w:p>
      <w:pPr>
        <w:pStyle w:val="Footnote"/>
        <w:bidi w:val="0"/>
        <w:jc w:val="start"/>
        <w:rPr/>
      </w:pPr>
      <w:r>
        <w:rPr>
          <w:rStyle w:val="FootnoteCharacters"/>
        </w:rPr>
        <w:footnoteRef/>
      </w:r>
      <w:r>
        <w:rPr>
          <w:i/>
          <w:lang w:val="lv-LV"/>
        </w:rPr>
        <w:t>OJ L 84, 26.3.1997, p. 44.</w:t>
      </w:r>
    </w:p>
  </w:footnote>
  <w:footnote w:id="12">
    <w:p>
      <w:pPr>
        <w:pStyle w:val="Footnote"/>
        <w:bidi w:val="0"/>
        <w:jc w:val="start"/>
        <w:rPr/>
      </w:pPr>
      <w:r>
        <w:rPr>
          <w:rStyle w:val="FootnoteCharacters"/>
        </w:rPr>
        <w:footnoteRef/>
      </w:r>
      <w:r>
        <w:rPr>
          <w:i/>
          <w:lang w:val="lv-LV"/>
        </w:rPr>
        <w:t>OJ L 154, 21.6.1994, p. 45.</w:t>
      </w:r>
    </w:p>
  </w:footnote>
  <w:footnote w:id="13">
    <w:p>
      <w:pPr>
        <w:pStyle w:val="Footnote"/>
        <w:bidi w:val="0"/>
        <w:jc w:val="start"/>
        <w:rPr/>
      </w:pPr>
      <w:r>
        <w:rPr>
          <w:rStyle w:val="FootnoteCharacters"/>
        </w:rPr>
        <w:footnoteRef/>
      </w:r>
      <w:r>
        <w:rPr>
          <w:i/>
          <w:lang w:val="lv-LV"/>
        </w:rPr>
        <w:t>OJ L 84, 26.3.1997, p. 36.</w:t>
      </w:r>
    </w:p>
  </w:footnote>
  <w:footnote w:id="14">
    <w:p>
      <w:pPr>
        <w:pStyle w:val="Footnote"/>
        <w:bidi w:val="0"/>
        <w:jc w:val="start"/>
        <w:rPr/>
      </w:pPr>
      <w:r>
        <w:rPr>
          <w:rStyle w:val="FootnoteCharacters"/>
        </w:rPr>
        <w:footnoteRef/>
      </w:r>
      <w:r>
        <w:rPr>
          <w:i/>
          <w:lang w:val="lv-LV"/>
        </w:rPr>
        <w:t>OJ L 180, 14.7.1994, p. 40.</w:t>
      </w:r>
    </w:p>
  </w:footnote>
  <w:footnote w:id="15">
    <w:p>
      <w:pPr>
        <w:pStyle w:val="Footnote"/>
        <w:bidi w:val="0"/>
        <w:jc w:val="start"/>
        <w:rPr/>
      </w:pPr>
      <w:r>
        <w:rPr>
          <w:rStyle w:val="FootnoteCharacters"/>
        </w:rPr>
        <w:footnoteRef/>
      </w:r>
      <w:r>
        <w:rPr>
          <w:i/>
          <w:lang w:val="lv-LV"/>
        </w:rPr>
        <w:t>OJ L 183, 19.7.1994, p. 46.</w:t>
      </w:r>
    </w:p>
  </w:footnote>
  <w:footnote w:id="16">
    <w:p>
      <w:pPr>
        <w:pStyle w:val="Footnote"/>
        <w:bidi w:val="0"/>
        <w:jc w:val="start"/>
        <w:rPr/>
      </w:pPr>
      <w:r>
        <w:rPr>
          <w:rStyle w:val="FootnoteCharacters"/>
        </w:rPr>
        <w:footnoteRef/>
      </w:r>
      <w:r>
        <w:rPr>
          <w:i/>
          <w:lang w:val="lv-LV"/>
        </w:rPr>
        <w:t>OJ L 84, 26.3.1997, p. 32.</w:t>
      </w:r>
    </w:p>
  </w:footnote>
  <w:footnote w:id="17">
    <w:p>
      <w:pPr>
        <w:pStyle w:val="Footnote"/>
        <w:bidi w:val="0"/>
        <w:jc w:val="start"/>
        <w:rPr/>
      </w:pPr>
      <w:r>
        <w:rPr>
          <w:rStyle w:val="FootnoteCharacters"/>
        </w:rPr>
        <w:footnoteRef/>
      </w:r>
      <w:r>
        <w:rPr>
          <w:i/>
          <w:lang w:val="lv-LV"/>
        </w:rPr>
        <w:t>OJ L 352, 31.12.1994, p. 69.</w:t>
      </w:r>
    </w:p>
  </w:footnote>
  <w:footnote w:id="18">
    <w:p>
      <w:pPr>
        <w:pStyle w:val="Footnote"/>
        <w:bidi w:val="0"/>
        <w:jc w:val="start"/>
        <w:rPr/>
      </w:pPr>
      <w:r>
        <w:rPr>
          <w:rStyle w:val="FootnoteCharacters"/>
        </w:rPr>
        <w:footnoteRef/>
      </w:r>
      <w:r>
        <w:rPr>
          <w:i/>
          <w:lang w:val="lv-LV"/>
        </w:rPr>
        <w:t>OJ L 200, 24.8.1995, p. 42.</w:t>
      </w:r>
    </w:p>
  </w:footnote>
  <w:footnote w:id="19">
    <w:p>
      <w:pPr>
        <w:pStyle w:val="Footnote"/>
        <w:bidi w:val="0"/>
        <w:jc w:val="start"/>
        <w:rPr/>
      </w:pPr>
      <w:r>
        <w:rPr>
          <w:rStyle w:val="FootnoteCharacters"/>
        </w:rPr>
        <w:footnoteRef/>
      </w:r>
      <w:r>
        <w:rPr>
          <w:i/>
          <w:lang w:val="lv-LV"/>
        </w:rPr>
        <w:t>OJ L 24, 13.1.1996, p. 34.</w:t>
      </w:r>
    </w:p>
  </w:footnote>
  <w:footnote w:id="20">
    <w:p>
      <w:pPr>
        <w:pStyle w:val="Footnote"/>
        <w:bidi w:val="0"/>
        <w:jc w:val="start"/>
        <w:rPr/>
      </w:pPr>
      <w:r>
        <w:rPr>
          <w:rStyle w:val="FootnoteCharacters"/>
        </w:rPr>
        <w:footnoteRef/>
      </w:r>
      <w:r>
        <w:rPr>
          <w:i/>
          <w:lang w:val="lv-LV"/>
        </w:rPr>
        <w:t>OJ L 203, 13.8.1996, p. 13.</w:t>
      </w:r>
    </w:p>
  </w:footnote>
  <w:footnote w:id="21">
    <w:p>
      <w:pPr>
        <w:pStyle w:val="Footnote"/>
        <w:bidi w:val="0"/>
        <w:jc w:val="start"/>
        <w:rPr/>
      </w:pPr>
      <w:r>
        <w:rPr>
          <w:rStyle w:val="FootnoteCharacters"/>
        </w:rPr>
        <w:footnoteRef/>
      </w:r>
      <w:r>
        <w:rPr>
          <w:i/>
          <w:lang w:val="lv-LV"/>
        </w:rPr>
        <w:t>OJ L 67, 7.3.1997, p. 19.</w:t>
      </w:r>
    </w:p>
  </w:footnote>
  <w:footnote w:id="22">
    <w:p>
      <w:pPr>
        <w:pStyle w:val="Footnote"/>
        <w:bidi w:val="0"/>
        <w:jc w:val="start"/>
        <w:rPr/>
      </w:pPr>
      <w:r>
        <w:rPr>
          <w:rStyle w:val="FootnoteCharacters"/>
        </w:rPr>
        <w:footnoteRef/>
      </w:r>
      <w:r>
        <w:rPr>
          <w:i/>
          <w:lang w:val="lv-LV"/>
        </w:rPr>
        <w:t>OJ L 84, 26.3.1997, p. 36.</w:t>
      </w:r>
    </w:p>
  </w:footnote>
  <w:footnote w:id="23">
    <w:p>
      <w:pPr>
        <w:pStyle w:val="Footnote"/>
        <w:bidi w:val="0"/>
        <w:jc w:val="start"/>
        <w:rPr/>
      </w:pPr>
      <w:r>
        <w:rPr>
          <w:rStyle w:val="FootnoteCharacters"/>
        </w:rPr>
        <w:footnoteRef/>
      </w:r>
      <w:r>
        <w:rPr>
          <w:i/>
          <w:lang w:val="lv-LV"/>
        </w:rPr>
        <w:t>OJ L 315, 19.11.2002, p. 14.</w:t>
      </w:r>
    </w:p>
  </w:footnote>
  <w:footnote w:id="24">
    <w:p>
      <w:pPr>
        <w:pStyle w:val="Footnote"/>
        <w:bidi w:val="0"/>
        <w:jc w:val="start"/>
        <w:rPr/>
      </w:pPr>
      <w:r>
        <w:rPr>
          <w:rStyle w:val="FootnoteCharacters"/>
        </w:rPr>
        <w:footnoteRef/>
      </w:r>
      <w:r>
        <w:rPr>
          <w:i/>
          <w:lang w:val="lv-LV"/>
        </w:rPr>
        <w:t>OJ L 273, 10.10.2002, p. 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Style w:val="Pagenumber"/>
        <w:rFonts w:ascii="Times New Roman" w:hAnsi="Times New Roman"/>
        <w:sz w:val="18"/>
        <w:u w:val="single"/>
        <w:lang w:val="en-GB"/>
      </w:rPr>
    </w:pPr>
    <w:r>
      <w:rPr>
        <w:sz w:val="18"/>
        <w:u w:val="single"/>
        <w:lang w:val="en-GB"/>
      </w:rPr>
    </w:r>
  </w:p>
  <w:p>
    <w:pPr>
      <w:pStyle w:val="Header"/>
      <w:tabs>
        <w:tab w:val="clear" w:pos="4153"/>
        <w:tab w:val="clear" w:pos="8306"/>
        <w:tab w:val="left" w:pos="8080" w:leader="none"/>
      </w:tabs>
      <w:bidi w:val="0"/>
      <w:jc w:val="start"/>
      <w:rPr/>
    </w:pPr>
    <w:r>
      <w:rPr>
        <w:rStyle w:val="Pagenumber"/>
        <w:sz w:val="18"/>
        <w:u w:val="single"/>
        <w:lang w:val="en-GB"/>
      </w:rPr>
      <w:tab/>
    </w:r>
    <w:r>
      <w:rPr>
        <w:color w:val="000000"/>
        <w:sz w:val="18"/>
        <w:u w:val="single"/>
      </w:rPr>
      <w:t>32004R0433</w:t>
    </w:r>
  </w:p>
  <w:p>
    <w:pPr>
      <w:pStyle w:val="Header"/>
      <w:bidi w:val="0"/>
      <w:jc w:val="start"/>
      <w:rPr>
        <w:rStyle w:val="Pagenumber"/>
        <w:rFonts w:ascii="Times New Roman" w:hAnsi="Times New Roman"/>
        <w:sz w:val="18"/>
        <w:u w:val="single"/>
        <w:lang w:val="en-GB"/>
      </w:rPr>
    </w:pPr>
    <w:r>
      <w:rPr>
        <w:sz w:val="18"/>
        <w:u w:val="single"/>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lang w:val="lv-LV"/>
      </w:rPr>
    </w:pPr>
    <w:r>
      <w:rPr>
        <w:spacing w:val="-2"/>
        <w:sz w:val="16"/>
        <w:lang w:val="lv-LV"/>
      </w:rPr>
      <w:t xml:space="preserve">Šis teksts ir Eiropas Kopienu normatīvā akta tulkojums latviešu valodā, kas veikts Tulkošanas un terminoloģijas centrā. Tulkojums nerada nekādas tiesības un neuzliek nekādas saistības. Juridiski saistoši ir tikai Eiropas Kopienu normatīvie akti, kas publicēti “Eiropas Kopienu Oficiālajā Vēstnesī” (tā nosaukums angļu valodā - </w:t>
    </w:r>
    <w:r>
      <w:rPr>
        <w:i/>
        <w:spacing w:val="-2"/>
        <w:sz w:val="16"/>
        <w:lang w:val="lv-LV"/>
      </w:rPr>
      <w:t>Official Journal of the European Communities</w:t>
    </w:r>
    <w:r>
      <w:rPr>
        <w:spacing w:val="-2"/>
        <w:sz w:val="16"/>
        <w:lang w:val="lv-LV"/>
      </w:rPr>
      <w:t>) jebkurā no Eiropas Kopienu oficiālajām valodām. Vienīgi publikācijas “Eiropas Kopienu Oficiālajā Vēstnesī” ir uzskatāmas par autentiskām.</w:t>
    </w:r>
  </w:p>
  <w:p>
    <w:pPr>
      <w:pStyle w:val="Normal"/>
      <w:pBdr>
        <w:bottom w:val="single" w:sz="12" w:space="5" w:color="000000"/>
      </w:pBdr>
      <w:bidi w:val="0"/>
      <w:jc w:val="start"/>
      <w:rPr>
        <w:rFonts w:ascii="Times New Roman" w:hAnsi="Times New Roman"/>
        <w:spacing w:val="-2"/>
        <w:sz w:val="16"/>
        <w:lang w:val="lv-LV"/>
      </w:rPr>
    </w:pPr>
    <w:r>
      <w:rPr>
        <w:spacing w:val="-2"/>
        <w:sz w:val="16"/>
        <w:lang w:val="lv-LV"/>
      </w:rPr>
    </w:r>
  </w:p>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86"/>
        </w:tabs>
        <w:ind w:start="786" w:hanging="360"/>
      </w:pPr>
      <w:rPr>
        <w:rFonts w:ascii="OpenSymbol" w:hAnsi="OpenSymbol" w:cs="Open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ymbol" w:cs="Times New Roman"/>
      <w:color w:val="auto"/>
      <w:kern w:val="2"/>
      <w:sz w:val="20"/>
      <w:szCs w:val="24"/>
      <w:lang w:val="en-GB" w:eastAsia="zh-CN" w:bidi="hi-IN"/>
    </w:rPr>
  </w:style>
  <w:style w:type="paragraph" w:styleId="Heading1">
    <w:name w:val="Heading 1"/>
    <w:basedOn w:val="Normal"/>
    <w:next w:val="Normal"/>
    <w:qFormat/>
    <w:pPr>
      <w:keepNext w:val="true"/>
      <w:jc w:val="center"/>
      <w:outlineLvl w:val="0"/>
    </w:pPr>
    <w:rPr>
      <w:i/>
    </w:rPr>
  </w:style>
  <w:style w:type="paragraph" w:styleId="Heading2">
    <w:name w:val="Heading 2"/>
    <w:basedOn w:val="Normal"/>
    <w:next w:val="Normal"/>
    <w:qFormat/>
    <w:pPr>
      <w:keepNext w:val="true"/>
      <w:jc w:val="center"/>
      <w:outlineLvl w:val="1"/>
    </w:pPr>
    <w:rPr>
      <w:b/>
    </w:rPr>
  </w:style>
  <w:style w:type="character" w:styleId="DefaultParagraphFont">
    <w:name w:val="Default Paragraph Font"/>
    <w:qFormat/>
    <w:rPr/>
  </w:style>
  <w:style w:type="character" w:styleId="Pagenumber">
    <w:name w:val="page number"/>
    <w:basedOn w:val="DefaultParagraphFont"/>
    <w:qFormat/>
    <w:rPr>
      <w:sz w:val="24"/>
    </w:rPr>
  </w:style>
  <w:style w:type="character" w:styleId="Tw4winMark">
    <w:name w:val="tw4winMark"/>
    <w:qFormat/>
    <w:rPr>
      <w:rFonts w:ascii="Courier New" w:hAnsi="Courier New"/>
      <w:vanish/>
      <w:color w:val="800080"/>
      <w:sz w:val="24"/>
      <w:vertAlign w:val="subscript"/>
    </w:rPr>
  </w:style>
  <w:style w:type="character" w:styleId="Tw4winError">
    <w:name w:val="tw4winError"/>
    <w:qFormat/>
    <w:rPr>
      <w:rFonts w:ascii="Courier New" w:hAnsi="Courier New"/>
      <w:color w:val="00FF00"/>
      <w:sz w:val="40"/>
    </w:rPr>
  </w:style>
  <w:style w:type="character" w:styleId="Tw4winTerm">
    <w:name w:val="tw4winTerm"/>
    <w:qFormat/>
    <w:rPr>
      <w:color w:val="0000FF"/>
    </w:rPr>
  </w:style>
  <w:style w:type="character" w:styleId="Tw4winPopup">
    <w:name w:val="tw4winPopup"/>
    <w:qFormat/>
    <w:rPr>
      <w:rFonts w:ascii="Courier New" w:hAnsi="Courier New"/>
      <w:color w:val="008000"/>
      <w:lang w:val="en-US"/>
    </w:rPr>
  </w:style>
  <w:style w:type="character" w:styleId="Tw4winJump">
    <w:name w:val="tw4winJump"/>
    <w:qFormat/>
    <w:rPr>
      <w:rFonts w:ascii="Courier New" w:hAnsi="Courier New"/>
      <w:color w:val="008080"/>
      <w:lang w:val="en-US"/>
    </w:rPr>
  </w:style>
  <w:style w:type="character" w:styleId="Tw4winExternal">
    <w:name w:val="tw4winExternal"/>
    <w:qFormat/>
    <w:rPr>
      <w:rFonts w:ascii="Courier New" w:hAnsi="Courier New"/>
      <w:color w:val="808080"/>
      <w:lang w:val="en-US"/>
    </w:rPr>
  </w:style>
  <w:style w:type="character" w:styleId="Tw4winInternal">
    <w:name w:val="tw4winInternal"/>
    <w:qFormat/>
    <w:rPr>
      <w:rFonts w:ascii="Courier New" w:hAnsi="Courier New"/>
      <w:color w:val="FF0000"/>
      <w:lang w:val="en-US"/>
    </w:rPr>
  </w:style>
  <w:style w:type="character" w:styleId="DONOTTRANSLATE">
    <w:name w:val="DO_NOT_TRANSLATE"/>
    <w:qFormat/>
    <w:rPr>
      <w:rFonts w:ascii="Courier New" w:hAnsi="Courier New"/>
      <w:color w:val="800000"/>
      <w:sz w:val="20"/>
    </w:rPr>
  </w:style>
  <w:style w:type="character" w:styleId="FootnoteCharacters">
    <w:name w:val="Footnote Characters"/>
    <w:basedOn w:val="DefaultParagraphFont"/>
    <w:qFormat/>
    <w:rPr>
      <w:sz w:val="24"/>
      <w:vertAlign w:val="superscript"/>
    </w:rPr>
  </w:style>
  <w:style w:type="character" w:styleId="FootnoteAnchor">
    <w:name w:val="Footnote Anchor"/>
    <w:rPr>
      <w:sz w:val="24"/>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AR PL SungtiL GB" w:cs="Noto Sans Devanagari"/>
      <w:sz w:val="28"/>
      <w:szCs w:val="28"/>
    </w:rPr>
  </w:style>
  <w:style w:type="paragraph" w:styleId="TextBody">
    <w:name w:val="Body Text"/>
    <w:basedOn w:val="Normal"/>
    <w:pPr>
      <w:jc w:val="both"/>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clear" w:pos="720"/>
        <w:tab w:val="left" w:pos="709" w:leader="none"/>
      </w:tabs>
      <w:ind w:start="709" w:hanging="283"/>
      <w:jc w:val="both"/>
    </w:pPr>
    <w:rPr/>
  </w:style>
  <w:style w:type="paragraph" w:styleId="BodyText3">
    <w:name w:val="Body Text 3"/>
    <w:basedOn w:val="Normal"/>
    <w:qFormat/>
    <w:pPr>
      <w:jc w:val="end"/>
    </w:pPr>
    <w:rPr/>
  </w:style>
  <w:style w:type="paragraph" w:styleId="Footnote">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LibreOffice/7.3.5.2$Linux_X86_64 LibreOffice_project/30$Build-2</Application>
  <AppVersion>15.0000</AppVersion>
  <Pages>99</Pages>
  <Words>968</Words>
  <Characters>6777</Characters>
  <CharactersWithSpaces>5519</CharactersWithSpaces>
  <Company>TTC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2005-12-29T14:51:00Z</dcterms:created>
  <dc:creator>Arita Upeniece</dc:creator>
  <dc:description/>
  <dc:language>en-US</dc:language>
  <cp:lastModifiedBy/>
  <dcterms:modified xsi:type="dcterms:W3CDTF">2005-12-29T17:37:00Z</dcterms:modified>
  <cp:revision>43</cp:revision>
  <dc:subject/>
  <dc:title>Commission Regulation (EC) No 433/2004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Arita Upeniece</vt:lpwstr>
  </property>
</Properties>
</file>