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ind w:start="0" w:end="0" w:hanging="0"/>
        <w:jc w:val="center"/>
        <w:rPr>
          <w:rFonts w:ascii="Times New Roman" w:hAnsi="Times New Roman"/>
          <w:b/>
          <w:b/>
          <w:sz w:val="20"/>
          <w:lang w:val="lv-LV"/>
        </w:rPr>
      </w:pPr>
      <w:r>
        <w:rPr>
          <w:b/>
          <w:sz w:val="20"/>
          <w:lang w:val="lv-LV"/>
        </w:rPr>
      </w:r>
    </w:p>
    <w:p>
      <w:pPr>
        <w:pStyle w:val="TextBody"/>
        <w:bidi w:val="0"/>
        <w:ind w:start="0" w:end="0" w:hanging="0"/>
        <w:jc w:val="center"/>
        <w:rPr>
          <w:lang w:val="lv-LV"/>
        </w:rPr>
      </w:pPr>
      <w:r>
        <w:rPr>
          <w:b/>
          <w:sz w:val="20"/>
          <w:lang w:val="lv-LV"/>
        </w:rPr>
        <w:t>PADOMES REZOLŪCIJA 97/C 193/02</w:t>
      </w:r>
    </w:p>
    <w:p>
      <w:pPr>
        <w:pStyle w:val="TextBody"/>
        <w:bidi w:val="0"/>
        <w:ind w:start="0" w:end="0" w:hanging="0"/>
        <w:jc w:val="center"/>
        <w:rPr>
          <w:rFonts w:ascii="Times New Roman" w:hAnsi="Times New Roman"/>
          <w:b/>
          <w:b/>
          <w:sz w:val="20"/>
          <w:lang w:val="lv-LV"/>
        </w:rPr>
      </w:pPr>
      <w:r>
        <w:rPr>
          <w:b/>
          <w:sz w:val="20"/>
          <w:lang w:val="lv-LV"/>
        </w:rPr>
      </w:r>
    </w:p>
    <w:p>
      <w:pPr>
        <w:pStyle w:val="TextBody"/>
        <w:bidi w:val="0"/>
        <w:ind w:start="0" w:end="0" w:hanging="0"/>
        <w:jc w:val="both"/>
        <w:rPr>
          <w:rFonts w:ascii="Times New Roman" w:hAnsi="Times New Roman"/>
          <w:b/>
          <w:b/>
          <w:sz w:val="20"/>
          <w:lang w:val="lv-LV"/>
        </w:rPr>
      </w:pPr>
      <w:r>
        <w:rPr>
          <w:b/>
          <w:sz w:val="20"/>
          <w:lang w:val="lv-LV"/>
        </w:rPr>
      </w:r>
    </w:p>
    <w:p>
      <w:pPr>
        <w:pStyle w:val="TextBody"/>
        <w:bidi w:val="0"/>
        <w:ind w:start="0" w:end="0" w:hanging="0"/>
        <w:jc w:val="center"/>
        <w:rPr>
          <w:lang w:val="lv-LV"/>
        </w:rPr>
      </w:pPr>
      <w:r>
        <w:rPr>
          <w:b/>
          <w:sz w:val="20"/>
          <w:lang w:val="lv-LV"/>
        </w:rPr>
        <w:t xml:space="preserve">1997. gada 9. jūnijs </w:t>
      </w:r>
    </w:p>
    <w:p>
      <w:pPr>
        <w:pStyle w:val="TextBody"/>
        <w:bidi w:val="0"/>
        <w:ind w:start="0" w:end="0" w:hanging="0"/>
        <w:jc w:val="center"/>
        <w:rPr>
          <w:rFonts w:ascii="Times New Roman" w:hAnsi="Times New Roman"/>
          <w:b/>
          <w:b/>
          <w:sz w:val="20"/>
          <w:lang w:val="lv-LV"/>
        </w:rPr>
      </w:pPr>
      <w:r>
        <w:rPr>
          <w:b/>
          <w:sz w:val="20"/>
          <w:lang w:val="lv-LV"/>
        </w:rPr>
      </w:r>
    </w:p>
    <w:p>
      <w:pPr>
        <w:pStyle w:val="TextBody"/>
        <w:bidi w:val="0"/>
        <w:ind w:start="0" w:end="0" w:hanging="0"/>
        <w:jc w:val="center"/>
        <w:rPr>
          <w:lang w:val="lv-LV"/>
        </w:rPr>
      </w:pPr>
      <w:r>
        <w:rPr>
          <w:b/>
          <w:sz w:val="20"/>
          <w:lang w:val="lv-LV"/>
        </w:rPr>
        <w:t xml:space="preserve">par apmaiņu ar DNS analīžu rezultātiem </w:t>
      </w:r>
    </w:p>
    <w:p>
      <w:pPr>
        <w:pStyle w:val="TextBody"/>
        <w:bidi w:val="0"/>
        <w:ind w:start="0" w:end="0" w:hanging="0"/>
        <w:jc w:val="both"/>
        <w:rPr>
          <w:rFonts w:ascii="Times New Roman" w:hAnsi="Times New Roman"/>
          <w:b/>
          <w:b/>
          <w:sz w:val="20"/>
          <w:lang w:val="lv-LV"/>
        </w:rPr>
      </w:pPr>
      <w:r>
        <w:rPr>
          <w:b/>
          <w:sz w:val="20"/>
          <w:lang w:val="lv-LV"/>
        </w:rPr>
      </w:r>
    </w:p>
    <w:p>
      <w:pPr>
        <w:pStyle w:val="Normal"/>
        <w:bidi w:val="0"/>
        <w:ind w:start="0" w:end="0" w:hanging="0"/>
        <w:jc w:val="both"/>
        <w:rPr>
          <w:lang w:val="lv-LV"/>
        </w:rPr>
      </w:pPr>
      <w:r>
        <w:rPr>
          <w:sz w:val="24"/>
          <w:lang w:val="lv-LV"/>
        </w:rPr>
        <w:t>EIROPAS SAVIENĪBAS PADOME,</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ņemot vērā to, ka apmaiņa ar DNS analīžu rezultātiem var būt veids, kā dot būtisku ieguldījumu noziedzīgu nodarījumu izmeklēšanā,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uzskatot, ka apmaiņa ar DNS analīžu rezultātiem noziedzīgu nodarījumu izmeklēšanas nolūkā jāattiecina tikai uz apmaiņu ar DNS molekulas nekodētās daļas datiem,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uzsverot to, ka tālab dalībvalstīm ļoti svarīga ir apmaiņa ar DNS pētījumos iegūtajiem rezultātiem,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ņemot vērā iniciatīvas, kas Eiropas Savienības līmenī tiek izstrādātas veicināšanas un apmaiņas programmas ietvaros attiecībā uz tām personām, kas atbildīgas par cilvēku tirdzniecības apkarošanu un bērnu seksuālu izmantošanu (PĀRTRAUKT)</w:t>
      </w:r>
      <w:r>
        <w:rPr>
          <w:rStyle w:val="FootnoteAnchor"/>
          <w:sz w:val="24"/>
          <w:lang w:val="lv-LV" w:eastAsia="en-US"/>
        </w:rPr>
        <w:footnoteReference w:id="2"/>
      </w:r>
      <w:r>
        <w:rPr>
          <w:sz w:val="24"/>
          <w:lang w:val="lv-LV"/>
        </w:rPr>
        <w:t xml:space="preserve">,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ņemot vērā iniciatīvas, kas jau tiek īstenotas citās starptautiskās komisijās,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tā kā DNS pētījumi var ietvert ne tikai tehniskus, juridiskus un politiskus, bet arī ētiskus aspektus, kam šādā gadījumā nepieciešams tuvināt attiecīgos noteikumus, lai pilnveidotu turpmāko sadarbību,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ievērojot personas datu aizsardzību, ko reglamentē Eiropas Konvencija Nr. 108 par indivīdu aizsardzību attiecībā uz automātisku personas datu apstrādi (Strasbūra, 1981. gada 28. janvāris), Eiropas Padomes Ministru komitejas 1987. gada 17. septembra Ieteikums (87) 15, kas reglamentē personas datu izmantošanu policijas sektorā, un Eiropas Padomes Ministru komitejas 1992. gada 10. februāra Ieteikums (92) 1 par DNS analīžu izmantošanu kriminālās tiesvedības sistēmas ietvaros,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ievērojot to, ka, lai apmaiņa ar DNS analīžu rezultātiem būtu lietderīga, DNS marķieriem jābūt standartizētiem,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 </w:t>
      </w:r>
      <w:r>
        <w:rPr>
          <w:sz w:val="24"/>
          <w:lang w:val="lv-LV"/>
        </w:rPr>
        <w:t>ņemot vērā to, ka turpmākie pasākumi nolūkā veikt apmaiņu ar DNS analīžu rezultātiem Eiropas Savienībā nav iespējami tikmēr, kamēr dalībvalstīs nav pienācīgi funkcionējošu datu bāzu,</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IR PIEŅĒMUSI ŠO REZOLŪCIJU.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Heading1"/>
        <w:bidi w:val="0"/>
        <w:ind w:start="0" w:end="0" w:hanging="0"/>
        <w:rPr>
          <w:lang w:val="lv-LV"/>
        </w:rPr>
      </w:pPr>
      <w:r>
        <w:rPr>
          <w:sz w:val="20"/>
          <w:lang w:val="lv-LV"/>
        </w:rPr>
        <w:t>I. DNS NACIONĀLO DATU BĀZU IEVIEŠANA</w:t>
      </w:r>
    </w:p>
    <w:p>
      <w:pPr>
        <w:pStyle w:val="Normal"/>
        <w:keepNext w:val="true"/>
        <w:bidi w:val="0"/>
        <w:ind w:start="0" w:end="0" w:hanging="0"/>
        <w:jc w:val="both"/>
        <w:rPr>
          <w:rFonts w:ascii="Times New Roman" w:hAnsi="Times New Roman"/>
          <w:sz w:val="24"/>
          <w:lang w:val="lv-LV"/>
        </w:rPr>
      </w:pPr>
      <w:r>
        <w:rPr>
          <w:sz w:val="24"/>
          <w:lang w:val="lv-LV"/>
        </w:rPr>
      </w:r>
    </w:p>
    <w:p>
      <w:pPr>
        <w:pStyle w:val="Normal"/>
        <w:keepNext w:val="true"/>
        <w:bidi w:val="0"/>
        <w:ind w:start="0" w:end="0" w:hanging="0"/>
        <w:jc w:val="both"/>
        <w:rPr>
          <w:lang w:val="lv-LV"/>
        </w:rPr>
      </w:pPr>
      <w:r>
        <w:rPr>
          <w:sz w:val="24"/>
          <w:lang w:val="lv-LV"/>
        </w:rPr>
        <w:t xml:space="preserve">1. Padome aicina dalībvalstis apsvērt DNS nacionālo datu bāzu ieviešanu. </w:t>
      </w:r>
    </w:p>
    <w:p>
      <w:pPr>
        <w:pStyle w:val="Normal"/>
        <w:keepNext w:val="true"/>
        <w:bidi w:val="0"/>
        <w:ind w:start="0" w:end="0" w:hanging="0"/>
        <w:jc w:val="both"/>
        <w:rPr>
          <w:rFonts w:ascii="Times New Roman" w:hAnsi="Times New Roman"/>
          <w:sz w:val="24"/>
          <w:lang w:val="lv-LV"/>
        </w:rPr>
      </w:pPr>
      <w:r>
        <w:rPr>
          <w:sz w:val="24"/>
          <w:lang w:val="lv-LV"/>
        </w:rPr>
      </w:r>
    </w:p>
    <w:p>
      <w:pPr>
        <w:pStyle w:val="Normal"/>
        <w:keepNext w:val="true"/>
        <w:bidi w:val="0"/>
        <w:ind w:start="0" w:end="0" w:hanging="0"/>
        <w:jc w:val="both"/>
        <w:rPr>
          <w:lang w:val="lv-LV"/>
        </w:rPr>
      </w:pPr>
      <w:r>
        <w:rPr>
          <w:sz w:val="24"/>
          <w:lang w:val="lv-LV"/>
        </w:rPr>
        <w:t xml:space="preserve">2. Lai tiktu veikta apmaiņa ar DNS analīžu rezultātiem, Padome pieprasa, lai dalībvalstis veidotu šīs datu bāzes atbilstoši vieniem un tiem pašiem standartiem un savietojamā veidā. Apmaiņas iespējamība jāattiecina tikai uz apmaiņu ar DNS molekulas nekodētās daļas datiem, ko var pārņemt, neiekļaujot informāciju par specifiskām iedzimtām īpašībām.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3. Padome iesaka dalībvalstīm, izveidojot datorsistēmu DNS analīžu rezultātu apstrādei, ņemt vērā Starptautiskās kriminālās policijas organizācijas – Interpola DNS darba grupas – veikto pētījumu rezultātus.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Heading1"/>
        <w:bidi w:val="0"/>
        <w:ind w:start="0" w:end="0" w:hanging="0"/>
        <w:rPr>
          <w:lang w:val="lv-LV"/>
        </w:rPr>
      </w:pPr>
      <w:r>
        <w:rPr>
          <w:sz w:val="20"/>
          <w:lang w:val="lv-LV"/>
        </w:rPr>
        <w:t>II. DNS TEHNOLOĢIJAS STANDARTIZĀCIJA</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1</w:t>
      </w:r>
      <w:r>
        <w:rPr>
          <w:b/>
          <w:sz w:val="24"/>
          <w:lang w:val="lv-LV"/>
        </w:rPr>
        <w:t xml:space="preserve">. </w:t>
      </w:r>
      <w:r>
        <w:rPr>
          <w:sz w:val="24"/>
          <w:lang w:val="lv-LV"/>
        </w:rPr>
        <w:t xml:space="preserve">Izmantotā standarta izvēlei jābūt mērķtiecīgai, pamatojoties uz pētījumiem.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2. Padome pieprasa, lai nolūkā veikt apmaiņu ar DNS analīžu rezultātiem Eiropas līmenī dalībvalstis pilnveidotu DNS analīžu rezultātu apstrādi, dodot priekšroku vieniem un tiem pašiem DNS marķieriem.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Heading1"/>
        <w:bidi w:val="0"/>
        <w:ind w:start="0" w:end="0" w:hanging="0"/>
        <w:rPr>
          <w:lang w:val="lv-LV"/>
        </w:rPr>
      </w:pPr>
      <w:r>
        <w:rPr>
          <w:sz w:val="20"/>
          <w:lang w:val="lv-LV"/>
        </w:rPr>
        <w:t>III. TIESISKĀS AIZSARDZĪBAS PASĀKUMI</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1</w:t>
      </w:r>
      <w:r>
        <w:rPr>
          <w:b/>
          <w:sz w:val="24"/>
          <w:lang w:val="lv-LV"/>
        </w:rPr>
        <w:t xml:space="preserve">. </w:t>
      </w:r>
      <w:r>
        <w:rPr>
          <w:sz w:val="24"/>
          <w:lang w:val="lv-LV"/>
        </w:rPr>
        <w:t xml:space="preserve">Katras dalībvalsts ziņā ir izlemt, saskaņā ar kādiem nosacījumiem un attiecībā uz kādiem nodarījumiem DNS analīžu rezultātus var uzglabāt nacionālajā datubāzē.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2. DNS materiāla pieņemšana DNS analīžu rezultātu uzglabāšanas nolūkā jāveic saskaņā ar aizsardzības pasākumiem, kas plānoti, lai aizsargātu attiecīgo personu fizisko integritāti.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3. Valsts tiesību aktiem par personas datiem jābūt saskaņā ar Eiropas Konvenciju Nr. 108. Eiropas Padomes Ministru komitejas Ieteikums (87) 15 un Eiropas Padomes Ministru komitejas Ieteikums (92) 1 jāņem vērā, ja nepieciešams.</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Heading1"/>
        <w:bidi w:val="0"/>
        <w:ind w:start="0" w:end="0" w:hanging="0"/>
        <w:rPr>
          <w:lang w:val="lv-LV"/>
        </w:rPr>
      </w:pPr>
      <w:r>
        <w:rPr>
          <w:sz w:val="20"/>
          <w:lang w:val="lv-LV"/>
        </w:rPr>
        <w:t>IV. APMAIŅA AR DNS ANALĪŽU REZULTĀTIEM EIROPAS LĪMENĪ</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1</w:t>
      </w:r>
      <w:r>
        <w:rPr>
          <w:b/>
          <w:sz w:val="24"/>
          <w:lang w:val="lv-LV"/>
        </w:rPr>
        <w:t xml:space="preserve">. </w:t>
      </w:r>
      <w:r>
        <w:rPr>
          <w:sz w:val="24"/>
          <w:lang w:val="lv-LV"/>
        </w:rPr>
        <w:t xml:space="preserve">Padome pieprasa turpināt informācijas apmaiņas sistēmas izpēti. Šajā saistībā jāizvērtē savietojamu nacionālo datu bāzu tīkla radīšana. Šādai sistēmai jābūt pietiekami aizsargātai attiecībā uz personas datu nodrošinājumu un aizsardzību.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2. Šāda informācijas apmaiņa jāattiecina tikai uz DNS analīžu rezultātiem, kuri, kad tiek salīdzināti, var norādīt, vai persona ir iekļauta datnē un vai persona var būt saistīta ar attiecīgajā noziegumā atrastajām pēdām.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3. Tiklīdz apmaiņas ar DNS analīžu rezultātiem nosacījumi ir īstenoti, kā nākamais pasākums jāapsver nepieciešamība izveidot DNS Eiropas datu bāzi.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4. Jāizskata Eiropola attiecīgā loma.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Heading1"/>
        <w:bidi w:val="0"/>
        <w:ind w:start="0" w:end="0" w:hanging="0"/>
        <w:rPr>
          <w:lang w:val="lv-LV"/>
        </w:rPr>
      </w:pPr>
      <w:r>
        <w:rPr>
          <w:sz w:val="20"/>
          <w:lang w:val="lv-LV"/>
        </w:rPr>
        <w:t>V. SLĒDZIENS</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lang w:val="lv-LV"/>
        </w:rPr>
      </w:pPr>
      <w:r>
        <w:rPr>
          <w:sz w:val="24"/>
          <w:lang w:val="lv-LV"/>
        </w:rPr>
        <w:t xml:space="preserve">Tāpēc, lai to īstenotu, Padome pieprasa tai iesniegt konkrētos attiecīgās prezidentūras ieteikumus viena gada laikā no šīs rezolūcijas pieņemšanas dienas. </w:t>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bidi w:val="0"/>
        <w:ind w:start="0" w:end="0" w:hanging="0"/>
        <w:jc w:val="both"/>
        <w:rPr>
          <w:rFonts w:ascii="Times New Roman" w:hAnsi="Times New Roman"/>
          <w:sz w:val="24"/>
          <w:lang w:val="lv-LV"/>
        </w:rPr>
      </w:pPr>
      <w:r>
        <w:rPr>
          <w:sz w:val="24"/>
          <w:lang w:val="lv-LV"/>
        </w:rPr>
      </w:r>
    </w:p>
    <w:p>
      <w:pPr>
        <w:pStyle w:val="Normal"/>
        <w:keepNext w:val="true"/>
        <w:bidi w:val="0"/>
        <w:ind w:start="0" w:end="0" w:hanging="0"/>
        <w:jc w:val="start"/>
        <w:rPr>
          <w:lang w:val="lv-LV"/>
        </w:rPr>
      </w:pPr>
      <w:r>
        <w:rPr>
          <w:i/>
          <w:lang w:val="lv-LV"/>
        </w:rPr>
        <w:t>REGISTER: 19300000</w:t>
      </w:r>
    </w:p>
    <w:p>
      <w:pPr>
        <w:pStyle w:val="Normal"/>
        <w:keepNext w:val="true"/>
        <w:bidi w:val="0"/>
        <w:ind w:start="0" w:end="0" w:hanging="0"/>
        <w:jc w:val="both"/>
        <w:rPr>
          <w:lang w:val="lv-LV"/>
        </w:rPr>
      </w:pPr>
      <w:r>
        <w:rPr>
          <w:i/>
          <w:lang w:val="lv-LV"/>
        </w:rPr>
        <w:t>DOCNUM: 31997Y0624(02)</w:t>
      </w:r>
    </w:p>
    <w:p>
      <w:pPr>
        <w:pStyle w:val="Normal"/>
        <w:keepNext w:val="true"/>
        <w:bidi w:val="0"/>
        <w:ind w:start="0" w:end="0" w:hanging="0"/>
        <w:jc w:val="start"/>
        <w:rPr/>
      </w:pPr>
      <w:r>
        <w:rPr>
          <w:i/>
          <w:lang w:val="lv-LV"/>
        </w:rPr>
        <w:t xml:space="preserve">PUBREF: Official Journal C 193 , 24/06/1997 p. 0002 - 0003 </w:t>
      </w:r>
    </w:p>
    <w:sectPr>
      <w:headerReference w:type="default" r:id="rId2"/>
      <w:headerReference w:type="first" r:id="rId3"/>
      <w:footerReference w:type="default" r:id="rId4"/>
      <w:footerReference w:type="first" r:id="rId5"/>
      <w:footnotePr>
        <w:numFmt w:val="decimal"/>
      </w:footnotePr>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ind w:start="0" w:end="0" w:hanging="0"/>
      <w:jc w:val="start"/>
      <w:rPr/>
    </w:pPr>
    <w:r>
      <w:rPr>
        <w:rStyle w:val="Pagenumber"/>
        <w:sz w:val="18"/>
        <w:u w:val="single"/>
        <w:lang w:val="en-GB" w:eastAsia="en-US"/>
      </w:rPr>
      <w:tab/>
    </w:r>
  </w:p>
  <w:p>
    <w:pPr>
      <w:pStyle w:val="Header"/>
      <w:tabs>
        <w:tab w:val="clear" w:pos="4153"/>
        <w:tab w:val="clear" w:pos="8306"/>
        <w:tab w:val="left" w:pos="9072" w:leader="none"/>
      </w:tabs>
      <w:bidi w:val="0"/>
      <w:ind w:start="0" w:end="0" w:hanging="0"/>
      <w:jc w:val="start"/>
      <w:rPr>
        <w:rStyle w:val="Pagenumber"/>
        <w:rFonts w:ascii="Times New Roman" w:hAnsi="Times New Roman"/>
        <w:sz w:val="18"/>
        <w:u w:val="single"/>
        <w:lang w:val="en-GB" w:eastAsia="en-US"/>
      </w:rPr>
    </w:pPr>
    <w:r>
      <w:rPr>
        <w:sz w:val="18"/>
        <w:u w:val="single"/>
        <w:lang w:val="en-GB" w:eastAsia="en-US"/>
      </w:rPr>
    </w:r>
  </w:p>
  <w:p>
    <w:pPr>
      <w:pStyle w:val="Footer"/>
      <w:tabs>
        <w:tab w:val="clear" w:pos="4153"/>
        <w:tab w:val="clear" w:pos="8306"/>
        <w:tab w:val="center" w:pos="9072" w:leader="none"/>
        <w:tab w:val="right" w:pos="9356" w:leader="none"/>
      </w:tabs>
      <w:bidi w:val="0"/>
      <w:ind w:start="0" w:end="0" w:hanging="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3</w:t>
    </w:r>
    <w:r>
      <w:rPr>
        <w:rStyle w:val="Pagenumber"/>
        <w:lang w:val="en-US"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ind w:start="0" w:end="0" w:hanging="0"/>
      <w:jc w:val="start"/>
      <w:rPr/>
    </w:pPr>
    <w:r>
      <w:rPr>
        <w:rStyle w:val="Pagenumber"/>
        <w:sz w:val="18"/>
        <w:u w:val="single"/>
        <w:lang w:val="en-GB" w:eastAsia="en-US"/>
      </w:rPr>
      <w:tab/>
    </w:r>
  </w:p>
  <w:p>
    <w:pPr>
      <w:pStyle w:val="Header"/>
      <w:tabs>
        <w:tab w:val="clear" w:pos="4153"/>
        <w:tab w:val="clear" w:pos="8306"/>
        <w:tab w:val="left" w:pos="9072" w:leader="none"/>
      </w:tabs>
      <w:bidi w:val="0"/>
      <w:ind w:start="0" w:end="0" w:hanging="0"/>
      <w:jc w:val="start"/>
      <w:rPr>
        <w:rStyle w:val="Pagenumber"/>
        <w:rFonts w:ascii="Times New Roman" w:hAnsi="Times New Roman"/>
        <w:sz w:val="18"/>
        <w:u w:val="single"/>
        <w:lang w:val="en-GB" w:eastAsia="en-US"/>
      </w:rPr>
    </w:pPr>
    <w:r>
      <w:rPr>
        <w:sz w:val="18"/>
        <w:u w:val="single"/>
        <w:lang w:val="en-GB" w:eastAsia="en-US"/>
      </w:rPr>
    </w:r>
  </w:p>
  <w:p>
    <w:pPr>
      <w:pStyle w:val="Footer"/>
      <w:bidi w:val="0"/>
      <w:ind w:start="0" w:end="0" w:hanging="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mc:AlternateContent>
        <mc:Choice Requires="wps">
          <w:drawing>
            <wp:anchor behindDoc="0" distT="0" distB="0" distL="114935" distR="114935" simplePos="0" locked="0" layoutInCell="0" allowOverlap="1" relativeHeight="2">
              <wp:simplePos x="0" y="0"/>
              <wp:positionH relativeFrom="page">
                <wp:posOffset>3836670</wp:posOffset>
              </wp:positionH>
              <wp:positionV relativeFrom="page">
                <wp:posOffset>10058400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ind w:start="0" w:end="0" w:hanging="0"/>
                            <w:jc w:val="center"/>
                            <w:rPr>
                              <w:rFonts w:ascii="Times New Roman" w:hAnsi="Times New Roman"/>
                              <w:sz w:val="18"/>
                            </w:rPr>
                          </w:pPr>
                          <w:r>
                            <w:rPr/>
                            <w:drawing>
                              <wp:inline distT="0" distB="0" distL="0" distR="0">
                                <wp:extent cx="371475" cy="4038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pBdr/>
                      <w:bidi w:val="0"/>
                      <w:ind w:start="0" w:end="0" w:hanging="0"/>
                      <w:jc w:val="center"/>
                      <w:rPr>
                        <w:rFonts w:ascii="Times New Roman" w:hAnsi="Times New Roman"/>
                        <w:sz w:val="18"/>
                      </w:rPr>
                    </w:pPr>
                    <w:r>
                      <w:rPr/>
                      <w:drawing>
                        <wp:inline distT="0" distB="0" distL="0" distR="0">
                          <wp:extent cx="371475" cy="4038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bidi w:val="0"/>
      <w:ind w:start="0" w:end="0" w:hanging="0"/>
      <w:jc w:val="start"/>
      <w:rPr>
        <w:rFonts w:ascii="Times New Roman" w:hAnsi="Times New Roman"/>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bidi w:val="0"/>
        <w:jc w:val="start"/>
        <w:rPr/>
      </w:pPr>
      <w:r>
        <w:rPr>
          <w:rStyle w:val="FootnoteCharacters"/>
        </w:rPr>
        <w:footnoteRef/>
      </w:r>
      <w:r>
        <w:rPr>
          <w:i/>
          <w:lang w:val="lv-LV"/>
        </w:rPr>
        <w:t>Joint action of 29 November 1996 (OJ No L 322, 12. 12. 1996, p. 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start="0" w:end="0" w:hanging="0"/>
      <w:jc w:val="start"/>
      <w:rPr>
        <w:rStyle w:val="Pagenumber"/>
        <w:rFonts w:ascii="Times New Roman" w:hAnsi="Times New Roman"/>
        <w:sz w:val="18"/>
        <w:u w:val="single"/>
        <w:lang w:val="en-GB" w:eastAsia="en-US"/>
      </w:rPr>
    </w:pPr>
    <w:r>
      <w:rPr>
        <w:sz w:val="18"/>
        <w:u w:val="single"/>
        <w:lang w:val="en-GB" w:eastAsia="en-US"/>
      </w:rPr>
    </w:r>
  </w:p>
  <w:p>
    <w:pPr>
      <w:pStyle w:val="Header"/>
      <w:tabs>
        <w:tab w:val="clear" w:pos="4153"/>
        <w:tab w:val="clear" w:pos="8306"/>
        <w:tab w:val="left" w:pos="7655" w:leader="none"/>
      </w:tabs>
      <w:bidi w:val="0"/>
      <w:ind w:start="0" w:end="0" w:hanging="0"/>
      <w:jc w:val="start"/>
      <w:rPr/>
    </w:pPr>
    <w:r>
      <w:rPr>
        <w:rStyle w:val="Pagenumber"/>
        <w:sz w:val="18"/>
        <w:u w:val="single"/>
        <w:lang w:val="en-GB" w:eastAsia="en-US"/>
      </w:rPr>
      <w:tab/>
    </w:r>
    <w:r>
      <w:rPr>
        <w:color w:val="000000"/>
        <w:u w:val="single"/>
      </w:rPr>
      <w:t>31997Y0624(02)</w:t>
    </w:r>
  </w:p>
  <w:p>
    <w:pPr>
      <w:pStyle w:val="Header"/>
      <w:bidi w:val="0"/>
      <w:ind w:start="0" w:end="0" w:hanging="0"/>
      <w:jc w:val="start"/>
      <w:rPr>
        <w:rStyle w:val="Pagenumber"/>
        <w:rFonts w:ascii="Times New Roman" w:hAnsi="Times New Roman"/>
        <w:sz w:val="18"/>
        <w:u w:val="single"/>
        <w:lang w:val="en-GB" w:eastAsia="en-US"/>
      </w:rPr>
    </w:pPr>
    <w:r>
      <w:rPr>
        <w:sz w:val="18"/>
        <w:u w:val="single"/>
        <w:lang w:val="en-GB"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start="0" w:end="0" w:hanging="0"/>
      <w:jc w:val="both"/>
      <w:rPr>
        <w:lang w:val="lv-LV"/>
      </w:rPr>
    </w:pPr>
    <w:r>
      <w:rPr>
        <w:spacing w:val="-2"/>
        <w:sz w:val="16"/>
        <w:lang w:val="lv-LV"/>
      </w:rPr>
      <w:t xml:space="preserve">Šis teksts ir Eiropas Kopienu normatīvā akta tulkojums latviešu valodā, kas veikts Tulkošanas un terminoloģijas centrā. Tulkojums nerada nekādas tiesības un neuzliek nekādas saistības. Juridiski saistoši ir tikai Eiropas Kopienu normatīvie akti, kas publicēti “Eiropas Kopienu Oficiālajā Vēstnesī” (tā nosaukums angļu valodā - </w:t>
    </w:r>
    <w:r>
      <w:rPr>
        <w:i/>
        <w:spacing w:val="-2"/>
        <w:sz w:val="16"/>
        <w:lang w:val="lv-LV"/>
      </w:rPr>
      <w:t>Official Journal of the European Communities</w:t>
    </w:r>
    <w:r>
      <w:rPr>
        <w:spacing w:val="-2"/>
        <w:sz w:val="16"/>
        <w:lang w:val="lv-LV"/>
      </w:rPr>
      <w:t>) jebkurā no Eiropas Kopienu oficiālajām valodām. Vienīgi publikācijas “Eiropas Kopienu Oficiālajā Vēstnesī” ir uzskatāmas par autentiskām.</w:t>
    </w:r>
  </w:p>
  <w:p>
    <w:pPr>
      <w:pStyle w:val="Normal"/>
      <w:pBdr>
        <w:bottom w:val="single" w:sz="12" w:space="5" w:color="000000"/>
      </w:pBdr>
      <w:bidi w:val="0"/>
      <w:ind w:start="0" w:end="0" w:hanging="0"/>
      <w:jc w:val="start"/>
      <w:rPr>
        <w:rFonts w:ascii="Times New Roman" w:hAnsi="Times New Roman"/>
        <w:spacing w:val="-2"/>
        <w:sz w:val="16"/>
        <w:lang w:val="lv-LV"/>
      </w:rPr>
    </w:pPr>
    <w:r>
      <w:rPr>
        <w:spacing w:val="-2"/>
        <w:sz w:val="16"/>
        <w:lang w:val="lv-LV"/>
      </w:rPr>
    </w:r>
  </w:p>
  <w:p>
    <w:pPr>
      <w:pStyle w:val="Header"/>
      <w:bidi w:val="0"/>
      <w:ind w:start="0" w:end="0" w:hanging="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jc w:val="start"/>
      <w:textAlignment w:val="auto"/>
    </w:pPr>
    <w:rPr>
      <w:rFonts w:ascii="Times New Roman" w:hAnsi="Times New Roman" w:eastAsia="Symbol" w:cs="Times New Roman"/>
      <w:color w:val="auto"/>
      <w:kern w:val="2"/>
      <w:sz w:val="20"/>
      <w:szCs w:val="24"/>
      <w:lang w:val="en-GB" w:eastAsia="en-US" w:bidi="hi-IN"/>
    </w:rPr>
  </w:style>
  <w:style w:type="paragraph" w:styleId="Heading1">
    <w:name w:val="Heading 1"/>
    <w:basedOn w:val="Normal"/>
    <w:next w:val="Normal"/>
    <w:qFormat/>
    <w:pPr>
      <w:keepNext w:val="true"/>
      <w:jc w:val="center"/>
      <w:outlineLvl w:val="0"/>
    </w:pPr>
    <w:rPr>
      <w:sz w:val="24"/>
    </w:rPr>
  </w:style>
  <w:style w:type="paragraph" w:styleId="Heading2">
    <w:name w:val="Heading 2"/>
    <w:basedOn w:val="Normal"/>
    <w:next w:val="Normal"/>
    <w:qFormat/>
    <w:pPr>
      <w:keepNext w:val="true"/>
      <w:pBdr>
        <w:top w:val="single" w:sz="6" w:space="1" w:color="C0C0C0"/>
        <w:left w:val="single" w:sz="6" w:space="1" w:color="C0C0C0"/>
        <w:bottom w:val="single" w:sz="6" w:space="1" w:color="C0C0C0"/>
        <w:right w:val="single" w:sz="6" w:space="1" w:color="C0C0C0"/>
      </w:pBdr>
      <w:shd w:fill="FFFFFF"/>
      <w:jc w:val="both"/>
      <w:outlineLvl w:val="1"/>
    </w:pPr>
    <w:rPr>
      <w:sz w:val="24"/>
      <w:lang w:val="lv-LV"/>
    </w:rPr>
  </w:style>
  <w:style w:type="character" w:styleId="DefaultParagraphFont">
    <w:name w:val="Default Paragraph Font"/>
    <w:qFormat/>
    <w:rPr/>
  </w:style>
  <w:style w:type="character" w:styleId="Pagenumber">
    <w:name w:val="page number"/>
    <w:basedOn w:val="DefaultParagraphFont"/>
    <w:qFormat/>
    <w:rPr>
      <w:sz w:val="24"/>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eastAsia="en-US"/>
    </w:rPr>
  </w:style>
  <w:style w:type="character" w:styleId="Tw4winJump">
    <w:name w:val="tw4winJump"/>
    <w:qFormat/>
    <w:rPr>
      <w:rFonts w:ascii="Courier New" w:hAnsi="Courier New"/>
      <w:color w:val="008080"/>
      <w:lang w:val="en-US" w:eastAsia="en-US"/>
    </w:rPr>
  </w:style>
  <w:style w:type="character" w:styleId="Tw4winExternal">
    <w:name w:val="tw4winExternal"/>
    <w:qFormat/>
    <w:rPr>
      <w:rFonts w:ascii="Courier New" w:hAnsi="Courier New"/>
      <w:color w:val="808080"/>
      <w:lang w:val="en-US" w:eastAsia="en-US"/>
    </w:rPr>
  </w:style>
  <w:style w:type="character" w:styleId="Tw4winInternal">
    <w:name w:val="tw4winInternal"/>
    <w:qFormat/>
    <w:rPr>
      <w:rFonts w:ascii="Courier New" w:hAnsi="Courier New"/>
      <w:color w:val="FF0000"/>
      <w:lang w:val="en-US" w:eastAsia="en-US"/>
    </w:rPr>
  </w:style>
  <w:style w:type="character" w:styleId="DONOTTRANSLATE">
    <w:name w:val="DO_NOT_TRANSLATE"/>
    <w:qFormat/>
    <w:rPr>
      <w:rFonts w:ascii="Courier New" w:hAnsi="Courier New"/>
      <w:color w:val="800000"/>
      <w:sz w:val="20"/>
    </w:rPr>
  </w:style>
  <w:style w:type="character" w:styleId="FootnoteCharacters">
    <w:name w:val="Footnote Characters"/>
    <w:basedOn w:val="DefaultParagraphFont"/>
    <w:qFormat/>
    <w:rPr>
      <w:sz w:val="24"/>
      <w:vertAlign w:val="superscript"/>
    </w:rPr>
  </w:style>
  <w:style w:type="character" w:styleId="FootnoteAnchor">
    <w:name w:val="Footnote Anchor"/>
    <w:rPr>
      <w:sz w:val="24"/>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rPr>
      <w:sz w:val="24"/>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1361</Words>
  <Characters>0</Characters>
  <CharactersWithSpaces>7761</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2005-12-19T13:22:00Z</dcterms:created>
  <dc:creator>Arita Upeniece</dc:creator>
  <dc:description/>
  <dc:language>en-US</dc:language>
  <cp:lastModifiedBy/>
  <cp:lastPrinted>2005-12-19T09:40:00Z</cp:lastPrinted>
  <dcterms:modified xsi:type="dcterms:W3CDTF">2006-01-02T14:55:00Z</dcterms:modified>
  <cp:revision>18</cp:revision>
  <dc:subject/>
  <dc:title>COUNCIL RESOLUTION of 9 June 1997 on the exchange of DNA analysis results (97/C 193/02)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TTC</vt:lpwstr>
  </property>
</Properties>
</file>