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media/image1.png" ContentType="image/png"/>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lv-LV"/>
        </w:rPr>
      </w:pPr>
      <w:r>
        <w:rPr>
          <w:sz w:val="24"/>
          <w:lang w:val="lv-LV"/>
        </w:rPr>
      </w:r>
    </w:p>
    <w:p>
      <w:pPr>
        <w:pStyle w:val="TextBody"/>
        <w:bidi w:val="0"/>
        <w:jc w:val="center"/>
        <w:rPr>
          <w:lang w:val="lv-LV"/>
        </w:rPr>
      </w:pPr>
      <w:r>
        <w:rPr>
          <w:b/>
          <w:lang w:val="lv-LV"/>
        </w:rPr>
        <w:t>PADOMES REZOLŪCIJA 2001/C 187/01</w:t>
      </w:r>
    </w:p>
    <w:p>
      <w:pPr>
        <w:pStyle w:val="TextBody"/>
        <w:bidi w:val="0"/>
        <w:jc w:val="center"/>
        <w:rPr>
          <w:rFonts w:ascii="Times New Roman" w:hAnsi="Times New Roman"/>
          <w:b/>
          <w:b/>
          <w:lang w:val="lv-LV"/>
        </w:rPr>
      </w:pPr>
      <w:r>
        <w:rPr>
          <w:b/>
          <w:lang w:val="lv-LV"/>
        </w:rPr>
      </w:r>
    </w:p>
    <w:p>
      <w:pPr>
        <w:pStyle w:val="TextBody"/>
        <w:bidi w:val="0"/>
        <w:jc w:val="center"/>
        <w:rPr/>
      </w:pPr>
      <w:r>
        <w:rPr>
          <w:b/>
          <w:lang w:val="lv-LV"/>
        </w:rPr>
        <w:t xml:space="preserve">2001. gada 25. jūnijs </w:t>
      </w:r>
    </w:p>
    <w:p>
      <w:pPr>
        <w:pStyle w:val="TextBody"/>
        <w:bidi w:val="0"/>
        <w:jc w:val="center"/>
        <w:rPr>
          <w:rFonts w:ascii="Times New Roman" w:hAnsi="Times New Roman"/>
          <w:b/>
          <w:b/>
          <w:lang w:val="lv-LV"/>
        </w:rPr>
      </w:pPr>
      <w:r>
        <w:rPr>
          <w:b/>
          <w:lang w:val="lv-LV"/>
        </w:rPr>
      </w:r>
    </w:p>
    <w:p>
      <w:pPr>
        <w:pStyle w:val="TextBody"/>
        <w:bidi w:val="0"/>
        <w:jc w:val="center"/>
        <w:rPr>
          <w:lang w:val="lv-LV"/>
        </w:rPr>
      </w:pPr>
      <w:r>
        <w:rPr>
          <w:b/>
          <w:lang w:val="lv-LV"/>
        </w:rPr>
        <w:t xml:space="preserve">par apmaiņu ar DNS analīžu rezultātiem </w:t>
      </w:r>
    </w:p>
    <w:p>
      <w:pPr>
        <w:pStyle w:val="TextBody"/>
        <w:bidi w:val="0"/>
        <w:rPr>
          <w:rFonts w:ascii="Times New Roman" w:hAnsi="Times New Roman"/>
          <w:lang w:val="lv-LV"/>
        </w:rPr>
      </w:pPr>
      <w:r>
        <w:rPr>
          <w:lang w:val="lv-LV"/>
        </w:rPr>
      </w:r>
    </w:p>
    <w:p>
      <w:pPr>
        <w:pStyle w:val="TextBody"/>
        <w:bidi w:val="0"/>
        <w:rPr>
          <w:rFonts w:ascii="Times New Roman" w:hAnsi="Times New Roman"/>
          <w:lang w:val="lv-LV"/>
        </w:rPr>
      </w:pPr>
      <w:r>
        <w:rPr>
          <w:lang w:val="lv-LV"/>
        </w:rPr>
      </w:r>
    </w:p>
    <w:p>
      <w:pPr>
        <w:pStyle w:val="TextBody"/>
        <w:bidi w:val="0"/>
        <w:rPr>
          <w:lang w:val="lv-LV"/>
        </w:rPr>
      </w:pPr>
      <w:r>
        <w:rPr>
          <w:lang w:val="lv-LV"/>
        </w:rPr>
        <w:t>EIROPAS SAVIENĪBAS PADOME,</w:t>
      </w:r>
    </w:p>
    <w:p>
      <w:pPr>
        <w:pStyle w:val="TextBody"/>
        <w:bidi w:val="0"/>
        <w:rPr>
          <w:rFonts w:ascii="Times New Roman" w:hAnsi="Times New Roman"/>
          <w:lang w:val="lv-LV"/>
        </w:rPr>
      </w:pPr>
      <w:r>
        <w:rPr>
          <w:lang w:val="lv-LV"/>
        </w:rPr>
      </w:r>
    </w:p>
    <w:p>
      <w:pPr>
        <w:pStyle w:val="TextBody"/>
        <w:bidi w:val="0"/>
        <w:rPr>
          <w:lang w:val="lv-LV"/>
        </w:rPr>
      </w:pPr>
      <w:r>
        <w:rPr>
          <w:lang w:val="lv-LV"/>
        </w:rPr>
        <w:t>ņemot vērā Līguma par Eiropas Savienību mērķus,</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ievērojot personas datu aizsardzību, ko reglamentē Eiropas Konvencija Nr. 108 par indivīdu aizsardzību attiecībā uz automātisku personas datu apstrādi (Strasbūra, 1981. gada 28. janvāris), Eiropas Padomes Ministru komitejas 1987. gada 17. septembra Ieteikums (87) 15, kas reglamentē personas datu izmantošanu policijā, un, ja nepieciešams, Eiropas Padomes Ministru komitejas 1992. gada 10. februāra Ieteikums (92) 1 par DNS analīžu izmantošanu kriminālās tiesvedības sistēmā, </w:t>
      </w:r>
    </w:p>
    <w:p>
      <w:pPr>
        <w:pStyle w:val="TextBody"/>
        <w:bidi w:val="0"/>
        <w:rPr>
          <w:rFonts w:ascii="Times New Roman" w:hAnsi="Times New Roman"/>
          <w:lang w:val="lv-LV"/>
        </w:rPr>
      </w:pPr>
      <w:r>
        <w:rPr>
          <w:lang w:val="lv-LV"/>
        </w:rPr>
      </w:r>
    </w:p>
    <w:p>
      <w:pPr>
        <w:pStyle w:val="TextBody"/>
        <w:bidi w:val="0"/>
        <w:rPr>
          <w:lang w:val="lv-LV"/>
        </w:rPr>
      </w:pPr>
      <w:r>
        <w:rPr>
          <w:lang w:val="lv-LV"/>
        </w:rPr>
        <w:t>atsaucoties uz Padomes 1997. gada 9. jūnija Rezolūciju par apmaiņu ar DNS analīžu rezultātiem</w:t>
      </w:r>
      <w:r>
        <w:rPr>
          <w:rStyle w:val="FootnoteAnchor"/>
          <w:lang w:val="lv-LV"/>
        </w:rPr>
        <w:footnoteReference w:id="2"/>
      </w:r>
      <w:r>
        <w:rPr>
          <w:lang w:val="lv-LV"/>
        </w:rPr>
        <w:t xml:space="preserve">, </w:t>
      </w:r>
    </w:p>
    <w:p>
      <w:pPr>
        <w:pStyle w:val="TextBody"/>
        <w:bidi w:val="0"/>
        <w:rPr>
          <w:rFonts w:ascii="Times New Roman" w:hAnsi="Times New Roman"/>
          <w:lang w:val="lv-LV"/>
        </w:rPr>
      </w:pPr>
      <w:r>
        <w:rPr>
          <w:lang w:val="lv-LV"/>
        </w:rPr>
      </w:r>
    </w:p>
    <w:p>
      <w:pPr>
        <w:pStyle w:val="TextBody"/>
        <w:bidi w:val="0"/>
        <w:rPr>
          <w:lang w:val="lv-LV"/>
        </w:rPr>
      </w:pPr>
      <w:r>
        <w:rPr>
          <w:lang w:val="lv-LV"/>
        </w:rPr>
        <w:t>ņemot vērā Eiropas Tiesu ekspertīžu iestāžu informācijas tīkla (ENFSI) DNS Darba grupas darbu DNS marķieru un DNS tehnoloģijas saskaņošanā, kas finansēts saskaņā ar Eiropas Savienības STOP programmu atbilstoši Padomes 1996. gada 29. novembra Vienotajai rīcībai 96/700/TI, kas izstrādāts veicināšanas un apmaiņas programmas ietvaros attiecībā uz tām personām, kas atbildīgas par cilvēku tirdzniecības apkarošanu un bērnu seksuālo izmantošanu</w:t>
      </w:r>
      <w:r>
        <w:rPr>
          <w:rStyle w:val="FootnoteAnchor"/>
          <w:lang w:val="lv-LV"/>
        </w:rPr>
        <w:footnoteReference w:id="3"/>
      </w:r>
      <w:r>
        <w:rPr>
          <w:lang w:val="lv-LV"/>
        </w:rPr>
        <w:t xml:space="preserve">, </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rēķinoties ar to, ka pastāv tehniski aspekti, kas saistīti ar DNS pētījumiem un kas jāņem vērā, lai pilnveidotu turpmāko sadarbību, </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ņemot vērā to, ka DNS analīžu rezultātiem, kā tas pierādīts, ir ievērojama nozīme noziedzīgu nodarījumu izmeklēšanā, un šo efektīvo apmaiņu ar DNS analīžu rezultātiem var pilnveidot, izmantojot vienus un tos pašus DNS marķierus, </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pārliecībā par to, ka šī apmaiņa ir būtiska cīņā pret noziedzīgiem nodarījumiem kontrolētā, efektīvā un sistemātiskā veidā, </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ņemot vērā to, ka tāpēc ir attiecīgi jāizveido sākotnējais minimālais saraksts, kurā iekļauti DNS marķieri, kas tiek lietoti tiesu ekspertīžu veiktajās DNS analīzēs dalībvalstīs un kurus varētu izmanto saskaņā ar šādu apmaiņu, </w:t>
      </w:r>
    </w:p>
    <w:p>
      <w:pPr>
        <w:pStyle w:val="TextBody"/>
        <w:bidi w:val="0"/>
        <w:rPr>
          <w:rFonts w:ascii="Times New Roman" w:hAnsi="Times New Roman"/>
          <w:lang w:val="lv-LV"/>
        </w:rPr>
      </w:pPr>
      <w:r>
        <w:rPr>
          <w:lang w:val="lv-LV"/>
        </w:rPr>
      </w:r>
    </w:p>
    <w:p>
      <w:pPr>
        <w:pStyle w:val="TextBody"/>
        <w:bidi w:val="0"/>
        <w:rPr>
          <w:lang w:val="lv-LV"/>
        </w:rPr>
      </w:pPr>
      <w:r>
        <w:rPr>
          <w:lang w:val="lv-LV"/>
        </w:rPr>
        <w:t>uzsverot to, ka apmaiņu ar DNS analīžu rezultātiem jāīsteno vienīgi tad, ja ir pamats uzskatīt, ka šāda apmaiņa nodrošina atbilstošu informāciju kriminālizmeklēšanā,</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IR PIEŅĒMUSI ŠO REZOLŪCIJU. </w:t>
      </w:r>
    </w:p>
    <w:p>
      <w:pPr>
        <w:pStyle w:val="TextBody"/>
        <w:bidi w:val="0"/>
        <w:rPr>
          <w:rFonts w:ascii="Times New Roman" w:hAnsi="Times New Roman"/>
          <w:lang w:val="lv-LV"/>
        </w:rPr>
      </w:pPr>
      <w:r>
        <w:rPr>
          <w:lang w:val="lv-LV"/>
        </w:rPr>
      </w:r>
    </w:p>
    <w:p>
      <w:pPr>
        <w:pStyle w:val="TextBody"/>
        <w:bidi w:val="0"/>
        <w:rPr>
          <w:rFonts w:ascii="Times New Roman" w:hAnsi="Times New Roman"/>
          <w:lang w:val="lv-LV"/>
        </w:rPr>
      </w:pPr>
      <w:r>
        <w:rPr>
          <w:lang w:val="lv-LV"/>
        </w:rPr>
      </w:r>
    </w:p>
    <w:p>
      <w:pPr>
        <w:pStyle w:val="TextBody"/>
        <w:bidi w:val="0"/>
        <w:jc w:val="center"/>
        <w:rPr>
          <w:lang w:val="lv-LV"/>
        </w:rPr>
      </w:pPr>
      <w:r>
        <w:rPr>
          <w:lang w:val="lv-LV"/>
        </w:rPr>
        <w:t>I. DEFINĪCIJAS.</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1. “DNS marķieris” ir lokuss molekulā, kas ietver informāciju, kura katram indivīdam ir atšķirīga. </w:t>
      </w:r>
    </w:p>
    <w:p>
      <w:pPr>
        <w:pStyle w:val="TextBody"/>
        <w:bidi w:val="0"/>
        <w:rPr>
          <w:rFonts w:ascii="Times New Roman" w:hAnsi="Times New Roman"/>
          <w:lang w:val="lv-LV"/>
        </w:rPr>
      </w:pPr>
      <w:r>
        <w:rPr>
          <w:lang w:val="lv-LV"/>
        </w:rPr>
      </w:r>
    </w:p>
    <w:p>
      <w:pPr>
        <w:pStyle w:val="TextBody"/>
        <w:bidi w:val="0"/>
        <w:jc w:val="both"/>
        <w:rPr/>
      </w:pPr>
      <w:r>
        <w:rPr>
          <w:lang w:val="lv-LV"/>
        </w:rPr>
        <w:t xml:space="preserve">2. “DNS analīzes rezultāts” ir burtu vai ciparu kods, kas tiek sastādīts, pamatojoties uz vienu vai vairākām DNS analīzēm, un ko izmanto pārskatam. Piemēram, DNS analīzes rezultāts D3S1358 14-15, D21S11 28-30 nozīmē to, ka subjekts ir 14-15 tips, pamatojoties uz DNS marķieri D3S1358, un 28-30 tips, pamatojoties uz DNS marķieri D21S11. </w:t>
      </w:r>
    </w:p>
    <w:p>
      <w:pPr>
        <w:pStyle w:val="TextBody"/>
        <w:bidi w:val="0"/>
        <w:rPr>
          <w:rFonts w:ascii="Times New Roman" w:hAnsi="Times New Roman"/>
          <w:lang w:val="lv-LV"/>
        </w:rPr>
      </w:pPr>
      <w:r>
        <w:rPr>
          <w:lang w:val="lv-LV"/>
        </w:rPr>
      </w:r>
    </w:p>
    <w:p>
      <w:pPr>
        <w:pStyle w:val="TextBody"/>
        <w:bidi w:val="0"/>
        <w:jc w:val="both"/>
        <w:rPr/>
      </w:pPr>
      <w:r>
        <w:rPr>
          <w:lang w:val="lv-LV"/>
        </w:rPr>
        <w:t xml:space="preserve">3. “Eiropas standarta komplekts (ESS)” ir I pielikumā minēto DNS marķieru komplekts. </w:t>
      </w:r>
    </w:p>
    <w:p>
      <w:pPr>
        <w:pStyle w:val="TextBody"/>
        <w:bidi w:val="0"/>
        <w:rPr>
          <w:rFonts w:ascii="Times New Roman" w:hAnsi="Times New Roman"/>
          <w:lang w:val="lv-LV"/>
        </w:rPr>
      </w:pPr>
      <w:r>
        <w:rPr>
          <w:lang w:val="lv-LV"/>
        </w:rPr>
      </w:r>
    </w:p>
    <w:p>
      <w:pPr>
        <w:pStyle w:val="TextBody"/>
        <w:bidi w:val="0"/>
        <w:jc w:val="both"/>
        <w:rPr/>
      </w:pPr>
      <w:r>
        <w:rPr>
          <w:lang w:val="lv-LV"/>
        </w:rPr>
        <w:t>4. “ESS marķieris” ir DNS marķieris, kas ietverts Eiropas standarta komplektā (ESS) un</w:t>
      </w:r>
    </w:p>
    <w:p>
      <w:pPr>
        <w:pStyle w:val="TextBody"/>
        <w:bidi w:val="0"/>
        <w:rPr>
          <w:rFonts w:ascii="Times New Roman" w:hAnsi="Times New Roman"/>
          <w:lang w:val="lv-LV"/>
        </w:rPr>
      </w:pPr>
      <w:r>
        <w:rPr>
          <w:lang w:val="lv-LV"/>
        </w:rPr>
      </w:r>
    </w:p>
    <w:p>
      <w:pPr>
        <w:pStyle w:val="TextBody"/>
        <w:bidi w:val="0"/>
        <w:jc w:val="both"/>
        <w:rPr/>
      </w:pPr>
      <w:r>
        <w:rPr>
          <w:lang w:val="lv-LV"/>
        </w:rPr>
        <w:t>5. “ESS analīzes rezultāts” ir DNS analīzes rezultāts, kas tiek iegūts, izmantojot iepriekšminētos DNS marķierus, kas ietverti ESS.</w:t>
      </w:r>
    </w:p>
    <w:p>
      <w:pPr>
        <w:pStyle w:val="TextBody"/>
        <w:bidi w:val="0"/>
        <w:rPr>
          <w:rFonts w:ascii="Times New Roman" w:hAnsi="Times New Roman"/>
          <w:lang w:val="lv-LV"/>
        </w:rPr>
      </w:pPr>
      <w:r>
        <w:rPr>
          <w:lang w:val="lv-LV"/>
        </w:rPr>
      </w:r>
    </w:p>
    <w:p>
      <w:pPr>
        <w:pStyle w:val="TextBody"/>
        <w:bidi w:val="0"/>
        <w:rPr>
          <w:rFonts w:ascii="Times New Roman" w:hAnsi="Times New Roman"/>
          <w:lang w:val="lv-LV"/>
        </w:rPr>
      </w:pPr>
      <w:r>
        <w:rPr>
          <w:lang w:val="lv-LV"/>
        </w:rPr>
      </w:r>
    </w:p>
    <w:p>
      <w:pPr>
        <w:pStyle w:val="TextBody"/>
        <w:bidi w:val="0"/>
        <w:jc w:val="center"/>
        <w:rPr>
          <w:lang w:val="lv-LV"/>
        </w:rPr>
      </w:pPr>
      <w:r>
        <w:rPr>
          <w:lang w:val="lv-LV"/>
        </w:rPr>
        <w:t>II. TIESU EKSPERTĪZĒS IZMANTOJAMĀ DNS TEHNOLOĢIJA</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1. Lai veicinātu apmaiņu ar DNS analīžu rezultātiem, Padome aicina dalībvalstis lietot DNS analīzēs, ko izmanto tiesu ekspertīzēs, vismaz tos DNS marķierus, kas minēti I pielikumā un kas ietverti ESS. </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2. Padome aicina dalībvalstis pilnveidot ESS analīžu rezultātus saskaņā ar zinātniski pārbaudītu un apstiprinātu DNS tehnoloģiju, pamatojoties uz pētījumiem, kas veikti Eiropas Tiesu ekspertīžu iestāžu informācijas tīkla DNS darba grupas ietvaros. Dalībvalstīm atbilstoši pieprasījumam jāprecizē izmantojamās kvalitātes prasības un kvalifikācijas pārbaudes. </w:t>
      </w:r>
    </w:p>
    <w:p>
      <w:pPr>
        <w:pStyle w:val="TextBody"/>
        <w:bidi w:val="0"/>
        <w:rPr>
          <w:rFonts w:ascii="Times New Roman" w:hAnsi="Times New Roman"/>
          <w:lang w:val="lv-LV"/>
        </w:rPr>
      </w:pPr>
      <w:r>
        <w:rPr>
          <w:lang w:val="lv-LV"/>
        </w:rPr>
      </w:r>
    </w:p>
    <w:p>
      <w:pPr>
        <w:pStyle w:val="TextBody"/>
        <w:bidi w:val="0"/>
        <w:rPr>
          <w:rFonts w:ascii="Times New Roman" w:hAnsi="Times New Roman"/>
          <w:lang w:val="lv-LV"/>
        </w:rPr>
      </w:pPr>
      <w:r>
        <w:rPr>
          <w:lang w:val="lv-LV"/>
        </w:rPr>
      </w:r>
    </w:p>
    <w:p>
      <w:pPr>
        <w:pStyle w:val="TextBody"/>
        <w:bidi w:val="0"/>
        <w:jc w:val="center"/>
        <w:rPr>
          <w:lang w:val="lv-LV"/>
        </w:rPr>
      </w:pPr>
      <w:r>
        <w:rPr>
          <w:lang w:val="lv-LV"/>
        </w:rPr>
        <w:t xml:space="preserve">III. APMAIŅA AR DNS ANALĪŽU REZULTĀTIEM </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1. Lai tiktu veikta apmaiņa ar DNS analīžu rezultātiem, Padome pieprasa dalībvalstīm, lai tās DNS analīžu rezultātus attiecinātu tikai uz tām hromosomu zonām, kurās nav ietverta ģenētiskā informācija, t.i., par kurām nav zināms, ka tās sniegtu informāciju par specifiskām iedzimtām īpašībām. </w:t>
      </w:r>
    </w:p>
    <w:p>
      <w:pPr>
        <w:pStyle w:val="TextBody"/>
        <w:bidi w:val="0"/>
        <w:rPr>
          <w:rFonts w:ascii="Times New Roman" w:hAnsi="Times New Roman"/>
          <w:lang w:val="lv-LV"/>
        </w:rPr>
      </w:pPr>
      <w:r>
        <w:rPr>
          <w:lang w:val="lv-LV"/>
        </w:rPr>
      </w:r>
    </w:p>
    <w:p>
      <w:pPr>
        <w:pStyle w:val="TextBody"/>
        <w:bidi w:val="0"/>
        <w:jc w:val="both"/>
        <w:rPr/>
      </w:pPr>
      <w:r>
        <w:rPr>
          <w:lang w:val="lv-LV"/>
        </w:rPr>
        <w:t xml:space="preserve">2. Nav zināms, vai I pielikumā minētie DNS marķieri ietver informāciju par specifiskām iedzimtām īpašībām. Ja zinātne attīstītos tā, ka nāktos konstatēt, ka attiecīgi kāds no šajā rezolūcijā ieteiktajiem DNS marķieriem sniedz informāciju par specifiskām iedzimtām īpašībām, tad dalībvalstīm ilgāk nav ieteicams izmantot šādu marķieri, veicot apmaiņu ar DNS analīžu rezultātiem. Dalībvalstīm tiek ieteikts būt gatavām izdzēst saņemtos DNS analīžu rezultātus, ja ir pierādīts, ka tie ietver informāciju par specifiskām iedzimtām īpašībām. </w:t>
      </w:r>
    </w:p>
    <w:p>
      <w:pPr>
        <w:pStyle w:val="TextBody"/>
        <w:bidi w:val="0"/>
        <w:rPr>
          <w:rFonts w:ascii="Times New Roman" w:hAnsi="Times New Roman"/>
          <w:lang w:val="lv-LV"/>
        </w:rPr>
      </w:pPr>
      <w:r>
        <w:rPr>
          <w:lang w:val="lv-LV"/>
        </w:rPr>
      </w:r>
    </w:p>
    <w:p>
      <w:pPr>
        <w:pStyle w:val="TextBody"/>
        <w:bidi w:val="0"/>
        <w:jc w:val="both"/>
        <w:rPr/>
      </w:pPr>
      <w:r>
        <w:rPr>
          <w:lang w:val="lv-LV"/>
        </w:rPr>
        <w:t xml:space="preserve">3. Padome iesaka dalībvalstīm apmaiņai ar rezultātiem, kas iegūti ar ESS starpniecību, izmantot II pielikumā minēto veidlapu, kuras pamatā ir standarts, kas jau tiek lietots citās starptautiskās organizācijās, piemēram, Interpolā. Padome pieprasa dalībvalstīm šim nolūkam izraudzīties vienu kontaktpunktu. </w:t>
      </w:r>
    </w:p>
    <w:p>
      <w:pPr>
        <w:pStyle w:val="TextBody"/>
        <w:bidi w:val="0"/>
        <w:rPr>
          <w:rFonts w:ascii="Times New Roman" w:hAnsi="Times New Roman"/>
          <w:lang w:val="lv-LV"/>
        </w:rPr>
      </w:pPr>
      <w:r>
        <w:rPr>
          <w:lang w:val="lv-LV"/>
        </w:rPr>
      </w:r>
    </w:p>
    <w:p>
      <w:pPr>
        <w:pStyle w:val="TextBody"/>
        <w:bidi w:val="0"/>
        <w:jc w:val="both"/>
        <w:rPr/>
      </w:pPr>
      <w:r>
        <w:rPr>
          <w:lang w:val="lv-LV"/>
        </w:rPr>
        <w:t xml:space="preserve">4. Lai veicinātu apmaiņu ar DNS analīžu rezultātiem starp dalībvalstīm, jāizvērtē datu pārraides iespēja ar elektronisko saziņas līdzekļu starpniecību. </w:t>
      </w:r>
    </w:p>
    <w:p>
      <w:pPr>
        <w:pStyle w:val="TextBody"/>
        <w:bidi w:val="0"/>
        <w:rPr>
          <w:rFonts w:ascii="Times New Roman" w:hAnsi="Times New Roman"/>
          <w:lang w:val="lv-LV"/>
        </w:rPr>
      </w:pPr>
      <w:r>
        <w:rPr>
          <w:lang w:val="lv-LV"/>
        </w:rPr>
      </w:r>
    </w:p>
    <w:p>
      <w:pPr>
        <w:pStyle w:val="TextBody"/>
        <w:bidi w:val="0"/>
        <w:jc w:val="both"/>
        <w:rPr/>
      </w:pPr>
      <w:r>
        <w:rPr>
          <w:lang w:val="lv-LV"/>
        </w:rPr>
        <w:t xml:space="preserve">5. Šīs sadaļas 1. un 2. punktā iekļautie noteikumi neietekmē divpusējās vienošanās par specifisko DNS marķieru izmantošanu dalībvalstīs, kas noteikta atbilstīgi attiecīgās valsts tiesību aktiem. </w:t>
      </w:r>
    </w:p>
    <w:p>
      <w:pPr>
        <w:pStyle w:val="TextBody"/>
        <w:bidi w:val="0"/>
        <w:rPr>
          <w:rFonts w:ascii="Times New Roman" w:hAnsi="Times New Roman"/>
          <w:lang w:val="lv-LV"/>
        </w:rPr>
      </w:pPr>
      <w:r>
        <w:rPr>
          <w:lang w:val="lv-LV"/>
        </w:rPr>
      </w:r>
    </w:p>
    <w:p>
      <w:pPr>
        <w:pStyle w:val="TextBody"/>
        <w:bidi w:val="0"/>
        <w:rPr>
          <w:rFonts w:ascii="Times New Roman" w:hAnsi="Times New Roman"/>
          <w:lang w:val="lv-LV"/>
        </w:rPr>
      </w:pPr>
      <w:r>
        <w:rPr>
          <w:lang w:val="lv-LV"/>
        </w:rPr>
      </w:r>
    </w:p>
    <w:p>
      <w:pPr>
        <w:pStyle w:val="TextBody"/>
        <w:bidi w:val="0"/>
        <w:jc w:val="center"/>
        <w:rPr>
          <w:lang w:val="lv-LV"/>
        </w:rPr>
      </w:pPr>
      <w:r>
        <w:rPr>
          <w:lang w:val="lv-LV"/>
        </w:rPr>
        <w:t>I PIELIKUMS</w:t>
      </w:r>
    </w:p>
    <w:p>
      <w:pPr>
        <w:pStyle w:val="TextBody"/>
        <w:bidi w:val="0"/>
        <w:rPr>
          <w:rFonts w:ascii="Times New Roman" w:hAnsi="Times New Roman"/>
          <w:lang w:val="lv-LV"/>
        </w:rPr>
      </w:pPr>
      <w:r>
        <w:rPr>
          <w:lang w:val="lv-LV"/>
        </w:rPr>
      </w:r>
    </w:p>
    <w:p>
      <w:pPr>
        <w:pStyle w:val="TextBody"/>
        <w:bidi w:val="0"/>
        <w:rPr>
          <w:lang w:val="lv-LV"/>
        </w:rPr>
      </w:pPr>
      <w:r>
        <w:rPr>
          <w:lang w:val="lv-LV"/>
        </w:rPr>
        <w:t xml:space="preserve">Eiropas standarta komplektu (ESS) veido šādi DNS marķieri: </w:t>
      </w:r>
    </w:p>
    <w:p>
      <w:pPr>
        <w:pStyle w:val="TextBody"/>
        <w:bidi w:val="0"/>
        <w:rPr>
          <w:rFonts w:ascii="Times New Roman" w:hAnsi="Times New Roman"/>
          <w:lang w:val="lv-LV"/>
        </w:rPr>
      </w:pPr>
      <w:r>
        <w:rPr>
          <w:lang w:val="lv-LV"/>
        </w:rPr>
      </w:r>
    </w:p>
    <w:p>
      <w:pPr>
        <w:pStyle w:val="TextBody"/>
        <w:bidi w:val="0"/>
        <w:jc w:val="both"/>
        <w:rPr/>
      </w:pPr>
      <w:r>
        <w:rPr>
          <w:lang w:val="lv-LV"/>
        </w:rPr>
        <w:t>D3S1358</w:t>
      </w:r>
    </w:p>
    <w:p>
      <w:pPr>
        <w:pStyle w:val="TextBody"/>
        <w:bidi w:val="0"/>
        <w:jc w:val="both"/>
        <w:rPr/>
      </w:pPr>
      <w:r>
        <w:rPr>
          <w:lang w:val="lv-LV"/>
        </w:rPr>
        <w:t>VWA</w:t>
      </w:r>
    </w:p>
    <w:p>
      <w:pPr>
        <w:pStyle w:val="TextBody"/>
        <w:bidi w:val="0"/>
        <w:jc w:val="both"/>
        <w:rPr/>
      </w:pPr>
      <w:r>
        <w:rPr>
          <w:lang w:val="lv-LV"/>
        </w:rPr>
        <w:t>D8S1179</w:t>
      </w:r>
    </w:p>
    <w:p>
      <w:pPr>
        <w:pStyle w:val="TextBody"/>
        <w:bidi w:val="0"/>
        <w:jc w:val="both"/>
        <w:rPr/>
      </w:pPr>
      <w:r>
        <w:rPr>
          <w:lang w:val="lv-LV"/>
        </w:rPr>
        <w:t>D21S11</w:t>
      </w:r>
    </w:p>
    <w:p>
      <w:pPr>
        <w:pStyle w:val="TextBody"/>
        <w:bidi w:val="0"/>
        <w:jc w:val="both"/>
        <w:rPr/>
      </w:pPr>
      <w:r>
        <w:rPr>
          <w:lang w:val="lv-LV"/>
        </w:rPr>
        <w:t>D18S51</w:t>
      </w:r>
    </w:p>
    <w:p>
      <w:pPr>
        <w:pStyle w:val="TextBody"/>
        <w:bidi w:val="0"/>
        <w:jc w:val="both"/>
        <w:rPr/>
      </w:pPr>
      <w:r>
        <w:rPr>
          <w:lang w:val="lv-LV"/>
        </w:rPr>
        <w:t>HUMTH01</w:t>
      </w:r>
    </w:p>
    <w:p>
      <w:pPr>
        <w:pStyle w:val="TextBody"/>
        <w:bidi w:val="0"/>
        <w:jc w:val="both"/>
        <w:rPr/>
      </w:pPr>
      <w:r>
        <w:rPr>
          <w:lang w:val="lv-LV"/>
        </w:rPr>
        <w:t>FGA</w:t>
      </w:r>
    </w:p>
    <w:p>
      <w:pPr>
        <w:pStyle w:val="TextBody"/>
        <w:bidi w:val="0"/>
        <w:rPr>
          <w:rFonts w:ascii="Times New Roman" w:hAnsi="Times New Roman"/>
          <w:lang w:val="lv-LV"/>
        </w:rPr>
      </w:pPr>
      <w:r>
        <w:rPr>
          <w:lang w:val="lv-LV"/>
        </w:rPr>
      </w:r>
    </w:p>
    <w:p>
      <w:pPr>
        <w:pStyle w:val="TextBody"/>
        <w:bidi w:val="0"/>
        <w:jc w:val="center"/>
        <w:rPr>
          <w:lang w:val="lv-LV"/>
        </w:rPr>
      </w:pPr>
      <w:r>
        <w:rPr>
          <w:lang w:val="lv-LV"/>
        </w:rPr>
      </w:r>
      <w:r>
        <w:br w:type="page"/>
      </w:r>
    </w:p>
    <w:p>
      <w:pPr>
        <w:pStyle w:val="TextBody"/>
        <w:bidi w:val="0"/>
        <w:jc w:val="center"/>
        <w:rPr>
          <w:lang w:val="lv-LV"/>
        </w:rPr>
      </w:pPr>
      <w:r>
        <w:rPr>
          <w:lang w:val="lv-LV"/>
        </w:rPr>
        <w:t>II PIELIKUMS</w:t>
      </w:r>
    </w:p>
    <w:p>
      <w:pPr>
        <w:pStyle w:val="TextBody"/>
        <w:bidi w:val="0"/>
        <w:rPr>
          <w:rFonts w:ascii="Times New Roman" w:hAnsi="Times New Roman"/>
          <w:lang w:val="lv-LV"/>
        </w:rPr>
      </w:pPr>
      <w:r>
        <w:rPr>
          <w:lang w:val="lv-LV"/>
        </w:rPr>
      </w:r>
    </w:p>
    <w:p>
      <w:pPr>
        <w:pStyle w:val="TextBody"/>
        <w:bidi w:val="0"/>
        <w:rPr>
          <w:rFonts w:ascii="Times New Roman" w:hAnsi="Times New Roman"/>
          <w:lang w:val="lv-LV"/>
        </w:rPr>
      </w:pPr>
      <w:r>
        <w:rPr>
          <w:lang w:val="lv-LV"/>
        </w:rPr>
      </w:r>
    </w:p>
    <w:p>
      <w:pPr>
        <w:pStyle w:val="Heading2"/>
        <w:bidi w:val="0"/>
        <w:rPr>
          <w:lang w:val="lv-LV"/>
        </w:rPr>
      </w:pPr>
      <w:r>
        <w:rPr>
          <w:lang w:val="lv-LV"/>
        </w:rPr>
        <w:t>Veidlapa apmaiņai ar DNS profiliem, ko izmanto tiesu ekspertīzēs</w:t>
      </w:r>
    </w:p>
    <w:p>
      <w:pPr>
        <w:pStyle w:val="Normal"/>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Pieprasījuma iesniedzēja valsts: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pPr>
      <w:r>
        <w:rPr>
          <w:sz w:val="24"/>
          <w:lang w:val="lv-LV"/>
        </w:rPr>
        <w:t xml:space="preserve">Kontaktpunkts: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Mūsu atsauce:</w:t>
        <w:tab/>
        <w:t xml:space="preserve"> </w:t>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pPr>
      <w:r>
        <w:rPr>
          <w:sz w:val="24"/>
          <w:lang w:val="lv-LV"/>
        </w:rPr>
        <w:t xml:space="preserve">Aizdomās turētā persona: </w:t>
        <w:tab/>
      </w:r>
    </w:p>
    <w:p>
      <w:pPr>
        <w:pStyle w:val="Normal"/>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rPr>
          <w:sz w:val="24"/>
          <w:lang w:val="lv-LV"/>
        </w:rPr>
      </w:r>
    </w:p>
    <w:p>
      <w:pPr>
        <w:pStyle w:val="Normal"/>
        <w:tabs>
          <w:tab w:val="clear" w:pos="720"/>
          <w:tab w:val="left" w:pos="2268" w:leader="none"/>
          <w:tab w:val="left" w:pos="3828" w:leader="none"/>
        </w:tabs>
        <w:bidi w:val="0"/>
        <w:jc w:val="start"/>
        <w:rPr>
          <w:lang w:val="lv-LV"/>
        </w:rPr>
      </w:pPr>
      <w:r>
        <w:rPr>
          <w:sz w:val="24"/>
          <w:lang w:val="lv-LV"/>
        </w:rPr>
        <w:t xml:space="preserve">Parauga izcelsme: </w:t>
        <w:tab/>
        <w:t xml:space="preserve">Persona </w:t>
      </w:r>
      <w:r>
        <w:rPr>
          <w:sz w:val="28"/>
          <w:lang w:val="lv-LV"/>
        </w:rPr>
        <w:t>□</w:t>
      </w:r>
      <w:r>
        <w:rPr>
          <w:sz w:val="24"/>
          <w:lang w:val="lv-LV"/>
        </w:rPr>
        <w:tab/>
        <w:t xml:space="preserve">Noziedzīgā nodarījuma pēdas </w:t>
      </w:r>
      <w:r>
        <w:rPr>
          <w:sz w:val="28"/>
          <w:lang w:val="lv-LV"/>
        </w:rPr>
        <w:t>□</w:t>
      </w:r>
    </w:p>
    <w:p>
      <w:pPr>
        <w:pStyle w:val="Normal"/>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rPr>
          <w:sz w:val="24"/>
          <w:lang w:val="lv-LV"/>
        </w:rPr>
      </w:r>
    </w:p>
    <w:p>
      <w:pPr>
        <w:pStyle w:val="Normal"/>
        <w:bidi w:val="0"/>
        <w:jc w:val="start"/>
        <w:rPr>
          <w:lang w:val="lv-LV"/>
        </w:rPr>
      </w:pPr>
      <w:r>
        <w:rPr>
          <w:sz w:val="24"/>
          <w:lang w:val="lv-LV"/>
        </w:rPr>
        <w:t>DNS profils</w:t>
      </w:r>
    </w:p>
    <w:p>
      <w:pPr>
        <w:pStyle w:val="Normal"/>
        <w:bidi w:val="0"/>
        <w:jc w:val="start"/>
        <w:rPr>
          <w:rFonts w:ascii="Times New Roman" w:hAnsi="Times New Roman"/>
          <w:sz w:val="24"/>
          <w:lang w:val="lv-LV"/>
        </w:rPr>
      </w:pPr>
      <w:r>
        <w:rPr>
          <w:sz w:val="24"/>
          <w:lang w:val="lv-LV"/>
        </w:rPr>
      </w:r>
    </w:p>
    <w:p>
      <w:pPr>
        <w:sectPr>
          <w:headerReference w:type="default" r:id="rId2"/>
          <w:headerReference w:type="first" r:id="rId3"/>
          <w:footerReference w:type="default" r:id="rId4"/>
          <w:footerReference w:type="first" r:id="rId5"/>
          <w:footnotePr>
            <w:numFmt w:val="decimal"/>
          </w:footnotePr>
          <w:type w:val="nextPage"/>
          <w:pgSz w:w="11906" w:h="16838"/>
          <w:pgMar w:left="1701" w:right="1134" w:gutter="0" w:header="567" w:top="1134" w:footer="567" w:bottom="1134"/>
          <w:pgNumType w:fmt="decimal"/>
          <w:formProt w:val="false"/>
          <w:titlePg/>
          <w:textDirection w:val="lrTb"/>
          <w:docGrid w:type="default" w:linePitch="100" w:charSpace="0"/>
        </w:sectPr>
      </w:pPr>
    </w:p>
    <w:p>
      <w:pPr>
        <w:pStyle w:val="Normal"/>
        <w:bidi w:val="0"/>
        <w:jc w:val="start"/>
        <w:rPr>
          <w:rFonts w:ascii="Times New Roman" w:hAnsi="Times New Roman"/>
          <w:sz w:val="24"/>
          <w:lang w:val="lv-LV"/>
        </w:rPr>
      </w:pPr>
      <w:r>
        <w:rPr>
          <w:sz w:val="24"/>
          <w:lang w:val="lv-LV"/>
        </w:rPr>
      </w:r>
    </w:p>
    <w:tbl>
      <w:tblPr>
        <w:tblW w:w="4275" w:type="dxa"/>
        <w:jc w:val="start"/>
        <w:tblInd w:w="84" w:type="dxa"/>
        <w:tblLayout w:type="fixed"/>
        <w:tblCellMar>
          <w:top w:w="0" w:type="dxa"/>
          <w:start w:w="108" w:type="dxa"/>
          <w:bottom w:w="0" w:type="dxa"/>
          <w:end w:w="108" w:type="dxa"/>
        </w:tblCellMar>
      </w:tblPr>
      <w:tblGrid>
        <w:gridCol w:w="1425"/>
        <w:gridCol w:w="1425"/>
        <w:gridCol w:w="1425"/>
      </w:tblGrid>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1. alēle</w:t>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pPr>
            <w:r>
              <w:rPr>
                <w:sz w:val="24"/>
                <w:lang w:val="lv-LV"/>
              </w:rPr>
              <w:t>2. alēle</w:t>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D3S1358</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VWA</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D8S1179</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D21S11</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D18S51</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HUMTH0 1</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FGA</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bl>
    <w:p>
      <w:pPr>
        <w:pStyle w:val="Normal"/>
        <w:widowControl w:val="false"/>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br w:type="column"/>
      </w:r>
      <w:r>
        <w:rPr>
          <w:sz w:val="24"/>
          <w:lang w:val="lv-LV"/>
        </w:rPr>
      </w:r>
    </w:p>
    <w:p>
      <w:pPr>
        <w:sectPr>
          <w:footnotePr>
            <w:numFmt w:val="decimal"/>
          </w:footnotePr>
          <w:type w:val="continuous"/>
          <w:pgSz w:w="11906" w:h="16838"/>
          <w:pgMar w:left="1701" w:right="1134" w:gutter="0" w:header="567" w:top="1134" w:footer="567" w:bottom="1134"/>
          <w:cols w:num="2" w:space="708" w:equalWidth="true" w:sep="false"/>
          <w:formProt w:val="false"/>
          <w:textDirection w:val="lrTb"/>
          <w:docGrid w:type="default" w:linePitch="100" w:charSpace="0"/>
        </w:sectPr>
      </w:pPr>
    </w:p>
    <w:tbl>
      <w:tblPr>
        <w:tblW w:w="4275" w:type="dxa"/>
        <w:jc w:val="start"/>
        <w:tblInd w:w="84" w:type="dxa"/>
        <w:tblLayout w:type="fixed"/>
        <w:tblCellMar>
          <w:top w:w="0" w:type="dxa"/>
          <w:start w:w="108" w:type="dxa"/>
          <w:bottom w:w="0" w:type="dxa"/>
          <w:end w:w="108" w:type="dxa"/>
        </w:tblCellMar>
      </w:tblPr>
      <w:tblGrid>
        <w:gridCol w:w="1425"/>
        <w:gridCol w:w="1425"/>
        <w:gridCol w:w="1425"/>
      </w:tblGrid>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1. alēle</w:t>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pPr>
            <w:r>
              <w:rPr>
                <w:sz w:val="24"/>
                <w:lang w:val="lv-LV"/>
              </w:rPr>
              <w:t>2. alēle</w:t>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bl>
    <w:p>
      <w:pPr>
        <w:sectPr>
          <w:headerReference w:type="default" r:id="rId6"/>
          <w:footerReference w:type="default" r:id="rId7"/>
          <w:footnotePr>
            <w:numFmt w:val="decimal"/>
          </w:footnotePr>
          <w:type w:val="continuous"/>
          <w:pgSz w:w="11906" w:h="16838"/>
          <w:pgMar w:left="1701" w:right="1134" w:gutter="0" w:header="567" w:top="1134" w:footer="567" w:bottom="1134"/>
          <w:pgNumType w:fmt="decimal"/>
          <w:formProt w:val="false"/>
          <w:textDirection w:val="lrTb"/>
          <w:docGrid w:type="default" w:linePitch="100" w:charSpace="0"/>
        </w:sectPr>
      </w:pPr>
    </w:p>
    <w:p>
      <w:pPr>
        <w:pStyle w:val="Normal"/>
        <w:widowControl w:val="false"/>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Sīkāku informāciju var iegūt: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pPr>
      <w:r>
        <w:rPr>
          <w:sz w:val="24"/>
          <w:lang w:val="lv-LV"/>
        </w:rPr>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pPr>
      <w:r>
        <w:rPr>
          <w:sz w:val="24"/>
          <w:lang w:val="lv-LV"/>
        </w:rPr>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rPr>
          <w:sz w:val="24"/>
          <w:lang w:val="lv-LV"/>
        </w:rPr>
      </w:r>
    </w:p>
    <w:p>
      <w:pPr>
        <w:pStyle w:val="Heading2"/>
        <w:bidi w:val="0"/>
        <w:rPr>
          <w:lang w:val="lv-LV"/>
        </w:rPr>
      </w:pPr>
      <w:r>
        <w:rPr>
          <w:lang w:val="lv-LV"/>
        </w:rPr>
        <w:t>Atbildes kupons</w:t>
      </w:r>
    </w:p>
    <w:p>
      <w:pPr>
        <w:pStyle w:val="Normal"/>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Respondents (valsts):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Kontaktpunkts: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Mūsu atsauce: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Jūsu atsauce: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Negatīvs rezultāts: </w:t>
      </w:r>
      <w:r>
        <w:rPr>
          <w:sz w:val="28"/>
          <w:lang w:val="lv-LV"/>
        </w:rPr>
        <w:t>□</w:t>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3686" w:leader="none"/>
          <w:tab w:val="left" w:pos="6804" w:leader="none"/>
        </w:tabs>
        <w:bidi w:val="0"/>
        <w:jc w:val="start"/>
        <w:rPr>
          <w:lang w:val="lv-LV"/>
        </w:rPr>
      </w:pPr>
      <w:r>
        <w:rPr>
          <w:sz w:val="24"/>
          <w:lang w:val="lv-LV"/>
        </w:rPr>
        <w:t xml:space="preserve">DNS sakritības profils: </w:t>
      </w:r>
    </w:p>
    <w:p>
      <w:pPr>
        <w:pStyle w:val="Normal"/>
        <w:tabs>
          <w:tab w:val="clear" w:pos="720"/>
          <w:tab w:val="left" w:pos="1985" w:leader="none"/>
          <w:tab w:val="left" w:pos="5245" w:leader="none"/>
        </w:tabs>
        <w:bidi w:val="0"/>
        <w:jc w:val="start"/>
        <w:rPr>
          <w:lang w:val="lv-LV"/>
        </w:rPr>
      </w:pPr>
      <w:r>
        <w:rPr>
          <w:sz w:val="24"/>
          <w:lang w:val="lv-LV"/>
        </w:rPr>
        <w:t xml:space="preserve">No personas </w:t>
      </w:r>
      <w:r>
        <w:rPr>
          <w:sz w:val="28"/>
          <w:lang w:val="lv-LV"/>
        </w:rPr>
        <w:t>□</w:t>
      </w:r>
      <w:r>
        <w:rPr>
          <w:sz w:val="24"/>
          <w:lang w:val="lv-LV"/>
        </w:rPr>
        <w:tab/>
        <w:t xml:space="preserve"> Ne tikai no vienas personas </w:t>
      </w:r>
      <w:r>
        <w:rPr>
          <w:sz w:val="28"/>
          <w:lang w:val="lv-LV"/>
        </w:rPr>
        <w:t>□</w:t>
      </w:r>
      <w:r>
        <w:rPr>
          <w:sz w:val="24"/>
          <w:lang w:val="lv-LV"/>
        </w:rPr>
        <w:tab/>
        <w:t xml:space="preserve"> No noziedzīgā nodarījuma pēdām </w:t>
      </w:r>
      <w:r>
        <w:rPr>
          <w:sz w:val="28"/>
          <w:lang w:val="lv-LV"/>
        </w:rPr>
        <w:t>□</w:t>
      </w:r>
    </w:p>
    <w:p>
      <w:pPr>
        <w:pStyle w:val="Normal"/>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rPr>
          <w:sz w:val="24"/>
          <w:lang w:val="lv-LV"/>
        </w:rPr>
      </w:r>
    </w:p>
    <w:p>
      <w:pPr>
        <w:sectPr>
          <w:footnotePr>
            <w:numFmt w:val="decimal"/>
          </w:footnotePr>
          <w:type w:val="continuous"/>
          <w:pgSz w:w="11906" w:h="16838"/>
          <w:pgMar w:left="1701" w:right="1134" w:gutter="0" w:header="567" w:top="1134" w:footer="567" w:bottom="1134"/>
          <w:formProt w:val="false"/>
          <w:textDirection w:val="lrTb"/>
          <w:docGrid w:type="default" w:linePitch="100" w:charSpace="0"/>
        </w:sectPr>
      </w:pPr>
    </w:p>
    <w:p>
      <w:pPr>
        <w:pStyle w:val="Normal"/>
        <w:bidi w:val="0"/>
        <w:jc w:val="start"/>
        <w:rPr>
          <w:rFonts w:ascii="Times New Roman" w:hAnsi="Times New Roman"/>
          <w:sz w:val="24"/>
          <w:lang w:val="lv-LV"/>
        </w:rPr>
      </w:pPr>
      <w:r>
        <w:rPr>
          <w:sz w:val="24"/>
          <w:lang w:val="lv-LV"/>
        </w:rPr>
      </w:r>
    </w:p>
    <w:tbl>
      <w:tblPr>
        <w:tblW w:w="4275" w:type="dxa"/>
        <w:jc w:val="start"/>
        <w:tblInd w:w="84" w:type="dxa"/>
        <w:tblLayout w:type="fixed"/>
        <w:tblCellMar>
          <w:top w:w="0" w:type="dxa"/>
          <w:start w:w="108" w:type="dxa"/>
          <w:bottom w:w="0" w:type="dxa"/>
          <w:end w:w="108" w:type="dxa"/>
        </w:tblCellMar>
      </w:tblPr>
      <w:tblGrid>
        <w:gridCol w:w="1425"/>
        <w:gridCol w:w="1425"/>
        <w:gridCol w:w="1425"/>
      </w:tblGrid>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1. alēle</w:t>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pPr>
            <w:r>
              <w:rPr>
                <w:sz w:val="24"/>
                <w:lang w:val="lv-LV"/>
              </w:rPr>
              <w:t>2. alēle</w:t>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vanish/>
                <w:sz w:val="24"/>
                <w:lang w:val="lv-LV"/>
              </w:rPr>
              <w:t>D3S1358</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VWA</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D8S1179</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D21S11</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D18S51</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lang w:val="lv-LV"/>
              </w:rPr>
            </w:pPr>
            <w:r>
              <w:rPr>
                <w:sz w:val="24"/>
                <w:lang w:val="lv-LV"/>
              </w:rPr>
              <w:t>HUMTH0 1</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FGA</w:t>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bl>
    <w:p>
      <w:pPr>
        <w:pStyle w:val="Normal"/>
        <w:widowControl w:val="false"/>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br w:type="column"/>
      </w:r>
      <w:r>
        <w:rPr>
          <w:sz w:val="24"/>
          <w:lang w:val="lv-LV"/>
        </w:rPr>
      </w:r>
    </w:p>
    <w:p>
      <w:pPr>
        <w:sectPr>
          <w:footnotePr>
            <w:numFmt w:val="decimal"/>
          </w:footnotePr>
          <w:type w:val="continuous"/>
          <w:pgSz w:w="11906" w:h="16838"/>
          <w:pgMar w:left="1701" w:right="1134" w:gutter="0" w:header="567" w:top="1134" w:footer="567" w:bottom="1134"/>
          <w:cols w:num="2" w:space="708" w:equalWidth="true" w:sep="false"/>
          <w:formProt w:val="false"/>
          <w:textDirection w:val="lrTb"/>
          <w:docGrid w:type="default" w:linePitch="100" w:charSpace="0"/>
        </w:sectPr>
      </w:pPr>
    </w:p>
    <w:tbl>
      <w:tblPr>
        <w:tblW w:w="4275" w:type="dxa"/>
        <w:jc w:val="start"/>
        <w:tblInd w:w="84" w:type="dxa"/>
        <w:tblLayout w:type="fixed"/>
        <w:tblCellMar>
          <w:top w:w="0" w:type="dxa"/>
          <w:start w:w="108" w:type="dxa"/>
          <w:bottom w:w="0" w:type="dxa"/>
          <w:end w:w="108" w:type="dxa"/>
        </w:tblCellMar>
      </w:tblPr>
      <w:tblGrid>
        <w:gridCol w:w="1425"/>
        <w:gridCol w:w="1425"/>
        <w:gridCol w:w="1425"/>
      </w:tblGrid>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lang w:val="lv-LV"/>
              </w:rPr>
            </w:pPr>
            <w:r>
              <w:rPr>
                <w:sz w:val="24"/>
                <w:lang w:val="lv-LV"/>
              </w:rPr>
              <w:t>1. alēle</w:t>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pPr>
            <w:r>
              <w:rPr>
                <w:sz w:val="24"/>
                <w:lang w:val="lv-LV"/>
              </w:rPr>
              <w:t>2. alēle</w:t>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bidi w:val="0"/>
              <w:jc w:val="start"/>
              <w:rPr>
                <w:rFonts w:ascii="Times New Roman" w:hAnsi="Times New Roman"/>
                <w:sz w:val="24"/>
                <w:lang w:val="lv-LV"/>
              </w:rPr>
            </w:pPr>
            <w:r>
              <w:rPr>
                <w:sz w:val="24"/>
                <w:lang w:val="lv-LV"/>
              </w:rPr>
            </w:r>
          </w:p>
        </w:tc>
      </w:tr>
      <w:tr>
        <w:trPr>
          <w:trHeight w:val="465" w:hRule="atLeast"/>
        </w:trPr>
        <w:tc>
          <w:tcPr>
            <w:tcW w:w="1425" w:type="dxa"/>
            <w:tcBorders>
              <w:top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c>
          <w:tcPr>
            <w:tcW w:w="1425" w:type="dxa"/>
            <w:tcBorders>
              <w:top w:val="single" w:sz="4" w:space="0" w:color="000000"/>
              <w:start w:val="single" w:sz="4" w:space="0" w:color="000000"/>
              <w:bottom w:val="single" w:sz="4" w:space="0" w:color="000000"/>
            </w:tcBorders>
          </w:tcPr>
          <w:p>
            <w:pPr>
              <w:pStyle w:val="Normal"/>
              <w:widowControl w:val="false"/>
              <w:tabs>
                <w:tab w:val="clear" w:pos="720"/>
              </w:tabs>
              <w:bidi w:val="0"/>
              <w:jc w:val="start"/>
              <w:rPr>
                <w:rFonts w:ascii="Times New Roman" w:hAnsi="Times New Roman"/>
                <w:sz w:val="24"/>
                <w:lang w:val="lv-LV"/>
              </w:rPr>
            </w:pPr>
            <w:r>
              <w:rPr>
                <w:sz w:val="24"/>
                <w:lang w:val="lv-LV"/>
              </w:rPr>
            </w:r>
          </w:p>
        </w:tc>
      </w:tr>
    </w:tbl>
    <w:p>
      <w:pPr>
        <w:sectPr>
          <w:headerReference w:type="default" r:id="rId8"/>
          <w:footerReference w:type="default" r:id="rId9"/>
          <w:footnotePr>
            <w:numFmt w:val="decimal"/>
          </w:footnotePr>
          <w:type w:val="continuous"/>
          <w:pgSz w:w="11906" w:h="16838"/>
          <w:pgMar w:left="1701" w:right="1134" w:gutter="0" w:header="567" w:top="1134" w:footer="567" w:bottom="1134"/>
          <w:pgNumType w:fmt="decimal"/>
          <w:formProt w:val="false"/>
          <w:textDirection w:val="lrTb"/>
          <w:docGrid w:type="default" w:linePitch="100" w:charSpace="0"/>
        </w:sectPr>
      </w:pPr>
    </w:p>
    <w:p>
      <w:pPr>
        <w:pStyle w:val="Normal"/>
        <w:widowControl w:val="false"/>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lang w:val="lv-LV"/>
        </w:rPr>
      </w:pPr>
      <w:r>
        <w:rPr>
          <w:sz w:val="24"/>
          <w:lang w:val="lv-LV"/>
        </w:rPr>
        <w:t xml:space="preserve">Sīkāku informāciju var iegūt: </w:t>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pPr>
      <w:r>
        <w:rPr>
          <w:sz w:val="24"/>
          <w:lang w:val="lv-LV"/>
        </w:rPr>
        <w:tab/>
      </w:r>
    </w:p>
    <w:p>
      <w:pPr>
        <w:pStyle w:val="Normal"/>
        <w:tabs>
          <w:tab w:val="clear" w:pos="720"/>
          <w:tab w:val="left" w:pos="9072" w:leader="dot"/>
        </w:tabs>
        <w:bidi w:val="0"/>
        <w:jc w:val="start"/>
        <w:rPr>
          <w:rFonts w:ascii="Times New Roman" w:hAnsi="Times New Roman"/>
          <w:sz w:val="24"/>
          <w:lang w:val="lv-LV"/>
        </w:rPr>
      </w:pPr>
      <w:r>
        <w:rPr>
          <w:sz w:val="24"/>
          <w:lang w:val="lv-LV"/>
        </w:rPr>
      </w:r>
    </w:p>
    <w:p>
      <w:pPr>
        <w:pStyle w:val="Normal"/>
        <w:tabs>
          <w:tab w:val="clear" w:pos="720"/>
          <w:tab w:val="left" w:pos="9072" w:leader="dot"/>
        </w:tabs>
        <w:bidi w:val="0"/>
        <w:jc w:val="start"/>
        <w:rPr/>
      </w:pPr>
      <w:r>
        <w:rPr>
          <w:sz w:val="24"/>
          <w:lang w:val="lv-LV"/>
        </w:rPr>
        <w:tab/>
      </w:r>
    </w:p>
    <w:p>
      <w:pPr>
        <w:pStyle w:val="Normal"/>
        <w:bidi w:val="0"/>
        <w:jc w:val="start"/>
        <w:rPr>
          <w:rFonts w:ascii="Times New Roman" w:hAnsi="Times New Roman"/>
          <w:sz w:val="24"/>
          <w:lang w:val="lv-LV"/>
        </w:rPr>
      </w:pPr>
      <w:r>
        <w:rPr>
          <w:sz w:val="24"/>
          <w:lang w:val="lv-LV"/>
        </w:rPr>
      </w:r>
    </w:p>
    <w:p>
      <w:pPr>
        <w:pStyle w:val="Normal"/>
        <w:bidi w:val="0"/>
        <w:jc w:val="start"/>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both"/>
        <w:rPr>
          <w:rFonts w:ascii="Times New Roman" w:hAnsi="Times New Roman"/>
          <w:sz w:val="24"/>
          <w:lang w:val="lv-LV"/>
        </w:rPr>
      </w:pPr>
      <w:r>
        <w:rPr>
          <w:sz w:val="24"/>
          <w:lang w:val="lv-LV"/>
        </w:rPr>
      </w:r>
    </w:p>
    <w:p>
      <w:pPr>
        <w:pStyle w:val="Normal"/>
        <w:bidi w:val="0"/>
        <w:jc w:val="start"/>
        <w:rPr>
          <w:lang w:val="lv-LV"/>
        </w:rPr>
      </w:pPr>
      <w:r>
        <w:rPr>
          <w:i/>
          <w:lang w:val="lv-LV"/>
        </w:rPr>
        <w:t>REGISTER: 19302000</w:t>
      </w:r>
    </w:p>
    <w:p>
      <w:pPr>
        <w:pStyle w:val="Heading1"/>
        <w:keepNext w:val="true"/>
        <w:bidi w:val="0"/>
        <w:jc w:val="both"/>
        <w:rPr/>
      </w:pPr>
      <w:r>
        <w:rPr/>
        <w:t>DOCNUM: 32001G0703(01)</w:t>
      </w:r>
    </w:p>
    <w:p>
      <w:pPr>
        <w:pStyle w:val="Normal"/>
        <w:bidi w:val="0"/>
        <w:jc w:val="start"/>
        <w:rPr/>
      </w:pPr>
      <w:r>
        <w:rPr>
          <w:i/>
          <w:lang w:val="lv-LV"/>
        </w:rPr>
        <w:t xml:space="preserve">PUBREF: Official Journal C 187 , 03/07/2001 P. 0001 - 0004 </w:t>
      </w:r>
    </w:p>
    <w:sectPr>
      <w:footnotePr>
        <w:numFmt w:val="decimal"/>
      </w:footnotePr>
      <w:type w:val="continuous"/>
      <w:pgSz w:w="11906" w:h="16838"/>
      <w:pgMar w:left="1701" w:right="1134" w:gutter="0" w:header="567" w:top="1134" w:footer="567"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jc w:val="start"/>
      <w:rPr/>
    </w:pPr>
    <w:r>
      <w:rPr>
        <w:rStyle w:val="Pagenumber"/>
        <w:sz w:val="18"/>
        <w:u w:val="single"/>
        <w:lang w:val="en-GB"/>
      </w:rPr>
      <w:tab/>
    </w:r>
  </w:p>
  <w:p>
    <w:pPr>
      <w:pStyle w:val="Header"/>
      <w:tabs>
        <w:tab w:val="clear" w:pos="4153"/>
        <w:tab w:val="clear" w:pos="8306"/>
        <w:tab w:val="left" w:pos="9072" w:leader="none"/>
      </w:tabs>
      <w:bidi w:val="0"/>
      <w:jc w:val="start"/>
      <w:rPr>
        <w:rStyle w:val="Pagenumber"/>
        <w:rFonts w:ascii="Times New Roman" w:hAnsi="Times New Roman"/>
        <w:sz w:val="18"/>
        <w:u w:val="single"/>
        <w:lang w:val="en-GB"/>
      </w:rPr>
    </w:pPr>
    <w:r>
      <w:rPr>
        <w:sz w:val="18"/>
        <w:u w:val="single"/>
        <w:lang w:val="en-GB"/>
      </w:rPr>
    </w:r>
  </w:p>
  <w:p>
    <w:pPr>
      <w:pStyle w:val="Footer"/>
      <w:tabs>
        <w:tab w:val="clear" w:pos="4153"/>
        <w:tab w:val="clear" w:pos="8306"/>
        <w:tab w:val="center" w:pos="9072" w:leader="none"/>
        <w:tab w:val="right" w:pos="9356" w:leader="none"/>
      </w:tabs>
      <w:bidi w:val="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w:rPr>
        <w:sz w:val="18"/>
        <w:lang w:val="lv-LV"/>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jc w:val="start"/>
      <w:rPr/>
    </w:pPr>
    <w:r>
      <w:rPr>
        <w:rStyle w:val="Pagenumber"/>
        <w:sz w:val="18"/>
        <w:u w:val="single"/>
        <w:lang w:val="en-GB"/>
      </w:rPr>
      <w:tab/>
    </w:r>
  </w:p>
  <w:p>
    <w:pPr>
      <w:pStyle w:val="Header"/>
      <w:tabs>
        <w:tab w:val="clear" w:pos="4153"/>
        <w:tab w:val="clear" w:pos="8306"/>
        <w:tab w:val="left" w:pos="9072" w:leader="none"/>
      </w:tabs>
      <w:bidi w:val="0"/>
      <w:jc w:val="start"/>
      <w:rPr>
        <w:rStyle w:val="Pagenumber"/>
        <w:rFonts w:ascii="Times New Roman" w:hAnsi="Times New Roman"/>
        <w:sz w:val="18"/>
        <w:u w:val="single"/>
        <w:lang w:val="en-GB"/>
      </w:rPr>
    </w:pPr>
    <w:r>
      <w:rPr>
        <w:sz w:val="18"/>
        <w:u w:val="single"/>
        <w:lang w:val="en-GB"/>
      </w:rPr>
    </w:r>
  </w:p>
  <w:p>
    <w:pPr>
      <w:pStyle w:val="Footer"/>
      <w:bidi w:val="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mc:AlternateContent>
        <mc:Choice Requires="wps">
          <w:drawing>
            <wp:anchor behindDoc="0" distT="0" distB="0" distL="114935" distR="114935" simplePos="0" locked="0" layoutInCell="0" allowOverlap="1" relativeHeight="2">
              <wp:simplePos x="0" y="0"/>
              <wp:positionH relativeFrom="page">
                <wp:posOffset>3836670</wp:posOffset>
              </wp:positionH>
              <wp:positionV relativeFrom="page">
                <wp:posOffset>10058400</wp:posOffset>
              </wp:positionV>
              <wp:extent cx="372110" cy="403860"/>
              <wp:effectExtent l="0" t="0" r="0" b="0"/>
              <wp:wrapTopAndBottom/>
              <wp:docPr id="1" name="Frame1"/>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jc w:val="center"/>
                            <w:rPr>
                              <w:rFonts w:ascii="Times New Roman" w:hAnsi="Times New Roman"/>
                              <w:sz w:val="18"/>
                            </w:rPr>
                          </w:pPr>
                          <w:r>
                            <w:rPr/>
                            <w:drawing>
                              <wp:inline distT="0" distB="0" distL="0" distR="0">
                                <wp:extent cx="371475" cy="4038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92pt;mso-position-vertical-relative:page;margin-left:302.1pt;mso-position-horizontal-relative:page">
              <v:fill opacity="0f"/>
              <v:textbox inset="0in,0in,0in,0in">
                <w:txbxContent>
                  <w:p>
                    <w:pPr>
                      <w:pStyle w:val="Footer"/>
                      <w:pBdr/>
                      <w:bidi w:val="0"/>
                      <w:jc w:val="center"/>
                      <w:rPr>
                        <w:rFonts w:ascii="Times New Roman" w:hAnsi="Times New Roman"/>
                        <w:sz w:val="18"/>
                      </w:rPr>
                    </w:pPr>
                    <w:r>
                      <w:rPr/>
                      <w:drawing>
                        <wp:inline distT="0" distB="0" distL="0" distR="0">
                          <wp:extent cx="371475" cy="4038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jc w:val="start"/>
      <w:rPr/>
    </w:pPr>
    <w:r>
      <w:rPr>
        <w:rStyle w:val="Pagenumber"/>
        <w:sz w:val="18"/>
        <w:u w:val="single"/>
        <w:lang w:val="en-GB"/>
      </w:rPr>
      <w:tab/>
    </w:r>
  </w:p>
  <w:p>
    <w:pPr>
      <w:pStyle w:val="Header"/>
      <w:tabs>
        <w:tab w:val="clear" w:pos="4153"/>
        <w:tab w:val="clear" w:pos="8306"/>
        <w:tab w:val="left" w:pos="9072" w:leader="none"/>
      </w:tabs>
      <w:bidi w:val="0"/>
      <w:jc w:val="start"/>
      <w:rPr>
        <w:rStyle w:val="Pagenumber"/>
        <w:rFonts w:ascii="Times New Roman" w:hAnsi="Times New Roman"/>
        <w:sz w:val="18"/>
        <w:u w:val="single"/>
        <w:lang w:val="en-GB"/>
      </w:rPr>
    </w:pPr>
    <w:r>
      <w:rPr>
        <w:sz w:val="18"/>
        <w:u w:val="single"/>
        <w:lang w:val="en-GB"/>
      </w:rPr>
    </w:r>
  </w:p>
  <w:p>
    <w:pPr>
      <w:pStyle w:val="Footer"/>
      <w:tabs>
        <w:tab w:val="clear" w:pos="4153"/>
        <w:tab w:val="clear" w:pos="8306"/>
        <w:tab w:val="center" w:pos="9072" w:leader="none"/>
        <w:tab w:val="right" w:pos="9356" w:leader="none"/>
      </w:tabs>
      <w:bidi w:val="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w:rPr>
        <w:sz w:val="18"/>
        <w:lang w:val="lv-LV"/>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left" w:pos="9072" w:leader="none"/>
      </w:tabs>
      <w:bidi w:val="0"/>
      <w:jc w:val="start"/>
      <w:rPr/>
    </w:pPr>
    <w:r>
      <w:rPr>
        <w:rStyle w:val="Pagenumber"/>
        <w:sz w:val="18"/>
        <w:u w:val="single"/>
        <w:lang w:val="en-GB"/>
      </w:rPr>
      <w:tab/>
    </w:r>
  </w:p>
  <w:p>
    <w:pPr>
      <w:pStyle w:val="Header"/>
      <w:tabs>
        <w:tab w:val="clear" w:pos="4153"/>
        <w:tab w:val="clear" w:pos="8306"/>
        <w:tab w:val="left" w:pos="9072" w:leader="none"/>
      </w:tabs>
      <w:bidi w:val="0"/>
      <w:jc w:val="start"/>
      <w:rPr>
        <w:rStyle w:val="Pagenumber"/>
        <w:rFonts w:ascii="Times New Roman" w:hAnsi="Times New Roman"/>
        <w:sz w:val="18"/>
        <w:u w:val="single"/>
        <w:lang w:val="en-GB"/>
      </w:rPr>
    </w:pPr>
    <w:r>
      <w:rPr>
        <w:sz w:val="18"/>
        <w:u w:val="single"/>
        <w:lang w:val="en-GB"/>
      </w:rPr>
    </w:r>
  </w:p>
  <w:p>
    <w:pPr>
      <w:pStyle w:val="Footer"/>
      <w:tabs>
        <w:tab w:val="clear" w:pos="4153"/>
        <w:tab w:val="clear" w:pos="8306"/>
        <w:tab w:val="center" w:pos="9072" w:leader="none"/>
        <w:tab w:val="right" w:pos="9356" w:leader="none"/>
      </w:tabs>
      <w:bidi w:val="0"/>
      <w:jc w:val="start"/>
      <w:rPr>
        <w:lang w:val="lv-LV"/>
      </w:rPr>
    </w:pPr>
    <w:r>
      <w:rPr>
        <w:sz w:val="18"/>
        <w:lang w:val="lv-LV"/>
      </w:rPr>
      <w:t xml:space="preserve">Tulkojums </w:t>
    </w:r>
    <w:r>
      <w:rPr>
        <w:rFonts w:eastAsia="Symbol" w:cs="Symbol" w:ascii="Symbol" w:hAnsi="Symbol"/>
        <w:sz w:val="18"/>
        <w:lang w:val="lv-LV"/>
      </w:rPr>
      <w:t>Ó</w:t>
    </w:r>
    <w:r>
      <w:rPr>
        <w:rFonts w:ascii="Symbol" w:hAnsi="Symbol"/>
        <w:sz w:val="18"/>
        <w:lang w:val="lv-LV"/>
      </w:rPr>
      <w:t>Ó</w:t>
    </w:r>
    <w:r>
      <w:rPr>
        <w:sz w:val="18"/>
        <w:lang w:val="lv-LV"/>
      </w:rPr>
      <w:t xml:space="preserve"> Tulkošanas un terminoloģijas centrs, </w:t>
    </w:r>
    <w:r>
      <w:rPr>
        <w:sz w:val="18"/>
        <w:lang w:val="en-US"/>
      </w:rPr>
      <w:fldChar w:fldCharType="begin"/>
    </w:r>
    <w:r>
      <w:rPr>
        <w:sz w:val="18"/>
        <w:lang w:val="en-US"/>
      </w:rPr>
      <w:instrText xml:space="preserve"> DATE \@"yyyy" </w:instrText>
    </w:r>
    <w:r>
      <w:rPr>
        <w:sz w:val="18"/>
        <w:lang w:val="en-US"/>
      </w:rPr>
      <w:fldChar w:fldCharType="separate"/>
    </w:r>
    <w:r>
      <w:rPr>
        <w:sz w:val="18"/>
        <w:lang w:val="en-US"/>
      </w:rPr>
      <w:t>2022</w:t>
    </w:r>
    <w:r>
      <w:rPr>
        <w:sz w:val="18"/>
        <w:lang w:val="en-US"/>
      </w:rPr>
      <w:fldChar w:fldCharType="end"/>
    </w:r>
    <w:r>
      <w:rPr>
        <w:sz w:val="18"/>
        <w:lang w:val="lv-LV"/>
      </w:rPr>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
        <w:bidi w:val="0"/>
        <w:jc w:val="start"/>
        <w:rPr/>
      </w:pPr>
      <w:r>
        <w:rPr>
          <w:rStyle w:val="FootnoteCharacters"/>
        </w:rPr>
        <w:footnoteRef/>
      </w:r>
      <w:r>
        <w:rPr>
          <w:lang w:val="lv-LV"/>
        </w:rPr>
        <w:t>OJ L 193, 23.12.2000, p. 2.</w:t>
      </w:r>
      <w:r>
        <w:rPr>
          <w:i/>
          <w:lang w:val="lv-LV"/>
        </w:rPr>
        <w:t xml:space="preserve"> </w:t>
      </w:r>
    </w:p>
  </w:footnote>
  <w:footnote w:id="3">
    <w:p>
      <w:pPr>
        <w:pStyle w:val="Footnote"/>
        <w:bidi w:val="0"/>
        <w:jc w:val="start"/>
        <w:rPr/>
      </w:pPr>
      <w:r>
        <w:rPr>
          <w:rStyle w:val="FootnoteCharacters"/>
        </w:rPr>
        <w:footnoteRef/>
      </w:r>
      <w:r>
        <w:rPr>
          <w:lang w:val="lv-LV"/>
        </w:rPr>
        <w:t>OJ L 322, 5.9.1991, p. 7.</w:t>
      </w:r>
      <w:r>
        <w:rPr>
          <w:i/>
          <w:lang w:val="lv-LV"/>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Times New Roman" w:hAnsi="Times New Roman"/>
        <w:sz w:val="18"/>
        <w:u w:val="single"/>
        <w:lang w:val="en-GB"/>
      </w:rPr>
    </w:pPr>
    <w:r>
      <w:rPr>
        <w:sz w:val="18"/>
        <w:u w:val="single"/>
        <w:lang w:val="en-GB"/>
      </w:rPr>
    </w:r>
  </w:p>
  <w:p>
    <w:pPr>
      <w:pStyle w:val="Header"/>
      <w:tabs>
        <w:tab w:val="clear" w:pos="4153"/>
        <w:tab w:val="clear" w:pos="8306"/>
        <w:tab w:val="left" w:pos="7655" w:leader="none"/>
      </w:tabs>
      <w:bidi w:val="0"/>
      <w:jc w:val="start"/>
      <w:rPr/>
    </w:pPr>
    <w:r>
      <w:rPr>
        <w:rStyle w:val="Pagenumber"/>
        <w:sz w:val="18"/>
        <w:u w:val="single"/>
        <w:lang w:val="en-GB"/>
      </w:rPr>
      <w:tab/>
    </w:r>
    <w:r>
      <w:rPr>
        <w:color w:val="000000"/>
        <w:u w:val="single"/>
      </w:rPr>
      <w:t>32001G0703(01)</w:t>
    </w:r>
  </w:p>
  <w:p>
    <w:pPr>
      <w:pStyle w:val="Header"/>
      <w:bidi w:val="0"/>
      <w:jc w:val="start"/>
      <w:rPr>
        <w:rStyle w:val="Pagenumber"/>
        <w:rFonts w:ascii="Times New Roman" w:hAnsi="Times New Roman"/>
        <w:sz w:val="18"/>
        <w:u w:val="single"/>
        <w:lang w:val="en-GB"/>
      </w:rPr>
    </w:pPr>
    <w:r>
      <w:rPr>
        <w:sz w:val="18"/>
        <w:u w:val="single"/>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lang w:val="lv-LV"/>
      </w:rPr>
    </w:pPr>
    <w:r>
      <w:rPr>
        <w:spacing w:val="-2"/>
        <w:sz w:val="16"/>
        <w:lang w:val="lv-LV"/>
      </w:rPr>
      <w:t xml:space="preserve">Šis teksts ir Eiropas Kopienu normatīvā akta tulkojums latviešu valodā, kas veikts Tulkošanas un terminoloģijas centrā. Tulkojums nerada nekādas tiesības un neuzliek nekādas saistības. Juridiski saistoši ir tikai Eiropas Kopienu normatīvie akti, kas publicēti “Eiropas Kopienu Oficiālajā Vēstnesī” (tā nosaukums angļu valodā - </w:t>
    </w:r>
    <w:r>
      <w:rPr>
        <w:i/>
        <w:spacing w:val="-2"/>
        <w:sz w:val="16"/>
        <w:lang w:val="lv-LV"/>
      </w:rPr>
      <w:t>Official Journal of the European Communities</w:t>
    </w:r>
    <w:r>
      <w:rPr>
        <w:spacing w:val="-2"/>
        <w:sz w:val="16"/>
        <w:lang w:val="lv-LV"/>
      </w:rPr>
      <w:t>) jebkurā no Eiropas Kopienu oficiālajām valodām. Vienīgi publikācijas “Eiropas Kopienu Oficiālajā Vēstnesī” ir uzskatāmas par autentiskām.</w:t>
    </w:r>
  </w:p>
  <w:p>
    <w:pPr>
      <w:pStyle w:val="Normal"/>
      <w:pBdr>
        <w:bottom w:val="single" w:sz="12" w:space="5" w:color="000000"/>
      </w:pBdr>
      <w:bidi w:val="0"/>
      <w:jc w:val="start"/>
      <w:rPr>
        <w:rFonts w:ascii="Times New Roman" w:hAnsi="Times New Roman"/>
        <w:spacing w:val="-2"/>
        <w:sz w:val="16"/>
        <w:lang w:val="lv-LV"/>
      </w:rPr>
    </w:pPr>
    <w:r>
      <w:rPr>
        <w:spacing w:val="-2"/>
        <w:sz w:val="16"/>
        <w:lang w:val="lv-LV"/>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Times New Roman" w:hAnsi="Times New Roman"/>
        <w:sz w:val="18"/>
        <w:u w:val="single"/>
        <w:lang w:val="en-GB"/>
      </w:rPr>
    </w:pPr>
    <w:r>
      <w:rPr>
        <w:sz w:val="18"/>
        <w:u w:val="single"/>
        <w:lang w:val="en-GB"/>
      </w:rPr>
    </w:r>
  </w:p>
  <w:p>
    <w:pPr>
      <w:pStyle w:val="Header"/>
      <w:tabs>
        <w:tab w:val="clear" w:pos="4153"/>
        <w:tab w:val="clear" w:pos="8306"/>
        <w:tab w:val="left" w:pos="7655" w:leader="none"/>
      </w:tabs>
      <w:bidi w:val="0"/>
      <w:jc w:val="start"/>
      <w:rPr/>
    </w:pPr>
    <w:r>
      <w:rPr>
        <w:rStyle w:val="Pagenumber"/>
        <w:sz w:val="18"/>
        <w:u w:val="single"/>
        <w:lang w:val="en-GB"/>
      </w:rPr>
      <w:tab/>
    </w:r>
    <w:r>
      <w:rPr>
        <w:color w:val="000000"/>
        <w:u w:val="single"/>
      </w:rPr>
      <w:t>32001G0703(01)</w:t>
    </w:r>
  </w:p>
  <w:p>
    <w:pPr>
      <w:pStyle w:val="Header"/>
      <w:bidi w:val="0"/>
      <w:jc w:val="start"/>
      <w:rPr>
        <w:rStyle w:val="Pagenumber"/>
        <w:rFonts w:ascii="Times New Roman" w:hAnsi="Times New Roman"/>
        <w:sz w:val="18"/>
        <w:u w:val="single"/>
        <w:lang w:val="en-GB"/>
      </w:rPr>
    </w:pPr>
    <w:r>
      <w:rPr>
        <w:sz w:val="18"/>
        <w:u w:val="single"/>
        <w:lang w:val="en-G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Times New Roman" w:hAnsi="Times New Roman"/>
        <w:sz w:val="18"/>
        <w:u w:val="single"/>
        <w:lang w:val="en-GB"/>
      </w:rPr>
    </w:pPr>
    <w:r>
      <w:rPr>
        <w:sz w:val="18"/>
        <w:u w:val="single"/>
        <w:lang w:val="en-GB"/>
      </w:rPr>
    </w:r>
  </w:p>
  <w:p>
    <w:pPr>
      <w:pStyle w:val="Header"/>
      <w:tabs>
        <w:tab w:val="clear" w:pos="4153"/>
        <w:tab w:val="clear" w:pos="8306"/>
        <w:tab w:val="left" w:pos="7655" w:leader="none"/>
      </w:tabs>
      <w:bidi w:val="0"/>
      <w:jc w:val="start"/>
      <w:rPr/>
    </w:pPr>
    <w:r>
      <w:rPr>
        <w:rStyle w:val="Pagenumber"/>
        <w:sz w:val="18"/>
        <w:u w:val="single"/>
        <w:lang w:val="en-GB"/>
      </w:rPr>
      <w:tab/>
    </w:r>
    <w:r>
      <w:rPr>
        <w:color w:val="000000"/>
        <w:u w:val="single"/>
      </w:rPr>
      <w:t>32001G0703(01)</w:t>
    </w:r>
  </w:p>
  <w:p>
    <w:pPr>
      <w:pStyle w:val="Header"/>
      <w:bidi w:val="0"/>
      <w:jc w:val="start"/>
      <w:rPr>
        <w:rStyle w:val="Pagenumber"/>
        <w:rFonts w:ascii="Times New Roman" w:hAnsi="Times New Roman"/>
        <w:sz w:val="18"/>
        <w:u w:val="single"/>
        <w:lang w:val="en-GB"/>
      </w:rPr>
    </w:pPr>
    <w:r>
      <w:rPr>
        <w:sz w:val="18"/>
        <w:u w:val="single"/>
        <w:lang w:val="en-GB"/>
      </w:rPr>
    </w:r>
  </w:p>
</w:hdr>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ymbol" w:cs="Times New Roman"/>
      <w:color w:val="auto"/>
      <w:kern w:val="2"/>
      <w:sz w:val="20"/>
      <w:szCs w:val="24"/>
      <w:lang w:val="en-GB" w:eastAsia="zh-CN" w:bidi="hi-IN"/>
    </w:rPr>
  </w:style>
  <w:style w:type="paragraph" w:styleId="Heading1">
    <w:name w:val="Heading 1"/>
    <w:basedOn w:val="Normal"/>
    <w:next w:val="Normal"/>
    <w:qFormat/>
    <w:pPr>
      <w:keepNext w:val="true"/>
      <w:jc w:val="both"/>
      <w:outlineLvl w:val="0"/>
    </w:pPr>
    <w:rPr>
      <w:i/>
      <w:lang w:val="lv-LV"/>
    </w:rPr>
  </w:style>
  <w:style w:type="paragraph" w:styleId="Heading2">
    <w:name w:val="Heading 2"/>
    <w:basedOn w:val="Normal"/>
    <w:next w:val="Normal"/>
    <w:qFormat/>
    <w:pPr>
      <w:keepNext w:val="true"/>
      <w:jc w:val="center"/>
      <w:outlineLvl w:val="1"/>
    </w:pPr>
    <w:rPr>
      <w:b/>
    </w:rPr>
  </w:style>
  <w:style w:type="paragraph" w:styleId="Heading3">
    <w:name w:val="Heading 3"/>
    <w:basedOn w:val="Normal"/>
    <w:next w:val="Normal"/>
    <w:qFormat/>
    <w:pPr>
      <w:keepNext w:val="true"/>
      <w:outlineLvl w:val="2"/>
    </w:pPr>
    <w:rPr/>
  </w:style>
  <w:style w:type="character" w:styleId="DefaultParagraphFont">
    <w:name w:val="Default Paragraph Font"/>
    <w:qFormat/>
    <w:rPr/>
  </w:style>
  <w:style w:type="character" w:styleId="Pagenumber">
    <w:name w:val="page number"/>
    <w:basedOn w:val="DefaultParagraphFont"/>
    <w:qFormat/>
    <w:rPr>
      <w:sz w:val="24"/>
    </w:rPr>
  </w:style>
  <w:style w:type="character" w:styleId="Tw4winMark">
    <w:name w:val="tw4winMark"/>
    <w:qFormat/>
    <w:rPr>
      <w:rFonts w:ascii="Courier New" w:hAnsi="Courier New"/>
      <w:vanish/>
      <w:color w:val="800080"/>
      <w:sz w:val="24"/>
      <w:vertAlign w:val="subscript"/>
    </w:rPr>
  </w:style>
  <w:style w:type="character" w:styleId="Tw4winError">
    <w:name w:val="tw4winError"/>
    <w:qFormat/>
    <w:rPr>
      <w:rFonts w:ascii="Courier New" w:hAnsi="Courier New"/>
      <w:color w:val="00FF00"/>
      <w:sz w:val="40"/>
    </w:rPr>
  </w:style>
  <w:style w:type="character" w:styleId="Tw4winTerm">
    <w:name w:val="tw4winTerm"/>
    <w:qFormat/>
    <w:rPr>
      <w:color w:val="0000FF"/>
    </w:rPr>
  </w:style>
  <w:style w:type="character" w:styleId="Tw4winPopup">
    <w:name w:val="tw4winPopup"/>
    <w:qFormat/>
    <w:rPr>
      <w:rFonts w:ascii="Courier New" w:hAnsi="Courier New"/>
      <w:color w:val="008000"/>
      <w:lang w:val="en-US"/>
    </w:rPr>
  </w:style>
  <w:style w:type="character" w:styleId="Tw4winJump">
    <w:name w:val="tw4winJump"/>
    <w:qFormat/>
    <w:rPr>
      <w:rFonts w:ascii="Courier New" w:hAnsi="Courier New"/>
      <w:color w:val="008080"/>
      <w:lang w:val="en-US"/>
    </w:rPr>
  </w:style>
  <w:style w:type="character" w:styleId="Tw4winExternal">
    <w:name w:val="tw4winExternal"/>
    <w:qFormat/>
    <w:rPr>
      <w:rFonts w:ascii="Courier New" w:hAnsi="Courier New"/>
      <w:color w:val="808080"/>
      <w:lang w:val="en-US"/>
    </w:rPr>
  </w:style>
  <w:style w:type="character" w:styleId="Tw4winInternal">
    <w:name w:val="tw4winInternal"/>
    <w:qFormat/>
    <w:rPr>
      <w:rFonts w:ascii="Courier New" w:hAnsi="Courier New"/>
      <w:color w:val="FF0000"/>
      <w:lang w:val="en-US"/>
    </w:rPr>
  </w:style>
  <w:style w:type="character" w:styleId="DONOTTRANSLATE">
    <w:name w:val="DO_NOT_TRANSLATE"/>
    <w:qFormat/>
    <w:rPr>
      <w:rFonts w:ascii="Courier New" w:hAnsi="Courier New"/>
      <w:color w:val="800000"/>
      <w:sz w:val="20"/>
    </w:rPr>
  </w:style>
  <w:style w:type="character" w:styleId="FootnoteCharacters">
    <w:name w:val="Footnote Characters"/>
    <w:basedOn w:val="DefaultParagraphFont"/>
    <w:qFormat/>
    <w:rPr>
      <w:sz w:val="24"/>
      <w:vertAlign w:val="superscript"/>
    </w:rPr>
  </w:style>
  <w:style w:type="character" w:styleId="FootnoteAnchor">
    <w:name w:val="Footnote Anchor"/>
    <w:rPr>
      <w:sz w:val="24"/>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jc w:val="both"/>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885</Words>
  <Characters>6196</Characters>
  <CharactersWithSpaces>5046</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2006-01-02T14:47:00Z</dcterms:created>
  <dc:creator>Arita Upeniece</dc:creator>
  <dc:description/>
  <dc:language>en-US</dc:language>
  <cp:lastModifiedBy/>
  <cp:lastPrinted>2005-12-23T17:25:00Z</cp:lastPrinted>
  <dcterms:modified xsi:type="dcterms:W3CDTF">2006-01-18T13:37:00Z</dcterms:modified>
  <cp:revision>23</cp:revision>
  <dc:subject/>
  <dc:title>Council Resolution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Arita Upeniece</vt:lpwstr>
  </property>
</Properties>
</file>