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2.xml.rels" ContentType="application/vnd.openxmlformats-package.relationship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rPr>
          <w:rFonts w:ascii="Times New Roman" w:hAnsi="Times New Roman"/>
          <w:color w:val="000000"/>
          <w:lang w:val="lv-LV"/>
        </w:rPr>
      </w:pPr>
      <w:r>
        <w:rPr>
          <w:color w:val="000000"/>
          <w:lang w:val="lv-LV"/>
        </w:rPr>
      </w:r>
    </w:p>
    <w:p>
      <w:pPr>
        <w:pStyle w:val="Normal"/>
        <w:bidi w:val="0"/>
        <w:jc w:val="center"/>
        <w:rPr>
          <w:lang w:val="lv-LV"/>
        </w:rPr>
      </w:pPr>
      <w:r>
        <w:rPr>
          <w:b/>
          <w:lang w:val="lv-LV"/>
        </w:rPr>
        <w:t>Komisijas 1977. gada 25. jūlija Ieteikums par Eiropas rīcības kodeksu darījumos ar vērtspapīriem</w:t>
      </w:r>
    </w:p>
    <w:p>
      <w:pPr>
        <w:pStyle w:val="Normal"/>
        <w:bidi w:val="0"/>
        <w:jc w:val="center"/>
        <w:rPr>
          <w:rFonts w:ascii="Times New Roman" w:hAnsi="Times New Roman"/>
          <w:color w:val="000000"/>
          <w:lang w:val="lv-LV"/>
        </w:rPr>
      </w:pPr>
      <w:r>
        <w:rPr>
          <w:color w:val="000000"/>
          <w:lang w:val="lv-LV"/>
        </w:rPr>
      </w:r>
    </w:p>
    <w:p>
      <w:pPr>
        <w:pStyle w:val="Normal"/>
        <w:bidi w:val="0"/>
        <w:jc w:val="center"/>
        <w:rPr>
          <w:lang w:val="en-US"/>
        </w:rPr>
      </w:pPr>
      <w:r>
        <w:rPr>
          <w:color w:val="000000"/>
          <w:lang w:val="en-US"/>
        </w:rPr>
        <w:t>(77/534/EEC)</w:t>
      </w:r>
    </w:p>
    <w:p>
      <w:pPr>
        <w:pStyle w:val="Normal"/>
        <w:bidi w:val="0"/>
        <w:rPr>
          <w:rFonts w:ascii="Times New Roman" w:hAnsi="Times New Roman"/>
          <w:color w:val="000000"/>
          <w:lang w:val="lv-LV"/>
        </w:rPr>
      </w:pPr>
      <w:r>
        <w:rPr>
          <w:color w:val="000000"/>
          <w:lang w:val="lv-LV"/>
        </w:rPr>
      </w:r>
    </w:p>
    <w:p>
      <w:pPr>
        <w:pStyle w:val="Normal"/>
        <w:bidi w:val="0"/>
        <w:rPr>
          <w:rFonts w:ascii="Times New Roman" w:hAnsi="Times New Roman"/>
          <w:color w:val="000000"/>
          <w:lang w:val="lv-LV"/>
        </w:rPr>
      </w:pPr>
      <w:r>
        <w:rPr>
          <w:color w:val="000000"/>
          <w:lang w:val="lv-LV"/>
        </w:rPr>
      </w:r>
    </w:p>
    <w:p>
      <w:pPr>
        <w:pStyle w:val="Normal"/>
        <w:bidi w:val="0"/>
        <w:jc w:val="center"/>
        <w:rPr>
          <w:lang w:val="lv-LV"/>
        </w:rPr>
      </w:pPr>
      <w:r>
        <w:rPr>
          <w:color w:val="000000"/>
          <w:lang w:val="lv-LV"/>
        </w:rPr>
        <w:t>PASKAIDROJUMA RAKSTS</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1. Romas Līguma 2. pantā izvirzītos mērķus, jo īpaši harmonisku saimnieciskās darbības attīstību Kopienā, var sasniegt tikai tad, ja ir pieejams pietiekami liels kapitāls un kapitāla avoti ir pietiekami dažādi, lai ieguldījumus kopējā tirgū varētu finansēt cik iespējams racionāli.</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Vērtspapīru tirgiem ir jānodrošina kapitāla piedāvājuma un pieprasījuma vienmēr ļoti brīva mijiedarbība. Šā iemesla dēļ šo tirgu pareiza darbība un saplūšana ir jāuzskata par kapitāla “kopējā tirgus” izveides būtisku aspektu</w:t>
      </w:r>
      <w:r>
        <w:rPr>
          <w:rFonts w:ascii="Courier New" w:hAnsi="Courier New"/>
          <w:vanish/>
          <w:color w:val="000000"/>
          <w:vertAlign w:val="subscript"/>
          <w:lang w:val="lv-LV"/>
        </w:rPr>
        <w:t>&lt;0}</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2. Lai gan atšķirības deviņu dalībvalstu finanšu tirgos līdz šim nav bijis nepārvarams šķērslis atsevišķiem starptautiskiem darījumiem, pilnīgas informācijas trūkums par pašiem vērtspapīriem un nezināšana vai to likumu neizpratne, kuri regulē dažādu tirgu darbību, noteikti sekmējusi to, ka vairums noguldītāju ieguldījuši tikai to valstu tirgos, kur viņi dzīvo, vai nedaudzos pazīstamos ievērojamākos starptautiskos vērtspapīros.</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Tādēļ, mazinot šīs atšķirības, tiktu sekmēta dalībvalstu tirgu saplūšana, jo īpaši, ja pilnīgotu arī noguldītājiem paredzētās garantijas.</w:t>
      </w:r>
    </w:p>
    <w:p>
      <w:pPr>
        <w:pStyle w:val="Normal"/>
        <w:bidi w:val="0"/>
        <w:rPr>
          <w:rFonts w:ascii="Times New Roman" w:hAnsi="Times New Roman"/>
          <w:color w:val="000000"/>
          <w:lang w:val="lv-LV"/>
        </w:rPr>
      </w:pPr>
      <w:r>
        <w:rPr>
          <w:color w:val="000000"/>
          <w:lang w:val="lv-LV"/>
        </w:rPr>
      </w:r>
    </w:p>
    <w:p>
      <w:pPr>
        <w:pStyle w:val="Normal"/>
        <w:bidi w:val="0"/>
        <w:rPr>
          <w:rFonts w:ascii="Times New Roman" w:hAnsi="Times New Roman"/>
          <w:color w:val="000000"/>
          <w:lang w:val="lv-LV"/>
        </w:rPr>
      </w:pPr>
      <w:r>
        <w:rPr>
          <w:color w:val="000000"/>
          <w:lang w:val="lv-LV"/>
        </w:rPr>
      </w:r>
    </w:p>
    <w:p>
      <w:pPr>
        <w:pStyle w:val="Normal"/>
        <w:bidi w:val="0"/>
        <w:jc w:val="center"/>
        <w:rPr>
          <w:lang w:val="en-US"/>
        </w:rPr>
      </w:pPr>
      <w:r>
        <w:rPr>
          <w:b/>
          <w:color w:val="000000"/>
          <w:lang w:val="en-US"/>
        </w:rPr>
        <w:t xml:space="preserve">I. </w:t>
      </w:r>
      <w:r>
        <w:rPr>
          <w:b/>
          <w:color w:val="000000"/>
          <w:lang w:val="lv-LV"/>
        </w:rPr>
        <w:t>Eiropas rīcības kodeksa nozīme dalībvalstu likumu tuvināšanas sakarā</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3. Pamatojoties uz 1968. gadā pieņemto lēmumu par publikas informēšanu par vērtspapīriem un par nosacījumiem, kas regulē darījumus ar tiem, Komisija jau daļēji veikusi saskaņošanu šajā jomā, aptverot dažādus konkrētus jautājumus, tādus kā “to prospektu saturs, pārbaude un izplatīšana, kas ir jāpublicē, kad sabiedrību emitētus vērtspapīrus pieņem oficiālai kotēšanai biržā” (1) un jautājumus par “nosacījumu vērtspapīru pieņemšanai oficiālai kotēšanai biržā” (2) koordinēšanu.</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 xml:space="preserve">4. Līdztekus saskaņošanai, ko veic ar direktīvām, un neatsakoties no šīs metodes, kas ir vienīgā, ar kuru patiešām var sasniegt Eiropas integrāciju, Komisija atzīst par vajadzīgu dokumentā, kur izskatītas dažādas problēmas darījumos ar vērtspapīriem, dalībvalstīm ieteikt ievērot dažus pamatprincipus. Šie principi ir jau plaši pazīstami visās Eiropas valstīs, tomēr to atgādinājums un piemērojums sekmēs kopīgas profesionālas ētikas izveidi jomā, kas nepārtraukti attīstās; tas, savukārt, ievērojami atvieglinās saskaņošanas procesu, ko veic ar direktīvām, iepriekš skaidri nosakot Komisijas nostāju. </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 xml:space="preserve">5. </w:t>
      </w:r>
      <w:r>
        <w:rPr>
          <w:color w:val="000000"/>
          <w:lang w:val="en-US"/>
        </w:rPr>
        <w:t>Šis rīcības kodekss, kas pieņemts kā ieteikums, ir jānošķir no pārējā saskaņošanas darba, ko Komisija veic šajā nozarē, tāpēc ka:</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 salīdzinot ar juridisko aspektu, ētiskais aspekts šeit atzīts par prioritāru;</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 Komisijas nolūks ir pilnībā ņemt vērā finanšu tirgus un darījumu dzīves dinamiku un ar pozitīvu attieksmi mēģināt uzlabot tirgus mehānismus un tā dalībnieku efektivitāti;</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 par dažiem jautājumiem, kas ļoti vispārīgi iztirzāti kodeksā, pastāvot vajadzībai pēc stingra tiesiska regulējuma, var tikt iesniegti vai ir jau iesniegti direktīvu priekšlikumi.</w:t>
      </w:r>
    </w:p>
    <w:p>
      <w:pPr>
        <w:pStyle w:val="Normal"/>
        <w:bidi w:val="0"/>
        <w:rPr>
          <w:rFonts w:ascii="Times New Roman" w:hAnsi="Times New Roman"/>
          <w:color w:val="000000"/>
          <w:lang w:val="lv-LV"/>
        </w:rPr>
      </w:pPr>
      <w:r>
        <w:rPr>
          <w:color w:val="000000"/>
          <w:lang w:val="lv-LV"/>
        </w:rPr>
      </w:r>
    </w:p>
    <w:p>
      <w:pPr>
        <w:pStyle w:val="Normal"/>
        <w:bidi w:val="0"/>
        <w:rPr>
          <w:rFonts w:ascii="Times New Roman" w:hAnsi="Times New Roman"/>
          <w:color w:val="000000"/>
          <w:lang w:val="lv-LV"/>
        </w:rPr>
      </w:pPr>
      <w:r>
        <w:rPr>
          <w:color w:val="000000"/>
          <w:lang w:val="lv-LV"/>
        </w:rPr>
      </w:r>
    </w:p>
    <w:p>
      <w:pPr>
        <w:pStyle w:val="Normal"/>
        <w:keepNext w:val="true"/>
        <w:bidi w:val="0"/>
        <w:jc w:val="center"/>
        <w:rPr>
          <w:lang w:val="en-US"/>
        </w:rPr>
      </w:pPr>
      <w:r>
        <w:rPr>
          <w:b/>
          <w:color w:val="000000"/>
          <w:lang w:val="en-US"/>
        </w:rPr>
        <w:t>II.</w:t>
      </w:r>
      <w:r>
        <w:rPr>
          <w:b/>
          <w:color w:val="000000"/>
          <w:lang w:val="lv-LV"/>
        </w:rPr>
        <w:t xml:space="preserve"> Komisijas ieteikuma tiesiskās darbības joma</w:t>
      </w:r>
    </w:p>
    <w:p>
      <w:pPr>
        <w:pStyle w:val="Normal"/>
        <w:keepNext w:val="true"/>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6. Šis ieteikums aicina dalībvalstis nodrošināt, lai tie, kas var iespaidot vērtspapīru tirgu darbību, ievērotu rīcības kodeksa principus; Komisija ir apspriedusies ar iesaistītajām pusēm un ir pārliecinājusies, ka kodeksa principiem ir plašs atbalstītāju loks.</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7. Lai gan vairums dalībvalstu tagad ir atzinušas, ka finanšu tirgus vajag uzraudzīt, tomēr pavisam skaidrs ir tikai tas, ka uzraudzības metodes joprojām ir ļoti atšķirīgas.</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Ieteikums ņem vērā šīs atšķirības; tas neprasa no dalībvalstīm izveidot īpašas uzraudzības iestādes, bet tikai koordinēt valsts līmenī dažādu attiecīgo asociāciju un struktūru darbību.</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8. Tomēr ir jāuzsver, ka rīcības kodeksa ieviešana darījumos ar vērtspapīriem ar ieteikuma palīdzību nekādā ziņā nav šķērslis turpmākai direktīvu vai nolikumu pieņemšanai kādā jomā, uz ko attiecas ieteikums.    Vairāki šādi dokumenti jau tiek gatavoti.</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9.    Ir tomēr iespējams, ka dažas valstis atzīst, ka kodeksa prasību ievērošanai visos vai dažos jautājumos, uz kuriem attiecas kodekss, ir jāpieņem normatīvi akti</w:t>
      </w:r>
    </w:p>
    <w:p>
      <w:pPr>
        <w:pStyle w:val="Normal"/>
        <w:bidi w:val="0"/>
        <w:rPr>
          <w:rFonts w:ascii="Times New Roman" w:hAnsi="Times New Roman"/>
          <w:color w:val="000000"/>
          <w:lang w:val="lv-LV"/>
        </w:rPr>
      </w:pPr>
      <w:r>
        <w:rPr>
          <w:color w:val="000000"/>
          <w:lang w:val="lv-LV"/>
        </w:rPr>
      </w:r>
    </w:p>
    <w:p>
      <w:pPr>
        <w:pStyle w:val="Normal"/>
        <w:bidi w:val="0"/>
        <w:rPr>
          <w:rFonts w:ascii="Times New Roman" w:hAnsi="Times New Roman"/>
          <w:color w:val="000000"/>
          <w:lang w:val="lv-LV"/>
        </w:rPr>
      </w:pPr>
      <w:r>
        <w:rPr>
          <w:color w:val="000000"/>
          <w:lang w:val="lv-LV"/>
        </w:rPr>
      </w:r>
    </w:p>
    <w:p>
      <w:pPr>
        <w:pStyle w:val="Normal"/>
        <w:bidi w:val="0"/>
        <w:jc w:val="center"/>
        <w:rPr>
          <w:lang w:val="en-US"/>
        </w:rPr>
      </w:pPr>
      <w:r>
        <w:rPr>
          <w:b/>
          <w:color w:val="000000"/>
          <w:lang w:val="en-US"/>
        </w:rPr>
        <w:t>III.</w:t>
      </w:r>
      <w:r>
        <w:rPr>
          <w:b/>
          <w:color w:val="000000"/>
          <w:lang w:val="lv-LV"/>
        </w:rPr>
        <w:t xml:space="preserve"> Kodeksa izklāsts</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10. Kodekss izvirza galveno mērķi, dažus pamatprincipus un papildu principus.</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11. Pamatprincipi ir kodeksa galvenie noteikumi, un tie ir ārkārtīgi svarīgi.</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Tie ir prioritāri un pārāki par sīki izstrādātajiem principiem, kas tiem seko un tikai skaidro tos.</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 xml:space="preserve">Tieši pamatprincipi sekmē kodeksa galvenā mērķa ievērošanu; kodeksa saturs ir jāsaprot un jāinterpretē, ņemot vērā galvenos principus, nevis tikai formāli atsaucoties uz dažādiem papildu principiem. </w:t>
      </w:r>
    </w:p>
    <w:p>
      <w:pPr>
        <w:pStyle w:val="Normal"/>
        <w:bidi w:val="0"/>
        <w:rPr>
          <w:rFonts w:ascii="Times New Roman" w:hAnsi="Times New Roman"/>
          <w:color w:val="000000"/>
          <w:lang w:val="lv-LV"/>
        </w:rPr>
      </w:pPr>
      <w:r>
        <w:rPr>
          <w:color w:val="000000"/>
          <w:lang w:val="lv-LV"/>
        </w:rPr>
      </w:r>
    </w:p>
    <w:p>
      <w:pPr>
        <w:pStyle w:val="Normal"/>
        <w:bidi w:val="0"/>
        <w:rPr>
          <w:lang w:val="en-US"/>
        </w:rPr>
      </w:pPr>
      <w:r>
        <w:rPr>
          <w:color w:val="000000"/>
          <w:lang w:val="en-US"/>
        </w:rPr>
        <w:t xml:space="preserve">A. </w:t>
      </w:r>
      <w:r>
        <w:rPr>
          <w:i/>
          <w:color w:val="000000"/>
          <w:lang w:val="lv-LV"/>
        </w:rPr>
        <w:t xml:space="preserve">Pirmais pamatprincips </w:t>
      </w:r>
      <w:r>
        <w:rPr>
          <w:color w:val="000000"/>
          <w:lang w:val="lv-LV"/>
        </w:rPr>
        <w:t xml:space="preserve">uzsver to, cik svarīgs ir šis kodeksa interpretācijas aspekts. Tas atgādina, ka visi darījumi vērtspapīru tirgū ir jāveic, ievērojot tās normas un praksi katrā dalībvalstī, kas paredzēta, lai nodrošinātu attiecīgo tirgu pareizu darbību; šā kodeksa principi papildina vai stiprina šādas normas un praksi. </w:t>
      </w:r>
    </w:p>
    <w:p>
      <w:pPr>
        <w:pStyle w:val="Normal"/>
        <w:bidi w:val="0"/>
        <w:rPr>
          <w:rFonts w:ascii="Times New Roman" w:hAnsi="Times New Roman"/>
          <w:color w:val="000000"/>
          <w:lang w:val="lv-LV"/>
        </w:rPr>
      </w:pPr>
      <w:r>
        <w:rPr>
          <w:color w:val="000000"/>
          <w:lang w:val="lv-LV"/>
        </w:rPr>
      </w:r>
    </w:p>
    <w:p>
      <w:pPr>
        <w:pStyle w:val="Normal"/>
        <w:bidi w:val="0"/>
        <w:rPr>
          <w:lang w:val="en-US"/>
        </w:rPr>
      </w:pPr>
      <w:r>
        <w:rPr>
          <w:color w:val="000000"/>
          <w:lang w:val="en-US"/>
        </w:rPr>
        <w:t xml:space="preserve">B. </w:t>
      </w:r>
      <w:r>
        <w:rPr>
          <w:i/>
          <w:color w:val="000000"/>
          <w:lang w:val="lv-LV"/>
        </w:rPr>
        <w:t>Otrais pamatprincips</w:t>
      </w:r>
      <w:r>
        <w:rPr>
          <w:color w:val="000000"/>
          <w:lang w:val="lv-LV"/>
        </w:rPr>
        <w:t xml:space="preserve"> paredz to, ka informācijai, kas sniegta noguldītājiem, ir jābūt pilnīgai un precīzai, jo nezināšana ir atzīstama par trūkumu jebkurā tirgū.</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Ja informācija netiek sniegta vai ja tā ir nesaprotama, vai tie, kam tā domāta, pārprot to, vai ja tā ir ar nolūku tendencioza vai sagrozīta, noteiktās cenas var kļūt pilnīgi mākslīgas, un tirgus vairs nespēj pildīt savu uzdevumu. Tādēļ daudzi principi otrajā daļā izstrādāti sakarā ar šo problēmu (7. līdz 15. papildu princips).</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Pareiza informācijas nodošana atklātībai ir vajadzīga tikpat daudzās un dažādās situācijās kā vērtspapīru emisija vai tirdzniecība. Šajā sakarā izvirzīti arī direktīvu priekšlikumi (tostarp priekšlikums noteikumiem par pieņemšanu kotēšanai).</w:t>
      </w:r>
    </w:p>
    <w:p>
      <w:pPr>
        <w:pStyle w:val="Normal"/>
        <w:bidi w:val="0"/>
        <w:rPr>
          <w:rFonts w:ascii="Times New Roman" w:hAnsi="Times New Roman"/>
          <w:color w:val="000000"/>
          <w:lang w:val="lv-LV"/>
        </w:rPr>
      </w:pPr>
      <w:r>
        <w:rPr>
          <w:color w:val="000000"/>
          <w:lang w:val="lv-LV"/>
        </w:rPr>
      </w:r>
    </w:p>
    <w:p>
      <w:pPr>
        <w:pStyle w:val="Normal"/>
        <w:bidi w:val="0"/>
        <w:rPr>
          <w:lang w:val="en-US"/>
        </w:rPr>
      </w:pPr>
      <w:r>
        <w:rPr>
          <w:color w:val="000000"/>
          <w:lang w:val="en-US"/>
        </w:rPr>
        <w:t xml:space="preserve">C. </w:t>
      </w:r>
      <w:r>
        <w:rPr>
          <w:i/>
          <w:color w:val="000000"/>
          <w:lang w:val="lv-LV"/>
        </w:rPr>
        <w:t>Trešais pamatprincips</w:t>
      </w:r>
      <w:r>
        <w:rPr>
          <w:color w:val="000000"/>
          <w:lang w:val="lv-LV"/>
        </w:rPr>
        <w:t xml:space="preserve"> attiecas uz akcionāru vienlīdzību. Neņemot vērā dažus kritiskus iebildumus, Komisija ir atzinusi, ka būtu jāsaglabā vienādas attieksmes princips, skaidrojot tā piemērojumu ar diviem papildu principiem, galvenokārt uzsverot īpašu pienākumu atklāt informāciju.</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 xml:space="preserve">Kodeksa 17. papildu principā minēta vienāda attieksme pret pārējiem akcionāriem kapitāldaļu kontrolpaketes atsavināšanas gadījumā, tomēr tas pieļauj, ka akcionāru aizsardzību var īstenot ar citiem līdzekļiem, lai ņemtu vērā Vācijā spēkā esošu likumu, kas ierobežo dominējošā akcionāra pilnvaras. </w:t>
      </w:r>
      <w:r>
        <w:rPr>
          <w:rFonts w:ascii="Courier New" w:hAnsi="Courier New"/>
          <w:vanish/>
          <w:color w:val="000000"/>
          <w:vertAlign w:val="subscript"/>
          <w:lang w:val="lv-LV"/>
        </w:rPr>
        <w:t>i</w:t>
      </w:r>
      <w:r>
        <w:rPr>
          <w:color w:val="000000"/>
          <w:lang w:val="lv-LV"/>
        </w:rPr>
        <w:t>Ir svarīgi saprast, ka akcionāru vienlīdzības pamatprincips ir daudz plašāks par kodeksa darbības jomu. Tas arī kodeksā neattiecas tikai uz akciju pakešu nodošanu vai dažiem papildu principiem otrajā daļā, kas var uz atsaukties šo principu, piemēram, nepublicētas informācijas izmantojums, kaitējot tiem, kam tā nav pieejama, vai tirgu nošķiršana, kas ļauj dot priekšrocības dažiem vērtspapīru pircējiem vai pārdevējiem.</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Protams, var pieminēt tikai dažus no gadījumiem, kad šāds princips varētu būt svarīgs;    mēģinot sīki uzskaitīt visus attiecīgos gadījumus, ir iespējami izlaidumi, kas ātri vien varētu tikt izmantoti. Šis princips pauž nostāju un garu, kādā jāveic daži darījumi.</w:t>
      </w:r>
    </w:p>
    <w:p>
      <w:pPr>
        <w:pStyle w:val="Normal"/>
        <w:bidi w:val="0"/>
        <w:rPr>
          <w:rFonts w:ascii="Times New Roman" w:hAnsi="Times New Roman"/>
          <w:color w:val="000000"/>
          <w:lang w:val="lv-LV"/>
        </w:rPr>
      </w:pPr>
      <w:r>
        <w:rPr>
          <w:color w:val="000000"/>
          <w:lang w:val="lv-LV"/>
        </w:rPr>
      </w:r>
    </w:p>
    <w:p>
      <w:pPr>
        <w:pStyle w:val="Normal"/>
        <w:bidi w:val="0"/>
        <w:rPr>
          <w:lang w:val="en-US"/>
        </w:rPr>
      </w:pPr>
      <w:r>
        <w:rPr>
          <w:color w:val="000000"/>
          <w:lang w:val="en-US"/>
        </w:rPr>
        <w:t xml:space="preserve">D. </w:t>
      </w:r>
      <w:r>
        <w:rPr>
          <w:color w:val="000000"/>
          <w:lang w:val="lv-LV"/>
        </w:rPr>
        <w:t>Ceturtais, piektais un sestais pamatprincips tiešāk attiecas uz dažām personu kategorijām, kuru nozīme kodeksa mērķu īstenošanā nerada šaubas; tie ir sabiedrību uzraudzības padomju, pārvaldes un vadības struktūru locekļi (4. princips), finanšu starpnieki un personas, kas profesionāli darbojas ar vērtspapīru darījumiem (5. un 6. princips).</w:t>
      </w:r>
    </w:p>
    <w:p>
      <w:pPr>
        <w:pStyle w:val="Normal"/>
        <w:bidi w:val="0"/>
        <w:rPr>
          <w:rFonts w:ascii="Times New Roman" w:hAnsi="Times New Roman"/>
          <w:color w:val="000000"/>
          <w:lang w:val="lv-LV"/>
        </w:rPr>
      </w:pPr>
      <w:r>
        <w:rPr>
          <w:color w:val="000000"/>
          <w:lang w:val="lv-LV"/>
        </w:rPr>
      </w:r>
    </w:p>
    <w:p>
      <w:pPr>
        <w:pStyle w:val="Normal"/>
        <w:bidi w:val="0"/>
        <w:rPr>
          <w:lang w:val="lv-LV"/>
        </w:rPr>
      </w:pPr>
      <w:r>
        <w:rPr>
          <w:i/>
          <w:color w:val="000000"/>
          <w:lang w:val="lv-LV"/>
        </w:rPr>
        <w:t>Ceturtais pamatprincips</w:t>
      </w:r>
      <w:r>
        <w:rPr>
          <w:color w:val="000000"/>
          <w:lang w:val="lv-LV"/>
        </w:rPr>
        <w:t xml:space="preserve"> atgādina, ka kodekss jo īpaši attiecas uz sabiedrību uzraudzības padomju, pārvaldes un vadības struktūru locekļiem, un konkretizē viņu pienākumu atturēties no visām darbībām, kas varētu traucēt viņu vērtspapīru tirgus pareizai darbībai vai kaitēt pārējiem akcionāriem.</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Sabiedrības pārvaldes un vadības locekļu nepieļaujama rīcība vērtspapīru tirgū ir plaši interpretējams jēdziens, jo var būt arī tā, ka bezdarbība ir tikpat nosodāma vai vēl vairāk nosodāma nekā darbība.</w:t>
      </w:r>
    </w:p>
    <w:p>
      <w:pPr>
        <w:pStyle w:val="Normal"/>
        <w:bidi w:val="0"/>
        <w:rPr>
          <w:rFonts w:ascii="Times New Roman" w:hAnsi="Times New Roman"/>
          <w:color w:val="000000"/>
          <w:lang w:val="lv-LV"/>
        </w:rPr>
      </w:pPr>
      <w:r>
        <w:rPr>
          <w:color w:val="000000"/>
          <w:lang w:val="lv-LV"/>
        </w:rPr>
      </w:r>
    </w:p>
    <w:p>
      <w:pPr>
        <w:pStyle w:val="Normal"/>
        <w:bidi w:val="0"/>
        <w:rPr>
          <w:lang w:val="lv-LV"/>
        </w:rPr>
      </w:pPr>
      <w:r>
        <w:rPr>
          <w:i/>
          <w:color w:val="000000"/>
          <w:lang w:val="lv-LV"/>
        </w:rPr>
        <w:t>Piektais pamatprincips</w:t>
      </w:r>
      <w:r>
        <w:rPr>
          <w:color w:val="000000"/>
          <w:lang w:val="lv-LV"/>
        </w:rPr>
        <w:t xml:space="preserve"> iesaka, lai personas, kas profesionāli nodarbojas ar biržas darījumiem, vai vismaz visas tās “personas, kas regulāri veic darījumus vērtspapīru tirgos”, neapdraudētu viņu pašu interesēs sekmējamo tirgus ticamību un efektivitāti, tiekdamās pēc tūlītējas un negodīgas peļņas.</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 xml:space="preserve">Interešu konflikti, kas var celties, piemēram, dažādās bankas nodaļās sakarā ar dažādajiem uzdevumiem, kuri baņķierim jāveic attiecībā uz saviem atšķirīgajiem klientiem, ir likuši formulēt </w:t>
      </w:r>
      <w:r>
        <w:rPr>
          <w:i/>
          <w:color w:val="000000"/>
          <w:lang w:val="lv-LV"/>
        </w:rPr>
        <w:t>sesto pamatprincipu</w:t>
      </w:r>
      <w:r>
        <w:rPr>
          <w:color w:val="000000"/>
          <w:lang w:val="lv-LV"/>
        </w:rPr>
        <w:t>.</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Pieļaujot, ka ir ļoti grūti noteikt slepenības ievērošanas pienākuma robežas, būtu jāuzsver, ka ir jāmeklē līdzekļi, kā izvairīties no šādiem konfliktiem. Piemērs ļaus saprast, cik grūti ir definēt šīs normas piemērošanas jomu: vai finanšu iestādē konfidenciālai informācijai ir jābūt tik slepenai, ka ieteikums neveikt ieguldījumu (neizpaužot iemeslu, kāpēc ieguldījumu veikt nebūtu izdevīgi) būtu uzskatāms par nepareizu rīcību arī tad, ja mērķis būtu nevis gūt peļņu, bet izvairīties no zaudējuma?    Šādā gadījumā baņķierim būtu jābūt tiesīgam sniegt klientam šādu lietišķu padomu, un tas patiešām šķiet saprātīgs risinājums; tomēr tikai prakse rādīs, vai 8. papildu principa interpretācija nav izmantojama ļaunprātīgi un vai Komisijas ieteikumu šajā konkrētajā jautājumā nevajadzēs darīt stingrāku.</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 xml:space="preserve">12. </w:t>
      </w:r>
      <w:r>
        <w:rPr>
          <w:i/>
          <w:color w:val="000000"/>
          <w:lang w:val="en-US"/>
        </w:rPr>
        <w:t>Papildu principi</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Kā rāda nosaukums, šo principu mērķis ir papildināt pamatprincipus, tos precizējot un skaidrojot. Tie nav izsmeļoši; sanāksmēs, ko rīko sadarbības komiteja, kas atbildīga par Komisijas informēšanu par kodeksa piemērošanu, tos var papildināt saskaņā ar faktiskajām situācijām, kādas izveidojušās dažādos Eiropas tirgos. Papildu principus var dalīt divās daļās.</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 xml:space="preserve">A. </w:t>
      </w:r>
      <w:r>
        <w:rPr>
          <w:i/>
          <w:color w:val="000000"/>
          <w:lang w:val="lv-LV"/>
        </w:rPr>
        <w:t>Pirmie papildu principi</w:t>
      </w:r>
      <w:r>
        <w:rPr>
          <w:color w:val="000000"/>
          <w:lang w:val="lv-LV"/>
        </w:rPr>
        <w:t xml:space="preserve"> precizē dažus aspektus no tā, kas jāsaprot ar jēdzienu “finanšu starpnieku godīga rīcība”.</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 xml:space="preserve">Papildus likumu, noteikumu un pastāvošās prakses ievērošanai, 1. līdz 6. papildu princips izklāsta dažus noteikumus, kas attiecas uz starpnieku rīcību, </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Galvenais noteikums, protams, attiecas uz ieteikumu izpildīt uzdevumus organizētā tirgū un uz ierobežojumiem, kas noteikti darījuma otras puses darbībai un uzdevumu kompensēšanai. Komisijas ieteikums noteikti nevēršas pret minētajām darbībām, tomēr ir skaidrs, ka uzraudzības iestādēm tās būtu jāuzrauga, ja minētās iestādes patiešām var uzņemties atbildību par tām.</w:t>
      </w:r>
    </w:p>
    <w:p>
      <w:pPr>
        <w:pStyle w:val="Normal"/>
        <w:bidi w:val="0"/>
        <w:rPr>
          <w:rFonts w:ascii="Times New Roman" w:hAnsi="Times New Roman"/>
          <w:color w:val="000000"/>
          <w:lang w:val="lv-LV"/>
        </w:rPr>
      </w:pPr>
      <w:r>
        <w:rPr>
          <w:color w:val="000000"/>
          <w:lang w:val="lv-LV"/>
        </w:rPr>
      </w:r>
    </w:p>
    <w:p>
      <w:pPr>
        <w:pStyle w:val="Normal"/>
        <w:bidi w:val="0"/>
        <w:rPr>
          <w:lang w:val="en-US"/>
        </w:rPr>
      </w:pPr>
      <w:r>
        <w:rPr>
          <w:color w:val="000000"/>
          <w:lang w:val="en-US"/>
        </w:rPr>
        <w:t xml:space="preserve">B. </w:t>
      </w:r>
      <w:r>
        <w:rPr>
          <w:i/>
          <w:color w:val="000000"/>
          <w:lang w:val="lv-LV"/>
        </w:rPr>
        <w:t>Turpmāk minētie papildu principi</w:t>
      </w:r>
      <w:r>
        <w:rPr>
          <w:color w:val="000000"/>
          <w:lang w:val="lv-LV"/>
        </w:rPr>
        <w:t>, no 7. līdz pēdējam noteikumam, attiecas uz vajadzību pēc informācijas.</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Ir skaidrs, ka varētu izvairīties no daudzām kļūdām, ja ļoti ātri būtu darīta pieejama precīza informācija un šādi līdz minimumam būtu saīsināts laiks, kad svarīgu informāciju tur slepenībā.</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Pašus principus attiecībā uz informāciju var iedalīt vairākās daļās atkarībā no tā, vai tie attiecas uz:</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a) mākslīga tirgus izveidi (7. princips);</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b) ļaunprātīgu tādas informācijas izmantošanu, kas var atsaukties uz vērtspapīru cenu (8. līdz 10. princips);</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c) informāciju, kas tirgus iestādēm un sabiedrībām jānodod atklātībai (11. līdz 14. princips);</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d) visu noguldītāju tiesībām uz vienādas informācijas pieejamību (15. un 16. princips); un beidzot,</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 xml:space="preserve">e) informāciju, kas jāsniedz gadījumā, kad iegūst vai, attiecīgā gadījumā, pārdod tādu kapitāldaļu skaitu, kas </w:t>
      </w:r>
      <w:r>
        <w:rPr>
          <w:i/>
          <w:color w:val="000000"/>
          <w:lang w:val="lv-LV"/>
        </w:rPr>
        <w:t>de iure</w:t>
      </w:r>
      <w:r>
        <w:rPr>
          <w:color w:val="000000"/>
          <w:lang w:val="lv-LV"/>
        </w:rPr>
        <w:t xml:space="preserve"> vai </w:t>
      </w:r>
      <w:r>
        <w:rPr>
          <w:i/>
          <w:color w:val="000000"/>
          <w:lang w:val="lv-LV"/>
        </w:rPr>
        <w:t>de facto</w:t>
      </w:r>
      <w:r>
        <w:rPr>
          <w:color w:val="000000"/>
          <w:lang w:val="lv-LV"/>
        </w:rPr>
        <w:t xml:space="preserve"> ļauj kontrolēt sabiedrību (17. un 18. princips).</w:t>
      </w:r>
    </w:p>
    <w:p>
      <w:pPr>
        <w:pStyle w:val="Normal"/>
        <w:bidi w:val="0"/>
        <w:rPr>
          <w:rFonts w:ascii="Times New Roman" w:hAnsi="Times New Roman"/>
          <w:color w:val="000000"/>
          <w:lang w:val="lv-LV"/>
        </w:rPr>
      </w:pPr>
      <w:r>
        <w:rPr>
          <w:color w:val="000000"/>
          <w:lang w:val="lv-LV"/>
        </w:rPr>
      </w:r>
    </w:p>
    <w:p>
      <w:pPr>
        <w:pStyle w:val="Normal"/>
        <w:bidi w:val="0"/>
        <w:rPr>
          <w:rFonts w:ascii="Times New Roman" w:hAnsi="Times New Roman"/>
          <w:color w:val="000000"/>
          <w:lang w:val="lv-LV"/>
        </w:rPr>
      </w:pPr>
      <w:r>
        <w:rPr>
          <w:color w:val="000000"/>
          <w:lang w:val="lv-LV"/>
        </w:rPr>
      </w:r>
    </w:p>
    <w:p>
      <w:pPr>
        <w:pStyle w:val="Normal"/>
        <w:bidi w:val="0"/>
        <w:jc w:val="center"/>
        <w:rPr>
          <w:lang w:val="en-US"/>
        </w:rPr>
      </w:pPr>
      <w:r>
        <w:rPr>
          <w:b/>
          <w:color w:val="000000"/>
          <w:lang w:val="en-US"/>
        </w:rPr>
        <w:t>IV.</w:t>
      </w:r>
      <w:r>
        <w:rPr>
          <w:b/>
          <w:color w:val="000000"/>
          <w:lang w:val="lv-LV"/>
        </w:rPr>
        <w:t xml:space="preserve"> Eiropas rīcības kodeksa īstenošana</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13.    Iesakot dalībvalstīm Eiropas rīcības kodeksu, Komisija, protams, apzinās, ka ieteikums valstīm neuzliek saistības attiecībā uz sasniedzamiem rezultātiem; kodeksa veiksmīgs īstenojums tādēļ būtiski atkarīgs no to pušu aktīvas sadarbības, uz kurām tas attiecas, jo īpaši no tās iestādes vai to iestāžu autoritātes, kam ir jāuzrauga īstenošana.</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14. Ir ārkārtīgi svarīgi, lai katrā dalībvalstī, pamatojoties uz pastāvošām struktūrām, būtu vismaz viena iestāde (uzraudzības iestāde, aroda apvienība utt.), kas būtu atbildīga par kodeksa īstenošanas uzraudzību valsts līmenī.</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Tomēr attiecīgās iestādes izraudzīšana ir katras valsts iekšēja lieta.</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Kodekss neparedz, ka šīm uzraudzības iestādēm būtu jābūt tādām pilnvarām, kādas parasti piešķirtas publisko tiesību iestādēm, jo kodeksā nav noteikti sodi.</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15. Tā kā kodekss būtu jāievēro visā Kopienā, tad visu uzraudzības iestāžu pārstāvjiem tomēr vajadzētu sanākt kopā sadarbības komitejā.</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Komiteja varētu sniegt padomus Komisijai par kodeksa turpmāku uzlabošanu, ņemot vērā problēmas, kas radušās, to piemērojot, un pieredzi.</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Šādu iemeslu dēļ saskaņā ar Eiropas Ekonomikas kopienas dibināšanas līgumu, un jo īpaši tā 155. pantu, Komisija dalībvalstīm iesaka, neskarot spēkā esošos noteikumus vai administratīvas normas:</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1. nodrošināt to, ka tie, kas darbojas vērtspapīru tirgos vai kuri var iespaidot minēto tirgu darbību, ievēro pielikumā pievienotā Eiropas rīcības kodeksa galveno mērķi, pamatprincipus un papildu noteikums;</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2. šajā sakarā koordinēt attiecīgo aroda apvienību un to katrā dalībvalstī izraudzīto valsts iestāžu darbību, kuru uzdevums ir uzraudzīt pareizu tirgus darbību un tirgus dalībnieku rīcību;</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3. iecelt vienu vai vairākus minēto apvienību vai iestāžu pārstāvjus, kuru uzdevums būs ik gadus, sākot no brīža, kad būs apritējis gads pēc šā ieteikuma nodošanas, informēt Komisiju par visiem pasākumiem, kas paredzēti, lai īstenotu kodeksu, un par pieredzi, kas gūta to piemērošanā, par visām grūtībām un Eiropas rīcības kodeksa papildinājumu vai grozījumu ieteikumiem;</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4. veikt visus pārējos pasākumus, kurus tās varētu uzskatīt par vajadzīgiem, lai uzturētu spēkā kodeksa principus un uzraudzītu to piemērošanu.</w:t>
      </w:r>
    </w:p>
    <w:p>
      <w:pPr>
        <w:pStyle w:val="Normal"/>
        <w:bidi w:val="0"/>
        <w:rPr>
          <w:rFonts w:ascii="Times New Roman" w:hAnsi="Times New Roman"/>
          <w:color w:val="000000"/>
          <w:lang w:val="lv-LV"/>
        </w:rPr>
      </w:pPr>
      <w:r>
        <w:rPr>
          <w:color w:val="000000"/>
          <w:lang w:val="lv-LV"/>
        </w:rPr>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Briselē, 1997. gada 25. jūlijā</w:t>
      </w:r>
    </w:p>
    <w:p>
      <w:pPr>
        <w:pStyle w:val="Normal"/>
        <w:bidi w:val="0"/>
        <w:rPr>
          <w:rFonts w:ascii="Times New Roman" w:hAnsi="Times New Roman"/>
          <w:color w:val="000000"/>
          <w:lang w:val="lv-LV"/>
        </w:rPr>
      </w:pPr>
      <w:r>
        <w:rPr>
          <w:color w:val="000000"/>
          <w:lang w:val="lv-LV"/>
        </w:rPr>
      </w:r>
    </w:p>
    <w:p>
      <w:pPr>
        <w:pStyle w:val="Normal"/>
        <w:bidi w:val="0"/>
        <w:jc w:val="end"/>
        <w:rPr>
          <w:lang w:val="lv-LV"/>
        </w:rPr>
      </w:pPr>
      <w:r>
        <w:rPr>
          <w:color w:val="000000"/>
          <w:lang w:val="lv-LV"/>
        </w:rPr>
        <w:t>Komisijas vārdā —</w:t>
      </w:r>
    </w:p>
    <w:p>
      <w:pPr>
        <w:pStyle w:val="Normal"/>
        <w:bidi w:val="0"/>
        <w:jc w:val="end"/>
        <w:rPr>
          <w:rFonts w:ascii="Times New Roman" w:hAnsi="Times New Roman"/>
          <w:color w:val="000000"/>
          <w:lang w:val="lv-LV"/>
        </w:rPr>
      </w:pPr>
      <w:r>
        <w:rPr>
          <w:color w:val="000000"/>
          <w:lang w:val="lv-LV"/>
        </w:rPr>
      </w:r>
    </w:p>
    <w:p>
      <w:pPr>
        <w:pStyle w:val="Normal"/>
        <w:bidi w:val="0"/>
        <w:jc w:val="end"/>
        <w:rPr>
          <w:lang w:val="lv-LV"/>
        </w:rPr>
      </w:pPr>
      <w:r>
        <w:rPr>
          <w:color w:val="000000"/>
          <w:lang w:val="lv-LV"/>
        </w:rPr>
        <w:t>Kristofers Tagendhets</w:t>
      </w:r>
      <w:r>
        <w:rPr>
          <w:i/>
          <w:color w:val="000000"/>
          <w:lang w:val="lv-LV"/>
        </w:rPr>
        <w:t xml:space="preserve"> [Christopher TUGENDHAT]</w:t>
      </w:r>
    </w:p>
    <w:p>
      <w:pPr>
        <w:pStyle w:val="Normal"/>
        <w:bidi w:val="0"/>
        <w:jc w:val="end"/>
        <w:rPr>
          <w:rFonts w:ascii="Times New Roman" w:hAnsi="Times New Roman"/>
          <w:color w:val="000000"/>
          <w:lang w:val="lv-LV"/>
        </w:rPr>
      </w:pPr>
      <w:r>
        <w:rPr>
          <w:color w:val="000000"/>
          <w:lang w:val="lv-LV"/>
        </w:rPr>
      </w:r>
    </w:p>
    <w:p>
      <w:pPr>
        <w:pStyle w:val="Normal"/>
        <w:bidi w:val="0"/>
        <w:jc w:val="end"/>
        <w:rPr/>
      </w:pPr>
      <w:r>
        <w:rPr>
          <w:color w:val="000000"/>
          <w:lang w:val="lv-LV"/>
        </w:rPr>
        <w:t>Komisijas loceklis</w:t>
      </w:r>
    </w:p>
    <w:p>
      <w:pPr>
        <w:pStyle w:val="Normal"/>
        <w:bidi w:val="0"/>
        <w:rPr>
          <w:rFonts w:ascii="Times New Roman" w:hAnsi="Times New Roman"/>
          <w:i/>
          <w:i/>
          <w:color w:val="000000"/>
          <w:lang w:val="lv-LV"/>
        </w:rPr>
      </w:pPr>
      <w:r>
        <w:rPr>
          <w:i/>
          <w:color w:val="000000"/>
          <w:lang w:val="lv-LV"/>
        </w:rPr>
      </w:r>
    </w:p>
    <w:p>
      <w:pPr>
        <w:pStyle w:val="Normal"/>
        <w:bidi w:val="0"/>
        <w:rPr>
          <w:rFonts w:ascii="Times New Roman" w:hAnsi="Times New Roman"/>
          <w:i/>
          <w:i/>
          <w:color w:val="000000"/>
          <w:lang w:val="lv-LV"/>
        </w:rPr>
      </w:pPr>
      <w:r>
        <w:rPr>
          <w:i/>
          <w:color w:val="000000"/>
          <w:lang w:val="lv-LV"/>
        </w:rPr>
      </w:r>
    </w:p>
    <w:p>
      <w:pPr>
        <w:pStyle w:val="Normal"/>
        <w:bidi w:val="0"/>
        <w:rPr>
          <w:lang w:val="en-US"/>
        </w:rPr>
      </w:pPr>
      <w:r>
        <w:rPr>
          <w:color w:val="000000"/>
          <w:vertAlign w:val="superscript"/>
          <w:lang w:val="en-US"/>
        </w:rPr>
        <w:t>1</w:t>
      </w:r>
      <w:r>
        <w:rPr>
          <w:i/>
          <w:color w:val="000000"/>
          <w:lang w:val="en-US"/>
        </w:rPr>
        <w:t xml:space="preserve"> OJ No C 131, 13.12.1972.</w:t>
      </w:r>
    </w:p>
    <w:p>
      <w:pPr>
        <w:pStyle w:val="Normal"/>
        <w:bidi w:val="0"/>
        <w:rPr>
          <w:lang w:val="en-US"/>
        </w:rPr>
      </w:pPr>
      <w:r>
        <w:rPr>
          <w:color w:val="000000"/>
          <w:vertAlign w:val="superscript"/>
          <w:lang w:val="en-US"/>
        </w:rPr>
        <w:t>2</w:t>
      </w:r>
      <w:r>
        <w:rPr>
          <w:i/>
          <w:color w:val="000000"/>
          <w:lang w:val="en-US"/>
        </w:rPr>
        <w:t xml:space="preserve"> OJ No C 56, 10.3.1976.</w:t>
      </w:r>
    </w:p>
    <w:p>
      <w:pPr>
        <w:pStyle w:val="Normal"/>
        <w:widowControl w:val="false"/>
        <w:bidi w:val="0"/>
        <w:jc w:val="both"/>
        <w:rPr/>
      </w:pPr>
      <w:r>
        <w:rPr/>
      </w:r>
      <w:r>
        <w:br w:type="page"/>
      </w:r>
    </w:p>
    <w:p>
      <w:pPr>
        <w:pStyle w:val="Normal"/>
        <w:bidi w:val="0"/>
        <w:rPr>
          <w:rFonts w:ascii="Times New Roman" w:hAnsi="Times New Roman"/>
          <w:color w:val="000000"/>
          <w:lang w:val="lv-LV"/>
        </w:rPr>
      </w:pPr>
      <w:r>
        <w:rPr>
          <w:color w:val="000000"/>
          <w:lang w:val="lv-LV"/>
        </w:rPr>
      </w:r>
    </w:p>
    <w:p>
      <w:pPr>
        <w:pStyle w:val="Heading1"/>
        <w:numPr>
          <w:ilvl w:val="0"/>
          <w:numId w:val="0"/>
        </w:numPr>
        <w:bidi w:val="0"/>
        <w:outlineLvl w:val="0"/>
        <w:rPr>
          <w:lang w:val="en-US"/>
        </w:rPr>
      </w:pPr>
      <w:r>
        <w:rPr>
          <w:lang w:val="en-US"/>
        </w:rPr>
        <w:t>pielikums</w:t>
      </w:r>
    </w:p>
    <w:p>
      <w:pPr>
        <w:pStyle w:val="Normal"/>
        <w:bidi w:val="0"/>
        <w:rPr>
          <w:rFonts w:ascii="Times New Roman" w:hAnsi="Times New Roman"/>
        </w:rPr>
      </w:pPr>
      <w:r>
        <w:rPr/>
      </w:r>
    </w:p>
    <w:p>
      <w:pPr>
        <w:pStyle w:val="Heading2"/>
        <w:numPr>
          <w:ilvl w:val="0"/>
          <w:numId w:val="0"/>
        </w:numPr>
        <w:bidi w:val="0"/>
        <w:outlineLvl w:val="1"/>
        <w:rPr/>
      </w:pPr>
      <w:r>
        <w:rPr/>
        <w:t>Eiropas rīcības kodekss darījumos ar vērtspapīriem</w:t>
      </w:r>
    </w:p>
    <w:p>
      <w:pPr>
        <w:pStyle w:val="Normal"/>
        <w:bidi w:val="0"/>
        <w:rPr>
          <w:rFonts w:ascii="Times New Roman" w:hAnsi="Times New Roman"/>
        </w:rPr>
      </w:pPr>
      <w:r>
        <w:rPr/>
      </w:r>
    </w:p>
    <w:p>
      <w:pPr>
        <w:pStyle w:val="Heading2"/>
        <w:numPr>
          <w:ilvl w:val="0"/>
          <w:numId w:val="0"/>
        </w:numPr>
        <w:bidi w:val="0"/>
        <w:outlineLvl w:val="1"/>
        <w:rPr/>
      </w:pPr>
      <w:r>
        <w:rPr>
          <w:caps/>
        </w:rPr>
        <w:t>Galvenais mērķis</w:t>
      </w:r>
    </w:p>
    <w:p>
      <w:pPr>
        <w:pStyle w:val="Normal"/>
        <w:bidi w:val="0"/>
        <w:rPr>
          <w:rFonts w:ascii="Times New Roman" w:hAnsi="Times New Roman"/>
          <w:color w:val="000000"/>
          <w:lang w:val="lv-LV"/>
        </w:rPr>
      </w:pPr>
      <w:r>
        <w:rPr>
          <w:color w:val="000000"/>
          <w:lang w:val="lv-LV"/>
        </w:rPr>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 xml:space="preserve"> </w:t>
      </w:r>
      <w:r>
        <w:rPr>
          <w:color w:val="000000"/>
          <w:lang w:val="lv-LV"/>
        </w:rPr>
        <w:t>Šis rīcības kodekss ir cieši saistīts ar vērtspapīru tirgu attīstību un integrāciju Eiropas Kopienā un mēģina iedibināt dažus pamatprincipus, ko papildina papildu nostādnes.</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Kodeksa mērķis ir Kopienas līmenī noteikt ētiskus uzvedības standartus, lai sekmētu vērtspapīru tirgu efektīvu darbību (t. i., radot vislabākos apstākļus kapitāla piedāvājuma un pieprasījuma saskaņošanai), un aizsargāt plašas sabiedrības intereses.</w:t>
      </w:r>
    </w:p>
    <w:p>
      <w:pPr>
        <w:pStyle w:val="Normal"/>
        <w:bidi w:val="0"/>
        <w:rPr>
          <w:rFonts w:ascii="Times New Roman" w:hAnsi="Times New Roman"/>
          <w:color w:val="000000"/>
          <w:lang w:val="lv-LV"/>
        </w:rPr>
      </w:pPr>
      <w:r>
        <w:rPr>
          <w:color w:val="000000"/>
          <w:lang w:val="lv-LV"/>
        </w:rPr>
      </w:r>
    </w:p>
    <w:p>
      <w:pPr>
        <w:pStyle w:val="Normal"/>
        <w:bidi w:val="0"/>
        <w:rPr>
          <w:rFonts w:ascii="Times New Roman" w:hAnsi="Times New Roman"/>
          <w:color w:val="000000"/>
          <w:lang w:val="lv-LV"/>
        </w:rPr>
      </w:pPr>
      <w:r>
        <w:rPr>
          <w:color w:val="000000"/>
          <w:lang w:val="lv-LV"/>
        </w:rPr>
      </w:r>
    </w:p>
    <w:p>
      <w:pPr>
        <w:pStyle w:val="Heading2"/>
        <w:numPr>
          <w:ilvl w:val="0"/>
          <w:numId w:val="0"/>
        </w:numPr>
        <w:bidi w:val="0"/>
        <w:outlineLvl w:val="1"/>
        <w:rPr/>
      </w:pPr>
      <w:r>
        <w:rPr>
          <w:caps/>
        </w:rPr>
        <w:t>Definīcijas</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Kodeksā šādiem jēdzieniem ir šāda nozīme:</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 “vērtspapīri” ir visi vērtspapīri, attiecībā uz kuriem veic vai var veikt darījumus organizētā tirgū;</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 “finanšu starpnieki” ir visas personas, kas profesionāli veic darījumus ar vērtspapīriem;</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 “principāli” ir visas personas, kas attiecībā uz kādu vērtspapīru un tā tirgu ir stratēģiskā pozīcijā (piemēram, sabiedrību pārvaldītāji vai vadītāji, būtiska kapitāldaļu skaita turētāji vai ieguvēji), un visi tie, kas var ietekmēt sabiedrības viedokli (piemēram, finanšu analītiķi un žurnālisti);</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 “vērtspapīru tirgi” ir oficiāla birža un visi tirgi, ko organizē kompetentās iestādes vai kas organizēti tās uzraudzībā, un visi darījumi ar vērtspapīriem, kas definēti iepriekš, ieskaitot indivīdu privāti līgtus darījumus ar vērtspapīriem – ar vārdu “tirgus” (vienskaitlī ) apzīmē tikai oficiālu biržu un organizētus tirgus;</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 “kompetentās iestādes” ir iestādes, kuru mērķi ir valsts līmenī nodrošināt tirgus pareizu darbību un pareizu tirgus informācijas plūsmu, pirmkārt, tās ir biržas iestādes un uzraudzības iestādes.</w:t>
      </w:r>
    </w:p>
    <w:p>
      <w:pPr>
        <w:pStyle w:val="Normal"/>
        <w:bidi w:val="0"/>
        <w:rPr>
          <w:rFonts w:ascii="Times New Roman" w:hAnsi="Times New Roman"/>
          <w:color w:val="000000"/>
          <w:lang w:val="lv-LV"/>
        </w:rPr>
      </w:pPr>
      <w:r>
        <w:rPr>
          <w:color w:val="000000"/>
          <w:lang w:val="lv-LV"/>
        </w:rPr>
      </w:r>
    </w:p>
    <w:p>
      <w:pPr>
        <w:pStyle w:val="Normal"/>
        <w:bidi w:val="0"/>
        <w:rPr>
          <w:rFonts w:ascii="Times New Roman" w:hAnsi="Times New Roman"/>
          <w:color w:val="000000"/>
          <w:lang w:val="lv-LV"/>
        </w:rPr>
      </w:pPr>
      <w:r>
        <w:rPr>
          <w:color w:val="000000"/>
          <w:lang w:val="lv-LV"/>
        </w:rPr>
      </w:r>
    </w:p>
    <w:p>
      <w:pPr>
        <w:pStyle w:val="Heading2"/>
        <w:numPr>
          <w:ilvl w:val="0"/>
          <w:numId w:val="0"/>
        </w:numPr>
        <w:bidi w:val="0"/>
        <w:outlineLvl w:val="1"/>
        <w:rPr/>
      </w:pPr>
      <w:r>
        <w:rPr>
          <w:caps/>
        </w:rPr>
        <w:t>Pamatprincipi</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1. Šā kodeksa un pamatprincipu mērķis būtu jāievēro arī gadījumos, kas nav skaidri noteikti papildu principos. Visiem darījumiem, ko veic vērtspapīru tirgos, būtu jāatbilst ne tikai visās dalībvalstīs spēkā esošo likumu un noteikumu burtam, bet arī to garam, kā arī pareizas rīcības principiem, ko jau piemēro šiem tirgiem, vai principiem, kas ieteikti šajā kodeksā.</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2. Plašai sabiedrībai ir jābūt pieejamai informācijai, kas ir godīga, precīza, skaidra, pietiekama un kas ir sniegta laikus.</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Informācija ir jāsniedz tā, ka var viegli saprast tās nozīmi un nolūku.    Visām personām, kuru profesija vai pienākumi ir saistīti ar sabiedrības informēšanas pienākumu vai iespējām, ir īpašs pienākums nodrošināt, lai sabiedrība būtu pienācīgi informēta un neviena atsevišķa personu grupa nebūtu priviliģēta.</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 xml:space="preserve">3. Vienlīdzīga attieksme būtu jānodrošina visiem vienas sabiedrības emitētu viena veida vērtspapīru turētājiem; jo īpaši katram lēmumam, ar kuru tieši vai netieši nodod tādu kapitāldaļu skaitu, kas </w:t>
      </w:r>
      <w:r>
        <w:rPr>
          <w:i/>
          <w:color w:val="000000"/>
          <w:lang w:val="lv-LV"/>
        </w:rPr>
        <w:t>de iure</w:t>
      </w:r>
      <w:r>
        <w:rPr>
          <w:color w:val="000000"/>
          <w:lang w:val="lv-LV"/>
        </w:rPr>
        <w:t xml:space="preserve"> vai </w:t>
      </w:r>
      <w:r>
        <w:rPr>
          <w:i/>
          <w:color w:val="000000"/>
          <w:lang w:val="lv-LV"/>
        </w:rPr>
        <w:t>de</w:t>
      </w:r>
      <w:r>
        <w:rPr>
          <w:color w:val="000000"/>
          <w:lang w:val="lv-LV"/>
        </w:rPr>
        <w:t xml:space="preserve"> </w:t>
      </w:r>
      <w:r>
        <w:rPr>
          <w:i/>
          <w:color w:val="000000"/>
          <w:lang w:val="lv-LV"/>
        </w:rPr>
        <w:t>facto</w:t>
      </w:r>
      <w:r>
        <w:rPr>
          <w:color w:val="000000"/>
          <w:lang w:val="lv-LV"/>
        </w:rPr>
        <w:t xml:space="preserve"> ļauj kontrolēt kādu sabiedrību, kuras vērtspapīri tiek piedāvāti tirgū, būtu jāņem vērā visu akcionāru tiesības uz vienlīdzīgu attieksmi. </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 xml:space="preserve">4. Kad kādas sabiedrības vērtspapīrus tirgo tirgū, uzraudzības padomes, pārvaldes un vadības struktūru locekļiem, personām, kas </w:t>
      </w:r>
      <w:r>
        <w:rPr>
          <w:i/>
          <w:color w:val="000000"/>
          <w:lang w:val="lv-LV"/>
        </w:rPr>
        <w:t>de iure</w:t>
      </w:r>
      <w:r>
        <w:rPr>
          <w:color w:val="000000"/>
          <w:lang w:val="lv-LV"/>
        </w:rPr>
        <w:t xml:space="preserve"> vai </w:t>
      </w:r>
      <w:r>
        <w:rPr>
          <w:i/>
          <w:color w:val="000000"/>
          <w:lang w:val="lv-LV"/>
        </w:rPr>
        <w:t>de</w:t>
      </w:r>
      <w:r>
        <w:rPr>
          <w:color w:val="000000"/>
          <w:lang w:val="lv-LV"/>
        </w:rPr>
        <w:t xml:space="preserve"> </w:t>
      </w:r>
      <w:r>
        <w:rPr>
          <w:i/>
          <w:color w:val="000000"/>
          <w:lang w:val="lv-LV"/>
        </w:rPr>
        <w:t>facto</w:t>
      </w:r>
      <w:r>
        <w:rPr>
          <w:color w:val="000000"/>
          <w:lang w:val="lv-LV"/>
        </w:rPr>
        <w:t xml:space="preserve"> īsteno kontrolē sabiedrību, būtu jārīkojas tā, lai nodrošinātu, ka tiek īstenots šā rīcības kodeksa galvenais mērķis. Viņiem ir īpašs pienākums izvairīties no jebkuras darbības, kas varētu kaitēt godīgiem darījumiem ar attiecīgajiem vērtspapīriem vai aizskart pārējo akcionāru tiesības.</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5. Personām, kas regulāri veic darījumus ar vērtspapīriem tirgos, ir pienākums rīkoties godīgi saskaņā ar kodeksa mērķi pat tad, ja atsevišķos gadījumos tas nav izdevīgi un ir jāatsakās no tūlītējas peļņas.</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6. Finanšu starpniekiem jāizvairās no interešu konfliktiem- gan no viņu pašu interešu un klientu vai citu personu, ar kurām viņiem ir darījumu attiecības, interešu konfliktiem, gan no divu pēdējo personu kategoriju interešu konfliktiem. Tomēr, ja šādi konflikti izceļas, viņi veic visus pasākumus, lai tieši vai netieši neiedzīvotos uz šīs situācijas rēķina un pasargātu savus klientus vai personas, ar kurām viņiem ir darījumu attiecības, no jebkāda kaitējuma.</w:t>
      </w:r>
    </w:p>
    <w:p>
      <w:pPr>
        <w:pStyle w:val="Normal"/>
        <w:bidi w:val="0"/>
        <w:rPr>
          <w:rFonts w:ascii="Times New Roman" w:hAnsi="Times New Roman"/>
          <w:color w:val="000000"/>
          <w:lang w:val="lv-LV"/>
        </w:rPr>
      </w:pPr>
      <w:r>
        <w:rPr>
          <w:color w:val="000000"/>
          <w:lang w:val="lv-LV"/>
        </w:rPr>
      </w:r>
    </w:p>
    <w:p>
      <w:pPr>
        <w:pStyle w:val="Normal"/>
        <w:bidi w:val="0"/>
        <w:rPr>
          <w:rFonts w:ascii="Times New Roman" w:hAnsi="Times New Roman"/>
          <w:color w:val="000000"/>
          <w:lang w:val="lv-LV"/>
        </w:rPr>
      </w:pPr>
      <w:r>
        <w:rPr>
          <w:color w:val="000000"/>
          <w:lang w:val="lv-LV"/>
        </w:rPr>
      </w:r>
    </w:p>
    <w:p>
      <w:pPr>
        <w:pStyle w:val="Heading2"/>
        <w:numPr>
          <w:ilvl w:val="0"/>
          <w:numId w:val="0"/>
        </w:numPr>
        <w:bidi w:val="0"/>
        <w:outlineLvl w:val="1"/>
        <w:rPr/>
      </w:pPr>
      <w:r>
        <w:rPr>
          <w:caps/>
        </w:rPr>
        <w:t>Papildu principi</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1. Visām personām, kas regulāri veic darījumus vērtspapīru tirgos, ir pienākums sekmēt noguldītāju uzticību godīgam tirgum, ievērojot godīgas tirdzniecības un profesionālās ētikas visaugstākos standartus.</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2. Finanšu starpniekiem ir īpašs pienākums ievērot šā rīcības kodeksa galveno mērķi un pamatprincipus.</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Jo īpaši viņiem nevajadzētu sadarboties ar personām, kas pārkāpj noteikumus un principus, kuri minēti pamatprincipa otrajā daļā, un nevajadzētu iesaistīties manipulācijās, kas varētu traucēt pareizu tirgus darbību.</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3. Neviens nedrīkst mudināt citu personu, neatkarīgi no tā, vai tā ir vai nav starpnieks, pārkāpt noteikumus un principus, kas minēti 1. pamatprincipa otrajā daļā, ne arī ietekmēt to, lai:</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1) iegūtu informāciju, kas nav publiski pieejama un ko nevar izpaust, nepārkāpjot noteikumus attiecībā uz šādu informāciju, vai</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2) panāktu negodīga vai nepareiza darījuma veikšanu.</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4. Finanšu starpnieki meklē un saviem klientiem iesaka labākos nosacījumus tiem uzticēto uzdevumu izpildei, reizē ievērojot kodeksa galveno mērķi un pamatprincipus.</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Viņi izpilda saņemtos uzdevumus organizētā tirgū, ja vien principāls nav devis noteiktus norādījumus rīkoties pretēji. Ja darījuma apstākļu vai vērtspapīru veida dēļ ir grūti vai pat neiespējami izpildīt uzdevumus organizētā tirgū, finanšu starpnieki tomēr var darboties kā savu klientu darījumu otra puse vai kompensēt uzdevumus ārpus tirgus, ja vien viņi nodrošina to, ka netiek kaitēts klientu interesēm, un var atbildēt uz visām kompetento iestāžu prasībām pamatot šādi veikto darījumu skaitu un nosacījumus.</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5. Finanšu starpnieki atturas pārdevumu vai pirkumu veicināt tikai tādēļ, lai saņemtu komisijas maksu.</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6. Finanšu starpnieki neizpauž savu principālu personu, izņemot gadījumus, kad to prasa valsts tiesību akti vai kontroles iestādes (un arī kad tiek izmeklēti kriminālpārkāpumi un noziegumi).</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7. Maldināšanas mēģinājumi vai manipulācijas, ko persona atsevišķi vai saziņā ar citiem izdara nolūkā iespaidot vai kas iespaido vērtspapīru cenu celšanos vai krišanos, ir pretrunā šā kodeksa galvenajam mērķim.</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Maldināt nozīmē publicēt vai izpaust nepareizu, pārspīlētu vai tendenciozu informāciju un arī izmantot citus līdzekļus, lai izjauktu tirgus parasto darbību.</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Finanšu starpnieki un sabiedrību, kuru vērtspapīrus tirgo vērtspapīru tirgos, uzraudzības padomes, pārvaldes vai vadības locekļi, kuri atklāj šādu mēģinājumu vai manipulāciju, cenšas veikt vajadzīgos pasākumus, lai izjauktu to. Par to tie tūlīt informē kompetentās iestādes un attiecīgās sabiedrības.</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8. Finanšu starpniekiem būtu jācenšas slēpt pat savas organizācijas dažādiem departamentiem vai dienestiem informāciju, ko tie iegūst, veicot savus pienākumus, un kas vēl nav publiski pieejama un varētu atsaukties uz vērtspapīru cenu.</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Konkrēti, finanšu starpnieki neizmanto šādu informāciju darījumos, ko vērtspapīru tirgos viņi veic uz sava rēķina, ne arī darījumos, kurus viņi iesaka saviem klientiem vai veic uz viņu rēķina.</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9. Visas personas, kuru rīcībā, veicot darbu vai pildot pienākumus, nonāk informācija, kas nav publiski pieejama un kas attiecas uz kādu sabiedrību vai tās vērtspapīru tirgu vai kādiem notikumiem, kas ir vispārsvarīgi attiecīgajam tirgum, kura var atsaukties uz vērtspapīra cenu, atturas veikt jebkādu darījumu, kurā izmantota šāda informācija, un atturas sniegt attiecīgo informāciju citai personai tā, ka tā var, izmantojot šo informāciju, gūt peļņu, pirms informācija kļūst publiski pieejama.</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10. Vērtspapīru tirgiem ir jābūt pietiekami atvērtiem, lai novērstu to nošķirtību, sakarā ar ko vienu un to pašu vērtspapīru var tirgot reizē dažādos tirgos par dažādu cenu.</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11. Kad vērtspapīru tirgo tirgū, sabiedrībai būtu jābūt informētai ne tikai par atšķirīgajām cenām, kurās veic darījumus, bet arī par darījumu apjomu, ja vien tirgus organizācija nenodrošina to, ka plaša sabiedrība var novērtēt sava ieguldījuma likviditāti, izmantojot citus līdzekļus.</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12. Visām sabiedrībām, kuru vērtspapīrus tirgo tirgū, ir regulāri, vismaz reizi sešos mēnešos, jāpublicē skaidra, precīza, pilnīga un atjaunināta informācija par saimniecisko darbību, rezultātiem un finanšu stāvokli. Visi fakti vai svarīgi lēmumi, kas var būtiski iespaidot vērtspapīru cenu, arī tūlīt jānodod atklātībai.</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13. Ja kādu faktu vai svarīgu lēmumu, kas minēts iepriekšējā noteikumā, nevar darīt publiski pieejamu tūlīt, piemēram, dažu neizpildītu formalitāšu dēļ vai tādēļ, ka tas būtiski kaitētu sabiedrībai, bet sabiedrība tomēr uzskata, ka pastāv informācijas noplūdes risks, par stāvokli sabiedrībai būtu jāziņo kompetentajām iestādēm.    Pēdējās veic vajadzīgos pasākumus, lai saglabātu pareizu tirgus darbību, līdz attiecīgo faktu vai lēmumu var publiskot. Jo īpaši, ja nav iespējas rīkoties citādi, tās var pārtraukt darījumus uz vajadzīgo laiku.</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14. Ir vēlams pirms vērtspapīru publiskās emisijas publicēt prospektu. Tas, ka prospekts ir, un vieta vai vietas, kur to var saņemt, jānorāda jebkurā paziņojumā par šādu emisiju.</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15. Nevienam ieguldītājam vai ieguldītāju grupai attiecībā uz informāciju nevar radīt labvēlīgākus apstākļus salīdzinājumā ar citiem ieguldītājiem vai plašu sabiedrību. Visiem ieguldītājiem ir brīva pieeja informācijai.</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16. Katru reizi, kad emitē vienas kategorijas vērtspapīrus, ko tirgo vai kurus var tirgo vairākos tirgos reizē, emitents mēģina neradīt izdevīgākus apstākļus vienam no tirgiem.</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17. Darījumus, ar kuriem nodod tādu kapitāldaļu skaitu, kas piešķir kontroli 3. pamatprincipa nozīmē, nedrīkst veikt slepeni, neinformējot citus akcionārus un tirgus uzraudzības iestādes.</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Ir vēlams, lai visiem tās sabiedrības akcionāriem, kuras kontrole nodota citās rokās, tiktu piedāvāta iespēja ar vienādiem nosacījumiem atsavināt savus vērtspapīrus, ja vien viņi neizmanto alternatīvu aizsardzību, ko var uzskatīt par līdzvērtīgu.</w:t>
      </w:r>
    </w:p>
    <w:p>
      <w:pPr>
        <w:pStyle w:val="Normal"/>
        <w:bidi w:val="0"/>
        <w:rPr>
          <w:rFonts w:ascii="Times New Roman" w:hAnsi="Times New Roman"/>
          <w:color w:val="000000"/>
          <w:lang w:val="lv-LV"/>
        </w:rPr>
      </w:pPr>
      <w:r>
        <w:rPr>
          <w:color w:val="000000"/>
          <w:lang w:val="lv-LV"/>
        </w:rPr>
      </w:r>
    </w:p>
    <w:p>
      <w:pPr>
        <w:pStyle w:val="Normal"/>
        <w:bidi w:val="0"/>
        <w:rPr>
          <w:lang w:val="lv-LV"/>
        </w:rPr>
      </w:pPr>
      <w:r>
        <w:rPr>
          <w:color w:val="000000"/>
          <w:lang w:val="lv-LV"/>
        </w:rPr>
        <w:t>18. Ja, neinformējot plašu sabiedrību, atsevišķi vai saskaņoti pārņem vai mēģina tirgū pārņemt tādu kapitāldaļu skaitu, kas piešķir kontroli 3. pamatprincipa nozīmē, tad šāda rīcība ir pretrunā šā kodeksa mērķim.</w:t>
      </w:r>
    </w:p>
    <w:p>
      <w:pPr>
        <w:pStyle w:val="Normal"/>
        <w:bidi w:val="0"/>
        <w:rPr>
          <w:rFonts w:ascii="Times New Roman" w:hAnsi="Times New Roman"/>
          <w:color w:val="000000"/>
          <w:lang w:val="lv-LV"/>
        </w:rPr>
      </w:pPr>
      <w:r>
        <w:rPr>
          <w:color w:val="000000"/>
          <w:lang w:val="lv-LV"/>
        </w:rPr>
      </w:r>
    </w:p>
    <w:p>
      <w:pPr>
        <w:pStyle w:val="Normal"/>
        <w:bidi w:val="0"/>
        <w:rPr>
          <w:rFonts w:ascii="Times New Roman" w:hAnsi="Times New Roman"/>
          <w:color w:val="000000"/>
          <w:lang w:val="lv-LV"/>
        </w:rPr>
      </w:pPr>
      <w:r>
        <w:rPr>
          <w:color w:val="000000"/>
          <w:lang w:val="lv-LV"/>
        </w:rPr>
      </w:r>
    </w:p>
    <w:p>
      <w:pPr>
        <w:pStyle w:val="Normal"/>
        <w:bidi w:val="0"/>
        <w:rPr>
          <w:lang w:val="en-US"/>
        </w:rPr>
      </w:pPr>
      <w:r>
        <w:rPr>
          <w:i/>
          <w:color w:val="000000"/>
          <w:lang w:val="en-US"/>
        </w:rPr>
        <w:t>REGISTER :</w:t>
      </w:r>
      <w:r>
        <w:rPr>
          <w:i/>
          <w:color w:val="000000"/>
          <w:lang w:val="lv-LV"/>
        </w:rPr>
        <w:t xml:space="preserve"> 06202025</w:t>
      </w:r>
    </w:p>
    <w:p>
      <w:pPr>
        <w:pStyle w:val="Normal"/>
        <w:bidi w:val="0"/>
        <w:rPr>
          <w:lang w:val="en-US"/>
        </w:rPr>
      </w:pPr>
      <w:r>
        <w:rPr>
          <w:i/>
          <w:color w:val="000000"/>
          <w:lang w:val="en-US"/>
        </w:rPr>
        <w:t>DOCNUM :</w:t>
      </w:r>
      <w:r>
        <w:rPr>
          <w:i/>
          <w:color w:val="000000"/>
          <w:lang w:val="lv-LV"/>
        </w:rPr>
        <w:t xml:space="preserve"> </w:t>
      </w:r>
      <w:r>
        <w:rPr>
          <w:i/>
          <w:color w:val="000000"/>
          <w:lang w:val="en-US"/>
        </w:rPr>
        <w:t>377X0534</w:t>
      </w:r>
    </w:p>
    <w:p>
      <w:pPr>
        <w:pStyle w:val="Normal"/>
        <w:bidi w:val="0"/>
        <w:rPr>
          <w:lang w:val="en-US"/>
        </w:rPr>
      </w:pPr>
      <w:r>
        <w:rPr>
          <w:i/>
          <w:color w:val="000000"/>
          <w:lang w:val="en-US"/>
        </w:rPr>
        <w:t>PUBREF :</w:t>
      </w:r>
      <w:r>
        <w:rPr>
          <w:i/>
          <w:color w:val="000000"/>
          <w:lang w:val="lv-LV"/>
        </w:rPr>
        <w:t xml:space="preserve"> </w:t>
      </w:r>
      <w:r>
        <w:rPr>
          <w:i/>
          <w:color w:val="000000"/>
          <w:lang w:val="en-US"/>
        </w:rPr>
        <w:t xml:space="preserve">Official Journal L 212, 20/08/1977 p. 0037 – 0040 </w:t>
      </w:r>
    </w:p>
    <w:p>
      <w:pPr>
        <w:pStyle w:val="Normal"/>
        <w:bidi w:val="0"/>
        <w:rPr/>
      </w:pPr>
      <w:r>
        <w:rPr/>
      </w:r>
    </w:p>
    <w:sectPr>
      <w:headerReference w:type="default" r:id="rId2"/>
      <w:headerReference w:type="first" r:id="rId3"/>
      <w:footerReference w:type="default" r:id="rId4"/>
      <w:footerReference w:type="first" r:id="rId5"/>
      <w:type w:val="nextPage"/>
      <w:pgSz w:w="11906" w:h="16838"/>
      <w:pgMar w:left="1701" w:right="1134" w:gutter="0" w:header="567" w:top="1134" w:footer="567" w:bottom="1134"/>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Liberation Sans">
    <w:altName w:val="Arial"/>
    <w:charset w:val="01" w:characterSet="utf-8"/>
    <w:family w:val="swiss"/>
    <w:pitch w:val="variable"/>
  </w:font>
  <w:font w:name="Courier New">
    <w:charset w:val="01" w:characterSet="utf-8"/>
    <w:family w:val="roman"/>
    <w:pitch w:val="variable"/>
  </w:font>
  <w:font w:name="Symbol">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tabs>
        <w:tab w:val="clear" w:pos="4153"/>
        <w:tab w:val="clear" w:pos="8306"/>
        <w:tab w:val="left" w:pos="9072" w:leader="none"/>
      </w:tabs>
      <w:bidi w:val="0"/>
      <w:rPr/>
    </w:pPr>
    <w:r>
      <w:rPr>
        <w:rStyle w:val="Pagenumber"/>
        <w:sz w:val="18"/>
        <w:u w:val="single"/>
        <w:lang w:val="en-GB"/>
      </w:rPr>
      <w:tab/>
    </w:r>
  </w:p>
  <w:p>
    <w:pPr>
      <w:pStyle w:val="Header"/>
      <w:widowControl/>
      <w:tabs>
        <w:tab w:val="clear" w:pos="4153"/>
        <w:tab w:val="clear" w:pos="8306"/>
        <w:tab w:val="left" w:pos="9072" w:leader="none"/>
      </w:tabs>
      <w:bidi w:val="0"/>
      <w:rPr>
        <w:rStyle w:val="Pagenumber"/>
        <w:rFonts w:ascii="Times New Roman" w:hAnsi="Times New Roman"/>
        <w:sz w:val="18"/>
        <w:u w:val="single"/>
        <w:lang w:val="en-GB"/>
      </w:rPr>
    </w:pPr>
    <w:r>
      <w:rPr>
        <w:sz w:val="18"/>
        <w:u w:val="single"/>
        <w:lang w:val="en-GB"/>
      </w:rPr>
    </w:r>
  </w:p>
  <w:p>
    <w:pPr>
      <w:pStyle w:val="Footer"/>
      <w:widowControl/>
      <w:tabs>
        <w:tab w:val="clear" w:pos="4153"/>
        <w:tab w:val="clear" w:pos="8306"/>
        <w:tab w:val="center" w:pos="9072" w:leader="none"/>
        <w:tab w:val="right" w:pos="9356" w:leader="none"/>
      </w:tabs>
      <w:bidi w:val="0"/>
      <w:rPr>
        <w:lang w:val="lv-LV"/>
      </w:rPr>
    </w:pPr>
    <w:r>
      <w:rPr>
        <w:sz w:val="18"/>
        <w:lang w:val="lv-LV"/>
      </w:rPr>
      <w:t xml:space="preserve">Tulkojums </w:t>
    </w:r>
    <w:r>
      <w:rPr>
        <w:rFonts w:eastAsia="Symbol" w:cs="Symbol" w:ascii="Symbol" w:hAnsi="Symbol"/>
        <w:sz w:val="18"/>
        <w:lang w:val="lv-LV"/>
      </w:rPr>
      <w:t>Ó</w:t>
    </w:r>
    <w:r>
      <w:rPr>
        <w:rFonts w:ascii="Symbol" w:hAnsi="Symbol"/>
        <w:sz w:val="18"/>
        <w:lang w:val="lv-LV"/>
      </w:rPr>
      <w:t>Ó</w:t>
    </w:r>
    <w:r>
      <w:rPr>
        <w:sz w:val="18"/>
        <w:lang w:val="lv-LV"/>
      </w:rPr>
      <w:t xml:space="preserve"> Tulkošanas un terminoloģijas centrs, </w:t>
    </w:r>
    <w:r>
      <w:rPr>
        <w:sz w:val="18"/>
        <w:lang w:val="en-US"/>
      </w:rPr>
      <w:fldChar w:fldCharType="begin"/>
    </w:r>
    <w:r>
      <w:rPr>
        <w:sz w:val="18"/>
        <w:lang w:val="en-US"/>
      </w:rPr>
      <w:instrText xml:space="preserve"> DATE \@"yyyy" </w:instrText>
    </w:r>
    <w:r>
      <w:rPr>
        <w:sz w:val="18"/>
        <w:lang w:val="en-US"/>
      </w:rPr>
      <w:fldChar w:fldCharType="separate"/>
    </w:r>
    <w:r>
      <w:rPr>
        <w:sz w:val="18"/>
        <w:lang w:val="en-US"/>
      </w:rPr>
      <w:t>2022</w:t>
    </w:r>
    <w:r>
      <w:rPr>
        <w:sz w:val="18"/>
        <w:lang w:val="en-US"/>
      </w:rPr>
      <w:fldChar w:fldCharType="end"/>
    </w:r>
    <w:r>
      <w:rPr>
        <w:sz w:val="18"/>
        <w:lang w:val="lv-LV"/>
      </w:rPr>
      <w:tab/>
    </w:r>
    <w:r>
      <w:rPr>
        <w:rStyle w:val="Pagenumber"/>
        <w:lang w:val="en-US"/>
      </w:rPr>
      <w:fldChar w:fldCharType="begin"/>
    </w:r>
    <w:r>
      <w:rPr>
        <w:rStyle w:val="Pagenumber"/>
        <w:lang w:val="en-US"/>
      </w:rPr>
      <w:instrText xml:space="preserve"> PAGE </w:instrText>
    </w:r>
    <w:r>
      <w:rPr>
        <w:rStyle w:val="Pagenumber"/>
        <w:lang w:val="en-US"/>
      </w:rPr>
      <w:fldChar w:fldCharType="separate"/>
    </w:r>
    <w:r>
      <w:rPr>
        <w:rStyle w:val="Pagenumber"/>
        <w:lang w:val="en-US"/>
      </w:rPr>
      <w:t>9</w:t>
    </w:r>
    <w:r>
      <w:rPr>
        <w:rStyle w:val="Pagenumber"/>
        <w:lang w:val="en-US"/>
      </w:rPr>
      <w:fldChar w:fldCharType="end"/>
    </w:r>
  </w:p>
  <w:p>
    <w:pPr>
      <w:pStyle w:val="Header"/>
      <w:widowControl/>
      <w:tabs>
        <w:tab w:val="clear" w:pos="4153"/>
        <w:tab w:val="clear" w:pos="8306"/>
        <w:tab w:val="left" w:pos="9072" w:leader="none"/>
      </w:tabs>
      <w:bidi w:val="0"/>
      <w:rPr>
        <w:rStyle w:val="Pagenumber"/>
        <w:rFonts w:ascii="Times New Roman" w:hAnsi="Times New Roman"/>
        <w:sz w:val="18"/>
        <w:u w:val="single"/>
        <w:lang w:val="en-GB"/>
      </w:rPr>
    </w:pPr>
    <w:r>
      <w:rPr>
        <w:sz w:val="18"/>
        <w:u w:val="single"/>
        <w:lang w:val="en-GB"/>
      </w:rPr>
    </w:r>
    <w:r>
      <mc:AlternateContent>
        <mc:Choice Requires="wps">
          <w:drawing>
            <wp:anchor behindDoc="0" distT="0" distB="0" distL="114935" distR="114935" simplePos="0" locked="0" layoutInCell="0" allowOverlap="1" relativeHeight="9">
              <wp:simplePos x="0" y="0"/>
              <wp:positionH relativeFrom="page">
                <wp:posOffset>3836670</wp:posOffset>
              </wp:positionH>
              <wp:positionV relativeFrom="page">
                <wp:posOffset>10058400</wp:posOffset>
              </wp:positionV>
              <wp:extent cx="372110" cy="403860"/>
              <wp:effectExtent l="0" t="0" r="0" b="0"/>
              <wp:wrapTopAndBottom/>
              <wp:docPr id="1" name="Frame1"/>
              <a:graphic xmlns:a="http://schemas.openxmlformats.org/drawingml/2006/main">
                <a:graphicData uri="http://schemas.microsoft.com/office/word/2010/wordprocessingShape">
                  <wps:wsp>
                    <wps:cNvSpPr txBox="1"/>
                    <wps:spPr>
                      <a:xfrm>
                        <a:off x="0" y="0"/>
                        <a:ext cx="372110" cy="403860"/>
                      </a:xfrm>
                      <a:prstGeom prst="rect"/>
                      <a:solidFill>
                        <a:srgbClr val="FFFFFF">
                          <a:alpha val="0"/>
                        </a:srgbClr>
                      </a:solidFill>
                    </wps:spPr>
                    <wps:txbx>
                      <w:txbxContent>
                        <w:p>
                          <w:pPr>
                            <w:pStyle w:val="Footer"/>
                            <w:pBdr/>
                            <w:bidi w:val="0"/>
                            <w:jc w:val="center"/>
                            <w:rPr>
                              <w:rFonts w:ascii="Times New Roman" w:hAnsi="Times New Roman"/>
                              <w:sz w:val="18"/>
                            </w:rPr>
                          </w:pPr>
                          <w:r>
                            <w:rPr/>
                            <w:drawing>
                              <wp:inline distT="0" distB="0" distL="0" distR="0">
                                <wp:extent cx="371475" cy="403860"/>
                                <wp:effectExtent l="0" t="0" r="0" b="0"/>
                                <wp:docPr id="2"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title=""/>
                                        <pic:cNvPicPr>
                                          <a:picLocks noChangeAspect="1" noChangeArrowheads="1"/>
                                        </pic:cNvPicPr>
                                      </pic:nvPicPr>
                                      <pic:blipFill>
                                        <a:blip r:embed="rId1"/>
                                        <a:stretch>
                                          <a:fillRect/>
                                        </a:stretch>
                                      </pic:blipFill>
                                      <pic:spPr bwMode="auto">
                                        <a:xfrm>
                                          <a:off x="0" y="0"/>
                                          <a:ext cx="371475" cy="403860"/>
                                        </a:xfrm>
                                        <a:prstGeom prst="rect">
                                          <a:avLst/>
                                        </a:prstGeom>
                                      </pic:spPr>
                                    </pic:pic>
                                  </a:graphicData>
                                </a:graphic>
                              </wp:inline>
                            </w:drawing>
                          </w:r>
                        </w:p>
                      </w:txbxContent>
                    </wps:txbx>
                    <wps:bodyPr anchor="t" lIns="0" tIns="0" rIns="0" bIns="0">
                      <a:spAutoFit/>
                    </wps:bodyPr>
                  </wps:wsp>
                </a:graphicData>
              </a:graphic>
            </wp:anchor>
          </w:drawing>
        </mc:Choice>
        <mc:Fallback>
          <w:pict>
            <v:rect fillcolor="#FFFFFF" style="position:absolute;rotation:-0;width:29.3pt;height:31.8pt;mso-wrap-distance-left:9.05pt;mso-wrap-distance-right:9.05pt;mso-wrap-distance-top:0pt;mso-wrap-distance-bottom:0pt;margin-top:792pt;mso-position-vertical-relative:page;margin-left:302.1pt;mso-position-horizontal-relative:page">
              <v:fill opacity="0f"/>
              <v:textbox inset="0in,0in,0in,0in">
                <w:txbxContent>
                  <w:p>
                    <w:pPr>
                      <w:pStyle w:val="Footer"/>
                      <w:pBdr/>
                      <w:bidi w:val="0"/>
                      <w:jc w:val="center"/>
                      <w:rPr>
                        <w:rFonts w:ascii="Times New Roman" w:hAnsi="Times New Roman"/>
                        <w:sz w:val="18"/>
                      </w:rPr>
                    </w:pPr>
                    <w:r>
                      <w:rPr/>
                      <w:drawing>
                        <wp:inline distT="0" distB="0" distL="0" distR="0">
                          <wp:extent cx="371475" cy="403860"/>
                          <wp:effectExtent l="0" t="0" r="0" b="0"/>
                          <wp:docPr id="3"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title=""/>
                                  <pic:cNvPicPr>
                                    <a:picLocks noChangeAspect="1" noChangeArrowheads="1"/>
                                  </pic:cNvPicPr>
                                </pic:nvPicPr>
                                <pic:blipFill>
                                  <a:blip r:embed="rId2"/>
                                  <a:stretch>
                                    <a:fillRect/>
                                  </a:stretch>
                                </pic:blipFill>
                                <pic:spPr bwMode="auto">
                                  <a:xfrm>
                                    <a:off x="0" y="0"/>
                                    <a:ext cx="371475" cy="403860"/>
                                  </a:xfrm>
                                  <a:prstGeom prst="rect">
                                    <a:avLst/>
                                  </a:prstGeom>
                                </pic:spPr>
                              </pic:pic>
                            </a:graphicData>
                          </a:graphic>
                        </wp:inline>
                      </w:drawing>
                    </w:r>
                  </w:p>
                </w:txbxContent>
              </v:textbox>
              <w10:wrap type="topAndBottom"/>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tabs>
        <w:tab w:val="clear" w:pos="4153"/>
        <w:tab w:val="clear" w:pos="8306"/>
        <w:tab w:val="left" w:pos="9072" w:leader="none"/>
      </w:tabs>
      <w:bidi w:val="0"/>
      <w:rPr/>
    </w:pPr>
    <w:r>
      <w:rPr>
        <w:rStyle w:val="Pagenumber"/>
        <w:sz w:val="18"/>
        <w:u w:val="single"/>
        <w:lang w:val="en-GB"/>
      </w:rPr>
      <w:tab/>
    </w:r>
  </w:p>
  <w:p>
    <w:pPr>
      <w:pStyle w:val="Header"/>
      <w:widowControl/>
      <w:tabs>
        <w:tab w:val="clear" w:pos="4153"/>
        <w:tab w:val="clear" w:pos="8306"/>
        <w:tab w:val="left" w:pos="9072" w:leader="none"/>
      </w:tabs>
      <w:bidi w:val="0"/>
      <w:rPr>
        <w:rStyle w:val="Pagenumber"/>
        <w:rFonts w:ascii="Times New Roman" w:hAnsi="Times New Roman"/>
        <w:sz w:val="18"/>
        <w:u w:val="single"/>
        <w:lang w:val="en-GB"/>
      </w:rPr>
    </w:pPr>
    <w:r>
      <w:rPr>
        <w:sz w:val="18"/>
        <w:u w:val="single"/>
        <w:lang w:val="en-GB"/>
      </w:rPr>
    </w:r>
  </w:p>
  <w:p>
    <w:pPr>
      <w:pStyle w:val="Footer"/>
      <w:bidi w:val="0"/>
      <w:rPr>
        <w:lang w:val="lv-LV"/>
      </w:rPr>
    </w:pPr>
    <w:r>
      <w:rPr>
        <w:sz w:val="18"/>
        <w:lang w:val="lv-LV"/>
      </w:rPr>
      <w:t xml:space="preserve">Tulkojums </w:t>
    </w:r>
    <w:r>
      <w:rPr>
        <w:rFonts w:eastAsia="Symbol" w:cs="Symbol" w:ascii="Symbol" w:hAnsi="Symbol"/>
        <w:sz w:val="18"/>
        <w:lang w:val="lv-LV"/>
      </w:rPr>
      <w:t>Ó</w:t>
    </w:r>
    <w:r>
      <w:rPr>
        <w:rFonts w:ascii="Symbol" w:hAnsi="Symbol"/>
        <w:sz w:val="18"/>
        <w:lang w:val="lv-LV"/>
      </w:rPr>
      <w:t>Ó</w:t>
    </w:r>
    <w:r>
      <w:rPr>
        <w:sz w:val="18"/>
        <w:lang w:val="lv-LV"/>
      </w:rPr>
      <w:t xml:space="preserve"> Tulkošanas un terminoloģijas centrs, </w:t>
    </w:r>
    <w:r>
      <w:rPr>
        <w:sz w:val="18"/>
        <w:lang w:val="en-US"/>
      </w:rPr>
      <w:fldChar w:fldCharType="begin"/>
    </w:r>
    <w:r>
      <w:rPr>
        <w:sz w:val="18"/>
        <w:lang w:val="en-US"/>
      </w:rPr>
      <w:instrText xml:space="preserve"> DATE \@"yyyy" </w:instrText>
    </w:r>
    <w:r>
      <w:rPr>
        <w:sz w:val="18"/>
        <w:lang w:val="en-US"/>
      </w:rPr>
      <w:fldChar w:fldCharType="separate"/>
    </w:r>
    <w:r>
      <w:rPr>
        <w:sz w:val="18"/>
        <w:lang w:val="en-US"/>
      </w:rPr>
      <w:t>2022</w:t>
    </w:r>
    <w:r>
      <w:rPr>
        <w:sz w:val="18"/>
        <w:lang w:val="en-US"/>
      </w:rPr>
      <w:fldChar w:fldCharType="end"/>
    </w:r>
    <w:r>
      <mc:AlternateContent>
        <mc:Choice Requires="wps">
          <w:drawing>
            <wp:anchor behindDoc="0" distT="0" distB="0" distL="114935" distR="114935" simplePos="0" locked="0" layoutInCell="0" allowOverlap="1" relativeHeight="18">
              <wp:simplePos x="0" y="0"/>
              <wp:positionH relativeFrom="page">
                <wp:posOffset>3836670</wp:posOffset>
              </wp:positionH>
              <wp:positionV relativeFrom="page">
                <wp:posOffset>10058400</wp:posOffset>
              </wp:positionV>
              <wp:extent cx="372110" cy="403860"/>
              <wp:effectExtent l="0" t="0" r="0" b="0"/>
              <wp:wrapTopAndBottom/>
              <wp:docPr id="4" name="Frame2"/>
              <a:graphic xmlns:a="http://schemas.openxmlformats.org/drawingml/2006/main">
                <a:graphicData uri="http://schemas.microsoft.com/office/word/2010/wordprocessingShape">
                  <wps:wsp>
                    <wps:cNvSpPr txBox="1"/>
                    <wps:spPr>
                      <a:xfrm>
                        <a:off x="0" y="0"/>
                        <a:ext cx="372110" cy="403860"/>
                      </a:xfrm>
                      <a:prstGeom prst="rect"/>
                      <a:solidFill>
                        <a:srgbClr val="FFFFFF">
                          <a:alpha val="0"/>
                        </a:srgbClr>
                      </a:solidFill>
                    </wps:spPr>
                    <wps:txbx>
                      <w:txbxContent>
                        <w:p>
                          <w:pPr>
                            <w:pStyle w:val="Footer"/>
                            <w:pBdr/>
                            <w:bidi w:val="0"/>
                            <w:jc w:val="center"/>
                            <w:rPr>
                              <w:rFonts w:ascii="Times New Roman" w:hAnsi="Times New Roman"/>
                              <w:sz w:val="18"/>
                            </w:rPr>
                          </w:pPr>
                          <w:r>
                            <w:rPr/>
                            <w:drawing>
                              <wp:inline distT="0" distB="0" distL="0" distR="0">
                                <wp:extent cx="371475" cy="403860"/>
                                <wp:effectExtent l="0" t="0" r="0" b="0"/>
                                <wp:docPr id="5"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descr="" title=""/>
                                        <pic:cNvPicPr>
                                          <a:picLocks noChangeAspect="1" noChangeArrowheads="1"/>
                                        </pic:cNvPicPr>
                                      </pic:nvPicPr>
                                      <pic:blipFill>
                                        <a:blip r:embed="rId1"/>
                                        <a:stretch>
                                          <a:fillRect/>
                                        </a:stretch>
                                      </pic:blipFill>
                                      <pic:spPr bwMode="auto">
                                        <a:xfrm>
                                          <a:off x="0" y="0"/>
                                          <a:ext cx="371475" cy="403860"/>
                                        </a:xfrm>
                                        <a:prstGeom prst="rect">
                                          <a:avLst/>
                                        </a:prstGeom>
                                      </pic:spPr>
                                    </pic:pic>
                                  </a:graphicData>
                                </a:graphic>
                              </wp:inline>
                            </w:drawing>
                          </w:r>
                        </w:p>
                      </w:txbxContent>
                    </wps:txbx>
                    <wps:bodyPr anchor="t" lIns="0" tIns="0" rIns="0" bIns="0">
                      <a:spAutoFit/>
                    </wps:bodyPr>
                  </wps:wsp>
                </a:graphicData>
              </a:graphic>
            </wp:anchor>
          </w:drawing>
        </mc:Choice>
        <mc:Fallback>
          <w:pict>
            <v:rect fillcolor="#FFFFFF" style="position:absolute;rotation:-0;width:29.3pt;height:31.8pt;mso-wrap-distance-left:9.05pt;mso-wrap-distance-right:9.05pt;mso-wrap-distance-top:0pt;mso-wrap-distance-bottom:0pt;margin-top:792pt;mso-position-vertical-relative:page;margin-left:302.1pt;mso-position-horizontal-relative:page">
              <v:fill opacity="0f"/>
              <v:textbox inset="0in,0in,0in,0in">
                <w:txbxContent>
                  <w:p>
                    <w:pPr>
                      <w:pStyle w:val="Footer"/>
                      <w:pBdr/>
                      <w:bidi w:val="0"/>
                      <w:jc w:val="center"/>
                      <w:rPr>
                        <w:rFonts w:ascii="Times New Roman" w:hAnsi="Times New Roman"/>
                        <w:sz w:val="18"/>
                      </w:rPr>
                    </w:pPr>
                    <w:r>
                      <w:rPr/>
                      <w:drawing>
                        <wp:inline distT="0" distB="0" distL="0" distR="0">
                          <wp:extent cx="371475" cy="403860"/>
                          <wp:effectExtent l="0" t="0" r="0" b="0"/>
                          <wp:docPr id="6"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 descr="" title=""/>
                                  <pic:cNvPicPr>
                                    <a:picLocks noChangeAspect="1" noChangeArrowheads="1"/>
                                  </pic:cNvPicPr>
                                </pic:nvPicPr>
                                <pic:blipFill>
                                  <a:blip r:embed="rId2"/>
                                  <a:stretch>
                                    <a:fillRect/>
                                  </a:stretch>
                                </pic:blipFill>
                                <pic:spPr bwMode="auto">
                                  <a:xfrm>
                                    <a:off x="0" y="0"/>
                                    <a:ext cx="371475" cy="403860"/>
                                  </a:xfrm>
                                  <a:prstGeom prst="rect">
                                    <a:avLst/>
                                  </a:prstGeom>
                                </pic:spPr>
                              </pic:pic>
                            </a:graphicData>
                          </a:graphic>
                        </wp:inline>
                      </w:drawing>
                    </w:r>
                  </w:p>
                </w:txbxContent>
              </v:textbox>
              <w10:wrap type="topAndBottom"/>
            </v:rect>
          </w:pict>
        </mc:Fallback>
      </mc:AlternateContent>
    </w:r>
  </w:p>
  <w:p>
    <w:pPr>
      <w:pStyle w:val="Footer"/>
      <w:bidi w:val="0"/>
      <w:rPr>
        <w:rFonts w:ascii="Times New Roman" w:hAnsi="Times New Roman"/>
        <w:sz w:val="18"/>
        <w:lang w:val="lv-LV"/>
      </w:rPr>
    </w:pPr>
    <w:r>
      <w:rPr>
        <w:sz w:val="18"/>
        <w:lang w:val="lv-LV"/>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bidi w:val="0"/>
      <w:rPr>
        <w:rStyle w:val="Pagenumber"/>
        <w:rFonts w:ascii="Times New Roman" w:hAnsi="Times New Roman"/>
        <w:sz w:val="18"/>
        <w:u w:val="single"/>
        <w:lang w:val="en-GB"/>
      </w:rPr>
    </w:pPr>
    <w:r>
      <w:rPr>
        <w:sz w:val="18"/>
        <w:u w:val="single"/>
        <w:lang w:val="en-GB"/>
      </w:rPr>
    </w:r>
  </w:p>
  <w:p>
    <w:pPr>
      <w:pStyle w:val="Header"/>
      <w:widowControl/>
      <w:tabs>
        <w:tab w:val="clear" w:pos="4153"/>
        <w:tab w:val="clear" w:pos="8306"/>
        <w:tab w:val="left" w:pos="8222" w:leader="none"/>
      </w:tabs>
      <w:bidi w:val="0"/>
      <w:rPr/>
    </w:pPr>
    <w:r>
      <w:rPr>
        <w:rStyle w:val="Pagenumber"/>
        <w:sz w:val="18"/>
        <w:u w:val="single"/>
        <w:lang w:val="en-GB"/>
      </w:rPr>
      <w:tab/>
      <w:t>377X0534</w:t>
    </w:r>
  </w:p>
  <w:p>
    <w:pPr>
      <w:pStyle w:val="Header"/>
      <w:widowControl/>
      <w:bidi w:val="0"/>
      <w:rPr>
        <w:rStyle w:val="Pagenumber"/>
        <w:rFonts w:ascii="Times New Roman" w:hAnsi="Times New Roman"/>
        <w:sz w:val="18"/>
        <w:u w:val="single"/>
        <w:lang w:val="en-GB"/>
      </w:rPr>
    </w:pPr>
    <w:r>
      <w:rPr>
        <w:sz w:val="18"/>
        <w:u w:val="single"/>
        <w:lang w:val="en-GB"/>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bidi w:val="0"/>
      <w:rPr>
        <w:lang w:val="lv-LV"/>
      </w:rPr>
    </w:pPr>
    <w:r>
      <w:rPr>
        <w:spacing w:val="-2"/>
        <w:sz w:val="16"/>
        <w:lang w:val="lv-LV"/>
      </w:rPr>
      <w:t xml:space="preserve">Šis teksts ir Eiropas Kopienu normatīvā akta tulkojums latviešu valodā, kas veikts Tulkošanas un terminoloģijas centrā. Tulkojums nerada nekādas tiesības un neuzliek nekādas saistības. </w:t>
    </w:r>
    <w:r>
      <w:rPr>
        <w:spacing w:val="-2"/>
        <w:sz w:val="16"/>
        <w:u w:val="single"/>
        <w:lang w:val="lv-LV"/>
      </w:rPr>
      <w:t>Tulkojums izmantojams tikai informatīviem mērķiem</w:t>
    </w:r>
    <w:r>
      <w:rPr>
        <w:spacing w:val="-2"/>
        <w:sz w:val="16"/>
        <w:lang w:val="lv-LV"/>
      </w:rPr>
      <w:t xml:space="preserve">. Juridiski saistoši ir tikai Eiropas Kopienu normatīvie akti, kas publicēti Eiropas Kopienu oficiālajā vēstnesī (tā nosaukums angļu valodā - </w:t>
    </w:r>
    <w:r>
      <w:rPr>
        <w:i/>
        <w:spacing w:val="-2"/>
        <w:sz w:val="16"/>
        <w:lang w:val="lv-LV"/>
      </w:rPr>
      <w:t>Official Journal of the European Communities</w:t>
    </w:r>
    <w:r>
      <w:rPr>
        <w:spacing w:val="-2"/>
        <w:sz w:val="16"/>
        <w:lang w:val="lv-LV"/>
      </w:rPr>
      <w:t>) jebkurā no Eiropas Kopienu oficiālajām valodām. Tikai publikācijas Eiropas Kopienu oficiālajā vēstnesī ir uzskatāmas par autentiskām.</w:t>
    </w:r>
  </w:p>
  <w:p>
    <w:pPr>
      <w:pStyle w:val="Normal"/>
      <w:bidi w:val="0"/>
      <w:rPr>
        <w:lang w:val="lv-LV"/>
      </w:rPr>
    </w:pPr>
    <w:r>
      <w:rPr>
        <w:lang w:val="lv-LV"/>
      </w:rPr>
      <w:t>__________________________________________________________________________________</w:t>
    </w:r>
  </w:p>
</w:hdr>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SungtiL GB" w:cs="Noto Sans Devanagari"/>
        <w:kern w:val="2"/>
        <w:sz w:val="24"/>
        <w:szCs w:val="24"/>
        <w:lang w:val="en-US" w:eastAsia="zh-CN" w:bidi="hi-IN"/>
      </w:rPr>
    </w:rPrDefault>
    <w:pPrDefault>
      <w:pPr>
        <w:suppressAutoHyphens w:val="true"/>
      </w:pPr>
    </w:pPrDefault>
  </w:docDefaults>
  <w:style w:type="paragraph" w:styleId="Normal">
    <w:name w:val="Normal"/>
    <w:qFormat/>
    <w:pPr>
      <w:widowControl w:val="false"/>
      <w:bidi w:val="0"/>
      <w:jc w:val="both"/>
    </w:pPr>
    <w:rPr>
      <w:rFonts w:ascii="Times New Roman" w:hAnsi="Times New Roman" w:eastAsia="Symbol" w:cs="Times New Roman"/>
      <w:color w:val="auto"/>
      <w:kern w:val="2"/>
      <w:sz w:val="22"/>
      <w:szCs w:val="24"/>
      <w:lang w:val="en-GB" w:eastAsia="zh-CN" w:bidi="hi-IN"/>
    </w:rPr>
  </w:style>
  <w:style w:type="paragraph" w:styleId="Heading1">
    <w:name w:val="Heading 1"/>
    <w:basedOn w:val="Normal"/>
    <w:next w:val="Normal"/>
    <w:qFormat/>
    <w:pPr>
      <w:keepNext w:val="true"/>
      <w:spacing w:before="240" w:after="60"/>
      <w:jc w:val="center"/>
    </w:pPr>
    <w:rPr>
      <w:b/>
      <w:kern w:val="2"/>
    </w:rPr>
  </w:style>
  <w:style w:type="paragraph" w:styleId="Heading2">
    <w:name w:val="Heading 2"/>
    <w:basedOn w:val="Normal"/>
    <w:next w:val="Normal"/>
    <w:qFormat/>
    <w:pPr>
      <w:keepNext w:val="true"/>
    </w:pPr>
    <w:rPr>
      <w:i/>
      <w:lang w:val="en-US"/>
    </w:rPr>
  </w:style>
  <w:style w:type="paragraph" w:styleId="Heading3">
    <w:name w:val="Heading 3"/>
    <w:basedOn w:val="Normal"/>
    <w:next w:val="Normal"/>
    <w:qFormat/>
    <w:pPr>
      <w:keepNext w:val="true"/>
      <w:widowControl/>
      <w:spacing w:before="360" w:after="240"/>
      <w:jc w:val="center"/>
    </w:pPr>
    <w:rPr>
      <w:i/>
      <w:lang w:val="lv-LV"/>
    </w:rPr>
  </w:style>
  <w:style w:type="character" w:styleId="DefaultParagraphFont">
    <w:name w:val="Default Paragraph Font"/>
    <w:qFormat/>
    <w:rPr/>
  </w:style>
  <w:style w:type="character" w:styleId="Pagenumber">
    <w:name w:val="page number"/>
    <w:basedOn w:val="DefaultParagraphFont"/>
    <w:qFormat/>
    <w:rPr>
      <w:sz w:val="20"/>
    </w:rPr>
  </w:style>
  <w:style w:type="character" w:styleId="InternetLink">
    <w:name w:val="Hyperlink"/>
    <w:basedOn w:val="DefaultParagraphFont"/>
    <w:rPr>
      <w:color w:val="0000FF"/>
      <w:sz w:val="24"/>
      <w:u w:val="single"/>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AR PL SungtiL GB" w:cs="Noto Sans Devanagari"/>
      <w:sz w:val="28"/>
      <w:szCs w:val="28"/>
    </w:rPr>
  </w:style>
  <w:style w:type="paragraph" w:styleId="TextBody">
    <w:name w:val="Body Text"/>
    <w:basedOn w:val="Normal"/>
    <w:pPr>
      <w:spacing w:before="0" w:after="240"/>
      <w:jc w:val="center"/>
    </w:pPr>
    <w:rPr>
      <w:lang w:val="lv-LV"/>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HeaderandFooter">
    <w:name w:val="Header and Footer"/>
    <w:basedOn w:val="Normal"/>
    <w:qFormat/>
    <w:pPr/>
    <w:rPr/>
  </w:style>
  <w:style w:type="paragraph" w:styleId="Header">
    <w:name w:val="Header"/>
    <w:basedOn w:val="Normal"/>
    <w:pPr>
      <w:tabs>
        <w:tab w:val="clear" w:pos="709"/>
        <w:tab w:val="center" w:pos="4153" w:leader="none"/>
        <w:tab w:val="right" w:pos="8306" w:leader="none"/>
      </w:tabs>
    </w:pPr>
    <w:rPr/>
  </w:style>
  <w:style w:type="paragraph" w:styleId="Footer">
    <w:name w:val="Footer"/>
    <w:basedOn w:val="Normal"/>
    <w:pPr>
      <w:tabs>
        <w:tab w:val="clear" w:pos="709"/>
        <w:tab w:val="center" w:pos="4153" w:leader="none"/>
        <w:tab w:val="right" w:pos="8306" w:leader="none"/>
      </w:tabs>
    </w:pPr>
    <w:rPr/>
  </w:style>
  <w:style w:type="paragraph" w:styleId="DefinitionTerm">
    <w:name w:val="Definition Term"/>
    <w:qFormat/>
    <w:pPr>
      <w:widowControl w:val="false"/>
      <w:bidi w:val="0"/>
    </w:pPr>
    <w:rPr>
      <w:rFonts w:ascii="Times New Roman" w:hAnsi="Times New Roman" w:eastAsia="Symbol" w:cs="Times New Roman"/>
      <w:color w:val="auto"/>
      <w:kern w:val="2"/>
      <w:sz w:val="24"/>
      <w:szCs w:val="24"/>
      <w:lang w:val="lv-LV" w:eastAsia="zh-CN" w:bidi="hi-IN"/>
    </w:rPr>
  </w:style>
  <w:style w:type="paragraph" w:styleId="DefinitionList">
    <w:name w:val="Definition List"/>
    <w:qFormat/>
    <w:pPr>
      <w:widowControl w:val="false"/>
      <w:bidi w:val="0"/>
      <w:ind w:start="360" w:hanging="0"/>
    </w:pPr>
    <w:rPr>
      <w:rFonts w:ascii="Times New Roman" w:hAnsi="Times New Roman" w:eastAsia="Symbol" w:cs="Times New Roman"/>
      <w:color w:val="auto"/>
      <w:kern w:val="2"/>
      <w:sz w:val="24"/>
      <w:szCs w:val="24"/>
      <w:lang w:val="lv-LV" w:eastAsia="zh-CN" w:bidi="hi-IN"/>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png"/>
</Relationships>
</file>

<file path=word/_rels/foot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0</TotalTime>
  <Application>LibreOffice/7.3.5.2$Linux_X86_64 LibreOffice_project/30$Build-2</Application>
  <AppVersion>15.0000</AppVersion>
  <Pages>99</Pages>
  <Words>3386</Words>
  <Characters>23705</Characters>
  <CharactersWithSpaces>19303</CharactersWithSpaces>
  <Company>T&amp;TC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2000-06-30T13:01:00Z</dcterms:created>
  <dc:creator>Agris</dc:creator>
  <dc:description/>
  <dc:language>en-US</dc:language>
  <cp:lastModifiedBy/>
  <cp:lastPrinted>2000-01-10T11:56:00Z</cp:lastPrinted>
  <dcterms:modified xsi:type="dcterms:W3CDTF">2000-06-30T13:01:00Z</dcterms:modified>
  <cp:revision>2</cp:revision>
  <dc:subject/>
  <dc:title>Padomes 1968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Agris</vt:lpwstr>
  </property>
</Properties>
</file>