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Reatabula"/>
        <w:tblpPr w:leftFromText="180" w:rightFromText="180" w:vertAnchor="text" w:horzAnchor="margin" w:tblpY="6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510"/>
        <w:gridCol w:w="2905"/>
        <w:gridCol w:w="3716"/>
      </w:tblGrid>
      <w:tr w:rsidR="009E55DD" w:rsidTr="007E06AA">
        <w:tc>
          <w:tcPr>
            <w:tcW w:w="1374" w:type="pct"/>
          </w:tcPr>
          <w:p w:rsidR="009E55DD" w:rsidRDefault="009E55DD" w:rsidP="009E55DD">
            <w:pPr>
              <w:jc w:val="both"/>
              <w:rPr>
                <w:rFonts w:ascii="Times New Roman" w:eastAsia="Times New Roman" w:hAnsi="Times New Roman" w:cs="Times New Roman"/>
                <w:noProof/>
                <w:sz w:val="24"/>
                <w:szCs w:val="24"/>
              </w:rPr>
            </w:pPr>
          </w:p>
        </w:tc>
        <w:tc>
          <w:tcPr>
            <w:tcW w:w="1591" w:type="pct"/>
          </w:tcPr>
          <w:p w:rsidR="009E55DD" w:rsidRDefault="009E55DD" w:rsidP="009E55DD">
            <w:pPr>
              <w:jc w:val="both"/>
              <w:rPr>
                <w:rFonts w:ascii="Times New Roman" w:eastAsia="Times New Roman" w:hAnsi="Times New Roman" w:cs="Times New Roman"/>
                <w:noProof/>
                <w:sz w:val="24"/>
                <w:szCs w:val="24"/>
              </w:rPr>
            </w:pPr>
          </w:p>
        </w:tc>
        <w:tc>
          <w:tcPr>
            <w:tcW w:w="2035" w:type="pct"/>
          </w:tcPr>
          <w:p w:rsidR="009E55DD" w:rsidRPr="009E55DD" w:rsidRDefault="009E55DD" w:rsidP="009E55DD">
            <w:pPr>
              <w:jc w:val="both"/>
              <w:rPr>
                <w:rFonts w:ascii="Times New Roman" w:hAnsi="Times New Roman"/>
                <w:noProof/>
                <w:sz w:val="24"/>
              </w:rPr>
            </w:pPr>
            <w:r>
              <w:rPr>
                <w:rFonts w:ascii="Times New Roman" w:hAnsi="Times New Roman"/>
                <w:noProof/>
                <w:sz w:val="24"/>
              </w:rPr>
              <w:drawing>
                <wp:inline distT="0" distB="0" distL="0" distR="0" wp14:anchorId="509CD764" wp14:editId="2BFFFA9C">
                  <wp:extent cx="165100" cy="114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5100" cy="114300"/>
                          </a:xfrm>
                          <a:prstGeom prst="rect">
                            <a:avLst/>
                          </a:prstGeom>
                          <a:noFill/>
                          <a:ln>
                            <a:noFill/>
                          </a:ln>
                        </pic:spPr>
                      </pic:pic>
                    </a:graphicData>
                  </a:graphic>
                </wp:inline>
              </w:drawing>
            </w:r>
            <w:r>
              <w:rPr>
                <w:rFonts w:ascii="Times New Roman" w:hAnsi="Times New Roman"/>
                <w:noProof/>
                <w:sz w:val="20"/>
              </w:rPr>
              <w:t>Nr. Ares(2016)2035164 - 28/04/2016</w:t>
            </w:r>
          </w:p>
        </w:tc>
      </w:tr>
      <w:tr w:rsidR="009E55DD" w:rsidTr="007E06AA">
        <w:tc>
          <w:tcPr>
            <w:tcW w:w="1374" w:type="pct"/>
          </w:tcPr>
          <w:p w:rsidR="009E55DD" w:rsidRDefault="009E55DD" w:rsidP="009E55DD">
            <w:pPr>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163E0000" wp14:editId="6392C4DB">
                  <wp:extent cx="1366520" cy="673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66520" cy="673100"/>
                          </a:xfrm>
                          <a:prstGeom prst="rect">
                            <a:avLst/>
                          </a:prstGeom>
                          <a:noFill/>
                          <a:ln>
                            <a:noFill/>
                          </a:ln>
                        </pic:spPr>
                      </pic:pic>
                    </a:graphicData>
                  </a:graphic>
                </wp:inline>
              </w:drawing>
            </w:r>
          </w:p>
        </w:tc>
        <w:tc>
          <w:tcPr>
            <w:tcW w:w="1591" w:type="pct"/>
          </w:tcPr>
          <w:p w:rsidR="009E55DD" w:rsidRPr="007E06AA" w:rsidRDefault="009E55DD" w:rsidP="009E55DD">
            <w:pPr>
              <w:pStyle w:val="Pamatteksts"/>
              <w:ind w:left="0"/>
              <w:jc w:val="both"/>
              <w:rPr>
                <w:noProof/>
                <w:sz w:val="16"/>
              </w:rPr>
            </w:pPr>
            <w:r w:rsidRPr="007E06AA">
              <w:rPr>
                <w:noProof/>
                <w:sz w:val="16"/>
              </w:rPr>
              <w:t>EIROPAS KOMISIJA</w:t>
            </w:r>
          </w:p>
          <w:p w:rsidR="009E55DD" w:rsidRPr="007E06AA" w:rsidRDefault="009E55DD" w:rsidP="009E55DD">
            <w:pPr>
              <w:jc w:val="both"/>
              <w:rPr>
                <w:rFonts w:ascii="Times New Roman" w:hAnsi="Times New Roman"/>
                <w:noProof/>
                <w:sz w:val="16"/>
              </w:rPr>
            </w:pPr>
            <w:r w:rsidRPr="007E06AA">
              <w:rPr>
                <w:rFonts w:ascii="Times New Roman" w:hAnsi="Times New Roman"/>
                <w:noProof/>
                <w:sz w:val="16"/>
              </w:rPr>
              <w:t>NODOKĻU POLITIKAS UN MUITAS SAVIENĪBAS ĢENERĀLDIREKTORĀTS</w:t>
            </w:r>
          </w:p>
          <w:p w:rsidR="009E55DD" w:rsidRPr="007E06AA" w:rsidRDefault="009E55DD" w:rsidP="009E55DD">
            <w:pPr>
              <w:jc w:val="both"/>
              <w:rPr>
                <w:rFonts w:ascii="Times New Roman" w:hAnsi="Times New Roman"/>
                <w:noProof/>
                <w:sz w:val="16"/>
              </w:rPr>
            </w:pPr>
            <w:r w:rsidRPr="007E06AA">
              <w:rPr>
                <w:rFonts w:ascii="Times New Roman" w:hAnsi="Times New Roman"/>
                <w:noProof/>
                <w:sz w:val="16"/>
              </w:rPr>
              <w:t>Muitas politika, tiesību akti, tarifi</w:t>
            </w:r>
          </w:p>
          <w:p w:rsidR="009E55DD" w:rsidRPr="009E55DD" w:rsidRDefault="009E55DD" w:rsidP="009E55DD">
            <w:pPr>
              <w:jc w:val="both"/>
              <w:rPr>
                <w:rFonts w:ascii="Times New Roman" w:hAnsi="Times New Roman"/>
                <w:b/>
                <w:noProof/>
                <w:sz w:val="20"/>
              </w:rPr>
            </w:pPr>
            <w:r w:rsidRPr="007E06AA">
              <w:rPr>
                <w:rFonts w:ascii="Times New Roman" w:hAnsi="Times New Roman"/>
                <w:b/>
                <w:noProof/>
                <w:sz w:val="16"/>
              </w:rPr>
              <w:t>Muitas tiesību akti</w:t>
            </w:r>
          </w:p>
        </w:tc>
        <w:tc>
          <w:tcPr>
            <w:tcW w:w="2035" w:type="pct"/>
          </w:tcPr>
          <w:p w:rsidR="009E55DD" w:rsidRDefault="009E55DD" w:rsidP="009E55DD">
            <w:pPr>
              <w:jc w:val="both"/>
              <w:rPr>
                <w:rFonts w:ascii="Times New Roman" w:eastAsia="Times New Roman" w:hAnsi="Times New Roman" w:cs="Times New Roman"/>
                <w:noProof/>
                <w:sz w:val="24"/>
                <w:szCs w:val="24"/>
              </w:rPr>
            </w:pPr>
          </w:p>
        </w:tc>
      </w:tr>
    </w:tbl>
    <w:p w:rsidR="003E628F" w:rsidRDefault="003E628F" w:rsidP="003E628F">
      <w:pPr>
        <w:jc w:val="both"/>
        <w:rPr>
          <w:rFonts w:ascii="Times New Roman" w:eastAsia="Times New Roman" w:hAnsi="Times New Roman" w:cs="Times New Roman"/>
          <w:noProof/>
          <w:sz w:val="24"/>
          <w:szCs w:val="24"/>
        </w:rPr>
      </w:pPr>
    </w:p>
    <w:p w:rsidR="009E55DD" w:rsidRDefault="009E55DD" w:rsidP="009E55DD">
      <w:pPr>
        <w:jc w:val="right"/>
        <w:rPr>
          <w:rFonts w:ascii="Times New Roman" w:hAnsi="Times New Roman"/>
          <w:noProof/>
          <w:sz w:val="24"/>
        </w:rPr>
      </w:pPr>
      <w:r>
        <w:rPr>
          <w:rFonts w:ascii="Times New Roman" w:hAnsi="Times New Roman"/>
          <w:noProof/>
          <w:sz w:val="24"/>
        </w:rPr>
        <w:t>Briselē</w:t>
      </w:r>
    </w:p>
    <w:p w:rsidR="00211065" w:rsidRPr="003E628F" w:rsidRDefault="00211065" w:rsidP="009E55DD">
      <w:pPr>
        <w:jc w:val="right"/>
        <w:rPr>
          <w:rFonts w:ascii="Times New Roman" w:hAnsi="Times New Roman"/>
          <w:noProof/>
          <w:sz w:val="24"/>
        </w:rPr>
      </w:pPr>
      <w:r>
        <w:rPr>
          <w:rFonts w:ascii="Times New Roman" w:hAnsi="Times New Roman"/>
          <w:noProof/>
          <w:sz w:val="24"/>
        </w:rPr>
        <w:t>Taxud/A2/31/03/2016</w:t>
      </w:r>
    </w:p>
    <w:p w:rsidR="00211065" w:rsidRDefault="00211065" w:rsidP="003E628F">
      <w:pPr>
        <w:jc w:val="both"/>
        <w:rPr>
          <w:rFonts w:ascii="Times New Roman" w:eastAsia="Times New Roman" w:hAnsi="Times New Roman" w:cs="Times New Roman"/>
          <w:noProof/>
          <w:sz w:val="24"/>
          <w:szCs w:val="19"/>
        </w:rPr>
      </w:pPr>
    </w:p>
    <w:p w:rsidR="00B50E46" w:rsidRDefault="00B50E46" w:rsidP="003E628F">
      <w:pPr>
        <w:jc w:val="both"/>
        <w:rPr>
          <w:rFonts w:ascii="Times New Roman" w:eastAsia="Times New Roman" w:hAnsi="Times New Roman" w:cs="Times New Roman"/>
          <w:noProof/>
          <w:sz w:val="24"/>
          <w:szCs w:val="19"/>
        </w:rPr>
      </w:pPr>
    </w:p>
    <w:p w:rsidR="00B50E46" w:rsidRPr="003E628F" w:rsidRDefault="00B50E46" w:rsidP="003E628F">
      <w:pPr>
        <w:jc w:val="both"/>
        <w:rPr>
          <w:rFonts w:ascii="Times New Roman" w:eastAsia="Times New Roman" w:hAnsi="Times New Roman" w:cs="Times New Roman"/>
          <w:noProof/>
          <w:sz w:val="24"/>
          <w:szCs w:val="19"/>
        </w:rPr>
      </w:pPr>
    </w:p>
    <w:p w:rsidR="00211065" w:rsidRPr="00B50E46" w:rsidRDefault="00211065" w:rsidP="009E55DD">
      <w:pPr>
        <w:jc w:val="center"/>
        <w:rPr>
          <w:rFonts w:ascii="Times New Roman" w:hAnsi="Times New Roman"/>
          <w:b/>
          <w:noProof/>
          <w:sz w:val="28"/>
        </w:rPr>
      </w:pPr>
      <w:r w:rsidRPr="00B50E46">
        <w:rPr>
          <w:rFonts w:ascii="Times New Roman" w:hAnsi="Times New Roman"/>
          <w:b/>
          <w:noProof/>
          <w:sz w:val="28"/>
        </w:rPr>
        <w:t>TAXUD</w:t>
      </w:r>
    </w:p>
    <w:p w:rsidR="00211065" w:rsidRPr="00B50E46" w:rsidRDefault="00211065" w:rsidP="009E55DD">
      <w:pPr>
        <w:jc w:val="center"/>
        <w:rPr>
          <w:rFonts w:ascii="Times New Roman" w:hAnsi="Times New Roman"/>
          <w:noProof/>
          <w:sz w:val="28"/>
        </w:rPr>
      </w:pPr>
      <w:r w:rsidRPr="00B50E46">
        <w:rPr>
          <w:rFonts w:ascii="Times New Roman" w:hAnsi="Times New Roman"/>
          <w:noProof/>
          <w:sz w:val="28"/>
        </w:rPr>
        <w:t>Oriģināls EN</w:t>
      </w:r>
    </w:p>
    <w:p w:rsidR="00211065" w:rsidRDefault="00211065" w:rsidP="009E55DD">
      <w:pPr>
        <w:jc w:val="center"/>
        <w:rPr>
          <w:rFonts w:ascii="Times New Roman" w:eastAsia="Times New Roman" w:hAnsi="Times New Roman" w:cs="Times New Roman"/>
          <w:noProof/>
          <w:sz w:val="24"/>
          <w:szCs w:val="32"/>
        </w:rPr>
      </w:pPr>
    </w:p>
    <w:p w:rsidR="00B50E46" w:rsidRDefault="00B50E46" w:rsidP="009E55DD">
      <w:pPr>
        <w:jc w:val="center"/>
        <w:rPr>
          <w:rFonts w:ascii="Times New Roman" w:eastAsia="Times New Roman" w:hAnsi="Times New Roman" w:cs="Times New Roman"/>
          <w:noProof/>
          <w:sz w:val="24"/>
          <w:szCs w:val="32"/>
        </w:rPr>
      </w:pPr>
    </w:p>
    <w:p w:rsidR="00B50E46" w:rsidRPr="003E628F" w:rsidRDefault="00B50E46" w:rsidP="009E55DD">
      <w:pPr>
        <w:jc w:val="center"/>
        <w:rPr>
          <w:rFonts w:ascii="Times New Roman" w:eastAsia="Times New Roman" w:hAnsi="Times New Roman" w:cs="Times New Roman"/>
          <w:noProof/>
          <w:sz w:val="24"/>
          <w:szCs w:val="32"/>
        </w:rPr>
      </w:pPr>
    </w:p>
    <w:p w:rsidR="00211065" w:rsidRPr="00B50E46" w:rsidRDefault="00211065" w:rsidP="009E55DD">
      <w:pPr>
        <w:jc w:val="center"/>
        <w:rPr>
          <w:rFonts w:ascii="Times New Roman" w:eastAsia="Times New Roman" w:hAnsi="Times New Roman" w:cs="Times New Roman"/>
          <w:b/>
          <w:bCs/>
          <w:noProof/>
          <w:sz w:val="32"/>
          <w:szCs w:val="36"/>
        </w:rPr>
      </w:pPr>
      <w:r w:rsidRPr="00B50E46">
        <w:rPr>
          <w:rFonts w:ascii="Times New Roman" w:hAnsi="Times New Roman"/>
          <w:b/>
          <w:noProof/>
          <w:sz w:val="32"/>
        </w:rPr>
        <w:t>VIENKĀRŠOJUMI – SMK V sadaļa</w:t>
      </w:r>
    </w:p>
    <w:p w:rsidR="00211065" w:rsidRPr="00B50E46" w:rsidRDefault="00211065" w:rsidP="009E55DD">
      <w:pPr>
        <w:jc w:val="center"/>
        <w:rPr>
          <w:rFonts w:ascii="Times New Roman" w:eastAsia="Times New Roman" w:hAnsi="Times New Roman" w:cs="Times New Roman"/>
          <w:b/>
          <w:bCs/>
          <w:noProof/>
          <w:sz w:val="32"/>
          <w:szCs w:val="36"/>
        </w:rPr>
      </w:pPr>
      <w:r w:rsidRPr="00B50E46">
        <w:rPr>
          <w:rFonts w:ascii="Times New Roman" w:hAnsi="Times New Roman"/>
          <w:b/>
          <w:noProof/>
          <w:sz w:val="32"/>
        </w:rPr>
        <w:t>“Vadlīnijas</w:t>
      </w:r>
    </w:p>
    <w:p w:rsidR="00211065" w:rsidRPr="00B50E46" w:rsidRDefault="00211065" w:rsidP="009E55DD">
      <w:pPr>
        <w:jc w:val="center"/>
        <w:rPr>
          <w:rFonts w:ascii="Times New Roman" w:eastAsia="Times New Roman" w:hAnsi="Times New Roman" w:cs="Times New Roman"/>
          <w:b/>
          <w:bCs/>
          <w:noProof/>
          <w:sz w:val="32"/>
          <w:szCs w:val="36"/>
        </w:rPr>
      </w:pPr>
      <w:r w:rsidRPr="00B50E46">
        <w:rPr>
          <w:rFonts w:ascii="Times New Roman" w:hAnsi="Times New Roman"/>
          <w:b/>
          <w:noProof/>
          <w:sz w:val="32"/>
        </w:rPr>
        <w:t>dalībvalstīm un tirgotājiem”</w:t>
      </w:r>
    </w:p>
    <w:p w:rsidR="00211065" w:rsidRDefault="00211065" w:rsidP="003E628F">
      <w:pPr>
        <w:jc w:val="both"/>
        <w:rPr>
          <w:rFonts w:ascii="Times New Roman" w:eastAsia="Times New Roman" w:hAnsi="Times New Roman" w:cs="Times New Roman"/>
          <w:b/>
          <w:bCs/>
          <w:noProof/>
          <w:sz w:val="24"/>
          <w:szCs w:val="33"/>
        </w:rPr>
      </w:pPr>
    </w:p>
    <w:p w:rsidR="00B50E46" w:rsidRDefault="00B50E46" w:rsidP="003E628F">
      <w:pPr>
        <w:jc w:val="both"/>
        <w:rPr>
          <w:rFonts w:ascii="Times New Roman" w:eastAsia="Times New Roman" w:hAnsi="Times New Roman" w:cs="Times New Roman"/>
          <w:b/>
          <w:bCs/>
          <w:noProof/>
          <w:sz w:val="24"/>
          <w:szCs w:val="33"/>
        </w:rPr>
      </w:pPr>
    </w:p>
    <w:p w:rsidR="00B50E46" w:rsidRDefault="00B50E46" w:rsidP="003E628F">
      <w:pPr>
        <w:jc w:val="both"/>
        <w:rPr>
          <w:rFonts w:ascii="Times New Roman" w:eastAsia="Times New Roman" w:hAnsi="Times New Roman" w:cs="Times New Roman"/>
          <w:b/>
          <w:bCs/>
          <w:noProof/>
          <w:sz w:val="24"/>
          <w:szCs w:val="33"/>
        </w:rPr>
      </w:pPr>
    </w:p>
    <w:p w:rsidR="00B50E46" w:rsidRDefault="00B50E46" w:rsidP="003E628F">
      <w:pPr>
        <w:jc w:val="both"/>
        <w:rPr>
          <w:rFonts w:ascii="Times New Roman" w:eastAsia="Times New Roman" w:hAnsi="Times New Roman" w:cs="Times New Roman"/>
          <w:b/>
          <w:bCs/>
          <w:noProof/>
          <w:sz w:val="24"/>
          <w:szCs w:val="33"/>
        </w:rPr>
      </w:pPr>
    </w:p>
    <w:p w:rsidR="00B50E46" w:rsidRDefault="00B50E46" w:rsidP="003E628F">
      <w:pPr>
        <w:jc w:val="both"/>
        <w:rPr>
          <w:rFonts w:ascii="Times New Roman" w:eastAsia="Times New Roman" w:hAnsi="Times New Roman" w:cs="Times New Roman"/>
          <w:b/>
          <w:bCs/>
          <w:noProof/>
          <w:sz w:val="24"/>
          <w:szCs w:val="33"/>
        </w:rPr>
      </w:pPr>
    </w:p>
    <w:p w:rsidR="00B50E46" w:rsidRDefault="00B50E46" w:rsidP="003E628F">
      <w:pPr>
        <w:jc w:val="both"/>
        <w:rPr>
          <w:rFonts w:ascii="Times New Roman" w:eastAsia="Times New Roman" w:hAnsi="Times New Roman" w:cs="Times New Roman"/>
          <w:b/>
          <w:bCs/>
          <w:noProof/>
          <w:sz w:val="24"/>
          <w:szCs w:val="33"/>
        </w:rPr>
      </w:pPr>
    </w:p>
    <w:p w:rsidR="00B50E46" w:rsidRDefault="00B50E46" w:rsidP="003E628F">
      <w:pPr>
        <w:jc w:val="both"/>
        <w:rPr>
          <w:rFonts w:ascii="Times New Roman" w:eastAsia="Times New Roman" w:hAnsi="Times New Roman" w:cs="Times New Roman"/>
          <w:b/>
          <w:bCs/>
          <w:noProof/>
          <w:sz w:val="24"/>
          <w:szCs w:val="33"/>
        </w:rPr>
      </w:pPr>
    </w:p>
    <w:p w:rsidR="00B50E46" w:rsidRDefault="00B50E46" w:rsidP="003E628F">
      <w:pPr>
        <w:jc w:val="both"/>
        <w:rPr>
          <w:rFonts w:ascii="Times New Roman" w:eastAsia="Times New Roman" w:hAnsi="Times New Roman" w:cs="Times New Roman"/>
          <w:b/>
          <w:bCs/>
          <w:noProof/>
          <w:sz w:val="24"/>
          <w:szCs w:val="33"/>
        </w:rPr>
      </w:pPr>
    </w:p>
    <w:p w:rsidR="00B50E46" w:rsidRDefault="00B50E46" w:rsidP="003E628F">
      <w:pPr>
        <w:jc w:val="both"/>
        <w:rPr>
          <w:rFonts w:ascii="Times New Roman" w:eastAsia="Times New Roman" w:hAnsi="Times New Roman" w:cs="Times New Roman"/>
          <w:b/>
          <w:bCs/>
          <w:noProof/>
          <w:sz w:val="24"/>
          <w:szCs w:val="33"/>
        </w:rPr>
      </w:pPr>
    </w:p>
    <w:p w:rsidR="00B50E46" w:rsidRDefault="00B50E46" w:rsidP="003E628F">
      <w:pPr>
        <w:jc w:val="both"/>
        <w:rPr>
          <w:rFonts w:ascii="Times New Roman" w:eastAsia="Times New Roman" w:hAnsi="Times New Roman" w:cs="Times New Roman"/>
          <w:b/>
          <w:bCs/>
          <w:noProof/>
          <w:sz w:val="24"/>
          <w:szCs w:val="33"/>
        </w:rPr>
      </w:pPr>
    </w:p>
    <w:p w:rsidR="00B50E46" w:rsidRDefault="00B50E46" w:rsidP="003E628F">
      <w:pPr>
        <w:jc w:val="both"/>
        <w:rPr>
          <w:rFonts w:ascii="Times New Roman" w:eastAsia="Times New Roman" w:hAnsi="Times New Roman" w:cs="Times New Roman"/>
          <w:b/>
          <w:bCs/>
          <w:noProof/>
          <w:sz w:val="24"/>
          <w:szCs w:val="33"/>
        </w:rPr>
      </w:pPr>
    </w:p>
    <w:p w:rsidR="00B50E46" w:rsidRDefault="00B50E46" w:rsidP="003E628F">
      <w:pPr>
        <w:jc w:val="both"/>
        <w:rPr>
          <w:rFonts w:ascii="Times New Roman" w:eastAsia="Times New Roman" w:hAnsi="Times New Roman" w:cs="Times New Roman"/>
          <w:b/>
          <w:bCs/>
          <w:noProof/>
          <w:sz w:val="24"/>
          <w:szCs w:val="33"/>
        </w:rPr>
      </w:pPr>
    </w:p>
    <w:p w:rsidR="00B50E46" w:rsidRDefault="00B50E46" w:rsidP="003E628F">
      <w:pPr>
        <w:jc w:val="both"/>
        <w:rPr>
          <w:rFonts w:ascii="Times New Roman" w:eastAsia="Times New Roman" w:hAnsi="Times New Roman" w:cs="Times New Roman"/>
          <w:b/>
          <w:bCs/>
          <w:noProof/>
          <w:sz w:val="24"/>
          <w:szCs w:val="33"/>
        </w:rPr>
      </w:pPr>
    </w:p>
    <w:p w:rsidR="00B50E46" w:rsidRDefault="00B50E46" w:rsidP="003E628F">
      <w:pPr>
        <w:jc w:val="both"/>
        <w:rPr>
          <w:rFonts w:ascii="Times New Roman" w:eastAsia="Times New Roman" w:hAnsi="Times New Roman" w:cs="Times New Roman"/>
          <w:b/>
          <w:bCs/>
          <w:noProof/>
          <w:sz w:val="24"/>
          <w:szCs w:val="33"/>
        </w:rPr>
      </w:pPr>
    </w:p>
    <w:p w:rsidR="00B50E46" w:rsidRDefault="00B50E46" w:rsidP="003E628F">
      <w:pPr>
        <w:jc w:val="both"/>
        <w:rPr>
          <w:rFonts w:ascii="Times New Roman" w:eastAsia="Times New Roman" w:hAnsi="Times New Roman" w:cs="Times New Roman"/>
          <w:b/>
          <w:bCs/>
          <w:noProof/>
          <w:sz w:val="24"/>
          <w:szCs w:val="33"/>
        </w:rPr>
      </w:pPr>
    </w:p>
    <w:p w:rsidR="00B50E46" w:rsidRDefault="00B50E46" w:rsidP="003E628F">
      <w:pPr>
        <w:jc w:val="both"/>
        <w:rPr>
          <w:rFonts w:ascii="Times New Roman" w:eastAsia="Times New Roman" w:hAnsi="Times New Roman" w:cs="Times New Roman"/>
          <w:b/>
          <w:bCs/>
          <w:noProof/>
          <w:sz w:val="24"/>
          <w:szCs w:val="33"/>
        </w:rPr>
      </w:pPr>
    </w:p>
    <w:p w:rsidR="00B50E46" w:rsidRPr="003E628F" w:rsidRDefault="00B50E46" w:rsidP="003E628F">
      <w:pPr>
        <w:jc w:val="both"/>
        <w:rPr>
          <w:rFonts w:ascii="Times New Roman" w:eastAsia="Times New Roman" w:hAnsi="Times New Roman" w:cs="Times New Roman"/>
          <w:b/>
          <w:bCs/>
          <w:noProof/>
          <w:sz w:val="24"/>
          <w:szCs w:val="33"/>
        </w:rPr>
      </w:pPr>
    </w:p>
    <w:p w:rsidR="00211065" w:rsidRPr="003E628F" w:rsidRDefault="00211065" w:rsidP="003E628F">
      <w:pPr>
        <w:jc w:val="both"/>
        <w:rPr>
          <w:rFonts w:ascii="Times New Roman" w:hAnsi="Times New Roman"/>
          <w:noProof/>
          <w:sz w:val="24"/>
        </w:rPr>
      </w:pPr>
      <w:r>
        <w:rPr>
          <w:rFonts w:ascii="Times New Roman" w:hAnsi="Times New Roman"/>
          <w:noProof/>
          <w:sz w:val="24"/>
        </w:rPr>
        <w:t>Pēc Regulas (ES) Nr. 952/2013 stāšanās spēkā bija pilnīgi jāpārskata vadlīnijas attiecībā uz vienkāršoto procedūru / vienotu atļauju vienkāršoto procedūru piemērošanai. “Muita 2020” projekta grupa tika izveidota, lai sagatavotu jaunas vadlīnijas attiecībā uz vienkāršojumiem Savienības Muitas kodeksā un noteiktu labo praksi. Šā dokumenta saturs atspoguļo apspriežu ar dalībvalstīm un tirgotājiem iznākumu.</w:t>
      </w:r>
    </w:p>
    <w:p w:rsidR="00211065" w:rsidRPr="003E628F" w:rsidRDefault="00211065" w:rsidP="003E628F">
      <w:pPr>
        <w:jc w:val="both"/>
        <w:rPr>
          <w:rFonts w:ascii="Times New Roman" w:eastAsia="Times New Roman" w:hAnsi="Times New Roman" w:cs="Times New Roman"/>
          <w:noProof/>
          <w:sz w:val="24"/>
        </w:rPr>
      </w:pPr>
    </w:p>
    <w:p w:rsidR="00211065" w:rsidRPr="003E628F" w:rsidRDefault="00211065" w:rsidP="003E628F">
      <w:pPr>
        <w:jc w:val="both"/>
        <w:rPr>
          <w:rFonts w:ascii="Times New Roman" w:hAnsi="Times New Roman"/>
          <w:i/>
          <w:noProof/>
          <w:color w:val="FF0000"/>
          <w:sz w:val="24"/>
        </w:rPr>
      </w:pPr>
      <w:r>
        <w:rPr>
          <w:rFonts w:ascii="Times New Roman" w:hAnsi="Times New Roman"/>
          <w:noProof/>
          <w:color w:val="FF0000"/>
          <w:sz w:val="24"/>
        </w:rPr>
        <w:t xml:space="preserve">Atruna. </w:t>
      </w:r>
      <w:r>
        <w:rPr>
          <w:rFonts w:ascii="Times New Roman" w:hAnsi="Times New Roman"/>
          <w:i/>
          <w:noProof/>
          <w:color w:val="FF0000"/>
          <w:sz w:val="24"/>
        </w:rPr>
        <w:t>Jāņem vērā, ka šis dokuments nav juridiski saistošs un ka pēc būtības tas ir skaidrojošs dokuments. Muitas tiesību aktu normas prevalē pār šā dokumentu saturu, un vienmēr jāiepazīstas ar to, kas noteikts šajos tiesību aktos. ES tiesību aktu autentiskās redakcijas ir publicētas Eiropas Savienības Oficiālajā Vēstnesī. Papildus šim dokumentam var pastāvēt arī valsts instrukcijas un paskaidrojuma raksti.</w:t>
      </w:r>
    </w:p>
    <w:p w:rsidR="009E55DD" w:rsidRDefault="009E55DD">
      <w:pPr>
        <w:rPr>
          <w:rFonts w:ascii="Times New Roman" w:hAnsi="Times New Roman" w:cs="Times New Roman"/>
          <w:b/>
          <w:noProof/>
          <w:sz w:val="24"/>
        </w:rPr>
      </w:pPr>
      <w:r>
        <w:br w:type="page"/>
      </w:r>
    </w:p>
    <w:p w:rsidR="00211065" w:rsidRPr="003E628F" w:rsidRDefault="00211065" w:rsidP="00B50E46">
      <w:pPr>
        <w:pStyle w:val="Virsraksts1"/>
        <w:rPr>
          <w:rFonts w:cs="Times New Roman"/>
          <w:noProof/>
        </w:rPr>
      </w:pPr>
      <w:bookmarkStart w:id="0" w:name="_Toc490734223"/>
      <w:r>
        <w:rPr>
          <w:noProof/>
        </w:rPr>
        <w:lastRenderedPageBreak/>
        <w:t>SAĪSINĀJUMI</w:t>
      </w:r>
      <w:bookmarkStart w:id="1" w:name="_bookmark0"/>
      <w:bookmarkEnd w:id="1"/>
      <w:bookmarkEnd w:id="0"/>
    </w:p>
    <w:p w:rsidR="00211065" w:rsidRPr="003E628F" w:rsidRDefault="00211065" w:rsidP="003E628F">
      <w:pPr>
        <w:jc w:val="both"/>
        <w:rPr>
          <w:rFonts w:ascii="Times New Roman" w:eastAsia="Times New Roman" w:hAnsi="Times New Roman" w:cs="Times New Roman"/>
          <w:b/>
          <w:bCs/>
          <w:noProof/>
          <w:sz w:val="24"/>
          <w:szCs w:val="37"/>
        </w:rPr>
      </w:pPr>
    </w:p>
    <w:p w:rsidR="00211065" w:rsidRPr="003E628F" w:rsidRDefault="00211065" w:rsidP="003E628F">
      <w:pPr>
        <w:tabs>
          <w:tab w:val="left" w:pos="1918"/>
        </w:tabs>
        <w:jc w:val="both"/>
        <w:rPr>
          <w:rFonts w:ascii="Times New Roman" w:hAnsi="Times New Roman"/>
          <w:noProof/>
          <w:sz w:val="24"/>
        </w:rPr>
      </w:pPr>
      <w:r>
        <w:rPr>
          <w:rFonts w:ascii="Times New Roman" w:hAnsi="Times New Roman"/>
          <w:i/>
          <w:noProof/>
          <w:sz w:val="24"/>
        </w:rPr>
        <w:t>AA</w:t>
      </w:r>
      <w:r>
        <w:tab/>
      </w:r>
      <w:r>
        <w:rPr>
          <w:rFonts w:ascii="Times New Roman" w:hAnsi="Times New Roman"/>
          <w:noProof/>
          <w:sz w:val="24"/>
        </w:rPr>
        <w:t>administratīvā vienošanās</w:t>
      </w:r>
    </w:p>
    <w:p w:rsidR="00211065" w:rsidRPr="003E628F" w:rsidRDefault="00211065" w:rsidP="003E628F">
      <w:pPr>
        <w:tabs>
          <w:tab w:val="left" w:pos="1918"/>
        </w:tabs>
        <w:jc w:val="both"/>
        <w:rPr>
          <w:rFonts w:ascii="Times New Roman" w:hAnsi="Times New Roman"/>
          <w:noProof/>
          <w:sz w:val="24"/>
        </w:rPr>
      </w:pPr>
      <w:r>
        <w:rPr>
          <w:rFonts w:ascii="Times New Roman" w:hAnsi="Times New Roman"/>
          <w:i/>
          <w:noProof/>
          <w:sz w:val="24"/>
        </w:rPr>
        <w:t>AEO</w:t>
      </w:r>
      <w:r>
        <w:tab/>
      </w:r>
      <w:r>
        <w:rPr>
          <w:rFonts w:ascii="Times New Roman" w:hAnsi="Times New Roman"/>
          <w:noProof/>
          <w:sz w:val="24"/>
        </w:rPr>
        <w:t>atzītais uzņēmējs</w:t>
      </w:r>
    </w:p>
    <w:p w:rsidR="009E55DD" w:rsidRDefault="00211065" w:rsidP="003E628F">
      <w:pPr>
        <w:tabs>
          <w:tab w:val="left" w:pos="1918"/>
        </w:tabs>
        <w:jc w:val="both"/>
        <w:rPr>
          <w:rFonts w:ascii="Times New Roman" w:eastAsia="Times New Roman" w:hAnsi="Times New Roman" w:cs="Times New Roman"/>
          <w:noProof/>
          <w:sz w:val="24"/>
          <w:szCs w:val="23"/>
        </w:rPr>
      </w:pPr>
      <w:r>
        <w:rPr>
          <w:rFonts w:ascii="Times New Roman" w:hAnsi="Times New Roman"/>
          <w:i/>
          <w:noProof/>
          <w:sz w:val="24"/>
        </w:rPr>
        <w:t>AEOC</w:t>
      </w:r>
      <w:r>
        <w:tab/>
      </w:r>
      <w:r>
        <w:rPr>
          <w:rFonts w:ascii="Times New Roman" w:hAnsi="Times New Roman"/>
          <w:noProof/>
          <w:sz w:val="24"/>
        </w:rPr>
        <w:t>atzītais uzņēmējs muitas vienkāršojumiem</w:t>
      </w:r>
    </w:p>
    <w:p w:rsidR="00211065" w:rsidRPr="003E628F" w:rsidRDefault="00211065" w:rsidP="003E628F">
      <w:pPr>
        <w:tabs>
          <w:tab w:val="left" w:pos="1918"/>
        </w:tabs>
        <w:jc w:val="both"/>
        <w:rPr>
          <w:rFonts w:ascii="Times New Roman" w:eastAsia="Times New Roman" w:hAnsi="Times New Roman" w:cs="Times New Roman"/>
          <w:noProof/>
          <w:sz w:val="24"/>
          <w:szCs w:val="23"/>
        </w:rPr>
      </w:pPr>
      <w:r>
        <w:rPr>
          <w:rFonts w:ascii="Times New Roman" w:hAnsi="Times New Roman"/>
          <w:i/>
          <w:noProof/>
          <w:sz w:val="24"/>
        </w:rPr>
        <w:t>AES</w:t>
      </w:r>
      <w:r>
        <w:tab/>
      </w:r>
      <w:r>
        <w:rPr>
          <w:rFonts w:ascii="Times New Roman" w:hAnsi="Times New Roman"/>
          <w:noProof/>
          <w:sz w:val="24"/>
        </w:rPr>
        <w:t>automatizētā eksporta kontroles sistēma</w:t>
      </w:r>
    </w:p>
    <w:p w:rsidR="00211065" w:rsidRPr="003E628F" w:rsidRDefault="00211065" w:rsidP="003E628F">
      <w:pPr>
        <w:tabs>
          <w:tab w:val="left" w:pos="1918"/>
        </w:tabs>
        <w:jc w:val="both"/>
        <w:rPr>
          <w:rFonts w:ascii="Times New Roman" w:hAnsi="Times New Roman"/>
          <w:noProof/>
          <w:sz w:val="24"/>
        </w:rPr>
      </w:pPr>
      <w:r>
        <w:rPr>
          <w:rFonts w:ascii="Times New Roman" w:hAnsi="Times New Roman"/>
          <w:i/>
          <w:noProof/>
          <w:sz w:val="24"/>
        </w:rPr>
        <w:t>AMS</w:t>
      </w:r>
      <w:r>
        <w:tab/>
      </w:r>
      <w:r>
        <w:rPr>
          <w:rFonts w:ascii="Times New Roman" w:hAnsi="Times New Roman"/>
          <w:noProof/>
          <w:sz w:val="24"/>
        </w:rPr>
        <w:t>atļaujas sniedzēja dalībvalsts</w:t>
      </w:r>
    </w:p>
    <w:p w:rsidR="00211065" w:rsidRPr="003E628F" w:rsidRDefault="00211065" w:rsidP="003E628F">
      <w:pPr>
        <w:tabs>
          <w:tab w:val="left" w:pos="1918"/>
        </w:tabs>
        <w:jc w:val="both"/>
        <w:rPr>
          <w:rFonts w:ascii="Times New Roman" w:hAnsi="Times New Roman"/>
          <w:noProof/>
          <w:sz w:val="24"/>
        </w:rPr>
      </w:pPr>
      <w:r>
        <w:rPr>
          <w:rFonts w:ascii="Times New Roman" w:hAnsi="Times New Roman"/>
          <w:i/>
          <w:noProof/>
          <w:sz w:val="24"/>
        </w:rPr>
        <w:t>CC</w:t>
      </w:r>
      <w:r>
        <w:tab/>
      </w:r>
      <w:r>
        <w:rPr>
          <w:rFonts w:ascii="Times New Roman" w:hAnsi="Times New Roman"/>
          <w:noProof/>
          <w:sz w:val="24"/>
        </w:rPr>
        <w:t>centralizēta muitošana</w:t>
      </w:r>
    </w:p>
    <w:p w:rsidR="001D2320" w:rsidRPr="003E628F" w:rsidRDefault="001D2320" w:rsidP="001D2320">
      <w:pPr>
        <w:tabs>
          <w:tab w:val="left" w:pos="1918"/>
        </w:tabs>
        <w:jc w:val="both"/>
        <w:rPr>
          <w:rFonts w:ascii="Times New Roman" w:hAnsi="Times New Roman"/>
          <w:noProof/>
          <w:sz w:val="24"/>
        </w:rPr>
      </w:pPr>
      <w:r>
        <w:rPr>
          <w:rFonts w:ascii="Times New Roman" w:hAnsi="Times New Roman"/>
          <w:i/>
          <w:noProof/>
          <w:sz w:val="24"/>
        </w:rPr>
        <w:t>CDMS</w:t>
      </w:r>
      <w:r>
        <w:tab/>
      </w:r>
      <w:r>
        <w:rPr>
          <w:rFonts w:ascii="Times New Roman" w:hAnsi="Times New Roman"/>
          <w:noProof/>
          <w:sz w:val="24"/>
        </w:rPr>
        <w:t>muitas lēmumu pārvaldības sistēma</w:t>
      </w:r>
    </w:p>
    <w:p w:rsidR="001D2320" w:rsidRPr="003E628F" w:rsidRDefault="001D2320" w:rsidP="001D2320">
      <w:pPr>
        <w:tabs>
          <w:tab w:val="left" w:pos="1918"/>
        </w:tabs>
        <w:jc w:val="both"/>
        <w:rPr>
          <w:rFonts w:ascii="Times New Roman" w:hAnsi="Times New Roman"/>
          <w:noProof/>
          <w:sz w:val="24"/>
        </w:rPr>
      </w:pPr>
      <w:r>
        <w:rPr>
          <w:rFonts w:ascii="Times New Roman" w:hAnsi="Times New Roman"/>
          <w:i/>
          <w:noProof/>
          <w:sz w:val="24"/>
        </w:rPr>
        <w:t>CN</w:t>
      </w:r>
      <w:r>
        <w:tab/>
      </w:r>
      <w:r>
        <w:rPr>
          <w:rFonts w:ascii="Times New Roman" w:hAnsi="Times New Roman"/>
          <w:noProof/>
          <w:sz w:val="24"/>
        </w:rPr>
        <w:t>Kombinētā nomenklatūra</w:t>
      </w:r>
    </w:p>
    <w:p w:rsidR="00972E7D" w:rsidRPr="003E628F" w:rsidRDefault="00972E7D" w:rsidP="00972E7D">
      <w:pPr>
        <w:tabs>
          <w:tab w:val="left" w:pos="1918"/>
        </w:tabs>
        <w:jc w:val="both"/>
        <w:rPr>
          <w:rFonts w:ascii="Times New Roman" w:hAnsi="Times New Roman"/>
          <w:noProof/>
          <w:sz w:val="24"/>
        </w:rPr>
      </w:pPr>
      <w:r>
        <w:rPr>
          <w:rFonts w:ascii="Times New Roman" w:hAnsi="Times New Roman"/>
          <w:noProof/>
          <w:sz w:val="24"/>
        </w:rPr>
        <w:t>DA/ĪA</w:t>
      </w:r>
      <w:r>
        <w:tab/>
      </w:r>
      <w:r>
        <w:rPr>
          <w:rFonts w:ascii="Times New Roman" w:hAnsi="Times New Roman"/>
          <w:noProof/>
          <w:sz w:val="24"/>
        </w:rPr>
        <w:t>Deleģētais/īstenošanas akts</w:t>
      </w:r>
    </w:p>
    <w:p w:rsidR="00972E7D" w:rsidRPr="003E628F" w:rsidRDefault="00972E7D" w:rsidP="00972E7D">
      <w:pPr>
        <w:tabs>
          <w:tab w:val="left" w:pos="1918"/>
        </w:tabs>
        <w:jc w:val="both"/>
        <w:rPr>
          <w:rFonts w:ascii="Times New Roman" w:hAnsi="Times New Roman"/>
          <w:noProof/>
          <w:sz w:val="24"/>
        </w:rPr>
      </w:pPr>
      <w:r>
        <w:rPr>
          <w:rFonts w:ascii="Times New Roman" w:hAnsi="Times New Roman"/>
          <w:noProof/>
          <w:sz w:val="24"/>
        </w:rPr>
        <w:t>DV</w:t>
      </w:r>
      <w:r>
        <w:tab/>
      </w:r>
      <w:r>
        <w:rPr>
          <w:rFonts w:ascii="Times New Roman" w:hAnsi="Times New Roman"/>
          <w:noProof/>
          <w:sz w:val="24"/>
        </w:rPr>
        <w:t>dalībvalsts(-is)</w:t>
      </w:r>
    </w:p>
    <w:p w:rsidR="00972E7D" w:rsidRPr="003E628F" w:rsidRDefault="00972E7D" w:rsidP="00972E7D">
      <w:pPr>
        <w:tabs>
          <w:tab w:val="left" w:pos="1918"/>
        </w:tabs>
        <w:jc w:val="both"/>
        <w:rPr>
          <w:rFonts w:ascii="Times New Roman" w:hAnsi="Times New Roman"/>
          <w:noProof/>
          <w:sz w:val="24"/>
        </w:rPr>
      </w:pPr>
      <w:r>
        <w:rPr>
          <w:rFonts w:ascii="Times New Roman" w:hAnsi="Times New Roman"/>
          <w:i/>
          <w:noProof/>
          <w:sz w:val="24"/>
        </w:rPr>
        <w:t>EIDR</w:t>
      </w:r>
      <w:r>
        <w:tab/>
      </w:r>
      <w:r>
        <w:rPr>
          <w:rFonts w:ascii="Times New Roman" w:hAnsi="Times New Roman"/>
          <w:noProof/>
          <w:sz w:val="24"/>
        </w:rPr>
        <w:t>ieraksts deklarētāja reģistros</w:t>
      </w:r>
    </w:p>
    <w:p w:rsidR="00972E7D" w:rsidRPr="003E628F" w:rsidRDefault="00972E7D" w:rsidP="00972E7D">
      <w:pPr>
        <w:tabs>
          <w:tab w:val="left" w:pos="1918"/>
        </w:tabs>
        <w:jc w:val="both"/>
        <w:rPr>
          <w:rFonts w:ascii="Times New Roman" w:hAnsi="Times New Roman"/>
          <w:noProof/>
          <w:sz w:val="24"/>
        </w:rPr>
      </w:pPr>
      <w:r>
        <w:rPr>
          <w:rFonts w:ascii="Times New Roman" w:hAnsi="Times New Roman"/>
          <w:i/>
          <w:noProof/>
          <w:sz w:val="24"/>
        </w:rPr>
        <w:t>EO</w:t>
      </w:r>
      <w:r>
        <w:tab/>
      </w:r>
      <w:r>
        <w:rPr>
          <w:rFonts w:ascii="Times New Roman" w:hAnsi="Times New Roman"/>
          <w:noProof/>
          <w:sz w:val="24"/>
        </w:rPr>
        <w:t>uzņēmējs</w:t>
      </w:r>
    </w:p>
    <w:p w:rsidR="00972E7D" w:rsidRPr="003E628F" w:rsidRDefault="00972E7D" w:rsidP="00972E7D">
      <w:pPr>
        <w:tabs>
          <w:tab w:val="left" w:pos="1918"/>
        </w:tabs>
        <w:jc w:val="both"/>
        <w:rPr>
          <w:rFonts w:ascii="Times New Roman" w:hAnsi="Times New Roman"/>
          <w:noProof/>
          <w:sz w:val="24"/>
        </w:rPr>
      </w:pPr>
      <w:r>
        <w:rPr>
          <w:rFonts w:ascii="Times New Roman" w:hAnsi="Times New Roman"/>
          <w:noProof/>
          <w:sz w:val="24"/>
        </w:rPr>
        <w:t>ERP</w:t>
      </w:r>
      <w:r>
        <w:tab/>
      </w:r>
      <w:r>
        <w:rPr>
          <w:rFonts w:ascii="Times New Roman" w:hAnsi="Times New Roman"/>
          <w:noProof/>
          <w:sz w:val="24"/>
        </w:rPr>
        <w:t>Eiropas Revīzijas palāta</w:t>
      </w:r>
    </w:p>
    <w:p w:rsidR="00972E7D" w:rsidRPr="003E628F" w:rsidRDefault="00972E7D" w:rsidP="00972E7D">
      <w:pPr>
        <w:tabs>
          <w:tab w:val="left" w:pos="1918"/>
        </w:tabs>
        <w:jc w:val="both"/>
        <w:rPr>
          <w:rFonts w:ascii="Times New Roman" w:hAnsi="Times New Roman"/>
          <w:noProof/>
          <w:sz w:val="24"/>
        </w:rPr>
      </w:pPr>
      <w:r>
        <w:rPr>
          <w:rFonts w:ascii="Times New Roman" w:hAnsi="Times New Roman"/>
          <w:noProof/>
          <w:sz w:val="24"/>
        </w:rPr>
        <w:t>ES</w:t>
      </w:r>
      <w:r>
        <w:tab/>
      </w:r>
      <w:r>
        <w:rPr>
          <w:rFonts w:ascii="Times New Roman" w:hAnsi="Times New Roman"/>
          <w:noProof/>
          <w:sz w:val="24"/>
        </w:rPr>
        <w:t>Eiropas Savienība</w:t>
      </w:r>
    </w:p>
    <w:p w:rsidR="00211065" w:rsidRPr="003E628F" w:rsidRDefault="00211065" w:rsidP="003E628F">
      <w:pPr>
        <w:tabs>
          <w:tab w:val="left" w:pos="1918"/>
        </w:tabs>
        <w:jc w:val="both"/>
        <w:rPr>
          <w:rFonts w:ascii="Times New Roman" w:hAnsi="Times New Roman"/>
          <w:noProof/>
          <w:sz w:val="24"/>
        </w:rPr>
      </w:pPr>
      <w:r>
        <w:rPr>
          <w:rFonts w:ascii="Times New Roman" w:hAnsi="Times New Roman"/>
          <w:noProof/>
          <w:sz w:val="24"/>
        </w:rPr>
        <w:t>KMK</w:t>
      </w:r>
      <w:r>
        <w:tab/>
      </w:r>
      <w:r>
        <w:rPr>
          <w:rFonts w:ascii="Times New Roman" w:hAnsi="Times New Roman"/>
          <w:noProof/>
          <w:sz w:val="24"/>
        </w:rPr>
        <w:t>Kopienas Muitas kodekss</w:t>
      </w:r>
    </w:p>
    <w:p w:rsidR="00211065" w:rsidRPr="003E628F" w:rsidRDefault="00211065" w:rsidP="003E628F">
      <w:pPr>
        <w:tabs>
          <w:tab w:val="left" w:pos="1918"/>
        </w:tabs>
        <w:jc w:val="both"/>
        <w:rPr>
          <w:rFonts w:ascii="Times New Roman" w:hAnsi="Times New Roman"/>
          <w:noProof/>
          <w:sz w:val="24"/>
        </w:rPr>
      </w:pPr>
      <w:r>
        <w:rPr>
          <w:rFonts w:ascii="Times New Roman" w:hAnsi="Times New Roman"/>
          <w:noProof/>
          <w:sz w:val="24"/>
        </w:rPr>
        <w:t>Komisija</w:t>
      </w:r>
      <w:r>
        <w:tab/>
      </w:r>
      <w:r>
        <w:rPr>
          <w:rFonts w:ascii="Times New Roman" w:hAnsi="Times New Roman"/>
          <w:noProof/>
          <w:sz w:val="24"/>
        </w:rPr>
        <w:t>Eiropas Komisija</w:t>
      </w:r>
    </w:p>
    <w:p w:rsidR="00211065" w:rsidRPr="003E628F" w:rsidRDefault="00211065" w:rsidP="003E628F">
      <w:pPr>
        <w:tabs>
          <w:tab w:val="left" w:pos="1918"/>
        </w:tabs>
        <w:jc w:val="both"/>
        <w:rPr>
          <w:rFonts w:ascii="Times New Roman" w:hAnsi="Times New Roman"/>
          <w:noProof/>
          <w:sz w:val="24"/>
        </w:rPr>
      </w:pPr>
      <w:r>
        <w:rPr>
          <w:rFonts w:ascii="Times New Roman" w:hAnsi="Times New Roman"/>
          <w:i/>
          <w:noProof/>
          <w:sz w:val="24"/>
        </w:rPr>
        <w:t>LCP</w:t>
      </w:r>
      <w:r>
        <w:tab/>
      </w:r>
      <w:r>
        <w:rPr>
          <w:rFonts w:ascii="Times New Roman" w:hAnsi="Times New Roman"/>
          <w:noProof/>
          <w:sz w:val="24"/>
        </w:rPr>
        <w:t>vietējās muitošanas procedūra</w:t>
      </w:r>
    </w:p>
    <w:p w:rsidR="00211065" w:rsidRPr="003E628F" w:rsidRDefault="00211065" w:rsidP="003E628F">
      <w:pPr>
        <w:tabs>
          <w:tab w:val="left" w:pos="1918"/>
        </w:tabs>
        <w:jc w:val="both"/>
        <w:rPr>
          <w:rFonts w:ascii="Times New Roman" w:hAnsi="Times New Roman"/>
          <w:noProof/>
          <w:sz w:val="24"/>
        </w:rPr>
      </w:pPr>
      <w:r>
        <w:rPr>
          <w:rFonts w:ascii="Times New Roman" w:hAnsi="Times New Roman"/>
          <w:i/>
          <w:noProof/>
          <w:sz w:val="24"/>
        </w:rPr>
        <w:t>NIS</w:t>
      </w:r>
      <w:r>
        <w:tab/>
      </w:r>
      <w:r>
        <w:rPr>
          <w:rFonts w:ascii="Times New Roman" w:hAnsi="Times New Roman"/>
          <w:noProof/>
          <w:sz w:val="24"/>
        </w:rPr>
        <w:t>valsts importa sistēma</w:t>
      </w:r>
    </w:p>
    <w:p w:rsidR="00211065" w:rsidRPr="003E628F" w:rsidRDefault="00211065" w:rsidP="003E628F">
      <w:pPr>
        <w:tabs>
          <w:tab w:val="left" w:pos="1918"/>
        </w:tabs>
        <w:jc w:val="both"/>
        <w:rPr>
          <w:rFonts w:ascii="Times New Roman" w:hAnsi="Times New Roman"/>
          <w:noProof/>
          <w:sz w:val="24"/>
        </w:rPr>
      </w:pPr>
      <w:r>
        <w:rPr>
          <w:rFonts w:ascii="Times New Roman" w:hAnsi="Times New Roman"/>
          <w:i/>
          <w:noProof/>
          <w:sz w:val="24"/>
        </w:rPr>
        <w:t>NSA</w:t>
      </w:r>
      <w:r>
        <w:tab/>
      </w:r>
      <w:r>
        <w:rPr>
          <w:rFonts w:ascii="Times New Roman" w:hAnsi="Times New Roman"/>
          <w:noProof/>
          <w:sz w:val="24"/>
        </w:rPr>
        <w:t>valsts statistikas iestādes</w:t>
      </w:r>
    </w:p>
    <w:p w:rsidR="00211065" w:rsidRPr="003E628F" w:rsidRDefault="00211065" w:rsidP="003E628F">
      <w:pPr>
        <w:tabs>
          <w:tab w:val="left" w:pos="1918"/>
        </w:tabs>
        <w:jc w:val="both"/>
        <w:rPr>
          <w:rFonts w:ascii="Times New Roman" w:hAnsi="Times New Roman"/>
          <w:noProof/>
          <w:sz w:val="24"/>
        </w:rPr>
      </w:pPr>
      <w:r>
        <w:rPr>
          <w:rFonts w:ascii="Times New Roman" w:hAnsi="Times New Roman"/>
          <w:i/>
          <w:noProof/>
          <w:sz w:val="24"/>
        </w:rPr>
        <w:t>P&amp;R</w:t>
      </w:r>
      <w:r>
        <w:tab/>
      </w:r>
      <w:r>
        <w:rPr>
          <w:rFonts w:ascii="Times New Roman" w:hAnsi="Times New Roman"/>
          <w:noProof/>
          <w:sz w:val="24"/>
        </w:rPr>
        <w:t>aizliegumi un ierobežojumi</w:t>
      </w:r>
    </w:p>
    <w:p w:rsidR="00211065" w:rsidRPr="003E628F" w:rsidRDefault="00211065" w:rsidP="003E628F">
      <w:pPr>
        <w:tabs>
          <w:tab w:val="left" w:pos="1918"/>
        </w:tabs>
        <w:jc w:val="both"/>
        <w:rPr>
          <w:rFonts w:ascii="Times New Roman" w:hAnsi="Times New Roman"/>
          <w:noProof/>
          <w:sz w:val="24"/>
        </w:rPr>
      </w:pPr>
      <w:r>
        <w:rPr>
          <w:rFonts w:ascii="Times New Roman" w:hAnsi="Times New Roman"/>
          <w:i/>
          <w:noProof/>
          <w:sz w:val="24"/>
        </w:rPr>
        <w:t>PCO</w:t>
      </w:r>
      <w:r>
        <w:tab/>
      </w:r>
      <w:r>
        <w:rPr>
          <w:rFonts w:ascii="Times New Roman" w:hAnsi="Times New Roman"/>
          <w:noProof/>
          <w:sz w:val="24"/>
        </w:rPr>
        <w:t>uzrādīšanas muitas iestāde</w:t>
      </w:r>
    </w:p>
    <w:p w:rsidR="00211065" w:rsidRPr="003E628F" w:rsidRDefault="00211065" w:rsidP="003E628F">
      <w:pPr>
        <w:tabs>
          <w:tab w:val="left" w:pos="1918"/>
        </w:tabs>
        <w:jc w:val="both"/>
        <w:rPr>
          <w:rFonts w:ascii="Times New Roman" w:hAnsi="Times New Roman"/>
          <w:noProof/>
          <w:sz w:val="24"/>
        </w:rPr>
      </w:pPr>
      <w:r>
        <w:rPr>
          <w:rFonts w:ascii="Times New Roman" w:hAnsi="Times New Roman"/>
          <w:i/>
          <w:noProof/>
          <w:sz w:val="24"/>
        </w:rPr>
        <w:t>PG</w:t>
      </w:r>
      <w:r>
        <w:tab/>
      </w:r>
      <w:r>
        <w:rPr>
          <w:rFonts w:ascii="Times New Roman" w:hAnsi="Times New Roman"/>
          <w:noProof/>
          <w:sz w:val="24"/>
        </w:rPr>
        <w:t>projekta grupa</w:t>
      </w:r>
    </w:p>
    <w:p w:rsidR="00211065" w:rsidRPr="003E628F" w:rsidRDefault="00211065" w:rsidP="003E628F">
      <w:pPr>
        <w:tabs>
          <w:tab w:val="left" w:pos="1918"/>
        </w:tabs>
        <w:jc w:val="both"/>
        <w:rPr>
          <w:rFonts w:ascii="Times New Roman" w:hAnsi="Times New Roman"/>
          <w:noProof/>
          <w:sz w:val="24"/>
        </w:rPr>
      </w:pPr>
      <w:r>
        <w:rPr>
          <w:rFonts w:ascii="Times New Roman" w:hAnsi="Times New Roman"/>
          <w:i/>
          <w:noProof/>
          <w:sz w:val="24"/>
        </w:rPr>
        <w:t>PMS</w:t>
      </w:r>
      <w:r>
        <w:tab/>
      </w:r>
      <w:r>
        <w:rPr>
          <w:rFonts w:ascii="Times New Roman" w:hAnsi="Times New Roman"/>
          <w:noProof/>
          <w:sz w:val="24"/>
        </w:rPr>
        <w:t>uzrādīšanas dalībvalsts</w:t>
      </w:r>
    </w:p>
    <w:p w:rsidR="005B66C9" w:rsidRPr="003E628F" w:rsidRDefault="005B66C9" w:rsidP="005B66C9">
      <w:pPr>
        <w:tabs>
          <w:tab w:val="left" w:pos="1918"/>
        </w:tabs>
        <w:jc w:val="both"/>
        <w:rPr>
          <w:rFonts w:ascii="Times New Roman" w:hAnsi="Times New Roman"/>
          <w:noProof/>
          <w:sz w:val="24"/>
        </w:rPr>
      </w:pPr>
      <w:r>
        <w:rPr>
          <w:rFonts w:ascii="Times New Roman" w:hAnsi="Times New Roman"/>
          <w:noProof/>
          <w:sz w:val="24"/>
        </w:rPr>
        <w:t>PVN</w:t>
      </w:r>
      <w:r>
        <w:tab/>
      </w:r>
      <w:r>
        <w:rPr>
          <w:rFonts w:ascii="Times New Roman" w:hAnsi="Times New Roman"/>
          <w:noProof/>
          <w:sz w:val="24"/>
        </w:rPr>
        <w:t>pievienotās vērtības nodoklis</w:t>
      </w:r>
    </w:p>
    <w:p w:rsidR="00211065" w:rsidRPr="003E628F" w:rsidRDefault="00211065" w:rsidP="003E628F">
      <w:pPr>
        <w:tabs>
          <w:tab w:val="left" w:pos="1918"/>
        </w:tabs>
        <w:jc w:val="both"/>
        <w:rPr>
          <w:rFonts w:ascii="Times New Roman" w:hAnsi="Times New Roman"/>
          <w:noProof/>
          <w:sz w:val="24"/>
        </w:rPr>
      </w:pPr>
      <w:r>
        <w:rPr>
          <w:rFonts w:ascii="Times New Roman" w:hAnsi="Times New Roman"/>
          <w:i/>
          <w:noProof/>
          <w:sz w:val="24"/>
        </w:rPr>
        <w:t>SA</w:t>
      </w:r>
      <w:r>
        <w:tab/>
      </w:r>
      <w:r>
        <w:rPr>
          <w:rFonts w:ascii="Times New Roman" w:hAnsi="Times New Roman"/>
          <w:noProof/>
          <w:sz w:val="24"/>
        </w:rPr>
        <w:t>pašnovērtējums</w:t>
      </w:r>
    </w:p>
    <w:p w:rsidR="00211065" w:rsidRPr="003E628F" w:rsidRDefault="00211065" w:rsidP="003E628F">
      <w:pPr>
        <w:tabs>
          <w:tab w:val="left" w:pos="1918"/>
        </w:tabs>
        <w:jc w:val="both"/>
        <w:rPr>
          <w:rFonts w:ascii="Times New Roman" w:hAnsi="Times New Roman"/>
          <w:noProof/>
          <w:sz w:val="24"/>
        </w:rPr>
      </w:pPr>
      <w:r>
        <w:rPr>
          <w:rFonts w:ascii="Times New Roman" w:hAnsi="Times New Roman"/>
          <w:i/>
          <w:noProof/>
          <w:sz w:val="24"/>
        </w:rPr>
        <w:t>SASP</w:t>
      </w:r>
      <w:r>
        <w:tab/>
      </w:r>
      <w:r>
        <w:rPr>
          <w:rFonts w:ascii="Times New Roman" w:hAnsi="Times New Roman"/>
          <w:noProof/>
          <w:sz w:val="24"/>
        </w:rPr>
        <w:t>vienota atļauja vienkāršoto procedūru piemērošanai</w:t>
      </w:r>
    </w:p>
    <w:p w:rsidR="00211065" w:rsidRPr="003E628F" w:rsidRDefault="00211065" w:rsidP="003E628F">
      <w:pPr>
        <w:tabs>
          <w:tab w:val="left" w:pos="1918"/>
        </w:tabs>
        <w:jc w:val="both"/>
        <w:rPr>
          <w:rFonts w:ascii="Times New Roman" w:hAnsi="Times New Roman"/>
          <w:noProof/>
          <w:sz w:val="24"/>
        </w:rPr>
      </w:pPr>
      <w:r>
        <w:rPr>
          <w:rFonts w:ascii="Times New Roman" w:hAnsi="Times New Roman"/>
          <w:i/>
          <w:noProof/>
          <w:sz w:val="24"/>
        </w:rPr>
        <w:t>SCO</w:t>
      </w:r>
      <w:r>
        <w:tab/>
      </w:r>
      <w:r>
        <w:rPr>
          <w:rFonts w:ascii="Times New Roman" w:hAnsi="Times New Roman"/>
          <w:noProof/>
          <w:sz w:val="24"/>
        </w:rPr>
        <w:t>uzraudzības muitas iestāde</w:t>
      </w:r>
    </w:p>
    <w:p w:rsidR="00211065" w:rsidRPr="003E628F" w:rsidRDefault="00211065" w:rsidP="003E628F">
      <w:pPr>
        <w:tabs>
          <w:tab w:val="left" w:pos="1918"/>
        </w:tabs>
        <w:jc w:val="both"/>
        <w:rPr>
          <w:rFonts w:ascii="Times New Roman" w:hAnsi="Times New Roman"/>
          <w:noProof/>
          <w:sz w:val="24"/>
        </w:rPr>
      </w:pPr>
      <w:r>
        <w:rPr>
          <w:rFonts w:ascii="Times New Roman" w:hAnsi="Times New Roman"/>
          <w:i/>
          <w:noProof/>
          <w:sz w:val="24"/>
        </w:rPr>
        <w:t>SD</w:t>
      </w:r>
      <w:r>
        <w:tab/>
      </w:r>
      <w:r>
        <w:rPr>
          <w:rFonts w:ascii="Times New Roman" w:hAnsi="Times New Roman"/>
          <w:noProof/>
          <w:sz w:val="24"/>
        </w:rPr>
        <w:t>vienkāršotā deklarācija</w:t>
      </w:r>
    </w:p>
    <w:p w:rsidR="00211065" w:rsidRPr="003E628F" w:rsidRDefault="00211065" w:rsidP="003E628F">
      <w:pPr>
        <w:tabs>
          <w:tab w:val="left" w:pos="1918"/>
        </w:tabs>
        <w:jc w:val="both"/>
        <w:rPr>
          <w:rFonts w:ascii="Times New Roman" w:hAnsi="Times New Roman"/>
          <w:noProof/>
          <w:sz w:val="24"/>
        </w:rPr>
      </w:pPr>
      <w:r>
        <w:rPr>
          <w:rFonts w:ascii="Times New Roman" w:hAnsi="Times New Roman"/>
          <w:i/>
          <w:noProof/>
          <w:sz w:val="24"/>
        </w:rPr>
        <w:t>SDP</w:t>
      </w:r>
      <w:r>
        <w:tab/>
      </w:r>
      <w:r>
        <w:rPr>
          <w:rFonts w:ascii="Times New Roman" w:hAnsi="Times New Roman"/>
          <w:noProof/>
          <w:sz w:val="24"/>
        </w:rPr>
        <w:t>vienkāršotās deklarēšanas procedūra</w:t>
      </w:r>
    </w:p>
    <w:p w:rsidR="005B66C9" w:rsidRPr="003E628F" w:rsidRDefault="005B66C9" w:rsidP="005B66C9">
      <w:pPr>
        <w:tabs>
          <w:tab w:val="left" w:pos="1918"/>
        </w:tabs>
        <w:jc w:val="both"/>
        <w:rPr>
          <w:rFonts w:ascii="Times New Roman" w:hAnsi="Times New Roman"/>
          <w:noProof/>
          <w:sz w:val="24"/>
        </w:rPr>
      </w:pPr>
      <w:r>
        <w:rPr>
          <w:rFonts w:ascii="Times New Roman" w:hAnsi="Times New Roman"/>
          <w:noProof/>
          <w:sz w:val="24"/>
        </w:rPr>
        <w:t>SMK</w:t>
      </w:r>
      <w:r>
        <w:tab/>
      </w:r>
      <w:r>
        <w:rPr>
          <w:rFonts w:ascii="Times New Roman" w:hAnsi="Times New Roman"/>
          <w:noProof/>
          <w:sz w:val="24"/>
        </w:rPr>
        <w:t>Savienības Muitas kodekss</w:t>
      </w:r>
    </w:p>
    <w:p w:rsidR="00211065" w:rsidRPr="003E628F" w:rsidRDefault="00211065" w:rsidP="003E628F">
      <w:pPr>
        <w:tabs>
          <w:tab w:val="left" w:pos="1918"/>
        </w:tabs>
        <w:jc w:val="both"/>
        <w:rPr>
          <w:rFonts w:ascii="Times New Roman" w:hAnsi="Times New Roman"/>
          <w:noProof/>
          <w:sz w:val="24"/>
        </w:rPr>
      </w:pPr>
      <w:r>
        <w:rPr>
          <w:rFonts w:ascii="Times New Roman" w:hAnsi="Times New Roman"/>
          <w:i/>
          <w:noProof/>
          <w:sz w:val="24"/>
        </w:rPr>
        <w:t>SP</w:t>
      </w:r>
      <w:r>
        <w:tab/>
      </w:r>
      <w:r>
        <w:rPr>
          <w:rFonts w:ascii="Times New Roman" w:hAnsi="Times New Roman"/>
          <w:noProof/>
          <w:sz w:val="24"/>
        </w:rPr>
        <w:t>vienkāršotās procedūras</w:t>
      </w:r>
    </w:p>
    <w:p w:rsidR="00211065" w:rsidRPr="003E628F" w:rsidRDefault="00211065" w:rsidP="003E628F">
      <w:pPr>
        <w:tabs>
          <w:tab w:val="left" w:pos="1918"/>
        </w:tabs>
        <w:jc w:val="both"/>
        <w:rPr>
          <w:rFonts w:ascii="Times New Roman" w:hAnsi="Times New Roman"/>
          <w:noProof/>
          <w:sz w:val="24"/>
        </w:rPr>
      </w:pPr>
      <w:r>
        <w:rPr>
          <w:rFonts w:ascii="Times New Roman" w:hAnsi="Times New Roman"/>
          <w:i/>
          <w:noProof/>
          <w:sz w:val="24"/>
        </w:rPr>
        <w:t>SPE</w:t>
      </w:r>
      <w:r>
        <w:tab/>
      </w:r>
      <w:r>
        <w:rPr>
          <w:rFonts w:ascii="Times New Roman" w:hAnsi="Times New Roman"/>
          <w:noProof/>
          <w:sz w:val="24"/>
        </w:rPr>
        <w:t>īpašas procedūras</w:t>
      </w:r>
    </w:p>
    <w:p w:rsidR="00211065" w:rsidRPr="003E628F" w:rsidRDefault="00211065" w:rsidP="003E628F">
      <w:pPr>
        <w:tabs>
          <w:tab w:val="left" w:pos="1918"/>
        </w:tabs>
        <w:jc w:val="both"/>
        <w:rPr>
          <w:rFonts w:ascii="Times New Roman" w:hAnsi="Times New Roman"/>
          <w:noProof/>
          <w:sz w:val="24"/>
        </w:rPr>
      </w:pPr>
      <w:r>
        <w:rPr>
          <w:rFonts w:ascii="Times New Roman" w:hAnsi="Times New Roman"/>
          <w:i/>
          <w:noProof/>
          <w:sz w:val="24"/>
        </w:rPr>
        <w:t>TDA</w:t>
      </w:r>
      <w:r>
        <w:tab/>
      </w:r>
      <w:r>
        <w:rPr>
          <w:rFonts w:ascii="Times New Roman" w:hAnsi="Times New Roman"/>
          <w:noProof/>
          <w:sz w:val="24"/>
        </w:rPr>
        <w:t>pārejas perioda deleģētais akts</w:t>
      </w:r>
    </w:p>
    <w:p w:rsidR="00211065" w:rsidRPr="003E628F" w:rsidRDefault="00211065" w:rsidP="003E628F">
      <w:pPr>
        <w:tabs>
          <w:tab w:val="left" w:pos="1918"/>
        </w:tabs>
        <w:jc w:val="both"/>
        <w:rPr>
          <w:rFonts w:ascii="Times New Roman" w:hAnsi="Times New Roman"/>
          <w:noProof/>
          <w:sz w:val="24"/>
        </w:rPr>
      </w:pPr>
      <w:r>
        <w:rPr>
          <w:rFonts w:ascii="Times New Roman" w:hAnsi="Times New Roman"/>
          <w:i/>
          <w:noProof/>
          <w:sz w:val="24"/>
        </w:rPr>
        <w:t>TOR</w:t>
      </w:r>
      <w:r>
        <w:tab/>
      </w:r>
      <w:r>
        <w:rPr>
          <w:rFonts w:ascii="Times New Roman" w:hAnsi="Times New Roman"/>
          <w:noProof/>
          <w:sz w:val="24"/>
        </w:rPr>
        <w:t>tradicionālie pašu resursi</w:t>
      </w:r>
    </w:p>
    <w:p w:rsidR="00211065" w:rsidRPr="003E628F" w:rsidRDefault="00211065" w:rsidP="003E628F">
      <w:pPr>
        <w:tabs>
          <w:tab w:val="left" w:pos="1918"/>
        </w:tabs>
        <w:jc w:val="both"/>
        <w:rPr>
          <w:rFonts w:ascii="Times New Roman" w:hAnsi="Times New Roman"/>
          <w:noProof/>
          <w:sz w:val="24"/>
        </w:rPr>
      </w:pPr>
      <w:r>
        <w:rPr>
          <w:rFonts w:ascii="Times New Roman" w:hAnsi="Times New Roman"/>
          <w:i/>
          <w:noProof/>
          <w:sz w:val="24"/>
        </w:rPr>
        <w:t>TS</w:t>
      </w:r>
      <w:r>
        <w:tab/>
      </w:r>
      <w:r>
        <w:rPr>
          <w:rFonts w:ascii="Times New Roman" w:hAnsi="Times New Roman"/>
          <w:noProof/>
          <w:sz w:val="24"/>
        </w:rPr>
        <w:t>pagaidu uzglabāšana</w:t>
      </w:r>
    </w:p>
    <w:p w:rsidR="009E55DD" w:rsidRDefault="009E55DD">
      <w:pPr>
        <w:rPr>
          <w:rFonts w:ascii="Times New Roman" w:eastAsia="Times New Roman" w:hAnsi="Times New Roman" w:cs="Times New Roman"/>
          <w:noProof/>
          <w:sz w:val="24"/>
          <w:szCs w:val="25"/>
        </w:rPr>
      </w:pPr>
      <w:r>
        <w:br w:type="page"/>
      </w:r>
    </w:p>
    <w:p w:rsidR="00211065" w:rsidRDefault="00211065" w:rsidP="003E628F">
      <w:pPr>
        <w:jc w:val="both"/>
        <w:rPr>
          <w:rFonts w:ascii="Times New Roman" w:eastAsia="Times New Roman" w:hAnsi="Times New Roman" w:cs="Times New Roman"/>
          <w:noProof/>
          <w:sz w:val="24"/>
          <w:szCs w:val="25"/>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31"/>
      </w:tblGrid>
      <w:tr w:rsidR="00D663C9" w:rsidTr="00D663C9">
        <w:trPr>
          <w:trHeight w:val="420"/>
        </w:trPr>
        <w:tc>
          <w:tcPr>
            <w:tcW w:w="9291" w:type="dxa"/>
            <w:tcBorders>
              <w:top w:val="single" w:sz="18" w:space="0" w:color="auto"/>
              <w:left w:val="single" w:sz="18" w:space="0" w:color="auto"/>
              <w:bottom w:val="single" w:sz="18" w:space="0" w:color="auto"/>
              <w:right w:val="single" w:sz="18" w:space="0" w:color="auto"/>
            </w:tcBorders>
            <w:vAlign w:val="center"/>
          </w:tcPr>
          <w:p w:rsidR="00D663C9" w:rsidRPr="00D663C9" w:rsidRDefault="00D663C9" w:rsidP="00D663C9">
            <w:pPr>
              <w:pStyle w:val="Saturs1"/>
              <w:tabs>
                <w:tab w:val="right" w:leader="dot" w:pos="8870"/>
              </w:tabs>
              <w:spacing w:before="0"/>
              <w:ind w:left="0" w:firstLine="0"/>
              <w:jc w:val="center"/>
              <w:rPr>
                <w:b/>
                <w:noProof/>
                <w:sz w:val="28"/>
              </w:rPr>
            </w:pPr>
            <w:r w:rsidRPr="00D663C9">
              <w:rPr>
                <w:b/>
                <w:noProof/>
                <w:sz w:val="28"/>
              </w:rPr>
              <w:t>Satura rādītājs</w:t>
            </w:r>
          </w:p>
        </w:tc>
      </w:tr>
    </w:tbl>
    <w:sdt>
      <w:sdtPr>
        <w:rPr>
          <w:rFonts w:asciiTheme="minorHAnsi" w:eastAsiaTheme="minorHAnsi" w:hAnsiTheme="minorHAnsi" w:cstheme="minorBidi"/>
          <w:color w:val="auto"/>
          <w:sz w:val="22"/>
          <w:szCs w:val="22"/>
          <w:lang w:bidi="lv-LV"/>
        </w:rPr>
        <w:id w:val="-872692909"/>
        <w:docPartObj>
          <w:docPartGallery w:val="Table of Contents"/>
          <w:docPartUnique/>
        </w:docPartObj>
      </w:sdtPr>
      <w:sdtEndPr>
        <w:rPr>
          <w:b/>
          <w:bCs/>
        </w:rPr>
      </w:sdtEndPr>
      <w:sdtContent>
        <w:p w:rsidR="0016289A" w:rsidRPr="00D663C9" w:rsidRDefault="0016289A" w:rsidP="00D663C9">
          <w:pPr>
            <w:pStyle w:val="Saturardtjavirsraksts"/>
            <w:rPr>
              <w:sz w:val="2"/>
            </w:rPr>
          </w:pPr>
        </w:p>
        <w:p w:rsidR="0016289A" w:rsidRDefault="0016289A" w:rsidP="00D663C9">
          <w:pPr>
            <w:pStyle w:val="Saturs1"/>
            <w:tabs>
              <w:tab w:val="right" w:leader="dot" w:pos="9065"/>
            </w:tabs>
            <w:ind w:left="0" w:firstLine="0"/>
            <w:rPr>
              <w:rFonts w:asciiTheme="minorHAnsi" w:eastAsiaTheme="minorEastAsia" w:hAnsiTheme="minorHAnsi"/>
              <w:noProof/>
              <w:sz w:val="22"/>
              <w:szCs w:val="22"/>
              <w:lang w:bidi="ar-SA"/>
            </w:rPr>
          </w:pPr>
          <w:r>
            <w:fldChar w:fldCharType="begin"/>
          </w:r>
          <w:r>
            <w:instrText xml:space="preserve"> TOC \o "1-3" \h \z \u </w:instrText>
          </w:r>
          <w:r>
            <w:fldChar w:fldCharType="separate"/>
          </w:r>
          <w:hyperlink w:anchor="_Toc490734223" w:history="1">
            <w:r w:rsidRPr="00F34D76">
              <w:rPr>
                <w:rStyle w:val="Hipersaite"/>
                <w:noProof/>
              </w:rPr>
              <w:t>SAĪSINĀJUMI</w:t>
            </w:r>
            <w:r>
              <w:rPr>
                <w:noProof/>
                <w:webHidden/>
              </w:rPr>
              <w:tab/>
            </w:r>
            <w:r>
              <w:rPr>
                <w:noProof/>
                <w:webHidden/>
              </w:rPr>
              <w:fldChar w:fldCharType="begin"/>
            </w:r>
            <w:r>
              <w:rPr>
                <w:noProof/>
                <w:webHidden/>
              </w:rPr>
              <w:instrText xml:space="preserve"> PAGEREF _Toc490734223 \h </w:instrText>
            </w:r>
            <w:r>
              <w:rPr>
                <w:noProof/>
                <w:webHidden/>
              </w:rPr>
            </w:r>
            <w:r>
              <w:rPr>
                <w:noProof/>
                <w:webHidden/>
              </w:rPr>
              <w:fldChar w:fldCharType="separate"/>
            </w:r>
            <w:r w:rsidR="00AF744F">
              <w:rPr>
                <w:noProof/>
                <w:webHidden/>
              </w:rPr>
              <w:t>2</w:t>
            </w:r>
            <w:r>
              <w:rPr>
                <w:noProof/>
                <w:webHidden/>
              </w:rPr>
              <w:fldChar w:fldCharType="end"/>
            </w:r>
          </w:hyperlink>
        </w:p>
        <w:p w:rsidR="0016289A" w:rsidRDefault="00FF42EE" w:rsidP="00D663C9">
          <w:pPr>
            <w:pStyle w:val="Saturs1"/>
            <w:tabs>
              <w:tab w:val="right" w:leader="dot" w:pos="9065"/>
            </w:tabs>
            <w:ind w:left="0" w:firstLine="0"/>
            <w:rPr>
              <w:rFonts w:asciiTheme="minorHAnsi" w:eastAsiaTheme="minorEastAsia" w:hAnsiTheme="minorHAnsi"/>
              <w:noProof/>
              <w:sz w:val="22"/>
              <w:szCs w:val="22"/>
              <w:lang w:bidi="ar-SA"/>
            </w:rPr>
          </w:pPr>
          <w:hyperlink w:anchor="_Toc490734224" w:history="1">
            <w:r w:rsidR="0016289A" w:rsidRPr="00F34D76">
              <w:rPr>
                <w:rStyle w:val="Hipersaite"/>
                <w:noProof/>
              </w:rPr>
              <w:t>1. IEVADS</w:t>
            </w:r>
            <w:r w:rsidR="0016289A">
              <w:rPr>
                <w:noProof/>
                <w:webHidden/>
              </w:rPr>
              <w:tab/>
            </w:r>
            <w:r w:rsidR="0016289A">
              <w:rPr>
                <w:noProof/>
                <w:webHidden/>
              </w:rPr>
              <w:fldChar w:fldCharType="begin"/>
            </w:r>
            <w:r w:rsidR="0016289A">
              <w:rPr>
                <w:noProof/>
                <w:webHidden/>
              </w:rPr>
              <w:instrText xml:space="preserve"> PAGEREF _Toc490734224 \h </w:instrText>
            </w:r>
            <w:r w:rsidR="0016289A">
              <w:rPr>
                <w:noProof/>
                <w:webHidden/>
              </w:rPr>
            </w:r>
            <w:r w:rsidR="0016289A">
              <w:rPr>
                <w:noProof/>
                <w:webHidden/>
              </w:rPr>
              <w:fldChar w:fldCharType="separate"/>
            </w:r>
            <w:r w:rsidR="00AF744F">
              <w:rPr>
                <w:noProof/>
                <w:webHidden/>
              </w:rPr>
              <w:t>6</w:t>
            </w:r>
            <w:r w:rsidR="0016289A">
              <w:rPr>
                <w:noProof/>
                <w:webHidden/>
              </w:rPr>
              <w:fldChar w:fldCharType="end"/>
            </w:r>
          </w:hyperlink>
        </w:p>
        <w:p w:rsidR="0016289A" w:rsidRDefault="00FF42EE" w:rsidP="00D663C9">
          <w:pPr>
            <w:pStyle w:val="Saturs2"/>
            <w:tabs>
              <w:tab w:val="right" w:leader="dot" w:pos="9065"/>
            </w:tabs>
            <w:ind w:left="284" w:firstLine="0"/>
            <w:rPr>
              <w:rFonts w:asciiTheme="minorHAnsi" w:eastAsiaTheme="minorEastAsia" w:hAnsiTheme="minorHAnsi"/>
              <w:i w:val="0"/>
              <w:noProof/>
              <w:sz w:val="22"/>
              <w:szCs w:val="22"/>
              <w:lang w:bidi="ar-SA"/>
            </w:rPr>
          </w:pPr>
          <w:hyperlink w:anchor="_Toc490734225" w:history="1">
            <w:r w:rsidR="0016289A" w:rsidRPr="00F34D76">
              <w:rPr>
                <w:rStyle w:val="Hipersaite"/>
                <w:noProof/>
              </w:rPr>
              <w:t>1.1. SMK – DA/ĪA</w:t>
            </w:r>
            <w:r w:rsidR="0016289A">
              <w:rPr>
                <w:noProof/>
                <w:webHidden/>
              </w:rPr>
              <w:tab/>
            </w:r>
            <w:r w:rsidR="0016289A" w:rsidRPr="00D663C9">
              <w:rPr>
                <w:i w:val="0"/>
                <w:noProof/>
                <w:webHidden/>
              </w:rPr>
              <w:fldChar w:fldCharType="begin"/>
            </w:r>
            <w:r w:rsidR="0016289A" w:rsidRPr="00D663C9">
              <w:rPr>
                <w:i w:val="0"/>
                <w:noProof/>
                <w:webHidden/>
              </w:rPr>
              <w:instrText xml:space="preserve"> PAGEREF _Toc490734225 \h </w:instrText>
            </w:r>
            <w:r w:rsidR="0016289A" w:rsidRPr="00D663C9">
              <w:rPr>
                <w:i w:val="0"/>
                <w:noProof/>
                <w:webHidden/>
              </w:rPr>
            </w:r>
            <w:r w:rsidR="0016289A" w:rsidRPr="00D663C9">
              <w:rPr>
                <w:i w:val="0"/>
                <w:noProof/>
                <w:webHidden/>
              </w:rPr>
              <w:fldChar w:fldCharType="separate"/>
            </w:r>
            <w:r w:rsidR="00AF744F">
              <w:rPr>
                <w:i w:val="0"/>
                <w:noProof/>
                <w:webHidden/>
              </w:rPr>
              <w:t>6</w:t>
            </w:r>
            <w:r w:rsidR="0016289A" w:rsidRPr="00D663C9">
              <w:rPr>
                <w:i w:val="0"/>
                <w:noProof/>
                <w:webHidden/>
              </w:rPr>
              <w:fldChar w:fldCharType="end"/>
            </w:r>
          </w:hyperlink>
        </w:p>
        <w:p w:rsidR="0016289A" w:rsidRDefault="00FF42EE" w:rsidP="00D663C9">
          <w:pPr>
            <w:pStyle w:val="Saturs2"/>
            <w:tabs>
              <w:tab w:val="right" w:leader="dot" w:pos="9065"/>
            </w:tabs>
            <w:ind w:left="284" w:firstLine="0"/>
            <w:rPr>
              <w:rFonts w:asciiTheme="minorHAnsi" w:eastAsiaTheme="minorEastAsia" w:hAnsiTheme="minorHAnsi"/>
              <w:i w:val="0"/>
              <w:noProof/>
              <w:sz w:val="22"/>
              <w:szCs w:val="22"/>
              <w:lang w:bidi="ar-SA"/>
            </w:rPr>
          </w:pPr>
          <w:hyperlink w:anchor="_Toc490734226" w:history="1">
            <w:r w:rsidR="0016289A" w:rsidRPr="00F34D76">
              <w:rPr>
                <w:rStyle w:val="Hipersaite"/>
                <w:noProof/>
              </w:rPr>
              <w:t>1.2. Pārejas periodi (IT un tiesiskais)</w:t>
            </w:r>
            <w:r w:rsidR="0016289A">
              <w:rPr>
                <w:noProof/>
                <w:webHidden/>
              </w:rPr>
              <w:tab/>
            </w:r>
            <w:r w:rsidR="0016289A" w:rsidRPr="00D663C9">
              <w:rPr>
                <w:i w:val="0"/>
                <w:noProof/>
                <w:webHidden/>
              </w:rPr>
              <w:fldChar w:fldCharType="begin"/>
            </w:r>
            <w:r w:rsidR="0016289A" w:rsidRPr="00D663C9">
              <w:rPr>
                <w:i w:val="0"/>
                <w:noProof/>
                <w:webHidden/>
              </w:rPr>
              <w:instrText xml:space="preserve"> PAGEREF _Toc490734226 \h </w:instrText>
            </w:r>
            <w:r w:rsidR="0016289A" w:rsidRPr="00D663C9">
              <w:rPr>
                <w:i w:val="0"/>
                <w:noProof/>
                <w:webHidden/>
              </w:rPr>
            </w:r>
            <w:r w:rsidR="0016289A" w:rsidRPr="00D663C9">
              <w:rPr>
                <w:i w:val="0"/>
                <w:noProof/>
                <w:webHidden/>
              </w:rPr>
              <w:fldChar w:fldCharType="separate"/>
            </w:r>
            <w:r w:rsidR="00AF744F">
              <w:rPr>
                <w:i w:val="0"/>
                <w:noProof/>
                <w:webHidden/>
              </w:rPr>
              <w:t>6</w:t>
            </w:r>
            <w:r w:rsidR="0016289A" w:rsidRPr="00D663C9">
              <w:rPr>
                <w:i w:val="0"/>
                <w:noProof/>
                <w:webHidden/>
              </w:rPr>
              <w:fldChar w:fldCharType="end"/>
            </w:r>
          </w:hyperlink>
        </w:p>
        <w:p w:rsidR="0016289A" w:rsidRDefault="00FF42EE" w:rsidP="00D663C9">
          <w:pPr>
            <w:pStyle w:val="Saturs2"/>
            <w:tabs>
              <w:tab w:val="right" w:leader="dot" w:pos="9065"/>
            </w:tabs>
            <w:ind w:left="284" w:firstLine="0"/>
            <w:rPr>
              <w:rFonts w:asciiTheme="minorHAnsi" w:eastAsiaTheme="minorEastAsia" w:hAnsiTheme="minorHAnsi"/>
              <w:i w:val="0"/>
              <w:noProof/>
              <w:sz w:val="22"/>
              <w:szCs w:val="22"/>
              <w:lang w:bidi="ar-SA"/>
            </w:rPr>
          </w:pPr>
          <w:hyperlink w:anchor="_Toc490734228" w:history="1">
            <w:r w:rsidR="0016289A" w:rsidRPr="00F34D76">
              <w:rPr>
                <w:rStyle w:val="Hipersaite"/>
                <w:noProof/>
              </w:rPr>
              <w:t>1.3. V sadaļas vienkāršojumi</w:t>
            </w:r>
            <w:r w:rsidR="0016289A">
              <w:rPr>
                <w:noProof/>
                <w:webHidden/>
              </w:rPr>
              <w:tab/>
            </w:r>
            <w:r w:rsidR="0016289A" w:rsidRPr="00D663C9">
              <w:rPr>
                <w:i w:val="0"/>
                <w:noProof/>
                <w:webHidden/>
              </w:rPr>
              <w:fldChar w:fldCharType="begin"/>
            </w:r>
            <w:r w:rsidR="0016289A" w:rsidRPr="00D663C9">
              <w:rPr>
                <w:i w:val="0"/>
                <w:noProof/>
                <w:webHidden/>
              </w:rPr>
              <w:instrText xml:space="preserve"> PAGEREF _Toc490734228 \h </w:instrText>
            </w:r>
            <w:r w:rsidR="0016289A" w:rsidRPr="00D663C9">
              <w:rPr>
                <w:i w:val="0"/>
                <w:noProof/>
                <w:webHidden/>
              </w:rPr>
            </w:r>
            <w:r w:rsidR="0016289A" w:rsidRPr="00D663C9">
              <w:rPr>
                <w:i w:val="0"/>
                <w:noProof/>
                <w:webHidden/>
              </w:rPr>
              <w:fldChar w:fldCharType="separate"/>
            </w:r>
            <w:r w:rsidR="00AF744F">
              <w:rPr>
                <w:i w:val="0"/>
                <w:noProof/>
                <w:webHidden/>
              </w:rPr>
              <w:t>7</w:t>
            </w:r>
            <w:r w:rsidR="0016289A" w:rsidRPr="00D663C9">
              <w:rPr>
                <w:i w:val="0"/>
                <w:noProof/>
                <w:webHidden/>
              </w:rPr>
              <w:fldChar w:fldCharType="end"/>
            </w:r>
          </w:hyperlink>
        </w:p>
        <w:p w:rsidR="0016289A" w:rsidRDefault="00FF42EE" w:rsidP="00D663C9">
          <w:pPr>
            <w:pStyle w:val="Saturs2"/>
            <w:tabs>
              <w:tab w:val="right" w:leader="dot" w:pos="9065"/>
            </w:tabs>
            <w:ind w:left="284" w:firstLine="0"/>
            <w:rPr>
              <w:rFonts w:asciiTheme="minorHAnsi" w:eastAsiaTheme="minorEastAsia" w:hAnsiTheme="minorHAnsi"/>
              <w:i w:val="0"/>
              <w:noProof/>
              <w:sz w:val="22"/>
              <w:szCs w:val="22"/>
              <w:lang w:bidi="ar-SA"/>
            </w:rPr>
          </w:pPr>
          <w:hyperlink w:anchor="_Toc490734229" w:history="1">
            <w:r w:rsidR="0016289A" w:rsidRPr="00F34D76">
              <w:rPr>
                <w:rStyle w:val="Hipersaite"/>
                <w:noProof/>
              </w:rPr>
              <w:t>1.4. Šā dokumenta mērķis un darbības joma</w:t>
            </w:r>
            <w:r w:rsidR="0016289A">
              <w:rPr>
                <w:noProof/>
                <w:webHidden/>
              </w:rPr>
              <w:tab/>
            </w:r>
            <w:r w:rsidR="0016289A" w:rsidRPr="00D663C9">
              <w:rPr>
                <w:i w:val="0"/>
                <w:noProof/>
                <w:webHidden/>
              </w:rPr>
              <w:fldChar w:fldCharType="begin"/>
            </w:r>
            <w:r w:rsidR="0016289A" w:rsidRPr="00D663C9">
              <w:rPr>
                <w:i w:val="0"/>
                <w:noProof/>
                <w:webHidden/>
              </w:rPr>
              <w:instrText xml:space="preserve"> PAGEREF _Toc490734229 \h </w:instrText>
            </w:r>
            <w:r w:rsidR="0016289A" w:rsidRPr="00D663C9">
              <w:rPr>
                <w:i w:val="0"/>
                <w:noProof/>
                <w:webHidden/>
              </w:rPr>
            </w:r>
            <w:r w:rsidR="0016289A" w:rsidRPr="00D663C9">
              <w:rPr>
                <w:i w:val="0"/>
                <w:noProof/>
                <w:webHidden/>
              </w:rPr>
              <w:fldChar w:fldCharType="separate"/>
            </w:r>
            <w:r w:rsidR="00AF744F">
              <w:rPr>
                <w:i w:val="0"/>
                <w:noProof/>
                <w:webHidden/>
              </w:rPr>
              <w:t>7</w:t>
            </w:r>
            <w:r w:rsidR="0016289A" w:rsidRPr="00D663C9">
              <w:rPr>
                <w:i w:val="0"/>
                <w:noProof/>
                <w:webHidden/>
              </w:rPr>
              <w:fldChar w:fldCharType="end"/>
            </w:r>
          </w:hyperlink>
        </w:p>
        <w:p w:rsidR="0016289A" w:rsidRDefault="00FF42EE" w:rsidP="00D663C9">
          <w:pPr>
            <w:pStyle w:val="Saturs2"/>
            <w:tabs>
              <w:tab w:val="right" w:leader="dot" w:pos="9065"/>
            </w:tabs>
            <w:ind w:left="709" w:firstLine="0"/>
            <w:rPr>
              <w:rFonts w:asciiTheme="minorHAnsi" w:eastAsiaTheme="minorEastAsia" w:hAnsiTheme="minorHAnsi"/>
              <w:i w:val="0"/>
              <w:noProof/>
              <w:sz w:val="22"/>
              <w:szCs w:val="22"/>
              <w:lang w:bidi="ar-SA"/>
            </w:rPr>
          </w:pPr>
          <w:hyperlink w:anchor="_Toc490734230" w:history="1">
            <w:r w:rsidR="0016289A" w:rsidRPr="00F34D76">
              <w:rPr>
                <w:rStyle w:val="Hipersaite"/>
                <w:noProof/>
              </w:rPr>
              <w:t>1.4.1. Mērķis</w:t>
            </w:r>
            <w:r w:rsidR="0016289A">
              <w:rPr>
                <w:noProof/>
                <w:webHidden/>
              </w:rPr>
              <w:tab/>
            </w:r>
            <w:r w:rsidR="0016289A" w:rsidRPr="00D663C9">
              <w:rPr>
                <w:i w:val="0"/>
                <w:noProof/>
                <w:webHidden/>
              </w:rPr>
              <w:fldChar w:fldCharType="begin"/>
            </w:r>
            <w:r w:rsidR="0016289A" w:rsidRPr="00D663C9">
              <w:rPr>
                <w:i w:val="0"/>
                <w:noProof/>
                <w:webHidden/>
              </w:rPr>
              <w:instrText xml:space="preserve"> PAGEREF _Toc490734230 \h </w:instrText>
            </w:r>
            <w:r w:rsidR="0016289A" w:rsidRPr="00D663C9">
              <w:rPr>
                <w:i w:val="0"/>
                <w:noProof/>
                <w:webHidden/>
              </w:rPr>
            </w:r>
            <w:r w:rsidR="0016289A" w:rsidRPr="00D663C9">
              <w:rPr>
                <w:i w:val="0"/>
                <w:noProof/>
                <w:webHidden/>
              </w:rPr>
              <w:fldChar w:fldCharType="separate"/>
            </w:r>
            <w:r w:rsidR="00AF744F">
              <w:rPr>
                <w:i w:val="0"/>
                <w:noProof/>
                <w:webHidden/>
              </w:rPr>
              <w:t>7</w:t>
            </w:r>
            <w:r w:rsidR="0016289A" w:rsidRPr="00D663C9">
              <w:rPr>
                <w:i w:val="0"/>
                <w:noProof/>
                <w:webHidden/>
              </w:rPr>
              <w:fldChar w:fldCharType="end"/>
            </w:r>
          </w:hyperlink>
        </w:p>
        <w:p w:rsidR="0016289A" w:rsidRDefault="00FF42EE" w:rsidP="00D663C9">
          <w:pPr>
            <w:pStyle w:val="Saturs2"/>
            <w:tabs>
              <w:tab w:val="right" w:leader="dot" w:pos="9065"/>
            </w:tabs>
            <w:ind w:left="709" w:firstLine="0"/>
            <w:rPr>
              <w:rFonts w:asciiTheme="minorHAnsi" w:eastAsiaTheme="minorEastAsia" w:hAnsiTheme="minorHAnsi"/>
              <w:i w:val="0"/>
              <w:noProof/>
              <w:sz w:val="22"/>
              <w:szCs w:val="22"/>
              <w:lang w:bidi="ar-SA"/>
            </w:rPr>
          </w:pPr>
          <w:hyperlink w:anchor="_Toc490734231" w:history="1">
            <w:r w:rsidR="0016289A" w:rsidRPr="00F34D76">
              <w:rPr>
                <w:rStyle w:val="Hipersaite"/>
                <w:noProof/>
              </w:rPr>
              <w:t>1.4.2. Darbības joma</w:t>
            </w:r>
            <w:r w:rsidR="0016289A">
              <w:rPr>
                <w:noProof/>
                <w:webHidden/>
              </w:rPr>
              <w:tab/>
            </w:r>
            <w:r w:rsidR="0016289A" w:rsidRPr="00D663C9">
              <w:rPr>
                <w:i w:val="0"/>
                <w:noProof/>
                <w:webHidden/>
              </w:rPr>
              <w:fldChar w:fldCharType="begin"/>
            </w:r>
            <w:r w:rsidR="0016289A" w:rsidRPr="00D663C9">
              <w:rPr>
                <w:i w:val="0"/>
                <w:noProof/>
                <w:webHidden/>
              </w:rPr>
              <w:instrText xml:space="preserve"> PAGEREF _Toc490734231 \h </w:instrText>
            </w:r>
            <w:r w:rsidR="0016289A" w:rsidRPr="00D663C9">
              <w:rPr>
                <w:i w:val="0"/>
                <w:noProof/>
                <w:webHidden/>
              </w:rPr>
            </w:r>
            <w:r w:rsidR="0016289A" w:rsidRPr="00D663C9">
              <w:rPr>
                <w:i w:val="0"/>
                <w:noProof/>
                <w:webHidden/>
              </w:rPr>
              <w:fldChar w:fldCharType="separate"/>
            </w:r>
            <w:r w:rsidR="00AF744F">
              <w:rPr>
                <w:i w:val="0"/>
                <w:noProof/>
                <w:webHidden/>
              </w:rPr>
              <w:t>8</w:t>
            </w:r>
            <w:r w:rsidR="0016289A" w:rsidRPr="00D663C9">
              <w:rPr>
                <w:i w:val="0"/>
                <w:noProof/>
                <w:webHidden/>
              </w:rPr>
              <w:fldChar w:fldCharType="end"/>
            </w:r>
          </w:hyperlink>
        </w:p>
        <w:p w:rsidR="0016289A" w:rsidRDefault="00FF42EE" w:rsidP="00D663C9">
          <w:pPr>
            <w:pStyle w:val="Saturs1"/>
            <w:tabs>
              <w:tab w:val="right" w:leader="dot" w:pos="9065"/>
            </w:tabs>
            <w:ind w:left="0" w:firstLine="0"/>
            <w:rPr>
              <w:rFonts w:asciiTheme="minorHAnsi" w:eastAsiaTheme="minorEastAsia" w:hAnsiTheme="minorHAnsi"/>
              <w:noProof/>
              <w:sz w:val="22"/>
              <w:szCs w:val="22"/>
              <w:lang w:bidi="ar-SA"/>
            </w:rPr>
          </w:pPr>
          <w:hyperlink w:anchor="_Toc490734232" w:history="1">
            <w:r w:rsidR="0016289A" w:rsidRPr="00F34D76">
              <w:rPr>
                <w:rStyle w:val="Hipersaite"/>
                <w:noProof/>
              </w:rPr>
              <w:t>2. PIEMĒROJAMIE NOTEIKUMI JAUNIEM PIETEIKUMIEM UN ATĻAUJĀM NO 2016. GADA 1. MAIJA</w:t>
            </w:r>
            <w:r w:rsidR="0016289A">
              <w:rPr>
                <w:noProof/>
                <w:webHidden/>
              </w:rPr>
              <w:tab/>
            </w:r>
            <w:r w:rsidR="0016289A">
              <w:rPr>
                <w:noProof/>
                <w:webHidden/>
              </w:rPr>
              <w:fldChar w:fldCharType="begin"/>
            </w:r>
            <w:r w:rsidR="0016289A">
              <w:rPr>
                <w:noProof/>
                <w:webHidden/>
              </w:rPr>
              <w:instrText xml:space="preserve"> PAGEREF _Toc490734232 \h </w:instrText>
            </w:r>
            <w:r w:rsidR="0016289A">
              <w:rPr>
                <w:noProof/>
                <w:webHidden/>
              </w:rPr>
            </w:r>
            <w:r w:rsidR="0016289A">
              <w:rPr>
                <w:noProof/>
                <w:webHidden/>
              </w:rPr>
              <w:fldChar w:fldCharType="separate"/>
            </w:r>
            <w:r w:rsidR="00AF744F">
              <w:rPr>
                <w:noProof/>
                <w:webHidden/>
              </w:rPr>
              <w:t>8</w:t>
            </w:r>
            <w:r w:rsidR="0016289A">
              <w:rPr>
                <w:noProof/>
                <w:webHidden/>
              </w:rPr>
              <w:fldChar w:fldCharType="end"/>
            </w:r>
          </w:hyperlink>
        </w:p>
        <w:p w:rsidR="0016289A" w:rsidRDefault="00FF42EE" w:rsidP="00D663C9">
          <w:pPr>
            <w:pStyle w:val="Saturs2"/>
            <w:tabs>
              <w:tab w:val="right" w:leader="dot" w:pos="9065"/>
            </w:tabs>
            <w:ind w:left="284" w:firstLine="0"/>
            <w:rPr>
              <w:rFonts w:asciiTheme="minorHAnsi" w:eastAsiaTheme="minorEastAsia" w:hAnsiTheme="minorHAnsi"/>
              <w:i w:val="0"/>
              <w:noProof/>
              <w:sz w:val="22"/>
              <w:szCs w:val="22"/>
              <w:lang w:bidi="ar-SA"/>
            </w:rPr>
          </w:pPr>
          <w:hyperlink w:anchor="_Toc490734233" w:history="1">
            <w:r w:rsidR="0016289A" w:rsidRPr="00F34D76">
              <w:rPr>
                <w:rStyle w:val="Hipersaite"/>
                <w:noProof/>
              </w:rPr>
              <w:t>2.1. Visiem vienkāršojumiem kopīgās daļas</w:t>
            </w:r>
            <w:r w:rsidR="0016289A">
              <w:rPr>
                <w:noProof/>
                <w:webHidden/>
              </w:rPr>
              <w:tab/>
            </w:r>
            <w:r w:rsidR="0016289A" w:rsidRPr="00D663C9">
              <w:rPr>
                <w:i w:val="0"/>
                <w:noProof/>
                <w:webHidden/>
              </w:rPr>
              <w:fldChar w:fldCharType="begin"/>
            </w:r>
            <w:r w:rsidR="0016289A" w:rsidRPr="00D663C9">
              <w:rPr>
                <w:i w:val="0"/>
                <w:noProof/>
                <w:webHidden/>
              </w:rPr>
              <w:instrText xml:space="preserve"> PAGEREF _Toc490734233 \h </w:instrText>
            </w:r>
            <w:r w:rsidR="0016289A" w:rsidRPr="00D663C9">
              <w:rPr>
                <w:i w:val="0"/>
                <w:noProof/>
                <w:webHidden/>
              </w:rPr>
            </w:r>
            <w:r w:rsidR="0016289A" w:rsidRPr="00D663C9">
              <w:rPr>
                <w:i w:val="0"/>
                <w:noProof/>
                <w:webHidden/>
              </w:rPr>
              <w:fldChar w:fldCharType="separate"/>
            </w:r>
            <w:r w:rsidR="00AF744F">
              <w:rPr>
                <w:i w:val="0"/>
                <w:noProof/>
                <w:webHidden/>
              </w:rPr>
              <w:t>8</w:t>
            </w:r>
            <w:r w:rsidR="0016289A" w:rsidRPr="00D663C9">
              <w:rPr>
                <w:i w:val="0"/>
                <w:noProof/>
                <w:webHidden/>
              </w:rPr>
              <w:fldChar w:fldCharType="end"/>
            </w:r>
          </w:hyperlink>
        </w:p>
        <w:p w:rsidR="0016289A" w:rsidRDefault="00FF42EE" w:rsidP="00D663C9">
          <w:pPr>
            <w:pStyle w:val="Saturs2"/>
            <w:tabs>
              <w:tab w:val="right" w:leader="dot" w:pos="9065"/>
            </w:tabs>
            <w:ind w:left="709" w:firstLine="0"/>
            <w:rPr>
              <w:rFonts w:asciiTheme="minorHAnsi" w:eastAsiaTheme="minorEastAsia" w:hAnsiTheme="minorHAnsi"/>
              <w:i w:val="0"/>
              <w:noProof/>
              <w:sz w:val="22"/>
              <w:szCs w:val="22"/>
              <w:lang w:bidi="ar-SA"/>
            </w:rPr>
          </w:pPr>
          <w:hyperlink w:anchor="_Toc490734234" w:history="1">
            <w:r w:rsidR="0016289A" w:rsidRPr="00F34D76">
              <w:rPr>
                <w:rStyle w:val="Hipersaite"/>
                <w:noProof/>
              </w:rPr>
              <w:t>2.1.1. Pieteikuma iesniedzējs</w:t>
            </w:r>
            <w:r w:rsidR="0016289A">
              <w:rPr>
                <w:noProof/>
                <w:webHidden/>
              </w:rPr>
              <w:tab/>
            </w:r>
            <w:r w:rsidR="0016289A" w:rsidRPr="00D663C9">
              <w:rPr>
                <w:i w:val="0"/>
                <w:noProof/>
                <w:webHidden/>
              </w:rPr>
              <w:fldChar w:fldCharType="begin"/>
            </w:r>
            <w:r w:rsidR="0016289A" w:rsidRPr="00D663C9">
              <w:rPr>
                <w:i w:val="0"/>
                <w:noProof/>
                <w:webHidden/>
              </w:rPr>
              <w:instrText xml:space="preserve"> PAGEREF _Toc490734234 \h </w:instrText>
            </w:r>
            <w:r w:rsidR="0016289A" w:rsidRPr="00D663C9">
              <w:rPr>
                <w:i w:val="0"/>
                <w:noProof/>
                <w:webHidden/>
              </w:rPr>
            </w:r>
            <w:r w:rsidR="0016289A" w:rsidRPr="00D663C9">
              <w:rPr>
                <w:i w:val="0"/>
                <w:noProof/>
                <w:webHidden/>
              </w:rPr>
              <w:fldChar w:fldCharType="separate"/>
            </w:r>
            <w:r w:rsidR="00AF744F">
              <w:rPr>
                <w:i w:val="0"/>
                <w:noProof/>
                <w:webHidden/>
              </w:rPr>
              <w:t>8</w:t>
            </w:r>
            <w:r w:rsidR="0016289A" w:rsidRPr="00D663C9">
              <w:rPr>
                <w:i w:val="0"/>
                <w:noProof/>
                <w:webHidden/>
              </w:rPr>
              <w:fldChar w:fldCharType="end"/>
            </w:r>
          </w:hyperlink>
        </w:p>
        <w:p w:rsidR="0016289A" w:rsidRDefault="00FF42EE" w:rsidP="00D663C9">
          <w:pPr>
            <w:pStyle w:val="Saturs2"/>
            <w:tabs>
              <w:tab w:val="right" w:leader="dot" w:pos="9065"/>
            </w:tabs>
            <w:ind w:left="709" w:firstLine="0"/>
            <w:rPr>
              <w:rFonts w:asciiTheme="minorHAnsi" w:eastAsiaTheme="minorEastAsia" w:hAnsiTheme="minorHAnsi"/>
              <w:i w:val="0"/>
              <w:noProof/>
              <w:sz w:val="22"/>
              <w:szCs w:val="22"/>
              <w:lang w:bidi="ar-SA"/>
            </w:rPr>
          </w:pPr>
          <w:hyperlink w:anchor="_Toc490734237" w:history="1">
            <w:r w:rsidR="0016289A" w:rsidRPr="00F34D76">
              <w:rPr>
                <w:rStyle w:val="Hipersaite"/>
                <w:noProof/>
              </w:rPr>
              <w:t>2.1.2. Pieteikuma iesniegšanas un pieņemšanas posmi</w:t>
            </w:r>
            <w:r w:rsidR="0016289A">
              <w:rPr>
                <w:noProof/>
                <w:webHidden/>
              </w:rPr>
              <w:tab/>
            </w:r>
            <w:r w:rsidR="0016289A" w:rsidRPr="00D663C9">
              <w:rPr>
                <w:i w:val="0"/>
                <w:noProof/>
                <w:webHidden/>
              </w:rPr>
              <w:fldChar w:fldCharType="begin"/>
            </w:r>
            <w:r w:rsidR="0016289A" w:rsidRPr="00D663C9">
              <w:rPr>
                <w:i w:val="0"/>
                <w:noProof/>
                <w:webHidden/>
              </w:rPr>
              <w:instrText xml:space="preserve"> PAGEREF _Toc490734237 \h </w:instrText>
            </w:r>
            <w:r w:rsidR="0016289A" w:rsidRPr="00D663C9">
              <w:rPr>
                <w:i w:val="0"/>
                <w:noProof/>
                <w:webHidden/>
              </w:rPr>
            </w:r>
            <w:r w:rsidR="0016289A" w:rsidRPr="00D663C9">
              <w:rPr>
                <w:i w:val="0"/>
                <w:noProof/>
                <w:webHidden/>
              </w:rPr>
              <w:fldChar w:fldCharType="separate"/>
            </w:r>
            <w:r w:rsidR="00AF744F">
              <w:rPr>
                <w:i w:val="0"/>
                <w:noProof/>
                <w:webHidden/>
              </w:rPr>
              <w:t>9</w:t>
            </w:r>
            <w:r w:rsidR="0016289A" w:rsidRPr="00D663C9">
              <w:rPr>
                <w:i w:val="0"/>
                <w:noProof/>
                <w:webHidden/>
              </w:rPr>
              <w:fldChar w:fldCharType="end"/>
            </w:r>
          </w:hyperlink>
        </w:p>
        <w:p w:rsidR="0016289A" w:rsidRDefault="00FF42EE" w:rsidP="00D663C9">
          <w:pPr>
            <w:pStyle w:val="Saturs2"/>
            <w:tabs>
              <w:tab w:val="right" w:leader="dot" w:pos="9065"/>
            </w:tabs>
            <w:ind w:left="709" w:firstLine="0"/>
            <w:rPr>
              <w:rFonts w:asciiTheme="minorHAnsi" w:eastAsiaTheme="minorEastAsia" w:hAnsiTheme="minorHAnsi"/>
              <w:i w:val="0"/>
              <w:noProof/>
              <w:sz w:val="22"/>
              <w:szCs w:val="22"/>
              <w:lang w:bidi="ar-SA"/>
            </w:rPr>
          </w:pPr>
          <w:hyperlink w:anchor="_Toc490734240" w:history="1">
            <w:r w:rsidR="0016289A" w:rsidRPr="00F34D76">
              <w:rPr>
                <w:rStyle w:val="Hipersaite"/>
                <w:noProof/>
              </w:rPr>
              <w:t>2.1.3. Iepriekšējs audits</w:t>
            </w:r>
            <w:r w:rsidR="0016289A">
              <w:rPr>
                <w:noProof/>
                <w:webHidden/>
              </w:rPr>
              <w:tab/>
            </w:r>
            <w:r w:rsidR="0016289A" w:rsidRPr="00D663C9">
              <w:rPr>
                <w:i w:val="0"/>
                <w:noProof/>
                <w:webHidden/>
              </w:rPr>
              <w:fldChar w:fldCharType="begin"/>
            </w:r>
            <w:r w:rsidR="0016289A" w:rsidRPr="00D663C9">
              <w:rPr>
                <w:i w:val="0"/>
                <w:noProof/>
                <w:webHidden/>
              </w:rPr>
              <w:instrText xml:space="preserve"> PAGEREF _Toc490734240 \h </w:instrText>
            </w:r>
            <w:r w:rsidR="0016289A" w:rsidRPr="00D663C9">
              <w:rPr>
                <w:i w:val="0"/>
                <w:noProof/>
                <w:webHidden/>
              </w:rPr>
            </w:r>
            <w:r w:rsidR="0016289A" w:rsidRPr="00D663C9">
              <w:rPr>
                <w:i w:val="0"/>
                <w:noProof/>
                <w:webHidden/>
              </w:rPr>
              <w:fldChar w:fldCharType="separate"/>
            </w:r>
            <w:r w:rsidR="00AF744F">
              <w:rPr>
                <w:i w:val="0"/>
                <w:noProof/>
                <w:webHidden/>
              </w:rPr>
              <w:t>10</w:t>
            </w:r>
            <w:r w:rsidR="0016289A" w:rsidRPr="00D663C9">
              <w:rPr>
                <w:i w:val="0"/>
                <w:noProof/>
                <w:webHidden/>
              </w:rPr>
              <w:fldChar w:fldCharType="end"/>
            </w:r>
          </w:hyperlink>
        </w:p>
        <w:p w:rsidR="0016289A" w:rsidRDefault="00FF42EE" w:rsidP="00D663C9">
          <w:pPr>
            <w:pStyle w:val="Saturs2"/>
            <w:tabs>
              <w:tab w:val="right" w:leader="dot" w:pos="9065"/>
            </w:tabs>
            <w:ind w:left="709" w:firstLine="0"/>
            <w:rPr>
              <w:rFonts w:asciiTheme="minorHAnsi" w:eastAsiaTheme="minorEastAsia" w:hAnsiTheme="minorHAnsi"/>
              <w:i w:val="0"/>
              <w:noProof/>
              <w:sz w:val="22"/>
              <w:szCs w:val="22"/>
              <w:lang w:bidi="ar-SA"/>
            </w:rPr>
          </w:pPr>
          <w:hyperlink w:anchor="_Toc490734245" w:history="1">
            <w:r w:rsidR="0016289A" w:rsidRPr="00F34D76">
              <w:rPr>
                <w:rStyle w:val="Hipersaite"/>
                <w:noProof/>
              </w:rPr>
              <w:t>2.1.4. Galvojums</w:t>
            </w:r>
            <w:r w:rsidR="0016289A">
              <w:rPr>
                <w:noProof/>
                <w:webHidden/>
              </w:rPr>
              <w:tab/>
            </w:r>
            <w:r w:rsidR="0016289A" w:rsidRPr="00D663C9">
              <w:rPr>
                <w:i w:val="0"/>
                <w:noProof/>
                <w:webHidden/>
              </w:rPr>
              <w:fldChar w:fldCharType="begin"/>
            </w:r>
            <w:r w:rsidR="0016289A" w:rsidRPr="00D663C9">
              <w:rPr>
                <w:i w:val="0"/>
                <w:noProof/>
                <w:webHidden/>
              </w:rPr>
              <w:instrText xml:space="preserve"> PAGEREF _Toc490734245 \h </w:instrText>
            </w:r>
            <w:r w:rsidR="0016289A" w:rsidRPr="00D663C9">
              <w:rPr>
                <w:i w:val="0"/>
                <w:noProof/>
                <w:webHidden/>
              </w:rPr>
            </w:r>
            <w:r w:rsidR="0016289A" w:rsidRPr="00D663C9">
              <w:rPr>
                <w:i w:val="0"/>
                <w:noProof/>
                <w:webHidden/>
              </w:rPr>
              <w:fldChar w:fldCharType="separate"/>
            </w:r>
            <w:r w:rsidR="00AF744F">
              <w:rPr>
                <w:i w:val="0"/>
                <w:noProof/>
                <w:webHidden/>
              </w:rPr>
              <w:t>12</w:t>
            </w:r>
            <w:r w:rsidR="0016289A" w:rsidRPr="00D663C9">
              <w:rPr>
                <w:i w:val="0"/>
                <w:noProof/>
                <w:webHidden/>
              </w:rPr>
              <w:fldChar w:fldCharType="end"/>
            </w:r>
          </w:hyperlink>
        </w:p>
        <w:p w:rsidR="0016289A" w:rsidRDefault="00FF42EE" w:rsidP="00D663C9">
          <w:pPr>
            <w:pStyle w:val="Saturs2"/>
            <w:tabs>
              <w:tab w:val="right" w:leader="dot" w:pos="9065"/>
            </w:tabs>
            <w:ind w:left="709" w:firstLine="0"/>
            <w:rPr>
              <w:rFonts w:asciiTheme="minorHAnsi" w:eastAsiaTheme="minorEastAsia" w:hAnsiTheme="minorHAnsi"/>
              <w:i w:val="0"/>
              <w:noProof/>
              <w:sz w:val="22"/>
              <w:szCs w:val="22"/>
              <w:lang w:bidi="ar-SA"/>
            </w:rPr>
          </w:pPr>
          <w:hyperlink w:anchor="_Toc490734246" w:history="1">
            <w:r w:rsidR="0016289A" w:rsidRPr="00F34D76">
              <w:rPr>
                <w:rStyle w:val="Hipersaite"/>
                <w:noProof/>
              </w:rPr>
              <w:t>2.1.5. Vispārēja kontroles pieeja</w:t>
            </w:r>
            <w:r w:rsidR="0016289A">
              <w:rPr>
                <w:noProof/>
                <w:webHidden/>
              </w:rPr>
              <w:tab/>
            </w:r>
            <w:r w:rsidR="0016289A" w:rsidRPr="00D663C9">
              <w:rPr>
                <w:i w:val="0"/>
                <w:noProof/>
                <w:webHidden/>
              </w:rPr>
              <w:fldChar w:fldCharType="begin"/>
            </w:r>
            <w:r w:rsidR="0016289A" w:rsidRPr="00D663C9">
              <w:rPr>
                <w:i w:val="0"/>
                <w:noProof/>
                <w:webHidden/>
              </w:rPr>
              <w:instrText xml:space="preserve"> PAGEREF _Toc490734246 \h </w:instrText>
            </w:r>
            <w:r w:rsidR="0016289A" w:rsidRPr="00D663C9">
              <w:rPr>
                <w:i w:val="0"/>
                <w:noProof/>
                <w:webHidden/>
              </w:rPr>
            </w:r>
            <w:r w:rsidR="0016289A" w:rsidRPr="00D663C9">
              <w:rPr>
                <w:i w:val="0"/>
                <w:noProof/>
                <w:webHidden/>
              </w:rPr>
              <w:fldChar w:fldCharType="separate"/>
            </w:r>
            <w:r w:rsidR="00AF744F">
              <w:rPr>
                <w:i w:val="0"/>
                <w:noProof/>
                <w:webHidden/>
              </w:rPr>
              <w:t>13</w:t>
            </w:r>
            <w:r w:rsidR="0016289A" w:rsidRPr="00D663C9">
              <w:rPr>
                <w:i w:val="0"/>
                <w:noProof/>
                <w:webHidden/>
              </w:rPr>
              <w:fldChar w:fldCharType="end"/>
            </w:r>
          </w:hyperlink>
        </w:p>
        <w:p w:rsidR="0016289A" w:rsidRDefault="00FF42EE" w:rsidP="00D663C9">
          <w:pPr>
            <w:pStyle w:val="Saturs2"/>
            <w:tabs>
              <w:tab w:val="right" w:leader="dot" w:pos="9065"/>
            </w:tabs>
            <w:ind w:left="709" w:firstLine="0"/>
            <w:rPr>
              <w:rFonts w:asciiTheme="minorHAnsi" w:eastAsiaTheme="minorEastAsia" w:hAnsiTheme="minorHAnsi"/>
              <w:i w:val="0"/>
              <w:noProof/>
              <w:sz w:val="22"/>
              <w:szCs w:val="22"/>
              <w:lang w:bidi="ar-SA"/>
            </w:rPr>
          </w:pPr>
          <w:hyperlink w:anchor="_Toc490734247" w:history="1">
            <w:r w:rsidR="0016289A" w:rsidRPr="00F34D76">
              <w:rPr>
                <w:rStyle w:val="Hipersaite"/>
                <w:noProof/>
              </w:rPr>
              <w:t>2.1.6. Atļaujas pārraudzība un darbību uzraudzība</w:t>
            </w:r>
            <w:r w:rsidR="0016289A">
              <w:rPr>
                <w:noProof/>
                <w:webHidden/>
              </w:rPr>
              <w:tab/>
            </w:r>
            <w:r w:rsidR="0016289A" w:rsidRPr="00D663C9">
              <w:rPr>
                <w:i w:val="0"/>
                <w:noProof/>
                <w:webHidden/>
              </w:rPr>
              <w:fldChar w:fldCharType="begin"/>
            </w:r>
            <w:r w:rsidR="0016289A" w:rsidRPr="00D663C9">
              <w:rPr>
                <w:i w:val="0"/>
                <w:noProof/>
                <w:webHidden/>
              </w:rPr>
              <w:instrText xml:space="preserve"> PAGEREF _Toc490734247 \h </w:instrText>
            </w:r>
            <w:r w:rsidR="0016289A" w:rsidRPr="00D663C9">
              <w:rPr>
                <w:i w:val="0"/>
                <w:noProof/>
                <w:webHidden/>
              </w:rPr>
            </w:r>
            <w:r w:rsidR="0016289A" w:rsidRPr="00D663C9">
              <w:rPr>
                <w:i w:val="0"/>
                <w:noProof/>
                <w:webHidden/>
              </w:rPr>
              <w:fldChar w:fldCharType="separate"/>
            </w:r>
            <w:r w:rsidR="00AF744F">
              <w:rPr>
                <w:i w:val="0"/>
                <w:noProof/>
                <w:webHidden/>
              </w:rPr>
              <w:t>13</w:t>
            </w:r>
            <w:r w:rsidR="0016289A" w:rsidRPr="00D663C9">
              <w:rPr>
                <w:i w:val="0"/>
                <w:noProof/>
                <w:webHidden/>
              </w:rPr>
              <w:fldChar w:fldCharType="end"/>
            </w:r>
          </w:hyperlink>
        </w:p>
        <w:p w:rsidR="0016289A" w:rsidRDefault="00FF42EE" w:rsidP="00D663C9">
          <w:pPr>
            <w:pStyle w:val="Saturs2"/>
            <w:tabs>
              <w:tab w:val="right" w:leader="dot" w:pos="9065"/>
            </w:tabs>
            <w:ind w:left="709" w:firstLine="0"/>
            <w:rPr>
              <w:rFonts w:asciiTheme="minorHAnsi" w:eastAsiaTheme="minorEastAsia" w:hAnsiTheme="minorHAnsi"/>
              <w:i w:val="0"/>
              <w:noProof/>
              <w:sz w:val="22"/>
              <w:szCs w:val="22"/>
              <w:lang w:bidi="ar-SA"/>
            </w:rPr>
          </w:pPr>
          <w:hyperlink w:anchor="_Toc490734252" w:history="1">
            <w:r w:rsidR="0016289A" w:rsidRPr="00F34D76">
              <w:rPr>
                <w:rStyle w:val="Hipersaite"/>
                <w:noProof/>
              </w:rPr>
              <w:t>2.1.7. Aizliegumi un ierobežojumi</w:t>
            </w:r>
            <w:r w:rsidR="0016289A">
              <w:rPr>
                <w:noProof/>
                <w:webHidden/>
              </w:rPr>
              <w:tab/>
            </w:r>
            <w:r w:rsidR="0016289A" w:rsidRPr="00D663C9">
              <w:rPr>
                <w:i w:val="0"/>
                <w:noProof/>
                <w:webHidden/>
              </w:rPr>
              <w:fldChar w:fldCharType="begin"/>
            </w:r>
            <w:r w:rsidR="0016289A" w:rsidRPr="00D663C9">
              <w:rPr>
                <w:i w:val="0"/>
                <w:noProof/>
                <w:webHidden/>
              </w:rPr>
              <w:instrText xml:space="preserve"> PAGEREF _Toc490734252 \h </w:instrText>
            </w:r>
            <w:r w:rsidR="0016289A" w:rsidRPr="00D663C9">
              <w:rPr>
                <w:i w:val="0"/>
                <w:noProof/>
                <w:webHidden/>
              </w:rPr>
            </w:r>
            <w:r w:rsidR="0016289A" w:rsidRPr="00D663C9">
              <w:rPr>
                <w:i w:val="0"/>
                <w:noProof/>
                <w:webHidden/>
              </w:rPr>
              <w:fldChar w:fldCharType="separate"/>
            </w:r>
            <w:r w:rsidR="00AF744F">
              <w:rPr>
                <w:i w:val="0"/>
                <w:noProof/>
                <w:webHidden/>
              </w:rPr>
              <w:t>14</w:t>
            </w:r>
            <w:r w:rsidR="0016289A" w:rsidRPr="00D663C9">
              <w:rPr>
                <w:i w:val="0"/>
                <w:noProof/>
                <w:webHidden/>
              </w:rPr>
              <w:fldChar w:fldCharType="end"/>
            </w:r>
          </w:hyperlink>
        </w:p>
        <w:p w:rsidR="0016289A" w:rsidRDefault="00FF42EE" w:rsidP="00D663C9">
          <w:pPr>
            <w:pStyle w:val="Saturs2"/>
            <w:tabs>
              <w:tab w:val="right" w:leader="dot" w:pos="9065"/>
            </w:tabs>
            <w:ind w:left="709" w:firstLine="0"/>
            <w:rPr>
              <w:rFonts w:asciiTheme="minorHAnsi" w:eastAsiaTheme="minorEastAsia" w:hAnsiTheme="minorHAnsi"/>
              <w:i w:val="0"/>
              <w:noProof/>
              <w:sz w:val="22"/>
              <w:szCs w:val="22"/>
              <w:lang w:bidi="ar-SA"/>
            </w:rPr>
          </w:pPr>
          <w:hyperlink w:anchor="_Toc490734256" w:history="1">
            <w:r w:rsidR="0016289A" w:rsidRPr="00F34D76">
              <w:rPr>
                <w:rStyle w:val="Hipersaite"/>
                <w:noProof/>
              </w:rPr>
              <w:t>2.1.8. Apturēšana, atcelšana un anulēšana</w:t>
            </w:r>
            <w:r w:rsidR="0016289A">
              <w:rPr>
                <w:noProof/>
                <w:webHidden/>
              </w:rPr>
              <w:tab/>
            </w:r>
            <w:r w:rsidR="0016289A" w:rsidRPr="00D663C9">
              <w:rPr>
                <w:i w:val="0"/>
                <w:noProof/>
                <w:webHidden/>
              </w:rPr>
              <w:fldChar w:fldCharType="begin"/>
            </w:r>
            <w:r w:rsidR="0016289A" w:rsidRPr="00D663C9">
              <w:rPr>
                <w:i w:val="0"/>
                <w:noProof/>
                <w:webHidden/>
              </w:rPr>
              <w:instrText xml:space="preserve"> PAGEREF _Toc490734256 \h </w:instrText>
            </w:r>
            <w:r w:rsidR="0016289A" w:rsidRPr="00D663C9">
              <w:rPr>
                <w:i w:val="0"/>
                <w:noProof/>
                <w:webHidden/>
              </w:rPr>
            </w:r>
            <w:r w:rsidR="0016289A" w:rsidRPr="00D663C9">
              <w:rPr>
                <w:i w:val="0"/>
                <w:noProof/>
                <w:webHidden/>
              </w:rPr>
              <w:fldChar w:fldCharType="separate"/>
            </w:r>
            <w:r w:rsidR="00AF744F">
              <w:rPr>
                <w:i w:val="0"/>
                <w:noProof/>
                <w:webHidden/>
              </w:rPr>
              <w:t>15</w:t>
            </w:r>
            <w:r w:rsidR="0016289A" w:rsidRPr="00D663C9">
              <w:rPr>
                <w:i w:val="0"/>
                <w:noProof/>
                <w:webHidden/>
              </w:rPr>
              <w:fldChar w:fldCharType="end"/>
            </w:r>
          </w:hyperlink>
        </w:p>
        <w:p w:rsidR="0016289A" w:rsidRDefault="00FF42EE" w:rsidP="00D663C9">
          <w:pPr>
            <w:pStyle w:val="Saturs2"/>
            <w:tabs>
              <w:tab w:val="right" w:leader="dot" w:pos="9065"/>
            </w:tabs>
            <w:ind w:left="284" w:firstLine="0"/>
            <w:rPr>
              <w:rFonts w:asciiTheme="minorHAnsi" w:eastAsiaTheme="minorEastAsia" w:hAnsiTheme="minorHAnsi"/>
              <w:i w:val="0"/>
              <w:noProof/>
              <w:sz w:val="22"/>
              <w:szCs w:val="22"/>
              <w:lang w:bidi="ar-SA"/>
            </w:rPr>
          </w:pPr>
          <w:hyperlink w:anchor="_Toc490734260" w:history="1">
            <w:r w:rsidR="0016289A" w:rsidRPr="00F34D76">
              <w:rPr>
                <w:rStyle w:val="Hipersaite"/>
                <w:noProof/>
              </w:rPr>
              <w:t>2.2. Jauni pieteikumi attiecībā uz vienkāršoto deklarāciju</w:t>
            </w:r>
            <w:r w:rsidR="0016289A">
              <w:rPr>
                <w:noProof/>
                <w:webHidden/>
              </w:rPr>
              <w:tab/>
            </w:r>
            <w:r w:rsidR="0016289A" w:rsidRPr="00D663C9">
              <w:rPr>
                <w:i w:val="0"/>
                <w:noProof/>
                <w:webHidden/>
              </w:rPr>
              <w:fldChar w:fldCharType="begin"/>
            </w:r>
            <w:r w:rsidR="0016289A" w:rsidRPr="00D663C9">
              <w:rPr>
                <w:i w:val="0"/>
                <w:noProof/>
                <w:webHidden/>
              </w:rPr>
              <w:instrText xml:space="preserve"> PAGEREF _Toc490734260 \h </w:instrText>
            </w:r>
            <w:r w:rsidR="0016289A" w:rsidRPr="00D663C9">
              <w:rPr>
                <w:i w:val="0"/>
                <w:noProof/>
                <w:webHidden/>
              </w:rPr>
            </w:r>
            <w:r w:rsidR="0016289A" w:rsidRPr="00D663C9">
              <w:rPr>
                <w:i w:val="0"/>
                <w:noProof/>
                <w:webHidden/>
              </w:rPr>
              <w:fldChar w:fldCharType="separate"/>
            </w:r>
            <w:r w:rsidR="00AF744F">
              <w:rPr>
                <w:i w:val="0"/>
                <w:noProof/>
                <w:webHidden/>
              </w:rPr>
              <w:t>17</w:t>
            </w:r>
            <w:r w:rsidR="0016289A" w:rsidRPr="00D663C9">
              <w:rPr>
                <w:i w:val="0"/>
                <w:noProof/>
                <w:webHidden/>
              </w:rPr>
              <w:fldChar w:fldCharType="end"/>
            </w:r>
          </w:hyperlink>
        </w:p>
        <w:p w:rsidR="0016289A" w:rsidRPr="00D663C9" w:rsidRDefault="00FF42EE" w:rsidP="00D663C9">
          <w:pPr>
            <w:pStyle w:val="Saturs2"/>
            <w:tabs>
              <w:tab w:val="right" w:leader="dot" w:pos="9065"/>
            </w:tabs>
            <w:ind w:left="709" w:firstLine="0"/>
            <w:rPr>
              <w:rFonts w:asciiTheme="minorHAnsi" w:eastAsiaTheme="minorEastAsia" w:hAnsiTheme="minorHAnsi"/>
              <w:i w:val="0"/>
              <w:noProof/>
              <w:sz w:val="22"/>
              <w:szCs w:val="22"/>
              <w:lang w:bidi="ar-SA"/>
            </w:rPr>
          </w:pPr>
          <w:hyperlink w:anchor="_Toc490734261" w:history="1">
            <w:r w:rsidR="0016289A" w:rsidRPr="00D663C9">
              <w:rPr>
                <w:rStyle w:val="Hipersaite"/>
                <w:noProof/>
              </w:rPr>
              <w:t>2.2.1. Vienkāršotās deklarācijas veidi</w:t>
            </w:r>
            <w:r w:rsidR="0016289A" w:rsidRPr="00D663C9">
              <w:rPr>
                <w:i w:val="0"/>
                <w:noProof/>
                <w:webHidden/>
              </w:rPr>
              <w:tab/>
            </w:r>
            <w:r w:rsidR="0016289A" w:rsidRPr="00D663C9">
              <w:rPr>
                <w:i w:val="0"/>
                <w:noProof/>
                <w:webHidden/>
              </w:rPr>
              <w:fldChar w:fldCharType="begin"/>
            </w:r>
            <w:r w:rsidR="0016289A" w:rsidRPr="00D663C9">
              <w:rPr>
                <w:i w:val="0"/>
                <w:noProof/>
                <w:webHidden/>
              </w:rPr>
              <w:instrText xml:space="preserve"> PAGEREF _Toc490734261 \h </w:instrText>
            </w:r>
            <w:r w:rsidR="0016289A" w:rsidRPr="00D663C9">
              <w:rPr>
                <w:i w:val="0"/>
                <w:noProof/>
                <w:webHidden/>
              </w:rPr>
            </w:r>
            <w:r w:rsidR="0016289A" w:rsidRPr="00D663C9">
              <w:rPr>
                <w:i w:val="0"/>
                <w:noProof/>
                <w:webHidden/>
              </w:rPr>
              <w:fldChar w:fldCharType="separate"/>
            </w:r>
            <w:r w:rsidR="00AF744F">
              <w:rPr>
                <w:i w:val="0"/>
                <w:noProof/>
                <w:webHidden/>
              </w:rPr>
              <w:t>17</w:t>
            </w:r>
            <w:r w:rsidR="0016289A" w:rsidRPr="00D663C9">
              <w:rPr>
                <w:i w:val="0"/>
                <w:noProof/>
                <w:webHidden/>
              </w:rPr>
              <w:fldChar w:fldCharType="end"/>
            </w:r>
          </w:hyperlink>
        </w:p>
        <w:p w:rsidR="0016289A" w:rsidRDefault="00FF42EE" w:rsidP="00D663C9">
          <w:pPr>
            <w:pStyle w:val="Saturs2"/>
            <w:tabs>
              <w:tab w:val="right" w:leader="dot" w:pos="9065"/>
            </w:tabs>
            <w:ind w:left="709" w:firstLine="0"/>
            <w:rPr>
              <w:rFonts w:asciiTheme="minorHAnsi" w:eastAsiaTheme="minorEastAsia" w:hAnsiTheme="minorHAnsi"/>
              <w:i w:val="0"/>
              <w:noProof/>
              <w:sz w:val="22"/>
              <w:szCs w:val="22"/>
              <w:lang w:bidi="ar-SA"/>
            </w:rPr>
          </w:pPr>
          <w:hyperlink w:anchor="_Toc490734262" w:history="1">
            <w:r w:rsidR="0016289A" w:rsidRPr="00F34D76">
              <w:rPr>
                <w:rStyle w:val="Hipersaite"/>
                <w:noProof/>
              </w:rPr>
              <w:t>2.2.2. Vienkāršoto deklarāciju datu prasības</w:t>
            </w:r>
            <w:r w:rsidR="0016289A">
              <w:rPr>
                <w:noProof/>
                <w:webHidden/>
              </w:rPr>
              <w:tab/>
            </w:r>
            <w:r w:rsidR="0016289A" w:rsidRPr="00D663C9">
              <w:rPr>
                <w:i w:val="0"/>
                <w:noProof/>
                <w:webHidden/>
              </w:rPr>
              <w:fldChar w:fldCharType="begin"/>
            </w:r>
            <w:r w:rsidR="0016289A" w:rsidRPr="00D663C9">
              <w:rPr>
                <w:i w:val="0"/>
                <w:noProof/>
                <w:webHidden/>
              </w:rPr>
              <w:instrText xml:space="preserve"> PAGEREF _Toc490734262 \h </w:instrText>
            </w:r>
            <w:r w:rsidR="0016289A" w:rsidRPr="00D663C9">
              <w:rPr>
                <w:i w:val="0"/>
                <w:noProof/>
                <w:webHidden/>
              </w:rPr>
            </w:r>
            <w:r w:rsidR="0016289A" w:rsidRPr="00D663C9">
              <w:rPr>
                <w:i w:val="0"/>
                <w:noProof/>
                <w:webHidden/>
              </w:rPr>
              <w:fldChar w:fldCharType="separate"/>
            </w:r>
            <w:r w:rsidR="00AF744F">
              <w:rPr>
                <w:i w:val="0"/>
                <w:noProof/>
                <w:webHidden/>
              </w:rPr>
              <w:t>17</w:t>
            </w:r>
            <w:r w:rsidR="0016289A" w:rsidRPr="00D663C9">
              <w:rPr>
                <w:i w:val="0"/>
                <w:noProof/>
                <w:webHidden/>
              </w:rPr>
              <w:fldChar w:fldCharType="end"/>
            </w:r>
          </w:hyperlink>
        </w:p>
        <w:p w:rsidR="0016289A" w:rsidRDefault="00FF42EE" w:rsidP="00D663C9">
          <w:pPr>
            <w:pStyle w:val="Saturs2"/>
            <w:tabs>
              <w:tab w:val="right" w:leader="dot" w:pos="9065"/>
            </w:tabs>
            <w:ind w:left="709" w:firstLine="0"/>
            <w:rPr>
              <w:rFonts w:asciiTheme="minorHAnsi" w:eastAsiaTheme="minorEastAsia" w:hAnsiTheme="minorHAnsi"/>
              <w:i w:val="0"/>
              <w:noProof/>
              <w:sz w:val="22"/>
              <w:szCs w:val="22"/>
              <w:lang w:bidi="ar-SA"/>
            </w:rPr>
          </w:pPr>
          <w:hyperlink w:anchor="_Toc490734263" w:history="1">
            <w:r w:rsidR="0016289A" w:rsidRPr="00F34D76">
              <w:rPr>
                <w:rStyle w:val="Hipersaite"/>
                <w:noProof/>
              </w:rPr>
              <w:t>2.2.3. Nosacījumi un kritēriji atļaujas izsniegšanai saskaņā ar SMK un iepriekšējā auditā pārbaudāmie jautājumi</w:t>
            </w:r>
            <w:r w:rsidR="0016289A">
              <w:rPr>
                <w:noProof/>
                <w:webHidden/>
              </w:rPr>
              <w:tab/>
            </w:r>
            <w:r w:rsidR="0016289A" w:rsidRPr="00D663C9">
              <w:rPr>
                <w:i w:val="0"/>
                <w:noProof/>
                <w:webHidden/>
              </w:rPr>
              <w:fldChar w:fldCharType="begin"/>
            </w:r>
            <w:r w:rsidR="0016289A" w:rsidRPr="00D663C9">
              <w:rPr>
                <w:i w:val="0"/>
                <w:noProof/>
                <w:webHidden/>
              </w:rPr>
              <w:instrText xml:space="preserve"> PAGEREF _Toc490734263 \h </w:instrText>
            </w:r>
            <w:r w:rsidR="0016289A" w:rsidRPr="00D663C9">
              <w:rPr>
                <w:i w:val="0"/>
                <w:noProof/>
                <w:webHidden/>
              </w:rPr>
            </w:r>
            <w:r w:rsidR="0016289A" w:rsidRPr="00D663C9">
              <w:rPr>
                <w:i w:val="0"/>
                <w:noProof/>
                <w:webHidden/>
              </w:rPr>
              <w:fldChar w:fldCharType="separate"/>
            </w:r>
            <w:r w:rsidR="00AF744F">
              <w:rPr>
                <w:i w:val="0"/>
                <w:noProof/>
                <w:webHidden/>
              </w:rPr>
              <w:t>18</w:t>
            </w:r>
            <w:r w:rsidR="0016289A" w:rsidRPr="00D663C9">
              <w:rPr>
                <w:i w:val="0"/>
                <w:noProof/>
                <w:webHidden/>
              </w:rPr>
              <w:fldChar w:fldCharType="end"/>
            </w:r>
          </w:hyperlink>
        </w:p>
        <w:p w:rsidR="0016289A" w:rsidRDefault="00FF42EE" w:rsidP="00D663C9">
          <w:pPr>
            <w:pStyle w:val="Saturs2"/>
            <w:tabs>
              <w:tab w:val="right" w:leader="dot" w:pos="9065"/>
            </w:tabs>
            <w:ind w:left="709" w:firstLine="0"/>
            <w:rPr>
              <w:rFonts w:asciiTheme="minorHAnsi" w:eastAsiaTheme="minorEastAsia" w:hAnsiTheme="minorHAnsi"/>
              <w:i w:val="0"/>
              <w:noProof/>
              <w:sz w:val="22"/>
              <w:szCs w:val="22"/>
              <w:lang w:bidi="ar-SA"/>
            </w:rPr>
          </w:pPr>
          <w:hyperlink w:anchor="_Toc490734265" w:history="1">
            <w:r w:rsidR="0016289A" w:rsidRPr="00F34D76">
              <w:rPr>
                <w:rStyle w:val="Hipersaite"/>
                <w:noProof/>
              </w:rPr>
              <w:t>2.2.4. Papildu deklarācija</w:t>
            </w:r>
            <w:r w:rsidR="0016289A">
              <w:rPr>
                <w:noProof/>
                <w:webHidden/>
              </w:rPr>
              <w:tab/>
            </w:r>
            <w:r w:rsidR="0016289A" w:rsidRPr="00D663C9">
              <w:rPr>
                <w:i w:val="0"/>
                <w:noProof/>
                <w:webHidden/>
              </w:rPr>
              <w:fldChar w:fldCharType="begin"/>
            </w:r>
            <w:r w:rsidR="0016289A" w:rsidRPr="00D663C9">
              <w:rPr>
                <w:i w:val="0"/>
                <w:noProof/>
                <w:webHidden/>
              </w:rPr>
              <w:instrText xml:space="preserve"> PAGEREF _Toc490734265 \h </w:instrText>
            </w:r>
            <w:r w:rsidR="0016289A" w:rsidRPr="00D663C9">
              <w:rPr>
                <w:i w:val="0"/>
                <w:noProof/>
                <w:webHidden/>
              </w:rPr>
            </w:r>
            <w:r w:rsidR="0016289A" w:rsidRPr="00D663C9">
              <w:rPr>
                <w:i w:val="0"/>
                <w:noProof/>
                <w:webHidden/>
              </w:rPr>
              <w:fldChar w:fldCharType="separate"/>
            </w:r>
            <w:r w:rsidR="00AF744F">
              <w:rPr>
                <w:i w:val="0"/>
                <w:noProof/>
                <w:webHidden/>
              </w:rPr>
              <w:t>20</w:t>
            </w:r>
            <w:r w:rsidR="0016289A" w:rsidRPr="00D663C9">
              <w:rPr>
                <w:i w:val="0"/>
                <w:noProof/>
                <w:webHidden/>
              </w:rPr>
              <w:fldChar w:fldCharType="end"/>
            </w:r>
          </w:hyperlink>
        </w:p>
        <w:p w:rsidR="0016289A" w:rsidRDefault="00FF42EE" w:rsidP="00D663C9">
          <w:pPr>
            <w:pStyle w:val="Saturs2"/>
            <w:tabs>
              <w:tab w:val="right" w:leader="dot" w:pos="9065"/>
            </w:tabs>
            <w:ind w:left="709" w:firstLine="0"/>
            <w:rPr>
              <w:rFonts w:asciiTheme="minorHAnsi" w:eastAsiaTheme="minorEastAsia" w:hAnsiTheme="minorHAnsi"/>
              <w:i w:val="0"/>
              <w:noProof/>
              <w:sz w:val="22"/>
              <w:szCs w:val="22"/>
              <w:lang w:bidi="ar-SA"/>
            </w:rPr>
          </w:pPr>
          <w:hyperlink w:anchor="_Toc490734267" w:history="1">
            <w:r w:rsidR="0016289A" w:rsidRPr="00F34D76">
              <w:rPr>
                <w:rStyle w:val="Hipersaite"/>
                <w:noProof/>
              </w:rPr>
              <w:t>2.2.5. TDA aspekti, kas piemērojami līdz IT sistēmu atjaunināšanai vai ieviešanai</w:t>
            </w:r>
            <w:r w:rsidR="0016289A">
              <w:rPr>
                <w:noProof/>
                <w:webHidden/>
              </w:rPr>
              <w:tab/>
            </w:r>
            <w:r w:rsidR="0016289A" w:rsidRPr="00D663C9">
              <w:rPr>
                <w:i w:val="0"/>
                <w:noProof/>
                <w:webHidden/>
              </w:rPr>
              <w:fldChar w:fldCharType="begin"/>
            </w:r>
            <w:r w:rsidR="0016289A" w:rsidRPr="00D663C9">
              <w:rPr>
                <w:i w:val="0"/>
                <w:noProof/>
                <w:webHidden/>
              </w:rPr>
              <w:instrText xml:space="preserve"> PAGEREF _Toc490734267 \h </w:instrText>
            </w:r>
            <w:r w:rsidR="0016289A" w:rsidRPr="00D663C9">
              <w:rPr>
                <w:i w:val="0"/>
                <w:noProof/>
                <w:webHidden/>
              </w:rPr>
            </w:r>
            <w:r w:rsidR="0016289A" w:rsidRPr="00D663C9">
              <w:rPr>
                <w:i w:val="0"/>
                <w:noProof/>
                <w:webHidden/>
              </w:rPr>
              <w:fldChar w:fldCharType="separate"/>
            </w:r>
            <w:r w:rsidR="00AF744F">
              <w:rPr>
                <w:i w:val="0"/>
                <w:noProof/>
                <w:webHidden/>
              </w:rPr>
              <w:t>21</w:t>
            </w:r>
            <w:r w:rsidR="0016289A" w:rsidRPr="00D663C9">
              <w:rPr>
                <w:i w:val="0"/>
                <w:noProof/>
                <w:webHidden/>
              </w:rPr>
              <w:fldChar w:fldCharType="end"/>
            </w:r>
          </w:hyperlink>
        </w:p>
        <w:p w:rsidR="0016289A" w:rsidRDefault="00FF42EE" w:rsidP="00D663C9">
          <w:pPr>
            <w:pStyle w:val="Saturs2"/>
            <w:tabs>
              <w:tab w:val="right" w:leader="dot" w:pos="9065"/>
            </w:tabs>
            <w:ind w:left="284" w:firstLine="0"/>
            <w:rPr>
              <w:rFonts w:asciiTheme="minorHAnsi" w:eastAsiaTheme="minorEastAsia" w:hAnsiTheme="minorHAnsi"/>
              <w:i w:val="0"/>
              <w:noProof/>
              <w:sz w:val="22"/>
              <w:szCs w:val="22"/>
              <w:lang w:bidi="ar-SA"/>
            </w:rPr>
          </w:pPr>
          <w:hyperlink w:anchor="_Toc490734268" w:history="1">
            <w:r w:rsidR="0016289A" w:rsidRPr="00F34D76">
              <w:rPr>
                <w:rStyle w:val="Hipersaite"/>
                <w:noProof/>
              </w:rPr>
              <w:t>2.3. Jauni pieteikumi EIDR atļaujas saņemšanai</w:t>
            </w:r>
            <w:r w:rsidR="0016289A">
              <w:rPr>
                <w:noProof/>
                <w:webHidden/>
              </w:rPr>
              <w:tab/>
            </w:r>
            <w:r w:rsidR="0016289A" w:rsidRPr="00D663C9">
              <w:rPr>
                <w:i w:val="0"/>
                <w:noProof/>
                <w:webHidden/>
              </w:rPr>
              <w:fldChar w:fldCharType="begin"/>
            </w:r>
            <w:r w:rsidR="0016289A" w:rsidRPr="00D663C9">
              <w:rPr>
                <w:i w:val="0"/>
                <w:noProof/>
                <w:webHidden/>
              </w:rPr>
              <w:instrText xml:space="preserve"> PAGEREF _Toc490734268 \h </w:instrText>
            </w:r>
            <w:r w:rsidR="0016289A" w:rsidRPr="00D663C9">
              <w:rPr>
                <w:i w:val="0"/>
                <w:noProof/>
                <w:webHidden/>
              </w:rPr>
            </w:r>
            <w:r w:rsidR="0016289A" w:rsidRPr="00D663C9">
              <w:rPr>
                <w:i w:val="0"/>
                <w:noProof/>
                <w:webHidden/>
              </w:rPr>
              <w:fldChar w:fldCharType="separate"/>
            </w:r>
            <w:r w:rsidR="00AF744F">
              <w:rPr>
                <w:i w:val="0"/>
                <w:noProof/>
                <w:webHidden/>
              </w:rPr>
              <w:t>21</w:t>
            </w:r>
            <w:r w:rsidR="0016289A" w:rsidRPr="00D663C9">
              <w:rPr>
                <w:i w:val="0"/>
                <w:noProof/>
                <w:webHidden/>
              </w:rPr>
              <w:fldChar w:fldCharType="end"/>
            </w:r>
          </w:hyperlink>
        </w:p>
        <w:p w:rsidR="0016289A" w:rsidRDefault="00FF42EE" w:rsidP="00D663C9">
          <w:pPr>
            <w:pStyle w:val="Saturs2"/>
            <w:tabs>
              <w:tab w:val="right" w:leader="dot" w:pos="9065"/>
            </w:tabs>
            <w:ind w:left="709" w:firstLine="0"/>
            <w:rPr>
              <w:rFonts w:asciiTheme="minorHAnsi" w:eastAsiaTheme="minorEastAsia" w:hAnsiTheme="minorHAnsi"/>
              <w:i w:val="0"/>
              <w:noProof/>
              <w:sz w:val="22"/>
              <w:szCs w:val="22"/>
              <w:lang w:bidi="ar-SA"/>
            </w:rPr>
          </w:pPr>
          <w:hyperlink w:anchor="_Toc490734269" w:history="1">
            <w:r w:rsidR="0016289A" w:rsidRPr="00F34D76">
              <w:rPr>
                <w:rStyle w:val="Hipersaite"/>
                <w:noProof/>
              </w:rPr>
              <w:t>2.3.1. Nosacījumi un kritēriji atļaujas izsniegšanai un iepriekšējā auditā pārbaudāmie jautājumi</w:t>
            </w:r>
            <w:r w:rsidR="0016289A">
              <w:rPr>
                <w:noProof/>
                <w:webHidden/>
              </w:rPr>
              <w:tab/>
            </w:r>
            <w:r w:rsidR="0016289A" w:rsidRPr="00D663C9">
              <w:rPr>
                <w:i w:val="0"/>
                <w:noProof/>
                <w:webHidden/>
              </w:rPr>
              <w:fldChar w:fldCharType="begin"/>
            </w:r>
            <w:r w:rsidR="0016289A" w:rsidRPr="00D663C9">
              <w:rPr>
                <w:i w:val="0"/>
                <w:noProof/>
                <w:webHidden/>
              </w:rPr>
              <w:instrText xml:space="preserve"> PAGEREF _Toc490734269 \h </w:instrText>
            </w:r>
            <w:r w:rsidR="0016289A" w:rsidRPr="00D663C9">
              <w:rPr>
                <w:i w:val="0"/>
                <w:noProof/>
                <w:webHidden/>
              </w:rPr>
            </w:r>
            <w:r w:rsidR="0016289A" w:rsidRPr="00D663C9">
              <w:rPr>
                <w:i w:val="0"/>
                <w:noProof/>
                <w:webHidden/>
              </w:rPr>
              <w:fldChar w:fldCharType="separate"/>
            </w:r>
            <w:r w:rsidR="00AF744F">
              <w:rPr>
                <w:i w:val="0"/>
                <w:noProof/>
                <w:webHidden/>
              </w:rPr>
              <w:t>21</w:t>
            </w:r>
            <w:r w:rsidR="0016289A" w:rsidRPr="00D663C9">
              <w:rPr>
                <w:i w:val="0"/>
                <w:noProof/>
                <w:webHidden/>
              </w:rPr>
              <w:fldChar w:fldCharType="end"/>
            </w:r>
          </w:hyperlink>
        </w:p>
        <w:p w:rsidR="0016289A" w:rsidRDefault="00FF42EE" w:rsidP="00D663C9">
          <w:pPr>
            <w:pStyle w:val="Saturs2"/>
            <w:tabs>
              <w:tab w:val="right" w:leader="dot" w:pos="9065"/>
            </w:tabs>
            <w:ind w:left="709" w:firstLine="0"/>
            <w:rPr>
              <w:rFonts w:asciiTheme="minorHAnsi" w:eastAsiaTheme="minorEastAsia" w:hAnsiTheme="minorHAnsi"/>
              <w:i w:val="0"/>
              <w:noProof/>
              <w:sz w:val="22"/>
              <w:szCs w:val="22"/>
              <w:lang w:bidi="ar-SA"/>
            </w:rPr>
          </w:pPr>
          <w:hyperlink w:anchor="_Toc490734272" w:history="1">
            <w:r w:rsidR="0016289A" w:rsidRPr="00F34D76">
              <w:rPr>
                <w:rStyle w:val="Hipersaite"/>
                <w:noProof/>
              </w:rPr>
              <w:t>2.3.2. Kas var būt atļaujas turētājs, attiecībā uz kurām precēm un kurām procedūrām</w:t>
            </w:r>
            <w:r w:rsidR="0016289A">
              <w:rPr>
                <w:noProof/>
                <w:webHidden/>
              </w:rPr>
              <w:tab/>
            </w:r>
            <w:r w:rsidR="0016289A" w:rsidRPr="00D663C9">
              <w:rPr>
                <w:i w:val="0"/>
                <w:noProof/>
                <w:webHidden/>
              </w:rPr>
              <w:fldChar w:fldCharType="begin"/>
            </w:r>
            <w:r w:rsidR="0016289A" w:rsidRPr="00D663C9">
              <w:rPr>
                <w:i w:val="0"/>
                <w:noProof/>
                <w:webHidden/>
              </w:rPr>
              <w:instrText xml:space="preserve"> PAGEREF _Toc490734272 \h </w:instrText>
            </w:r>
            <w:r w:rsidR="0016289A" w:rsidRPr="00D663C9">
              <w:rPr>
                <w:i w:val="0"/>
                <w:noProof/>
                <w:webHidden/>
              </w:rPr>
            </w:r>
            <w:r w:rsidR="0016289A" w:rsidRPr="00D663C9">
              <w:rPr>
                <w:i w:val="0"/>
                <w:noProof/>
                <w:webHidden/>
              </w:rPr>
              <w:fldChar w:fldCharType="separate"/>
            </w:r>
            <w:r w:rsidR="00AF744F">
              <w:rPr>
                <w:i w:val="0"/>
                <w:noProof/>
                <w:webHidden/>
              </w:rPr>
              <w:t>24</w:t>
            </w:r>
            <w:r w:rsidR="0016289A" w:rsidRPr="00D663C9">
              <w:rPr>
                <w:i w:val="0"/>
                <w:noProof/>
                <w:webHidden/>
              </w:rPr>
              <w:fldChar w:fldCharType="end"/>
            </w:r>
          </w:hyperlink>
        </w:p>
        <w:p w:rsidR="0016289A" w:rsidRDefault="00FF42EE" w:rsidP="00D663C9">
          <w:pPr>
            <w:pStyle w:val="Saturs2"/>
            <w:tabs>
              <w:tab w:val="right" w:leader="dot" w:pos="9065"/>
            </w:tabs>
            <w:ind w:left="709" w:firstLine="0"/>
            <w:rPr>
              <w:rFonts w:asciiTheme="minorHAnsi" w:eastAsiaTheme="minorEastAsia" w:hAnsiTheme="minorHAnsi"/>
              <w:i w:val="0"/>
              <w:noProof/>
              <w:sz w:val="22"/>
              <w:szCs w:val="22"/>
              <w:lang w:bidi="ar-SA"/>
            </w:rPr>
          </w:pPr>
          <w:hyperlink w:anchor="_Toc490734277" w:history="1">
            <w:r w:rsidR="0016289A" w:rsidRPr="00F34D76">
              <w:rPr>
                <w:rStyle w:val="Hipersaite"/>
                <w:noProof/>
              </w:rPr>
              <w:t>2.3.3. Kontroles aspekti</w:t>
            </w:r>
            <w:r w:rsidR="0016289A">
              <w:rPr>
                <w:noProof/>
                <w:webHidden/>
              </w:rPr>
              <w:tab/>
            </w:r>
            <w:r w:rsidR="0016289A" w:rsidRPr="00D663C9">
              <w:rPr>
                <w:i w:val="0"/>
                <w:noProof/>
                <w:webHidden/>
              </w:rPr>
              <w:fldChar w:fldCharType="begin"/>
            </w:r>
            <w:r w:rsidR="0016289A" w:rsidRPr="00D663C9">
              <w:rPr>
                <w:i w:val="0"/>
                <w:noProof/>
                <w:webHidden/>
              </w:rPr>
              <w:instrText xml:space="preserve"> PAGEREF _Toc490734277 \h </w:instrText>
            </w:r>
            <w:r w:rsidR="0016289A" w:rsidRPr="00D663C9">
              <w:rPr>
                <w:i w:val="0"/>
                <w:noProof/>
                <w:webHidden/>
              </w:rPr>
            </w:r>
            <w:r w:rsidR="0016289A" w:rsidRPr="00D663C9">
              <w:rPr>
                <w:i w:val="0"/>
                <w:noProof/>
                <w:webHidden/>
              </w:rPr>
              <w:fldChar w:fldCharType="separate"/>
            </w:r>
            <w:r w:rsidR="00AF744F">
              <w:rPr>
                <w:i w:val="0"/>
                <w:noProof/>
                <w:webHidden/>
              </w:rPr>
              <w:t>26</w:t>
            </w:r>
            <w:r w:rsidR="0016289A" w:rsidRPr="00D663C9">
              <w:rPr>
                <w:i w:val="0"/>
                <w:noProof/>
                <w:webHidden/>
              </w:rPr>
              <w:fldChar w:fldCharType="end"/>
            </w:r>
          </w:hyperlink>
        </w:p>
        <w:p w:rsidR="0016289A" w:rsidRDefault="00FF42EE" w:rsidP="00D663C9">
          <w:pPr>
            <w:pStyle w:val="Saturs2"/>
            <w:tabs>
              <w:tab w:val="right" w:leader="dot" w:pos="9065"/>
            </w:tabs>
            <w:ind w:left="709" w:firstLine="0"/>
            <w:rPr>
              <w:rFonts w:asciiTheme="minorHAnsi" w:eastAsiaTheme="minorEastAsia" w:hAnsiTheme="minorHAnsi"/>
              <w:i w:val="0"/>
              <w:noProof/>
              <w:sz w:val="22"/>
              <w:szCs w:val="22"/>
              <w:lang w:bidi="ar-SA"/>
            </w:rPr>
          </w:pPr>
          <w:hyperlink w:anchor="_Toc490734278" w:history="1">
            <w:r w:rsidR="0016289A" w:rsidRPr="00F34D76">
              <w:rPr>
                <w:rStyle w:val="Hipersaite"/>
                <w:noProof/>
              </w:rPr>
              <w:t>2.3.4. Preču izlaišana</w:t>
            </w:r>
            <w:r w:rsidR="0016289A">
              <w:rPr>
                <w:noProof/>
                <w:webHidden/>
              </w:rPr>
              <w:tab/>
            </w:r>
            <w:r w:rsidR="0016289A" w:rsidRPr="00D663C9">
              <w:rPr>
                <w:i w:val="0"/>
                <w:noProof/>
                <w:webHidden/>
              </w:rPr>
              <w:fldChar w:fldCharType="begin"/>
            </w:r>
            <w:r w:rsidR="0016289A" w:rsidRPr="00D663C9">
              <w:rPr>
                <w:i w:val="0"/>
                <w:noProof/>
                <w:webHidden/>
              </w:rPr>
              <w:instrText xml:space="preserve"> PAGEREF _Toc490734278 \h </w:instrText>
            </w:r>
            <w:r w:rsidR="0016289A" w:rsidRPr="00D663C9">
              <w:rPr>
                <w:i w:val="0"/>
                <w:noProof/>
                <w:webHidden/>
              </w:rPr>
            </w:r>
            <w:r w:rsidR="0016289A" w:rsidRPr="00D663C9">
              <w:rPr>
                <w:i w:val="0"/>
                <w:noProof/>
                <w:webHidden/>
              </w:rPr>
              <w:fldChar w:fldCharType="separate"/>
            </w:r>
            <w:r w:rsidR="00AF744F">
              <w:rPr>
                <w:i w:val="0"/>
                <w:noProof/>
                <w:webHidden/>
              </w:rPr>
              <w:t>27</w:t>
            </w:r>
            <w:r w:rsidR="0016289A" w:rsidRPr="00D663C9">
              <w:rPr>
                <w:i w:val="0"/>
                <w:noProof/>
                <w:webHidden/>
              </w:rPr>
              <w:fldChar w:fldCharType="end"/>
            </w:r>
          </w:hyperlink>
        </w:p>
        <w:p w:rsidR="0016289A" w:rsidRDefault="00FF42EE" w:rsidP="00D663C9">
          <w:pPr>
            <w:pStyle w:val="Saturs2"/>
            <w:tabs>
              <w:tab w:val="right" w:leader="dot" w:pos="9065"/>
            </w:tabs>
            <w:ind w:left="709" w:firstLine="0"/>
            <w:rPr>
              <w:rFonts w:asciiTheme="minorHAnsi" w:eastAsiaTheme="minorEastAsia" w:hAnsiTheme="minorHAnsi"/>
              <w:i w:val="0"/>
              <w:noProof/>
              <w:sz w:val="22"/>
              <w:szCs w:val="22"/>
              <w:lang w:bidi="ar-SA"/>
            </w:rPr>
          </w:pPr>
          <w:hyperlink w:anchor="_Toc490734279" w:history="1">
            <w:r w:rsidR="0016289A" w:rsidRPr="00F34D76">
              <w:rPr>
                <w:rStyle w:val="Hipersaite"/>
                <w:noProof/>
              </w:rPr>
              <w:t>2.3.5. Preču izlaišana uzrādīšanas atbrīvojuma gadījumā</w:t>
            </w:r>
            <w:r w:rsidR="0016289A">
              <w:rPr>
                <w:noProof/>
                <w:webHidden/>
              </w:rPr>
              <w:tab/>
            </w:r>
            <w:r w:rsidR="0016289A" w:rsidRPr="00D663C9">
              <w:rPr>
                <w:i w:val="0"/>
                <w:noProof/>
                <w:webHidden/>
              </w:rPr>
              <w:fldChar w:fldCharType="begin"/>
            </w:r>
            <w:r w:rsidR="0016289A" w:rsidRPr="00D663C9">
              <w:rPr>
                <w:i w:val="0"/>
                <w:noProof/>
                <w:webHidden/>
              </w:rPr>
              <w:instrText xml:space="preserve"> PAGEREF _Toc490734279 \h </w:instrText>
            </w:r>
            <w:r w:rsidR="0016289A" w:rsidRPr="00D663C9">
              <w:rPr>
                <w:i w:val="0"/>
                <w:noProof/>
                <w:webHidden/>
              </w:rPr>
            </w:r>
            <w:r w:rsidR="0016289A" w:rsidRPr="00D663C9">
              <w:rPr>
                <w:i w:val="0"/>
                <w:noProof/>
                <w:webHidden/>
              </w:rPr>
              <w:fldChar w:fldCharType="separate"/>
            </w:r>
            <w:r w:rsidR="00AF744F">
              <w:rPr>
                <w:i w:val="0"/>
                <w:noProof/>
                <w:webHidden/>
              </w:rPr>
              <w:t>27</w:t>
            </w:r>
            <w:r w:rsidR="0016289A" w:rsidRPr="00D663C9">
              <w:rPr>
                <w:i w:val="0"/>
                <w:noProof/>
                <w:webHidden/>
              </w:rPr>
              <w:fldChar w:fldCharType="end"/>
            </w:r>
          </w:hyperlink>
        </w:p>
        <w:p w:rsidR="0016289A" w:rsidRDefault="00FF42EE" w:rsidP="00D663C9">
          <w:pPr>
            <w:pStyle w:val="Saturs2"/>
            <w:tabs>
              <w:tab w:val="right" w:leader="dot" w:pos="9065"/>
            </w:tabs>
            <w:ind w:left="709" w:firstLine="0"/>
            <w:rPr>
              <w:rFonts w:asciiTheme="minorHAnsi" w:eastAsiaTheme="minorEastAsia" w:hAnsiTheme="minorHAnsi"/>
              <w:i w:val="0"/>
              <w:noProof/>
              <w:sz w:val="22"/>
              <w:szCs w:val="22"/>
              <w:lang w:bidi="ar-SA"/>
            </w:rPr>
          </w:pPr>
          <w:hyperlink w:anchor="_Toc490734280" w:history="1">
            <w:r w:rsidR="0016289A" w:rsidRPr="00F34D76">
              <w:rPr>
                <w:rStyle w:val="Hipersaite"/>
                <w:noProof/>
              </w:rPr>
              <w:t>2.3.6. Datu prasības attiecībā uz reģistriem un attiecībā uz uzrādīšanas paziņojumu, ja tāds nepieciešams</w:t>
            </w:r>
            <w:r w:rsidR="0016289A">
              <w:rPr>
                <w:noProof/>
                <w:webHidden/>
              </w:rPr>
              <w:tab/>
            </w:r>
            <w:r w:rsidR="0016289A" w:rsidRPr="00D663C9">
              <w:rPr>
                <w:i w:val="0"/>
                <w:noProof/>
                <w:webHidden/>
              </w:rPr>
              <w:fldChar w:fldCharType="begin"/>
            </w:r>
            <w:r w:rsidR="0016289A" w:rsidRPr="00D663C9">
              <w:rPr>
                <w:i w:val="0"/>
                <w:noProof/>
                <w:webHidden/>
              </w:rPr>
              <w:instrText xml:space="preserve"> PAGEREF _Toc490734280 \h </w:instrText>
            </w:r>
            <w:r w:rsidR="0016289A" w:rsidRPr="00D663C9">
              <w:rPr>
                <w:i w:val="0"/>
                <w:noProof/>
                <w:webHidden/>
              </w:rPr>
            </w:r>
            <w:r w:rsidR="0016289A" w:rsidRPr="00D663C9">
              <w:rPr>
                <w:i w:val="0"/>
                <w:noProof/>
                <w:webHidden/>
              </w:rPr>
              <w:fldChar w:fldCharType="separate"/>
            </w:r>
            <w:r w:rsidR="00AF744F">
              <w:rPr>
                <w:i w:val="0"/>
                <w:noProof/>
                <w:webHidden/>
              </w:rPr>
              <w:t>27</w:t>
            </w:r>
            <w:r w:rsidR="0016289A" w:rsidRPr="00D663C9">
              <w:rPr>
                <w:i w:val="0"/>
                <w:noProof/>
                <w:webHidden/>
              </w:rPr>
              <w:fldChar w:fldCharType="end"/>
            </w:r>
          </w:hyperlink>
        </w:p>
        <w:p w:rsidR="0016289A" w:rsidRDefault="00FF42EE" w:rsidP="00D663C9">
          <w:pPr>
            <w:pStyle w:val="Saturs2"/>
            <w:tabs>
              <w:tab w:val="right" w:leader="dot" w:pos="9065"/>
            </w:tabs>
            <w:ind w:left="709" w:firstLine="0"/>
            <w:rPr>
              <w:rFonts w:asciiTheme="minorHAnsi" w:eastAsiaTheme="minorEastAsia" w:hAnsiTheme="minorHAnsi"/>
              <w:i w:val="0"/>
              <w:noProof/>
              <w:sz w:val="22"/>
              <w:szCs w:val="22"/>
              <w:lang w:bidi="ar-SA"/>
            </w:rPr>
          </w:pPr>
          <w:hyperlink w:anchor="_Toc490734282" w:history="1">
            <w:r w:rsidR="0016289A" w:rsidRPr="00F34D76">
              <w:rPr>
                <w:rStyle w:val="Hipersaite"/>
                <w:noProof/>
              </w:rPr>
              <w:t>2.3.7. Iepriekšējās procedūras vai pagaidu uzglabāšanas noslēgšana</w:t>
            </w:r>
            <w:r w:rsidR="0016289A">
              <w:rPr>
                <w:noProof/>
                <w:webHidden/>
              </w:rPr>
              <w:tab/>
            </w:r>
            <w:r w:rsidR="0016289A" w:rsidRPr="00D663C9">
              <w:rPr>
                <w:i w:val="0"/>
                <w:noProof/>
                <w:webHidden/>
              </w:rPr>
              <w:fldChar w:fldCharType="begin"/>
            </w:r>
            <w:r w:rsidR="0016289A" w:rsidRPr="00D663C9">
              <w:rPr>
                <w:i w:val="0"/>
                <w:noProof/>
                <w:webHidden/>
              </w:rPr>
              <w:instrText xml:space="preserve"> PAGEREF _Toc490734282 \h </w:instrText>
            </w:r>
            <w:r w:rsidR="0016289A" w:rsidRPr="00D663C9">
              <w:rPr>
                <w:i w:val="0"/>
                <w:noProof/>
                <w:webHidden/>
              </w:rPr>
            </w:r>
            <w:r w:rsidR="0016289A" w:rsidRPr="00D663C9">
              <w:rPr>
                <w:i w:val="0"/>
                <w:noProof/>
                <w:webHidden/>
              </w:rPr>
              <w:fldChar w:fldCharType="separate"/>
            </w:r>
            <w:r w:rsidR="00AF744F">
              <w:rPr>
                <w:i w:val="0"/>
                <w:noProof/>
                <w:webHidden/>
              </w:rPr>
              <w:t>28</w:t>
            </w:r>
            <w:r w:rsidR="0016289A" w:rsidRPr="00D663C9">
              <w:rPr>
                <w:i w:val="0"/>
                <w:noProof/>
                <w:webHidden/>
              </w:rPr>
              <w:fldChar w:fldCharType="end"/>
            </w:r>
          </w:hyperlink>
        </w:p>
        <w:p w:rsidR="0016289A" w:rsidRDefault="00FF42EE" w:rsidP="00D663C9">
          <w:pPr>
            <w:pStyle w:val="Saturs2"/>
            <w:tabs>
              <w:tab w:val="right" w:leader="dot" w:pos="9065"/>
            </w:tabs>
            <w:ind w:left="709" w:firstLine="0"/>
            <w:rPr>
              <w:rFonts w:asciiTheme="minorHAnsi" w:eastAsiaTheme="minorEastAsia" w:hAnsiTheme="minorHAnsi"/>
              <w:i w:val="0"/>
              <w:noProof/>
              <w:sz w:val="22"/>
              <w:szCs w:val="22"/>
              <w:lang w:bidi="ar-SA"/>
            </w:rPr>
          </w:pPr>
          <w:hyperlink w:anchor="_Toc490734283" w:history="1">
            <w:r w:rsidR="0016289A" w:rsidRPr="00F34D76">
              <w:rPr>
                <w:rStyle w:val="Hipersaite"/>
                <w:noProof/>
              </w:rPr>
              <w:t>2.3.8. Papildu deklarācija</w:t>
            </w:r>
            <w:r w:rsidR="0016289A">
              <w:rPr>
                <w:noProof/>
                <w:webHidden/>
              </w:rPr>
              <w:tab/>
            </w:r>
            <w:r w:rsidR="0016289A" w:rsidRPr="00D663C9">
              <w:rPr>
                <w:i w:val="0"/>
                <w:noProof/>
                <w:webHidden/>
              </w:rPr>
              <w:fldChar w:fldCharType="begin"/>
            </w:r>
            <w:r w:rsidR="0016289A" w:rsidRPr="00D663C9">
              <w:rPr>
                <w:i w:val="0"/>
                <w:noProof/>
                <w:webHidden/>
              </w:rPr>
              <w:instrText xml:space="preserve"> PAGEREF _Toc490734283 \h </w:instrText>
            </w:r>
            <w:r w:rsidR="0016289A" w:rsidRPr="00D663C9">
              <w:rPr>
                <w:i w:val="0"/>
                <w:noProof/>
                <w:webHidden/>
              </w:rPr>
            </w:r>
            <w:r w:rsidR="0016289A" w:rsidRPr="00D663C9">
              <w:rPr>
                <w:i w:val="0"/>
                <w:noProof/>
                <w:webHidden/>
              </w:rPr>
              <w:fldChar w:fldCharType="separate"/>
            </w:r>
            <w:r w:rsidR="00AF744F">
              <w:rPr>
                <w:i w:val="0"/>
                <w:noProof/>
                <w:webHidden/>
              </w:rPr>
              <w:t>28</w:t>
            </w:r>
            <w:r w:rsidR="0016289A" w:rsidRPr="00D663C9">
              <w:rPr>
                <w:i w:val="0"/>
                <w:noProof/>
                <w:webHidden/>
              </w:rPr>
              <w:fldChar w:fldCharType="end"/>
            </w:r>
          </w:hyperlink>
        </w:p>
        <w:p w:rsidR="0016289A" w:rsidRDefault="00FF42EE" w:rsidP="00D663C9">
          <w:pPr>
            <w:pStyle w:val="Saturs2"/>
            <w:tabs>
              <w:tab w:val="right" w:leader="dot" w:pos="9065"/>
            </w:tabs>
            <w:ind w:left="709" w:firstLine="0"/>
            <w:rPr>
              <w:rFonts w:asciiTheme="minorHAnsi" w:eastAsiaTheme="minorEastAsia" w:hAnsiTheme="minorHAnsi"/>
              <w:i w:val="0"/>
              <w:noProof/>
              <w:sz w:val="22"/>
              <w:szCs w:val="22"/>
              <w:lang w:bidi="ar-SA"/>
            </w:rPr>
          </w:pPr>
          <w:hyperlink w:anchor="_Toc490734285" w:history="1">
            <w:r w:rsidR="0016289A" w:rsidRPr="00F34D76">
              <w:rPr>
                <w:rStyle w:val="Hipersaite"/>
                <w:noProof/>
              </w:rPr>
              <w:t>2.3.9. TDA aspekti</w:t>
            </w:r>
            <w:r w:rsidR="0016289A">
              <w:rPr>
                <w:noProof/>
                <w:webHidden/>
              </w:rPr>
              <w:tab/>
            </w:r>
            <w:r w:rsidR="0016289A" w:rsidRPr="00D663C9">
              <w:rPr>
                <w:i w:val="0"/>
                <w:noProof/>
                <w:webHidden/>
              </w:rPr>
              <w:fldChar w:fldCharType="begin"/>
            </w:r>
            <w:r w:rsidR="0016289A" w:rsidRPr="00D663C9">
              <w:rPr>
                <w:i w:val="0"/>
                <w:noProof/>
                <w:webHidden/>
              </w:rPr>
              <w:instrText xml:space="preserve"> PAGEREF _Toc490734285 \h </w:instrText>
            </w:r>
            <w:r w:rsidR="0016289A" w:rsidRPr="00D663C9">
              <w:rPr>
                <w:i w:val="0"/>
                <w:noProof/>
                <w:webHidden/>
              </w:rPr>
            </w:r>
            <w:r w:rsidR="0016289A" w:rsidRPr="00D663C9">
              <w:rPr>
                <w:i w:val="0"/>
                <w:noProof/>
                <w:webHidden/>
              </w:rPr>
              <w:fldChar w:fldCharType="separate"/>
            </w:r>
            <w:r w:rsidR="00AF744F">
              <w:rPr>
                <w:i w:val="0"/>
                <w:noProof/>
                <w:webHidden/>
              </w:rPr>
              <w:t>29</w:t>
            </w:r>
            <w:r w:rsidR="0016289A" w:rsidRPr="00D663C9">
              <w:rPr>
                <w:i w:val="0"/>
                <w:noProof/>
                <w:webHidden/>
              </w:rPr>
              <w:fldChar w:fldCharType="end"/>
            </w:r>
          </w:hyperlink>
        </w:p>
        <w:p w:rsidR="0016289A" w:rsidRDefault="00FF42EE" w:rsidP="00D663C9">
          <w:pPr>
            <w:pStyle w:val="Saturs2"/>
            <w:tabs>
              <w:tab w:val="right" w:leader="dot" w:pos="9065"/>
            </w:tabs>
            <w:ind w:left="284" w:firstLine="0"/>
            <w:rPr>
              <w:rFonts w:asciiTheme="minorHAnsi" w:eastAsiaTheme="minorEastAsia" w:hAnsiTheme="minorHAnsi"/>
              <w:i w:val="0"/>
              <w:noProof/>
              <w:sz w:val="22"/>
              <w:szCs w:val="22"/>
              <w:lang w:bidi="ar-SA"/>
            </w:rPr>
          </w:pPr>
          <w:hyperlink w:anchor="_Toc490734288" w:history="1">
            <w:r w:rsidR="0016289A" w:rsidRPr="00F34D76">
              <w:rPr>
                <w:rStyle w:val="Hipersaite"/>
                <w:noProof/>
              </w:rPr>
              <w:t>2.4. Jauni pieteikumi centralizētai muitošanai</w:t>
            </w:r>
            <w:r w:rsidR="0016289A">
              <w:rPr>
                <w:noProof/>
                <w:webHidden/>
              </w:rPr>
              <w:tab/>
            </w:r>
            <w:r w:rsidR="0016289A" w:rsidRPr="00D663C9">
              <w:rPr>
                <w:i w:val="0"/>
                <w:noProof/>
                <w:webHidden/>
              </w:rPr>
              <w:fldChar w:fldCharType="begin"/>
            </w:r>
            <w:r w:rsidR="0016289A" w:rsidRPr="00D663C9">
              <w:rPr>
                <w:i w:val="0"/>
                <w:noProof/>
                <w:webHidden/>
              </w:rPr>
              <w:instrText xml:space="preserve"> PAGEREF _Toc490734288 \h </w:instrText>
            </w:r>
            <w:r w:rsidR="0016289A" w:rsidRPr="00D663C9">
              <w:rPr>
                <w:i w:val="0"/>
                <w:noProof/>
                <w:webHidden/>
              </w:rPr>
            </w:r>
            <w:r w:rsidR="0016289A" w:rsidRPr="00D663C9">
              <w:rPr>
                <w:i w:val="0"/>
                <w:noProof/>
                <w:webHidden/>
              </w:rPr>
              <w:fldChar w:fldCharType="separate"/>
            </w:r>
            <w:r w:rsidR="00AF744F">
              <w:rPr>
                <w:i w:val="0"/>
                <w:noProof/>
                <w:webHidden/>
              </w:rPr>
              <w:t>29</w:t>
            </w:r>
            <w:r w:rsidR="0016289A" w:rsidRPr="00D663C9">
              <w:rPr>
                <w:i w:val="0"/>
                <w:noProof/>
                <w:webHidden/>
              </w:rPr>
              <w:fldChar w:fldCharType="end"/>
            </w:r>
          </w:hyperlink>
        </w:p>
        <w:p w:rsidR="0016289A" w:rsidRDefault="00FF42EE" w:rsidP="00D663C9">
          <w:pPr>
            <w:pStyle w:val="Saturs2"/>
            <w:tabs>
              <w:tab w:val="right" w:leader="dot" w:pos="9065"/>
            </w:tabs>
            <w:ind w:left="709" w:firstLine="0"/>
            <w:rPr>
              <w:rFonts w:asciiTheme="minorHAnsi" w:eastAsiaTheme="minorEastAsia" w:hAnsiTheme="minorHAnsi"/>
              <w:i w:val="0"/>
              <w:noProof/>
              <w:sz w:val="22"/>
              <w:szCs w:val="22"/>
              <w:lang w:bidi="ar-SA"/>
            </w:rPr>
          </w:pPr>
          <w:hyperlink w:anchor="_Toc490734289" w:history="1">
            <w:r w:rsidR="0016289A" w:rsidRPr="00F34D76">
              <w:rPr>
                <w:rStyle w:val="Hipersaite"/>
                <w:noProof/>
              </w:rPr>
              <w:t>2.4.1. Definīcijas</w:t>
            </w:r>
            <w:r w:rsidR="0016289A">
              <w:rPr>
                <w:noProof/>
                <w:webHidden/>
              </w:rPr>
              <w:tab/>
            </w:r>
            <w:r w:rsidR="0016289A" w:rsidRPr="00D663C9">
              <w:rPr>
                <w:i w:val="0"/>
                <w:noProof/>
                <w:webHidden/>
              </w:rPr>
              <w:fldChar w:fldCharType="begin"/>
            </w:r>
            <w:r w:rsidR="0016289A" w:rsidRPr="00D663C9">
              <w:rPr>
                <w:i w:val="0"/>
                <w:noProof/>
                <w:webHidden/>
              </w:rPr>
              <w:instrText xml:space="preserve"> PAGEREF _Toc490734289 \h </w:instrText>
            </w:r>
            <w:r w:rsidR="0016289A" w:rsidRPr="00D663C9">
              <w:rPr>
                <w:i w:val="0"/>
                <w:noProof/>
                <w:webHidden/>
              </w:rPr>
            </w:r>
            <w:r w:rsidR="0016289A" w:rsidRPr="00D663C9">
              <w:rPr>
                <w:i w:val="0"/>
                <w:noProof/>
                <w:webHidden/>
              </w:rPr>
              <w:fldChar w:fldCharType="separate"/>
            </w:r>
            <w:r w:rsidR="00AF744F">
              <w:rPr>
                <w:i w:val="0"/>
                <w:noProof/>
                <w:webHidden/>
              </w:rPr>
              <w:t>29</w:t>
            </w:r>
            <w:r w:rsidR="0016289A" w:rsidRPr="00D663C9">
              <w:rPr>
                <w:i w:val="0"/>
                <w:noProof/>
                <w:webHidden/>
              </w:rPr>
              <w:fldChar w:fldCharType="end"/>
            </w:r>
          </w:hyperlink>
        </w:p>
        <w:p w:rsidR="0016289A" w:rsidRDefault="00FF42EE" w:rsidP="00D663C9">
          <w:pPr>
            <w:pStyle w:val="Saturs2"/>
            <w:tabs>
              <w:tab w:val="right" w:leader="dot" w:pos="9065"/>
            </w:tabs>
            <w:ind w:left="709" w:firstLine="0"/>
            <w:rPr>
              <w:rFonts w:asciiTheme="minorHAnsi" w:eastAsiaTheme="minorEastAsia" w:hAnsiTheme="minorHAnsi"/>
              <w:i w:val="0"/>
              <w:noProof/>
              <w:sz w:val="22"/>
              <w:szCs w:val="22"/>
              <w:lang w:bidi="ar-SA"/>
            </w:rPr>
          </w:pPr>
          <w:hyperlink w:anchor="_Toc490734294" w:history="1">
            <w:r w:rsidR="0016289A" w:rsidRPr="00F34D76">
              <w:rPr>
                <w:rStyle w:val="Hipersaite"/>
                <w:noProof/>
              </w:rPr>
              <w:t>2.4.2. Nosacījumi un kritēriji atļaujas izsniegšanai un iepriekšējā auditā pārbaudāmie jautājumi</w:t>
            </w:r>
            <w:r w:rsidR="0016289A">
              <w:rPr>
                <w:noProof/>
                <w:webHidden/>
              </w:rPr>
              <w:tab/>
            </w:r>
            <w:r w:rsidR="0016289A" w:rsidRPr="00D663C9">
              <w:rPr>
                <w:i w:val="0"/>
                <w:noProof/>
                <w:webHidden/>
              </w:rPr>
              <w:fldChar w:fldCharType="begin"/>
            </w:r>
            <w:r w:rsidR="0016289A" w:rsidRPr="00D663C9">
              <w:rPr>
                <w:i w:val="0"/>
                <w:noProof/>
                <w:webHidden/>
              </w:rPr>
              <w:instrText xml:space="preserve"> PAGEREF _Toc490734294 \h </w:instrText>
            </w:r>
            <w:r w:rsidR="0016289A" w:rsidRPr="00D663C9">
              <w:rPr>
                <w:i w:val="0"/>
                <w:noProof/>
                <w:webHidden/>
              </w:rPr>
            </w:r>
            <w:r w:rsidR="0016289A" w:rsidRPr="00D663C9">
              <w:rPr>
                <w:i w:val="0"/>
                <w:noProof/>
                <w:webHidden/>
              </w:rPr>
              <w:fldChar w:fldCharType="separate"/>
            </w:r>
            <w:r w:rsidR="00AF744F">
              <w:rPr>
                <w:i w:val="0"/>
                <w:noProof/>
                <w:webHidden/>
              </w:rPr>
              <w:t>30</w:t>
            </w:r>
            <w:r w:rsidR="0016289A" w:rsidRPr="00D663C9">
              <w:rPr>
                <w:i w:val="0"/>
                <w:noProof/>
                <w:webHidden/>
              </w:rPr>
              <w:fldChar w:fldCharType="end"/>
            </w:r>
          </w:hyperlink>
        </w:p>
        <w:p w:rsidR="0016289A" w:rsidRDefault="00FF42EE" w:rsidP="00D663C9">
          <w:pPr>
            <w:pStyle w:val="Saturs2"/>
            <w:tabs>
              <w:tab w:val="right" w:leader="dot" w:pos="9065"/>
            </w:tabs>
            <w:ind w:left="709" w:firstLine="0"/>
            <w:rPr>
              <w:rFonts w:asciiTheme="minorHAnsi" w:eastAsiaTheme="minorEastAsia" w:hAnsiTheme="minorHAnsi"/>
              <w:i w:val="0"/>
              <w:noProof/>
              <w:sz w:val="22"/>
              <w:szCs w:val="22"/>
              <w:lang w:bidi="ar-SA"/>
            </w:rPr>
          </w:pPr>
          <w:hyperlink w:anchor="_Toc490734295" w:history="1">
            <w:r w:rsidR="0016289A" w:rsidRPr="00F34D76">
              <w:rPr>
                <w:rStyle w:val="Hipersaite"/>
                <w:noProof/>
              </w:rPr>
              <w:t>2.4.3. Pārbaudāmā papildu informācija</w:t>
            </w:r>
            <w:r w:rsidR="0016289A">
              <w:rPr>
                <w:noProof/>
                <w:webHidden/>
              </w:rPr>
              <w:tab/>
            </w:r>
            <w:r w:rsidR="0016289A" w:rsidRPr="00D663C9">
              <w:rPr>
                <w:i w:val="0"/>
                <w:noProof/>
                <w:webHidden/>
              </w:rPr>
              <w:fldChar w:fldCharType="begin"/>
            </w:r>
            <w:r w:rsidR="0016289A" w:rsidRPr="00D663C9">
              <w:rPr>
                <w:i w:val="0"/>
                <w:noProof/>
                <w:webHidden/>
              </w:rPr>
              <w:instrText xml:space="preserve"> PAGEREF _Toc490734295 \h </w:instrText>
            </w:r>
            <w:r w:rsidR="0016289A" w:rsidRPr="00D663C9">
              <w:rPr>
                <w:i w:val="0"/>
                <w:noProof/>
                <w:webHidden/>
              </w:rPr>
            </w:r>
            <w:r w:rsidR="0016289A" w:rsidRPr="00D663C9">
              <w:rPr>
                <w:i w:val="0"/>
                <w:noProof/>
                <w:webHidden/>
              </w:rPr>
              <w:fldChar w:fldCharType="separate"/>
            </w:r>
            <w:r w:rsidR="00AF744F">
              <w:rPr>
                <w:i w:val="0"/>
                <w:noProof/>
                <w:webHidden/>
              </w:rPr>
              <w:t>31</w:t>
            </w:r>
            <w:r w:rsidR="0016289A" w:rsidRPr="00D663C9">
              <w:rPr>
                <w:i w:val="0"/>
                <w:noProof/>
                <w:webHidden/>
              </w:rPr>
              <w:fldChar w:fldCharType="end"/>
            </w:r>
          </w:hyperlink>
        </w:p>
        <w:p w:rsidR="0016289A" w:rsidRDefault="00FF42EE" w:rsidP="00D663C9">
          <w:pPr>
            <w:pStyle w:val="Saturs2"/>
            <w:tabs>
              <w:tab w:val="right" w:leader="dot" w:pos="9065"/>
            </w:tabs>
            <w:ind w:left="709" w:firstLine="0"/>
            <w:rPr>
              <w:rFonts w:asciiTheme="minorHAnsi" w:eastAsiaTheme="minorEastAsia" w:hAnsiTheme="minorHAnsi"/>
              <w:i w:val="0"/>
              <w:noProof/>
              <w:sz w:val="22"/>
              <w:szCs w:val="22"/>
              <w:lang w:bidi="ar-SA"/>
            </w:rPr>
          </w:pPr>
          <w:hyperlink w:anchor="_Toc490734296" w:history="1">
            <w:r w:rsidR="0016289A" w:rsidRPr="00F34D76">
              <w:rPr>
                <w:rStyle w:val="Hipersaite"/>
                <w:noProof/>
              </w:rPr>
              <w:t>2.4.4. Kas var iesniegt pieteikumu, attiecībā uz kurām precēm un kurām procedūrām</w:t>
            </w:r>
            <w:r w:rsidR="0016289A">
              <w:rPr>
                <w:noProof/>
                <w:webHidden/>
              </w:rPr>
              <w:tab/>
            </w:r>
            <w:r w:rsidR="0016289A" w:rsidRPr="00D663C9">
              <w:rPr>
                <w:i w:val="0"/>
                <w:noProof/>
                <w:webHidden/>
              </w:rPr>
              <w:fldChar w:fldCharType="begin"/>
            </w:r>
            <w:r w:rsidR="0016289A" w:rsidRPr="00D663C9">
              <w:rPr>
                <w:i w:val="0"/>
                <w:noProof/>
                <w:webHidden/>
              </w:rPr>
              <w:instrText xml:space="preserve"> PAGEREF _Toc490734296 \h </w:instrText>
            </w:r>
            <w:r w:rsidR="0016289A" w:rsidRPr="00D663C9">
              <w:rPr>
                <w:i w:val="0"/>
                <w:noProof/>
                <w:webHidden/>
              </w:rPr>
            </w:r>
            <w:r w:rsidR="0016289A" w:rsidRPr="00D663C9">
              <w:rPr>
                <w:i w:val="0"/>
                <w:noProof/>
                <w:webHidden/>
              </w:rPr>
              <w:fldChar w:fldCharType="separate"/>
            </w:r>
            <w:r w:rsidR="00AF744F">
              <w:rPr>
                <w:i w:val="0"/>
                <w:noProof/>
                <w:webHidden/>
              </w:rPr>
              <w:t>31</w:t>
            </w:r>
            <w:r w:rsidR="0016289A" w:rsidRPr="00D663C9">
              <w:rPr>
                <w:i w:val="0"/>
                <w:noProof/>
                <w:webHidden/>
              </w:rPr>
              <w:fldChar w:fldCharType="end"/>
            </w:r>
          </w:hyperlink>
        </w:p>
        <w:p w:rsidR="0016289A" w:rsidRDefault="00FF42EE" w:rsidP="00D663C9">
          <w:pPr>
            <w:pStyle w:val="Saturs2"/>
            <w:tabs>
              <w:tab w:val="right" w:leader="dot" w:pos="9065"/>
            </w:tabs>
            <w:ind w:left="709" w:firstLine="0"/>
            <w:rPr>
              <w:rFonts w:asciiTheme="minorHAnsi" w:eastAsiaTheme="minorEastAsia" w:hAnsiTheme="minorHAnsi"/>
              <w:i w:val="0"/>
              <w:noProof/>
              <w:sz w:val="22"/>
              <w:szCs w:val="22"/>
              <w:lang w:bidi="ar-SA"/>
            </w:rPr>
          </w:pPr>
          <w:hyperlink w:anchor="_Toc490734297" w:history="1">
            <w:r w:rsidR="0016289A" w:rsidRPr="00F34D76">
              <w:rPr>
                <w:rStyle w:val="Hipersaite"/>
                <w:noProof/>
              </w:rPr>
              <w:t>2.4.5. Pieteikuma iesniegšanas, apspriešanās un atļaujas piešķiršanas procedūra</w:t>
            </w:r>
            <w:r w:rsidR="0016289A">
              <w:rPr>
                <w:noProof/>
                <w:webHidden/>
              </w:rPr>
              <w:tab/>
            </w:r>
            <w:r w:rsidR="0016289A" w:rsidRPr="00D663C9">
              <w:rPr>
                <w:i w:val="0"/>
                <w:noProof/>
                <w:webHidden/>
              </w:rPr>
              <w:fldChar w:fldCharType="begin"/>
            </w:r>
            <w:r w:rsidR="0016289A" w:rsidRPr="00D663C9">
              <w:rPr>
                <w:i w:val="0"/>
                <w:noProof/>
                <w:webHidden/>
              </w:rPr>
              <w:instrText xml:space="preserve"> PAGEREF _Toc490734297 \h </w:instrText>
            </w:r>
            <w:r w:rsidR="0016289A" w:rsidRPr="00D663C9">
              <w:rPr>
                <w:i w:val="0"/>
                <w:noProof/>
                <w:webHidden/>
              </w:rPr>
            </w:r>
            <w:r w:rsidR="0016289A" w:rsidRPr="00D663C9">
              <w:rPr>
                <w:i w:val="0"/>
                <w:noProof/>
                <w:webHidden/>
              </w:rPr>
              <w:fldChar w:fldCharType="separate"/>
            </w:r>
            <w:r w:rsidR="00AF744F">
              <w:rPr>
                <w:i w:val="0"/>
                <w:noProof/>
                <w:webHidden/>
              </w:rPr>
              <w:t>32</w:t>
            </w:r>
            <w:r w:rsidR="0016289A" w:rsidRPr="00D663C9">
              <w:rPr>
                <w:i w:val="0"/>
                <w:noProof/>
                <w:webHidden/>
              </w:rPr>
              <w:fldChar w:fldCharType="end"/>
            </w:r>
          </w:hyperlink>
        </w:p>
        <w:p w:rsidR="0016289A" w:rsidRDefault="00FF42EE" w:rsidP="00D663C9">
          <w:pPr>
            <w:pStyle w:val="Saturs2"/>
            <w:tabs>
              <w:tab w:val="right" w:leader="dot" w:pos="9065"/>
            </w:tabs>
            <w:ind w:left="709" w:firstLine="0"/>
            <w:rPr>
              <w:rFonts w:asciiTheme="minorHAnsi" w:eastAsiaTheme="minorEastAsia" w:hAnsiTheme="minorHAnsi"/>
              <w:i w:val="0"/>
              <w:noProof/>
              <w:sz w:val="22"/>
              <w:szCs w:val="22"/>
              <w:lang w:bidi="ar-SA"/>
            </w:rPr>
          </w:pPr>
          <w:hyperlink w:anchor="_Toc490734300" w:history="1">
            <w:r w:rsidR="0016289A" w:rsidRPr="00F34D76">
              <w:rPr>
                <w:rStyle w:val="Hipersaite"/>
                <w:noProof/>
              </w:rPr>
              <w:t>2.4.6. Iekasēšanas izmaksu sadale, administratīvās vienošanās un konvencija (sk. 1. pielikumu)</w:t>
            </w:r>
            <w:r w:rsidR="0016289A">
              <w:rPr>
                <w:noProof/>
                <w:webHidden/>
              </w:rPr>
              <w:tab/>
            </w:r>
            <w:r w:rsidR="0016289A" w:rsidRPr="00D663C9">
              <w:rPr>
                <w:i w:val="0"/>
                <w:noProof/>
                <w:webHidden/>
              </w:rPr>
              <w:fldChar w:fldCharType="begin"/>
            </w:r>
            <w:r w:rsidR="0016289A" w:rsidRPr="00D663C9">
              <w:rPr>
                <w:i w:val="0"/>
                <w:noProof/>
                <w:webHidden/>
              </w:rPr>
              <w:instrText xml:space="preserve"> PAGEREF _Toc490734300 \h </w:instrText>
            </w:r>
            <w:r w:rsidR="0016289A" w:rsidRPr="00D663C9">
              <w:rPr>
                <w:i w:val="0"/>
                <w:noProof/>
                <w:webHidden/>
              </w:rPr>
            </w:r>
            <w:r w:rsidR="0016289A" w:rsidRPr="00D663C9">
              <w:rPr>
                <w:i w:val="0"/>
                <w:noProof/>
                <w:webHidden/>
              </w:rPr>
              <w:fldChar w:fldCharType="separate"/>
            </w:r>
            <w:r w:rsidR="00AF744F">
              <w:rPr>
                <w:i w:val="0"/>
                <w:noProof/>
                <w:webHidden/>
              </w:rPr>
              <w:t>32</w:t>
            </w:r>
            <w:r w:rsidR="0016289A" w:rsidRPr="00D663C9">
              <w:rPr>
                <w:i w:val="0"/>
                <w:noProof/>
                <w:webHidden/>
              </w:rPr>
              <w:fldChar w:fldCharType="end"/>
            </w:r>
          </w:hyperlink>
        </w:p>
        <w:p w:rsidR="0016289A" w:rsidRDefault="00FF42EE" w:rsidP="00D663C9">
          <w:pPr>
            <w:pStyle w:val="Saturs2"/>
            <w:tabs>
              <w:tab w:val="right" w:leader="dot" w:pos="9065"/>
            </w:tabs>
            <w:ind w:left="709" w:firstLine="0"/>
            <w:rPr>
              <w:rFonts w:asciiTheme="minorHAnsi" w:eastAsiaTheme="minorEastAsia" w:hAnsiTheme="minorHAnsi"/>
              <w:i w:val="0"/>
              <w:noProof/>
              <w:sz w:val="22"/>
              <w:szCs w:val="22"/>
              <w:lang w:bidi="ar-SA"/>
            </w:rPr>
          </w:pPr>
          <w:hyperlink w:anchor="_Toc490734302" w:history="1">
            <w:r w:rsidR="0016289A" w:rsidRPr="00F34D76">
              <w:rPr>
                <w:rStyle w:val="Hipersaite"/>
                <w:noProof/>
              </w:rPr>
              <w:t>2.4.7. Apvienošana ar standarta deklarāciju vai vienkāršoto deklarāciju</w:t>
            </w:r>
            <w:r w:rsidR="0016289A">
              <w:rPr>
                <w:noProof/>
                <w:webHidden/>
              </w:rPr>
              <w:tab/>
            </w:r>
            <w:r w:rsidR="0016289A" w:rsidRPr="00D663C9">
              <w:rPr>
                <w:i w:val="0"/>
                <w:noProof/>
                <w:webHidden/>
              </w:rPr>
              <w:fldChar w:fldCharType="begin"/>
            </w:r>
            <w:r w:rsidR="0016289A" w:rsidRPr="00D663C9">
              <w:rPr>
                <w:i w:val="0"/>
                <w:noProof/>
                <w:webHidden/>
              </w:rPr>
              <w:instrText xml:space="preserve"> PAGEREF _Toc490734302 \h </w:instrText>
            </w:r>
            <w:r w:rsidR="0016289A" w:rsidRPr="00D663C9">
              <w:rPr>
                <w:i w:val="0"/>
                <w:noProof/>
                <w:webHidden/>
              </w:rPr>
            </w:r>
            <w:r w:rsidR="0016289A" w:rsidRPr="00D663C9">
              <w:rPr>
                <w:i w:val="0"/>
                <w:noProof/>
                <w:webHidden/>
              </w:rPr>
              <w:fldChar w:fldCharType="separate"/>
            </w:r>
            <w:r w:rsidR="00AF744F">
              <w:rPr>
                <w:i w:val="0"/>
                <w:noProof/>
                <w:webHidden/>
              </w:rPr>
              <w:t>33</w:t>
            </w:r>
            <w:r w:rsidR="0016289A" w:rsidRPr="00D663C9">
              <w:rPr>
                <w:i w:val="0"/>
                <w:noProof/>
                <w:webHidden/>
              </w:rPr>
              <w:fldChar w:fldCharType="end"/>
            </w:r>
          </w:hyperlink>
        </w:p>
        <w:p w:rsidR="0016289A" w:rsidRDefault="00FF42EE" w:rsidP="00D663C9">
          <w:pPr>
            <w:pStyle w:val="Saturs2"/>
            <w:tabs>
              <w:tab w:val="right" w:leader="dot" w:pos="9065"/>
            </w:tabs>
            <w:ind w:left="709" w:firstLine="0"/>
            <w:rPr>
              <w:rFonts w:asciiTheme="minorHAnsi" w:eastAsiaTheme="minorEastAsia" w:hAnsiTheme="minorHAnsi"/>
              <w:i w:val="0"/>
              <w:noProof/>
              <w:sz w:val="22"/>
              <w:szCs w:val="22"/>
              <w:lang w:bidi="ar-SA"/>
            </w:rPr>
          </w:pPr>
          <w:hyperlink w:anchor="_Toc490734303" w:history="1">
            <w:r w:rsidR="0016289A" w:rsidRPr="00F34D76">
              <w:rPr>
                <w:rStyle w:val="Hipersaite"/>
                <w:noProof/>
              </w:rPr>
              <w:t>2.4.8. Centralizētas muitošanas apvienošana ar EIDR kopā ar uzrādīšanas paziņojumu un bez uzrādīšanas paziņojuma</w:t>
            </w:r>
            <w:r w:rsidR="0016289A">
              <w:rPr>
                <w:noProof/>
                <w:webHidden/>
              </w:rPr>
              <w:tab/>
            </w:r>
            <w:r w:rsidR="0016289A" w:rsidRPr="00D663C9">
              <w:rPr>
                <w:i w:val="0"/>
                <w:noProof/>
                <w:webHidden/>
              </w:rPr>
              <w:fldChar w:fldCharType="begin"/>
            </w:r>
            <w:r w:rsidR="0016289A" w:rsidRPr="00D663C9">
              <w:rPr>
                <w:i w:val="0"/>
                <w:noProof/>
                <w:webHidden/>
              </w:rPr>
              <w:instrText xml:space="preserve"> PAGEREF _Toc490734303 \h </w:instrText>
            </w:r>
            <w:r w:rsidR="0016289A" w:rsidRPr="00D663C9">
              <w:rPr>
                <w:i w:val="0"/>
                <w:noProof/>
                <w:webHidden/>
              </w:rPr>
            </w:r>
            <w:r w:rsidR="0016289A" w:rsidRPr="00D663C9">
              <w:rPr>
                <w:i w:val="0"/>
                <w:noProof/>
                <w:webHidden/>
              </w:rPr>
              <w:fldChar w:fldCharType="separate"/>
            </w:r>
            <w:r w:rsidR="00AF744F">
              <w:rPr>
                <w:i w:val="0"/>
                <w:noProof/>
                <w:webHidden/>
              </w:rPr>
              <w:t>34</w:t>
            </w:r>
            <w:r w:rsidR="0016289A" w:rsidRPr="00D663C9">
              <w:rPr>
                <w:i w:val="0"/>
                <w:noProof/>
                <w:webHidden/>
              </w:rPr>
              <w:fldChar w:fldCharType="end"/>
            </w:r>
          </w:hyperlink>
        </w:p>
        <w:p w:rsidR="0016289A" w:rsidRDefault="00FF42EE" w:rsidP="00D663C9">
          <w:pPr>
            <w:pStyle w:val="Saturs2"/>
            <w:tabs>
              <w:tab w:val="right" w:leader="dot" w:pos="9065"/>
            </w:tabs>
            <w:ind w:left="709" w:firstLine="0"/>
            <w:rPr>
              <w:rFonts w:asciiTheme="minorHAnsi" w:eastAsiaTheme="minorEastAsia" w:hAnsiTheme="minorHAnsi"/>
              <w:i w:val="0"/>
              <w:noProof/>
              <w:sz w:val="22"/>
              <w:szCs w:val="22"/>
              <w:lang w:bidi="ar-SA"/>
            </w:rPr>
          </w:pPr>
          <w:hyperlink w:anchor="_Toc490734304" w:history="1">
            <w:r w:rsidR="0016289A" w:rsidRPr="00F34D76">
              <w:rPr>
                <w:rStyle w:val="Hipersaite"/>
                <w:noProof/>
              </w:rPr>
              <w:t>2.4.9. Ārējie jautājumi nav saskaņoti</w:t>
            </w:r>
            <w:r w:rsidR="0016289A">
              <w:rPr>
                <w:noProof/>
                <w:webHidden/>
              </w:rPr>
              <w:tab/>
            </w:r>
            <w:r w:rsidR="0016289A" w:rsidRPr="00D663C9">
              <w:rPr>
                <w:i w:val="0"/>
                <w:noProof/>
                <w:webHidden/>
              </w:rPr>
              <w:fldChar w:fldCharType="begin"/>
            </w:r>
            <w:r w:rsidR="0016289A" w:rsidRPr="00D663C9">
              <w:rPr>
                <w:i w:val="0"/>
                <w:noProof/>
                <w:webHidden/>
              </w:rPr>
              <w:instrText xml:space="preserve"> PAGEREF _Toc490734304 \h </w:instrText>
            </w:r>
            <w:r w:rsidR="0016289A" w:rsidRPr="00D663C9">
              <w:rPr>
                <w:i w:val="0"/>
                <w:noProof/>
                <w:webHidden/>
              </w:rPr>
            </w:r>
            <w:r w:rsidR="0016289A" w:rsidRPr="00D663C9">
              <w:rPr>
                <w:i w:val="0"/>
                <w:noProof/>
                <w:webHidden/>
              </w:rPr>
              <w:fldChar w:fldCharType="separate"/>
            </w:r>
            <w:r w:rsidR="00AF744F">
              <w:rPr>
                <w:i w:val="0"/>
                <w:noProof/>
                <w:webHidden/>
              </w:rPr>
              <w:t>34</w:t>
            </w:r>
            <w:r w:rsidR="0016289A" w:rsidRPr="00D663C9">
              <w:rPr>
                <w:i w:val="0"/>
                <w:noProof/>
                <w:webHidden/>
              </w:rPr>
              <w:fldChar w:fldCharType="end"/>
            </w:r>
          </w:hyperlink>
        </w:p>
        <w:p w:rsidR="0016289A" w:rsidRDefault="00FF42EE" w:rsidP="00D663C9">
          <w:pPr>
            <w:pStyle w:val="Saturs2"/>
            <w:tabs>
              <w:tab w:val="right" w:leader="dot" w:pos="9065"/>
            </w:tabs>
            <w:ind w:left="709" w:firstLine="0"/>
            <w:rPr>
              <w:rFonts w:asciiTheme="minorHAnsi" w:eastAsiaTheme="minorEastAsia" w:hAnsiTheme="minorHAnsi"/>
              <w:i w:val="0"/>
              <w:noProof/>
              <w:sz w:val="22"/>
              <w:szCs w:val="22"/>
              <w:lang w:bidi="ar-SA"/>
            </w:rPr>
          </w:pPr>
          <w:hyperlink w:anchor="_Toc490734307" w:history="1">
            <w:r w:rsidR="0016289A" w:rsidRPr="00F34D76">
              <w:rPr>
                <w:rStyle w:val="Hipersaite"/>
                <w:noProof/>
              </w:rPr>
              <w:t>2.4.10. Kontroles plāna sagatavošana attiecīgajā gadījumā</w:t>
            </w:r>
            <w:r w:rsidR="0016289A">
              <w:rPr>
                <w:noProof/>
                <w:webHidden/>
              </w:rPr>
              <w:tab/>
            </w:r>
            <w:r w:rsidR="0016289A" w:rsidRPr="00D663C9">
              <w:rPr>
                <w:i w:val="0"/>
                <w:noProof/>
                <w:webHidden/>
              </w:rPr>
              <w:fldChar w:fldCharType="begin"/>
            </w:r>
            <w:r w:rsidR="0016289A" w:rsidRPr="00D663C9">
              <w:rPr>
                <w:i w:val="0"/>
                <w:noProof/>
                <w:webHidden/>
              </w:rPr>
              <w:instrText xml:space="preserve"> PAGEREF _Toc490734307 \h </w:instrText>
            </w:r>
            <w:r w:rsidR="0016289A" w:rsidRPr="00D663C9">
              <w:rPr>
                <w:i w:val="0"/>
                <w:noProof/>
                <w:webHidden/>
              </w:rPr>
            </w:r>
            <w:r w:rsidR="0016289A" w:rsidRPr="00D663C9">
              <w:rPr>
                <w:i w:val="0"/>
                <w:noProof/>
                <w:webHidden/>
              </w:rPr>
              <w:fldChar w:fldCharType="separate"/>
            </w:r>
            <w:r w:rsidR="00AF744F">
              <w:rPr>
                <w:i w:val="0"/>
                <w:noProof/>
                <w:webHidden/>
              </w:rPr>
              <w:t>35</w:t>
            </w:r>
            <w:r w:rsidR="0016289A" w:rsidRPr="00D663C9">
              <w:rPr>
                <w:i w:val="0"/>
                <w:noProof/>
                <w:webHidden/>
              </w:rPr>
              <w:fldChar w:fldCharType="end"/>
            </w:r>
          </w:hyperlink>
        </w:p>
        <w:p w:rsidR="0016289A" w:rsidRDefault="00FF42EE" w:rsidP="00D663C9">
          <w:pPr>
            <w:pStyle w:val="Saturs2"/>
            <w:tabs>
              <w:tab w:val="right" w:leader="dot" w:pos="9065"/>
            </w:tabs>
            <w:ind w:left="709" w:firstLine="0"/>
            <w:rPr>
              <w:rFonts w:asciiTheme="minorHAnsi" w:eastAsiaTheme="minorEastAsia" w:hAnsiTheme="minorHAnsi"/>
              <w:i w:val="0"/>
              <w:noProof/>
              <w:sz w:val="22"/>
              <w:szCs w:val="22"/>
              <w:lang w:bidi="ar-SA"/>
            </w:rPr>
          </w:pPr>
          <w:hyperlink w:anchor="_Toc490734308" w:history="1">
            <w:r w:rsidR="0016289A" w:rsidRPr="00F34D76">
              <w:rPr>
                <w:rStyle w:val="Hipersaite"/>
                <w:noProof/>
              </w:rPr>
              <w:t>2.4.11. Procesuāli noteikumi. Informācijas apmaiņa (kad ir gatavas visas ar konkrēto atļauju saistīto dalībvalstu IT sistēmas)</w:t>
            </w:r>
            <w:r w:rsidR="0016289A">
              <w:rPr>
                <w:noProof/>
                <w:webHidden/>
              </w:rPr>
              <w:tab/>
            </w:r>
            <w:r w:rsidR="0016289A" w:rsidRPr="00D663C9">
              <w:rPr>
                <w:i w:val="0"/>
                <w:noProof/>
                <w:webHidden/>
              </w:rPr>
              <w:fldChar w:fldCharType="begin"/>
            </w:r>
            <w:r w:rsidR="0016289A" w:rsidRPr="00D663C9">
              <w:rPr>
                <w:i w:val="0"/>
                <w:noProof/>
                <w:webHidden/>
              </w:rPr>
              <w:instrText xml:space="preserve"> PAGEREF _Toc490734308 \h </w:instrText>
            </w:r>
            <w:r w:rsidR="0016289A" w:rsidRPr="00D663C9">
              <w:rPr>
                <w:i w:val="0"/>
                <w:noProof/>
                <w:webHidden/>
              </w:rPr>
            </w:r>
            <w:r w:rsidR="0016289A" w:rsidRPr="00D663C9">
              <w:rPr>
                <w:i w:val="0"/>
                <w:noProof/>
                <w:webHidden/>
              </w:rPr>
              <w:fldChar w:fldCharType="separate"/>
            </w:r>
            <w:r w:rsidR="00AF744F">
              <w:rPr>
                <w:i w:val="0"/>
                <w:noProof/>
                <w:webHidden/>
              </w:rPr>
              <w:t>36</w:t>
            </w:r>
            <w:r w:rsidR="0016289A" w:rsidRPr="00D663C9">
              <w:rPr>
                <w:i w:val="0"/>
                <w:noProof/>
                <w:webHidden/>
              </w:rPr>
              <w:fldChar w:fldCharType="end"/>
            </w:r>
          </w:hyperlink>
        </w:p>
        <w:p w:rsidR="0016289A" w:rsidRDefault="00FF42EE" w:rsidP="00D663C9">
          <w:pPr>
            <w:pStyle w:val="Saturs2"/>
            <w:tabs>
              <w:tab w:val="right" w:leader="dot" w:pos="9065"/>
            </w:tabs>
            <w:ind w:left="709" w:firstLine="0"/>
            <w:rPr>
              <w:rFonts w:asciiTheme="minorHAnsi" w:eastAsiaTheme="minorEastAsia" w:hAnsiTheme="minorHAnsi"/>
              <w:i w:val="0"/>
              <w:noProof/>
              <w:sz w:val="22"/>
              <w:szCs w:val="22"/>
              <w:lang w:bidi="ar-SA"/>
            </w:rPr>
          </w:pPr>
          <w:hyperlink w:anchor="_Toc490734309" w:history="1">
            <w:r w:rsidR="0016289A" w:rsidRPr="00F34D76">
              <w:rPr>
                <w:rStyle w:val="Hipersaite"/>
                <w:noProof/>
              </w:rPr>
              <w:t>2.4.12. TDA aspekti, kas piemērojami līdz IT sistēmu atjaunināšanai</w:t>
            </w:r>
            <w:r w:rsidR="0016289A">
              <w:rPr>
                <w:noProof/>
                <w:webHidden/>
              </w:rPr>
              <w:tab/>
            </w:r>
            <w:r w:rsidR="0016289A" w:rsidRPr="00D663C9">
              <w:rPr>
                <w:i w:val="0"/>
                <w:noProof/>
                <w:webHidden/>
              </w:rPr>
              <w:fldChar w:fldCharType="begin"/>
            </w:r>
            <w:r w:rsidR="0016289A" w:rsidRPr="00D663C9">
              <w:rPr>
                <w:i w:val="0"/>
                <w:noProof/>
                <w:webHidden/>
              </w:rPr>
              <w:instrText xml:space="preserve"> PAGEREF _Toc490734309 \h </w:instrText>
            </w:r>
            <w:r w:rsidR="0016289A" w:rsidRPr="00D663C9">
              <w:rPr>
                <w:i w:val="0"/>
                <w:noProof/>
                <w:webHidden/>
              </w:rPr>
            </w:r>
            <w:r w:rsidR="0016289A" w:rsidRPr="00D663C9">
              <w:rPr>
                <w:i w:val="0"/>
                <w:noProof/>
                <w:webHidden/>
              </w:rPr>
              <w:fldChar w:fldCharType="separate"/>
            </w:r>
            <w:r w:rsidR="00AF744F">
              <w:rPr>
                <w:i w:val="0"/>
                <w:noProof/>
                <w:webHidden/>
              </w:rPr>
              <w:t>37</w:t>
            </w:r>
            <w:r w:rsidR="0016289A" w:rsidRPr="00D663C9">
              <w:rPr>
                <w:i w:val="0"/>
                <w:noProof/>
                <w:webHidden/>
              </w:rPr>
              <w:fldChar w:fldCharType="end"/>
            </w:r>
          </w:hyperlink>
        </w:p>
        <w:p w:rsidR="0016289A" w:rsidRDefault="00FF42EE" w:rsidP="00D663C9">
          <w:pPr>
            <w:pStyle w:val="Saturs2"/>
            <w:tabs>
              <w:tab w:val="right" w:leader="dot" w:pos="9065"/>
            </w:tabs>
            <w:ind w:left="709" w:firstLine="0"/>
            <w:rPr>
              <w:rFonts w:asciiTheme="minorHAnsi" w:eastAsiaTheme="minorEastAsia" w:hAnsiTheme="minorHAnsi"/>
              <w:i w:val="0"/>
              <w:noProof/>
              <w:sz w:val="22"/>
              <w:szCs w:val="22"/>
              <w:lang w:bidi="ar-SA"/>
            </w:rPr>
          </w:pPr>
          <w:hyperlink w:anchor="_Toc490734313" w:history="1">
            <w:r w:rsidR="0016289A" w:rsidRPr="00F34D76">
              <w:rPr>
                <w:rStyle w:val="Hipersaite"/>
                <w:noProof/>
              </w:rPr>
              <w:t>2.4.13. Atļaujas pārraudzība</w:t>
            </w:r>
            <w:r w:rsidR="0016289A">
              <w:rPr>
                <w:noProof/>
                <w:webHidden/>
              </w:rPr>
              <w:tab/>
            </w:r>
            <w:r w:rsidR="0016289A" w:rsidRPr="00D663C9">
              <w:rPr>
                <w:i w:val="0"/>
                <w:noProof/>
                <w:webHidden/>
              </w:rPr>
              <w:fldChar w:fldCharType="begin"/>
            </w:r>
            <w:r w:rsidR="0016289A" w:rsidRPr="00D663C9">
              <w:rPr>
                <w:i w:val="0"/>
                <w:noProof/>
                <w:webHidden/>
              </w:rPr>
              <w:instrText xml:space="preserve"> PAGEREF _Toc490734313 \h </w:instrText>
            </w:r>
            <w:r w:rsidR="0016289A" w:rsidRPr="00D663C9">
              <w:rPr>
                <w:i w:val="0"/>
                <w:noProof/>
                <w:webHidden/>
              </w:rPr>
            </w:r>
            <w:r w:rsidR="0016289A" w:rsidRPr="00D663C9">
              <w:rPr>
                <w:i w:val="0"/>
                <w:noProof/>
                <w:webHidden/>
              </w:rPr>
              <w:fldChar w:fldCharType="separate"/>
            </w:r>
            <w:r w:rsidR="00AF744F">
              <w:rPr>
                <w:i w:val="0"/>
                <w:noProof/>
                <w:webHidden/>
              </w:rPr>
              <w:t>38</w:t>
            </w:r>
            <w:r w:rsidR="0016289A" w:rsidRPr="00D663C9">
              <w:rPr>
                <w:i w:val="0"/>
                <w:noProof/>
                <w:webHidden/>
              </w:rPr>
              <w:fldChar w:fldCharType="end"/>
            </w:r>
          </w:hyperlink>
        </w:p>
        <w:p w:rsidR="0016289A" w:rsidRDefault="00FF42EE" w:rsidP="00D663C9">
          <w:pPr>
            <w:pStyle w:val="Saturs2"/>
            <w:tabs>
              <w:tab w:val="right" w:leader="dot" w:pos="9065"/>
            </w:tabs>
            <w:ind w:left="284" w:firstLine="0"/>
            <w:rPr>
              <w:rFonts w:asciiTheme="minorHAnsi" w:eastAsiaTheme="minorEastAsia" w:hAnsiTheme="minorHAnsi"/>
              <w:i w:val="0"/>
              <w:noProof/>
              <w:sz w:val="22"/>
              <w:szCs w:val="22"/>
              <w:lang w:bidi="ar-SA"/>
            </w:rPr>
          </w:pPr>
          <w:hyperlink w:anchor="_Toc490734314" w:history="1">
            <w:r w:rsidR="0016289A" w:rsidRPr="00F34D76">
              <w:rPr>
                <w:rStyle w:val="Hipersaite"/>
                <w:noProof/>
              </w:rPr>
              <w:t>2.5. Jauni pašnovērtējuma pieteikumi</w:t>
            </w:r>
            <w:r w:rsidR="0016289A">
              <w:rPr>
                <w:noProof/>
                <w:webHidden/>
              </w:rPr>
              <w:tab/>
            </w:r>
            <w:r w:rsidR="0016289A" w:rsidRPr="00D663C9">
              <w:rPr>
                <w:i w:val="0"/>
                <w:noProof/>
                <w:webHidden/>
              </w:rPr>
              <w:fldChar w:fldCharType="begin"/>
            </w:r>
            <w:r w:rsidR="0016289A" w:rsidRPr="00D663C9">
              <w:rPr>
                <w:i w:val="0"/>
                <w:noProof/>
                <w:webHidden/>
              </w:rPr>
              <w:instrText xml:space="preserve"> PAGEREF _Toc490734314 \h </w:instrText>
            </w:r>
            <w:r w:rsidR="0016289A" w:rsidRPr="00D663C9">
              <w:rPr>
                <w:i w:val="0"/>
                <w:noProof/>
                <w:webHidden/>
              </w:rPr>
            </w:r>
            <w:r w:rsidR="0016289A" w:rsidRPr="00D663C9">
              <w:rPr>
                <w:i w:val="0"/>
                <w:noProof/>
                <w:webHidden/>
              </w:rPr>
              <w:fldChar w:fldCharType="separate"/>
            </w:r>
            <w:r w:rsidR="00AF744F">
              <w:rPr>
                <w:i w:val="0"/>
                <w:noProof/>
                <w:webHidden/>
              </w:rPr>
              <w:t>38</w:t>
            </w:r>
            <w:r w:rsidR="0016289A" w:rsidRPr="00D663C9">
              <w:rPr>
                <w:i w:val="0"/>
                <w:noProof/>
                <w:webHidden/>
              </w:rPr>
              <w:fldChar w:fldCharType="end"/>
            </w:r>
          </w:hyperlink>
        </w:p>
        <w:p w:rsidR="0016289A" w:rsidRDefault="00FF42EE" w:rsidP="00D663C9">
          <w:pPr>
            <w:pStyle w:val="Saturs2"/>
            <w:tabs>
              <w:tab w:val="right" w:leader="dot" w:pos="9065"/>
            </w:tabs>
            <w:ind w:left="709" w:firstLine="0"/>
            <w:rPr>
              <w:rFonts w:asciiTheme="minorHAnsi" w:eastAsiaTheme="minorEastAsia" w:hAnsiTheme="minorHAnsi"/>
              <w:i w:val="0"/>
              <w:noProof/>
              <w:sz w:val="22"/>
              <w:szCs w:val="22"/>
              <w:lang w:bidi="ar-SA"/>
            </w:rPr>
          </w:pPr>
          <w:hyperlink w:anchor="_Toc490734315" w:history="1">
            <w:r w:rsidR="0016289A" w:rsidRPr="00F34D76">
              <w:rPr>
                <w:rStyle w:val="Hipersaite"/>
                <w:noProof/>
              </w:rPr>
              <w:t>2.5.1. Definīcijas papildu elementi</w:t>
            </w:r>
            <w:r w:rsidR="0016289A">
              <w:rPr>
                <w:noProof/>
                <w:webHidden/>
              </w:rPr>
              <w:tab/>
            </w:r>
            <w:r w:rsidR="0016289A" w:rsidRPr="00D663C9">
              <w:rPr>
                <w:i w:val="0"/>
                <w:noProof/>
                <w:webHidden/>
              </w:rPr>
              <w:fldChar w:fldCharType="begin"/>
            </w:r>
            <w:r w:rsidR="0016289A" w:rsidRPr="00D663C9">
              <w:rPr>
                <w:i w:val="0"/>
                <w:noProof/>
                <w:webHidden/>
              </w:rPr>
              <w:instrText xml:space="preserve"> PAGEREF _Toc490734315 \h </w:instrText>
            </w:r>
            <w:r w:rsidR="0016289A" w:rsidRPr="00D663C9">
              <w:rPr>
                <w:i w:val="0"/>
                <w:noProof/>
                <w:webHidden/>
              </w:rPr>
            </w:r>
            <w:r w:rsidR="0016289A" w:rsidRPr="00D663C9">
              <w:rPr>
                <w:i w:val="0"/>
                <w:noProof/>
                <w:webHidden/>
              </w:rPr>
              <w:fldChar w:fldCharType="separate"/>
            </w:r>
            <w:r w:rsidR="00AF744F">
              <w:rPr>
                <w:i w:val="0"/>
                <w:noProof/>
                <w:webHidden/>
              </w:rPr>
              <w:t>38</w:t>
            </w:r>
            <w:r w:rsidR="0016289A" w:rsidRPr="00D663C9">
              <w:rPr>
                <w:i w:val="0"/>
                <w:noProof/>
                <w:webHidden/>
              </w:rPr>
              <w:fldChar w:fldCharType="end"/>
            </w:r>
          </w:hyperlink>
        </w:p>
        <w:p w:rsidR="0016289A" w:rsidRDefault="00FF42EE" w:rsidP="00D663C9">
          <w:pPr>
            <w:pStyle w:val="Saturs2"/>
            <w:tabs>
              <w:tab w:val="right" w:leader="dot" w:pos="9065"/>
            </w:tabs>
            <w:ind w:left="709" w:firstLine="0"/>
            <w:rPr>
              <w:rFonts w:asciiTheme="minorHAnsi" w:eastAsiaTheme="minorEastAsia" w:hAnsiTheme="minorHAnsi"/>
              <w:i w:val="0"/>
              <w:noProof/>
              <w:sz w:val="22"/>
              <w:szCs w:val="22"/>
              <w:lang w:bidi="ar-SA"/>
            </w:rPr>
          </w:pPr>
          <w:hyperlink w:anchor="_Toc490734316" w:history="1">
            <w:r w:rsidR="0016289A" w:rsidRPr="00F34D76">
              <w:rPr>
                <w:rStyle w:val="Hipersaite"/>
                <w:noProof/>
              </w:rPr>
              <w:t>2.5.2. Nosacījumi un kritēriji atļaujas izsniegšanai un iepriekšējā auditā pārbaudāmie jautājumi</w:t>
            </w:r>
            <w:r w:rsidR="0016289A">
              <w:rPr>
                <w:noProof/>
                <w:webHidden/>
              </w:rPr>
              <w:tab/>
            </w:r>
            <w:r w:rsidR="0016289A" w:rsidRPr="00D663C9">
              <w:rPr>
                <w:i w:val="0"/>
                <w:noProof/>
                <w:webHidden/>
              </w:rPr>
              <w:fldChar w:fldCharType="begin"/>
            </w:r>
            <w:r w:rsidR="0016289A" w:rsidRPr="00D663C9">
              <w:rPr>
                <w:i w:val="0"/>
                <w:noProof/>
                <w:webHidden/>
              </w:rPr>
              <w:instrText xml:space="preserve"> PAGEREF _Toc490734316 \h </w:instrText>
            </w:r>
            <w:r w:rsidR="0016289A" w:rsidRPr="00D663C9">
              <w:rPr>
                <w:i w:val="0"/>
                <w:noProof/>
                <w:webHidden/>
              </w:rPr>
            </w:r>
            <w:r w:rsidR="0016289A" w:rsidRPr="00D663C9">
              <w:rPr>
                <w:i w:val="0"/>
                <w:noProof/>
                <w:webHidden/>
              </w:rPr>
              <w:fldChar w:fldCharType="separate"/>
            </w:r>
            <w:r w:rsidR="00AF744F">
              <w:rPr>
                <w:i w:val="0"/>
                <w:noProof/>
                <w:webHidden/>
              </w:rPr>
              <w:t>38</w:t>
            </w:r>
            <w:r w:rsidR="0016289A" w:rsidRPr="00D663C9">
              <w:rPr>
                <w:i w:val="0"/>
                <w:noProof/>
                <w:webHidden/>
              </w:rPr>
              <w:fldChar w:fldCharType="end"/>
            </w:r>
          </w:hyperlink>
        </w:p>
        <w:p w:rsidR="0016289A" w:rsidRDefault="00FF42EE" w:rsidP="00D663C9">
          <w:pPr>
            <w:pStyle w:val="Saturs2"/>
            <w:tabs>
              <w:tab w:val="right" w:leader="dot" w:pos="9065"/>
            </w:tabs>
            <w:ind w:left="709" w:firstLine="0"/>
            <w:rPr>
              <w:rFonts w:asciiTheme="minorHAnsi" w:eastAsiaTheme="minorEastAsia" w:hAnsiTheme="minorHAnsi"/>
              <w:i w:val="0"/>
              <w:noProof/>
              <w:sz w:val="22"/>
              <w:szCs w:val="22"/>
              <w:lang w:bidi="ar-SA"/>
            </w:rPr>
          </w:pPr>
          <w:hyperlink w:anchor="_Toc490734317" w:history="1">
            <w:r w:rsidR="0016289A" w:rsidRPr="00F34D76">
              <w:rPr>
                <w:rStyle w:val="Hipersaite"/>
                <w:noProof/>
              </w:rPr>
              <w:t>2.5.3. Kas var iesniegt pieteikumu, attiecībā uz kurām precēm un kurām procedūrām</w:t>
            </w:r>
            <w:r w:rsidR="0016289A">
              <w:rPr>
                <w:noProof/>
                <w:webHidden/>
              </w:rPr>
              <w:tab/>
            </w:r>
            <w:r w:rsidR="0016289A" w:rsidRPr="00D663C9">
              <w:rPr>
                <w:i w:val="0"/>
                <w:noProof/>
                <w:webHidden/>
              </w:rPr>
              <w:fldChar w:fldCharType="begin"/>
            </w:r>
            <w:r w:rsidR="0016289A" w:rsidRPr="00D663C9">
              <w:rPr>
                <w:i w:val="0"/>
                <w:noProof/>
                <w:webHidden/>
              </w:rPr>
              <w:instrText xml:space="preserve"> PAGEREF _Toc490734317 \h </w:instrText>
            </w:r>
            <w:r w:rsidR="0016289A" w:rsidRPr="00D663C9">
              <w:rPr>
                <w:i w:val="0"/>
                <w:noProof/>
                <w:webHidden/>
              </w:rPr>
            </w:r>
            <w:r w:rsidR="0016289A" w:rsidRPr="00D663C9">
              <w:rPr>
                <w:i w:val="0"/>
                <w:noProof/>
                <w:webHidden/>
              </w:rPr>
              <w:fldChar w:fldCharType="separate"/>
            </w:r>
            <w:r w:rsidR="00AF744F">
              <w:rPr>
                <w:i w:val="0"/>
                <w:noProof/>
                <w:webHidden/>
              </w:rPr>
              <w:t>39</w:t>
            </w:r>
            <w:r w:rsidR="0016289A" w:rsidRPr="00D663C9">
              <w:rPr>
                <w:i w:val="0"/>
                <w:noProof/>
                <w:webHidden/>
              </w:rPr>
              <w:fldChar w:fldCharType="end"/>
            </w:r>
          </w:hyperlink>
        </w:p>
        <w:p w:rsidR="0016289A" w:rsidRDefault="00FF42EE" w:rsidP="00D663C9">
          <w:pPr>
            <w:pStyle w:val="Saturs2"/>
            <w:tabs>
              <w:tab w:val="right" w:leader="dot" w:pos="9065"/>
            </w:tabs>
            <w:ind w:left="709" w:firstLine="0"/>
            <w:rPr>
              <w:rFonts w:asciiTheme="minorHAnsi" w:eastAsiaTheme="minorEastAsia" w:hAnsiTheme="minorHAnsi"/>
              <w:i w:val="0"/>
              <w:noProof/>
              <w:sz w:val="22"/>
              <w:szCs w:val="22"/>
              <w:lang w:bidi="ar-SA"/>
            </w:rPr>
          </w:pPr>
          <w:hyperlink w:anchor="_Toc490734318" w:history="1">
            <w:r w:rsidR="0016289A" w:rsidRPr="00F34D76">
              <w:rPr>
                <w:rStyle w:val="Hipersaite"/>
                <w:noProof/>
              </w:rPr>
              <w:t>2.5.4. Pašnovērtējuma veidi</w:t>
            </w:r>
            <w:r w:rsidR="0016289A">
              <w:rPr>
                <w:noProof/>
                <w:webHidden/>
              </w:rPr>
              <w:tab/>
            </w:r>
            <w:r w:rsidR="0016289A" w:rsidRPr="00D663C9">
              <w:rPr>
                <w:i w:val="0"/>
                <w:noProof/>
                <w:webHidden/>
              </w:rPr>
              <w:fldChar w:fldCharType="begin"/>
            </w:r>
            <w:r w:rsidR="0016289A" w:rsidRPr="00D663C9">
              <w:rPr>
                <w:i w:val="0"/>
                <w:noProof/>
                <w:webHidden/>
              </w:rPr>
              <w:instrText xml:space="preserve"> PAGEREF _Toc490734318 \h </w:instrText>
            </w:r>
            <w:r w:rsidR="0016289A" w:rsidRPr="00D663C9">
              <w:rPr>
                <w:i w:val="0"/>
                <w:noProof/>
                <w:webHidden/>
              </w:rPr>
            </w:r>
            <w:r w:rsidR="0016289A" w:rsidRPr="00D663C9">
              <w:rPr>
                <w:i w:val="0"/>
                <w:noProof/>
                <w:webHidden/>
              </w:rPr>
              <w:fldChar w:fldCharType="separate"/>
            </w:r>
            <w:r w:rsidR="00AF744F">
              <w:rPr>
                <w:i w:val="0"/>
                <w:noProof/>
                <w:webHidden/>
              </w:rPr>
              <w:t>39</w:t>
            </w:r>
            <w:r w:rsidR="0016289A" w:rsidRPr="00D663C9">
              <w:rPr>
                <w:i w:val="0"/>
                <w:noProof/>
                <w:webHidden/>
              </w:rPr>
              <w:fldChar w:fldCharType="end"/>
            </w:r>
          </w:hyperlink>
        </w:p>
        <w:p w:rsidR="0016289A" w:rsidRDefault="00FF42EE" w:rsidP="00D663C9">
          <w:pPr>
            <w:pStyle w:val="Saturs2"/>
            <w:tabs>
              <w:tab w:val="right" w:leader="dot" w:pos="9065"/>
            </w:tabs>
            <w:ind w:left="709" w:firstLine="0"/>
            <w:rPr>
              <w:rFonts w:asciiTheme="minorHAnsi" w:eastAsiaTheme="minorEastAsia" w:hAnsiTheme="minorHAnsi"/>
              <w:i w:val="0"/>
              <w:noProof/>
              <w:sz w:val="22"/>
              <w:szCs w:val="22"/>
              <w:lang w:bidi="ar-SA"/>
            </w:rPr>
          </w:pPr>
          <w:hyperlink w:anchor="_Toc490734319" w:history="1">
            <w:r w:rsidR="0016289A" w:rsidRPr="00F34D76">
              <w:rPr>
                <w:rStyle w:val="Hipersaite"/>
                <w:noProof/>
              </w:rPr>
              <w:t>2.5.5. Pārraudzība un kontrole</w:t>
            </w:r>
            <w:r w:rsidR="0016289A">
              <w:rPr>
                <w:noProof/>
                <w:webHidden/>
              </w:rPr>
              <w:tab/>
            </w:r>
            <w:r w:rsidR="0016289A" w:rsidRPr="00D663C9">
              <w:rPr>
                <w:i w:val="0"/>
                <w:noProof/>
                <w:webHidden/>
              </w:rPr>
              <w:fldChar w:fldCharType="begin"/>
            </w:r>
            <w:r w:rsidR="0016289A" w:rsidRPr="00D663C9">
              <w:rPr>
                <w:i w:val="0"/>
                <w:noProof/>
                <w:webHidden/>
              </w:rPr>
              <w:instrText xml:space="preserve"> PAGEREF _Toc490734319 \h </w:instrText>
            </w:r>
            <w:r w:rsidR="0016289A" w:rsidRPr="00D663C9">
              <w:rPr>
                <w:i w:val="0"/>
                <w:noProof/>
                <w:webHidden/>
              </w:rPr>
            </w:r>
            <w:r w:rsidR="0016289A" w:rsidRPr="00D663C9">
              <w:rPr>
                <w:i w:val="0"/>
                <w:noProof/>
                <w:webHidden/>
              </w:rPr>
              <w:fldChar w:fldCharType="separate"/>
            </w:r>
            <w:r w:rsidR="00AF744F">
              <w:rPr>
                <w:i w:val="0"/>
                <w:noProof/>
                <w:webHidden/>
              </w:rPr>
              <w:t>40</w:t>
            </w:r>
            <w:r w:rsidR="0016289A" w:rsidRPr="00D663C9">
              <w:rPr>
                <w:i w:val="0"/>
                <w:noProof/>
                <w:webHidden/>
              </w:rPr>
              <w:fldChar w:fldCharType="end"/>
            </w:r>
          </w:hyperlink>
        </w:p>
        <w:p w:rsidR="0016289A" w:rsidRDefault="00FF42EE" w:rsidP="00D663C9">
          <w:pPr>
            <w:pStyle w:val="Saturs2"/>
            <w:tabs>
              <w:tab w:val="right" w:leader="dot" w:pos="9065"/>
            </w:tabs>
            <w:ind w:left="709" w:firstLine="0"/>
            <w:rPr>
              <w:rFonts w:asciiTheme="minorHAnsi" w:eastAsiaTheme="minorEastAsia" w:hAnsiTheme="minorHAnsi"/>
              <w:i w:val="0"/>
              <w:noProof/>
              <w:sz w:val="22"/>
              <w:szCs w:val="22"/>
              <w:lang w:bidi="ar-SA"/>
            </w:rPr>
          </w:pPr>
          <w:hyperlink w:anchor="_Toc490734320" w:history="1">
            <w:r w:rsidR="0016289A" w:rsidRPr="00F34D76">
              <w:rPr>
                <w:rStyle w:val="Hipersaite"/>
                <w:noProof/>
              </w:rPr>
              <w:t>2.5.6. Īpašs gadījums, kad veikta apvienošana ar EIDR</w:t>
            </w:r>
            <w:r w:rsidR="0016289A">
              <w:rPr>
                <w:noProof/>
                <w:webHidden/>
              </w:rPr>
              <w:tab/>
            </w:r>
            <w:r w:rsidR="0016289A" w:rsidRPr="00D663C9">
              <w:rPr>
                <w:i w:val="0"/>
                <w:noProof/>
                <w:webHidden/>
              </w:rPr>
              <w:fldChar w:fldCharType="begin"/>
            </w:r>
            <w:r w:rsidR="0016289A" w:rsidRPr="00D663C9">
              <w:rPr>
                <w:i w:val="0"/>
                <w:noProof/>
                <w:webHidden/>
              </w:rPr>
              <w:instrText xml:space="preserve"> PAGEREF _Toc490734320 \h </w:instrText>
            </w:r>
            <w:r w:rsidR="0016289A" w:rsidRPr="00D663C9">
              <w:rPr>
                <w:i w:val="0"/>
                <w:noProof/>
                <w:webHidden/>
              </w:rPr>
            </w:r>
            <w:r w:rsidR="0016289A" w:rsidRPr="00D663C9">
              <w:rPr>
                <w:i w:val="0"/>
                <w:noProof/>
                <w:webHidden/>
              </w:rPr>
              <w:fldChar w:fldCharType="separate"/>
            </w:r>
            <w:r w:rsidR="00AF744F">
              <w:rPr>
                <w:i w:val="0"/>
                <w:noProof/>
                <w:webHidden/>
              </w:rPr>
              <w:t>40</w:t>
            </w:r>
            <w:r w:rsidR="0016289A" w:rsidRPr="00D663C9">
              <w:rPr>
                <w:i w:val="0"/>
                <w:noProof/>
                <w:webHidden/>
              </w:rPr>
              <w:fldChar w:fldCharType="end"/>
            </w:r>
          </w:hyperlink>
        </w:p>
        <w:p w:rsidR="0016289A" w:rsidRDefault="00FF42EE" w:rsidP="00D663C9">
          <w:pPr>
            <w:pStyle w:val="Saturs1"/>
            <w:tabs>
              <w:tab w:val="right" w:leader="dot" w:pos="9065"/>
            </w:tabs>
            <w:ind w:left="0" w:firstLine="0"/>
            <w:rPr>
              <w:rFonts w:asciiTheme="minorHAnsi" w:eastAsiaTheme="minorEastAsia" w:hAnsiTheme="minorHAnsi"/>
              <w:noProof/>
              <w:sz w:val="22"/>
              <w:szCs w:val="22"/>
              <w:lang w:bidi="ar-SA"/>
            </w:rPr>
          </w:pPr>
          <w:hyperlink w:anchor="_Toc490734321" w:history="1">
            <w:r w:rsidR="0016289A" w:rsidRPr="00F34D76">
              <w:rPr>
                <w:rStyle w:val="Hipersaite"/>
                <w:noProof/>
              </w:rPr>
              <w:t>3. PIEMĒROJAMIE NOTEIKUMI SPĒKĀ ESOŠĀM ATĻAUJĀM NO 2016. GADA 1. MAIJA. KAD TIKS MAINĪTI PROCESUĀLIE NOTEIKUMI</w:t>
            </w:r>
            <w:r w:rsidR="0016289A">
              <w:rPr>
                <w:noProof/>
                <w:webHidden/>
              </w:rPr>
              <w:tab/>
            </w:r>
            <w:r w:rsidR="0016289A" w:rsidRPr="00D663C9">
              <w:rPr>
                <w:i/>
                <w:noProof/>
                <w:webHidden/>
              </w:rPr>
              <w:fldChar w:fldCharType="begin"/>
            </w:r>
            <w:r w:rsidR="0016289A" w:rsidRPr="00D663C9">
              <w:rPr>
                <w:i/>
                <w:noProof/>
                <w:webHidden/>
              </w:rPr>
              <w:instrText xml:space="preserve"> PAGEREF _Toc490734321 \h </w:instrText>
            </w:r>
            <w:r w:rsidR="0016289A" w:rsidRPr="00D663C9">
              <w:rPr>
                <w:i/>
                <w:noProof/>
                <w:webHidden/>
              </w:rPr>
            </w:r>
            <w:r w:rsidR="0016289A" w:rsidRPr="00D663C9">
              <w:rPr>
                <w:i/>
                <w:noProof/>
                <w:webHidden/>
              </w:rPr>
              <w:fldChar w:fldCharType="separate"/>
            </w:r>
            <w:r w:rsidR="00AF744F">
              <w:rPr>
                <w:i/>
                <w:noProof/>
                <w:webHidden/>
              </w:rPr>
              <w:t>40</w:t>
            </w:r>
            <w:r w:rsidR="0016289A" w:rsidRPr="00D663C9">
              <w:rPr>
                <w:i/>
                <w:noProof/>
                <w:webHidden/>
              </w:rPr>
              <w:fldChar w:fldCharType="end"/>
            </w:r>
          </w:hyperlink>
        </w:p>
        <w:p w:rsidR="0016289A" w:rsidRDefault="00FF42EE" w:rsidP="00D663C9">
          <w:pPr>
            <w:pStyle w:val="Saturs2"/>
            <w:tabs>
              <w:tab w:val="right" w:leader="dot" w:pos="9065"/>
            </w:tabs>
            <w:ind w:left="284" w:firstLine="0"/>
            <w:rPr>
              <w:rFonts w:asciiTheme="minorHAnsi" w:eastAsiaTheme="minorEastAsia" w:hAnsiTheme="minorHAnsi"/>
              <w:i w:val="0"/>
              <w:noProof/>
              <w:sz w:val="22"/>
              <w:szCs w:val="22"/>
              <w:lang w:bidi="ar-SA"/>
            </w:rPr>
          </w:pPr>
          <w:hyperlink w:anchor="_Toc490734322" w:history="1">
            <w:r w:rsidR="0016289A" w:rsidRPr="00F34D76">
              <w:rPr>
                <w:rStyle w:val="Hipersaite"/>
                <w:noProof/>
              </w:rPr>
              <w:t>3.1. Visiem vienkāršojumiem kopīgās daļas</w:t>
            </w:r>
            <w:r w:rsidR="0016289A">
              <w:rPr>
                <w:noProof/>
                <w:webHidden/>
              </w:rPr>
              <w:tab/>
            </w:r>
            <w:r w:rsidR="0016289A" w:rsidRPr="00D663C9">
              <w:rPr>
                <w:i w:val="0"/>
                <w:noProof/>
                <w:webHidden/>
              </w:rPr>
              <w:fldChar w:fldCharType="begin"/>
            </w:r>
            <w:r w:rsidR="0016289A" w:rsidRPr="00D663C9">
              <w:rPr>
                <w:i w:val="0"/>
                <w:noProof/>
                <w:webHidden/>
              </w:rPr>
              <w:instrText xml:space="preserve"> PAGEREF _Toc490734322 \h </w:instrText>
            </w:r>
            <w:r w:rsidR="0016289A" w:rsidRPr="00D663C9">
              <w:rPr>
                <w:i w:val="0"/>
                <w:noProof/>
                <w:webHidden/>
              </w:rPr>
            </w:r>
            <w:r w:rsidR="0016289A" w:rsidRPr="00D663C9">
              <w:rPr>
                <w:i w:val="0"/>
                <w:noProof/>
                <w:webHidden/>
              </w:rPr>
              <w:fldChar w:fldCharType="separate"/>
            </w:r>
            <w:r w:rsidR="00AF744F">
              <w:rPr>
                <w:i w:val="0"/>
                <w:noProof/>
                <w:webHidden/>
              </w:rPr>
              <w:t>40</w:t>
            </w:r>
            <w:r w:rsidR="0016289A" w:rsidRPr="00D663C9">
              <w:rPr>
                <w:i w:val="0"/>
                <w:noProof/>
                <w:webHidden/>
              </w:rPr>
              <w:fldChar w:fldCharType="end"/>
            </w:r>
          </w:hyperlink>
        </w:p>
        <w:p w:rsidR="0016289A" w:rsidRDefault="00FF42EE" w:rsidP="00D663C9">
          <w:pPr>
            <w:pStyle w:val="Saturs2"/>
            <w:tabs>
              <w:tab w:val="right" w:leader="dot" w:pos="9065"/>
            </w:tabs>
            <w:ind w:left="709" w:firstLine="0"/>
            <w:rPr>
              <w:rFonts w:asciiTheme="minorHAnsi" w:eastAsiaTheme="minorEastAsia" w:hAnsiTheme="minorHAnsi"/>
              <w:i w:val="0"/>
              <w:noProof/>
              <w:sz w:val="22"/>
              <w:szCs w:val="22"/>
              <w:lang w:bidi="ar-SA"/>
            </w:rPr>
          </w:pPr>
          <w:hyperlink w:anchor="_Toc490734323" w:history="1">
            <w:r w:rsidR="0016289A" w:rsidRPr="00F34D76">
              <w:rPr>
                <w:rStyle w:val="Hipersaite"/>
                <w:noProof/>
              </w:rPr>
              <w:t>3.1.1. Kā interpretēt spēkā esošu atļauju saskaņā ar DA 251. un 254. pantu</w:t>
            </w:r>
            <w:r w:rsidR="0016289A">
              <w:rPr>
                <w:noProof/>
                <w:webHidden/>
              </w:rPr>
              <w:tab/>
            </w:r>
            <w:r w:rsidR="0016289A" w:rsidRPr="00D663C9">
              <w:rPr>
                <w:i w:val="0"/>
                <w:noProof/>
                <w:webHidden/>
              </w:rPr>
              <w:fldChar w:fldCharType="begin"/>
            </w:r>
            <w:r w:rsidR="0016289A" w:rsidRPr="00D663C9">
              <w:rPr>
                <w:i w:val="0"/>
                <w:noProof/>
                <w:webHidden/>
              </w:rPr>
              <w:instrText xml:space="preserve"> PAGEREF _Toc490734323 \h </w:instrText>
            </w:r>
            <w:r w:rsidR="0016289A" w:rsidRPr="00D663C9">
              <w:rPr>
                <w:i w:val="0"/>
                <w:noProof/>
                <w:webHidden/>
              </w:rPr>
            </w:r>
            <w:r w:rsidR="0016289A" w:rsidRPr="00D663C9">
              <w:rPr>
                <w:i w:val="0"/>
                <w:noProof/>
                <w:webHidden/>
              </w:rPr>
              <w:fldChar w:fldCharType="separate"/>
            </w:r>
            <w:r w:rsidR="00AF744F">
              <w:rPr>
                <w:i w:val="0"/>
                <w:noProof/>
                <w:webHidden/>
              </w:rPr>
              <w:t>40</w:t>
            </w:r>
            <w:r w:rsidR="0016289A" w:rsidRPr="00D663C9">
              <w:rPr>
                <w:i w:val="0"/>
                <w:noProof/>
                <w:webHidden/>
              </w:rPr>
              <w:fldChar w:fldCharType="end"/>
            </w:r>
          </w:hyperlink>
        </w:p>
        <w:p w:rsidR="0016289A" w:rsidRDefault="00FF42EE" w:rsidP="00D663C9">
          <w:pPr>
            <w:pStyle w:val="Saturs2"/>
            <w:tabs>
              <w:tab w:val="right" w:leader="dot" w:pos="9065"/>
            </w:tabs>
            <w:ind w:left="709" w:firstLine="0"/>
            <w:rPr>
              <w:rFonts w:asciiTheme="minorHAnsi" w:eastAsiaTheme="minorEastAsia" w:hAnsiTheme="minorHAnsi"/>
              <w:i w:val="0"/>
              <w:noProof/>
              <w:sz w:val="22"/>
              <w:szCs w:val="22"/>
              <w:lang w:bidi="ar-SA"/>
            </w:rPr>
          </w:pPr>
          <w:hyperlink w:anchor="_Toc490734324" w:history="1">
            <w:r w:rsidR="0016289A" w:rsidRPr="00F34D76">
              <w:rPr>
                <w:rStyle w:val="Hipersaite"/>
                <w:noProof/>
              </w:rPr>
              <w:t>3.1.2. Atkārtota novērtēšana</w:t>
            </w:r>
            <w:r w:rsidR="0016289A">
              <w:rPr>
                <w:noProof/>
                <w:webHidden/>
              </w:rPr>
              <w:tab/>
            </w:r>
            <w:r w:rsidR="0016289A" w:rsidRPr="00D663C9">
              <w:rPr>
                <w:i w:val="0"/>
                <w:noProof/>
                <w:webHidden/>
              </w:rPr>
              <w:fldChar w:fldCharType="begin"/>
            </w:r>
            <w:r w:rsidR="0016289A" w:rsidRPr="00D663C9">
              <w:rPr>
                <w:i w:val="0"/>
                <w:noProof/>
                <w:webHidden/>
              </w:rPr>
              <w:instrText xml:space="preserve"> PAGEREF _Toc490734324 \h </w:instrText>
            </w:r>
            <w:r w:rsidR="0016289A" w:rsidRPr="00D663C9">
              <w:rPr>
                <w:i w:val="0"/>
                <w:noProof/>
                <w:webHidden/>
              </w:rPr>
            </w:r>
            <w:r w:rsidR="0016289A" w:rsidRPr="00D663C9">
              <w:rPr>
                <w:i w:val="0"/>
                <w:noProof/>
                <w:webHidden/>
              </w:rPr>
              <w:fldChar w:fldCharType="separate"/>
            </w:r>
            <w:r w:rsidR="00AF744F">
              <w:rPr>
                <w:i w:val="0"/>
                <w:noProof/>
                <w:webHidden/>
              </w:rPr>
              <w:t>41</w:t>
            </w:r>
            <w:r w:rsidR="0016289A" w:rsidRPr="00D663C9">
              <w:rPr>
                <w:i w:val="0"/>
                <w:noProof/>
                <w:webHidden/>
              </w:rPr>
              <w:fldChar w:fldCharType="end"/>
            </w:r>
          </w:hyperlink>
        </w:p>
        <w:p w:rsidR="0016289A" w:rsidRPr="00D663C9" w:rsidRDefault="00FF42EE" w:rsidP="00D663C9">
          <w:pPr>
            <w:pStyle w:val="Saturs2"/>
            <w:tabs>
              <w:tab w:val="right" w:leader="dot" w:pos="9065"/>
            </w:tabs>
            <w:ind w:left="284" w:firstLine="0"/>
            <w:rPr>
              <w:rFonts w:asciiTheme="minorHAnsi" w:eastAsiaTheme="minorEastAsia" w:hAnsiTheme="minorHAnsi"/>
              <w:i w:val="0"/>
              <w:noProof/>
              <w:sz w:val="22"/>
              <w:szCs w:val="22"/>
              <w:lang w:bidi="ar-SA"/>
            </w:rPr>
          </w:pPr>
          <w:hyperlink w:anchor="_Toc490734327" w:history="1">
            <w:r w:rsidR="0016289A" w:rsidRPr="00D663C9">
              <w:rPr>
                <w:rStyle w:val="Hipersaite"/>
                <w:noProof/>
              </w:rPr>
              <w:t>3.2. Spēkā esošās vienkāršotās deklarācijas atļaujas</w:t>
            </w:r>
            <w:r w:rsidR="0016289A" w:rsidRPr="00D663C9">
              <w:rPr>
                <w:i w:val="0"/>
                <w:noProof/>
                <w:webHidden/>
              </w:rPr>
              <w:tab/>
            </w:r>
            <w:r w:rsidR="0016289A" w:rsidRPr="00D663C9">
              <w:rPr>
                <w:i w:val="0"/>
                <w:noProof/>
                <w:webHidden/>
              </w:rPr>
              <w:fldChar w:fldCharType="begin"/>
            </w:r>
            <w:r w:rsidR="0016289A" w:rsidRPr="00D663C9">
              <w:rPr>
                <w:i w:val="0"/>
                <w:noProof/>
                <w:webHidden/>
              </w:rPr>
              <w:instrText xml:space="preserve"> PAGEREF _Toc490734327 \h </w:instrText>
            </w:r>
            <w:r w:rsidR="0016289A" w:rsidRPr="00D663C9">
              <w:rPr>
                <w:i w:val="0"/>
                <w:noProof/>
                <w:webHidden/>
              </w:rPr>
            </w:r>
            <w:r w:rsidR="0016289A" w:rsidRPr="00D663C9">
              <w:rPr>
                <w:i w:val="0"/>
                <w:noProof/>
                <w:webHidden/>
              </w:rPr>
              <w:fldChar w:fldCharType="separate"/>
            </w:r>
            <w:r w:rsidR="00AF744F">
              <w:rPr>
                <w:i w:val="0"/>
                <w:noProof/>
                <w:webHidden/>
              </w:rPr>
              <w:t>43</w:t>
            </w:r>
            <w:r w:rsidR="0016289A" w:rsidRPr="00D663C9">
              <w:rPr>
                <w:i w:val="0"/>
                <w:noProof/>
                <w:webHidden/>
              </w:rPr>
              <w:fldChar w:fldCharType="end"/>
            </w:r>
          </w:hyperlink>
        </w:p>
        <w:p w:rsidR="0016289A" w:rsidRDefault="00FF42EE" w:rsidP="00D663C9">
          <w:pPr>
            <w:pStyle w:val="Saturs2"/>
            <w:tabs>
              <w:tab w:val="right" w:leader="dot" w:pos="9065"/>
            </w:tabs>
            <w:ind w:left="709" w:firstLine="0"/>
            <w:rPr>
              <w:rFonts w:asciiTheme="minorHAnsi" w:eastAsiaTheme="minorEastAsia" w:hAnsiTheme="minorHAnsi"/>
              <w:i w:val="0"/>
              <w:noProof/>
              <w:sz w:val="22"/>
              <w:szCs w:val="22"/>
              <w:lang w:bidi="ar-SA"/>
            </w:rPr>
          </w:pPr>
          <w:hyperlink w:anchor="_Toc490734328" w:history="1">
            <w:r w:rsidR="0016289A" w:rsidRPr="00F34D76">
              <w:rPr>
                <w:rStyle w:val="Hipersaite"/>
                <w:noProof/>
              </w:rPr>
              <w:t>3.2.1. Kā interpretēt atļauju 2016. gada 1. maijā</w:t>
            </w:r>
            <w:r w:rsidR="0016289A">
              <w:rPr>
                <w:noProof/>
                <w:webHidden/>
              </w:rPr>
              <w:tab/>
            </w:r>
            <w:r w:rsidR="0016289A" w:rsidRPr="00D663C9">
              <w:rPr>
                <w:i w:val="0"/>
                <w:noProof/>
                <w:webHidden/>
              </w:rPr>
              <w:fldChar w:fldCharType="begin"/>
            </w:r>
            <w:r w:rsidR="0016289A" w:rsidRPr="00D663C9">
              <w:rPr>
                <w:i w:val="0"/>
                <w:noProof/>
                <w:webHidden/>
              </w:rPr>
              <w:instrText xml:space="preserve"> PAGEREF _Toc490734328 \h </w:instrText>
            </w:r>
            <w:r w:rsidR="0016289A" w:rsidRPr="00D663C9">
              <w:rPr>
                <w:i w:val="0"/>
                <w:noProof/>
                <w:webHidden/>
              </w:rPr>
            </w:r>
            <w:r w:rsidR="0016289A" w:rsidRPr="00D663C9">
              <w:rPr>
                <w:i w:val="0"/>
                <w:noProof/>
                <w:webHidden/>
              </w:rPr>
              <w:fldChar w:fldCharType="separate"/>
            </w:r>
            <w:r w:rsidR="00AF744F">
              <w:rPr>
                <w:i w:val="0"/>
                <w:noProof/>
                <w:webHidden/>
              </w:rPr>
              <w:t>43</w:t>
            </w:r>
            <w:r w:rsidR="0016289A" w:rsidRPr="00D663C9">
              <w:rPr>
                <w:i w:val="0"/>
                <w:noProof/>
                <w:webHidden/>
              </w:rPr>
              <w:fldChar w:fldCharType="end"/>
            </w:r>
          </w:hyperlink>
        </w:p>
        <w:p w:rsidR="0016289A" w:rsidRDefault="00FF42EE" w:rsidP="00D663C9">
          <w:pPr>
            <w:pStyle w:val="Saturs2"/>
            <w:tabs>
              <w:tab w:val="right" w:leader="dot" w:pos="9065"/>
            </w:tabs>
            <w:ind w:left="709" w:firstLine="0"/>
            <w:rPr>
              <w:rFonts w:asciiTheme="minorHAnsi" w:eastAsiaTheme="minorEastAsia" w:hAnsiTheme="minorHAnsi"/>
              <w:i w:val="0"/>
              <w:noProof/>
              <w:sz w:val="22"/>
              <w:szCs w:val="22"/>
              <w:lang w:bidi="ar-SA"/>
            </w:rPr>
          </w:pPr>
          <w:hyperlink w:anchor="_Toc490734329" w:history="1">
            <w:r w:rsidR="0016289A" w:rsidRPr="00F34D76">
              <w:rPr>
                <w:rStyle w:val="Hipersaite"/>
                <w:noProof/>
              </w:rPr>
              <w:t>3.2.2. Atļaujas atkārtota novērtēšana</w:t>
            </w:r>
            <w:r w:rsidR="0016289A">
              <w:rPr>
                <w:noProof/>
                <w:webHidden/>
              </w:rPr>
              <w:tab/>
            </w:r>
            <w:r w:rsidR="0016289A" w:rsidRPr="00D663C9">
              <w:rPr>
                <w:i w:val="0"/>
                <w:noProof/>
                <w:webHidden/>
              </w:rPr>
              <w:fldChar w:fldCharType="begin"/>
            </w:r>
            <w:r w:rsidR="0016289A" w:rsidRPr="00D663C9">
              <w:rPr>
                <w:i w:val="0"/>
                <w:noProof/>
                <w:webHidden/>
              </w:rPr>
              <w:instrText xml:space="preserve"> PAGEREF _Toc490734329 \h </w:instrText>
            </w:r>
            <w:r w:rsidR="0016289A" w:rsidRPr="00D663C9">
              <w:rPr>
                <w:i w:val="0"/>
                <w:noProof/>
                <w:webHidden/>
              </w:rPr>
            </w:r>
            <w:r w:rsidR="0016289A" w:rsidRPr="00D663C9">
              <w:rPr>
                <w:i w:val="0"/>
                <w:noProof/>
                <w:webHidden/>
              </w:rPr>
              <w:fldChar w:fldCharType="separate"/>
            </w:r>
            <w:r w:rsidR="00AF744F">
              <w:rPr>
                <w:i w:val="0"/>
                <w:noProof/>
                <w:webHidden/>
              </w:rPr>
              <w:t>43</w:t>
            </w:r>
            <w:r w:rsidR="0016289A" w:rsidRPr="00D663C9">
              <w:rPr>
                <w:i w:val="0"/>
                <w:noProof/>
                <w:webHidden/>
              </w:rPr>
              <w:fldChar w:fldCharType="end"/>
            </w:r>
          </w:hyperlink>
        </w:p>
        <w:p w:rsidR="0016289A" w:rsidRDefault="00FF42EE" w:rsidP="00D663C9">
          <w:pPr>
            <w:pStyle w:val="Saturs2"/>
            <w:tabs>
              <w:tab w:val="right" w:leader="dot" w:pos="9065"/>
            </w:tabs>
            <w:ind w:left="709" w:firstLine="0"/>
            <w:rPr>
              <w:rFonts w:asciiTheme="minorHAnsi" w:eastAsiaTheme="minorEastAsia" w:hAnsiTheme="minorHAnsi"/>
              <w:i w:val="0"/>
              <w:noProof/>
              <w:sz w:val="22"/>
              <w:szCs w:val="22"/>
              <w:lang w:bidi="ar-SA"/>
            </w:rPr>
          </w:pPr>
          <w:hyperlink w:anchor="_Toc490734330" w:history="1">
            <w:r w:rsidR="0016289A" w:rsidRPr="00F34D76">
              <w:rPr>
                <w:rStyle w:val="Hipersaite"/>
                <w:noProof/>
              </w:rPr>
              <w:t>3.2.3. Pārraudzības un kontroles aspekti</w:t>
            </w:r>
            <w:r w:rsidR="0016289A">
              <w:rPr>
                <w:noProof/>
                <w:webHidden/>
              </w:rPr>
              <w:tab/>
            </w:r>
            <w:r w:rsidR="0016289A" w:rsidRPr="00D663C9">
              <w:rPr>
                <w:i w:val="0"/>
                <w:noProof/>
                <w:webHidden/>
              </w:rPr>
              <w:fldChar w:fldCharType="begin"/>
            </w:r>
            <w:r w:rsidR="0016289A" w:rsidRPr="00D663C9">
              <w:rPr>
                <w:i w:val="0"/>
                <w:noProof/>
                <w:webHidden/>
              </w:rPr>
              <w:instrText xml:space="preserve"> PAGEREF _Toc490734330 \h </w:instrText>
            </w:r>
            <w:r w:rsidR="0016289A" w:rsidRPr="00D663C9">
              <w:rPr>
                <w:i w:val="0"/>
                <w:noProof/>
                <w:webHidden/>
              </w:rPr>
            </w:r>
            <w:r w:rsidR="0016289A" w:rsidRPr="00D663C9">
              <w:rPr>
                <w:i w:val="0"/>
                <w:noProof/>
                <w:webHidden/>
              </w:rPr>
              <w:fldChar w:fldCharType="separate"/>
            </w:r>
            <w:r w:rsidR="00AF744F">
              <w:rPr>
                <w:i w:val="0"/>
                <w:noProof/>
                <w:webHidden/>
              </w:rPr>
              <w:t>44</w:t>
            </w:r>
            <w:r w:rsidR="0016289A" w:rsidRPr="00D663C9">
              <w:rPr>
                <w:i w:val="0"/>
                <w:noProof/>
                <w:webHidden/>
              </w:rPr>
              <w:fldChar w:fldCharType="end"/>
            </w:r>
          </w:hyperlink>
        </w:p>
        <w:p w:rsidR="0016289A" w:rsidRDefault="00FF42EE" w:rsidP="00D663C9">
          <w:pPr>
            <w:pStyle w:val="Saturs2"/>
            <w:tabs>
              <w:tab w:val="right" w:leader="dot" w:pos="9065"/>
            </w:tabs>
            <w:ind w:left="284" w:firstLine="0"/>
            <w:rPr>
              <w:rFonts w:asciiTheme="minorHAnsi" w:eastAsiaTheme="minorEastAsia" w:hAnsiTheme="minorHAnsi"/>
              <w:i w:val="0"/>
              <w:noProof/>
              <w:sz w:val="22"/>
              <w:szCs w:val="22"/>
              <w:lang w:bidi="ar-SA"/>
            </w:rPr>
          </w:pPr>
          <w:hyperlink w:anchor="_Toc490734331" w:history="1">
            <w:r w:rsidR="0016289A" w:rsidRPr="00F34D76">
              <w:rPr>
                <w:rStyle w:val="Hipersaite"/>
                <w:noProof/>
              </w:rPr>
              <w:t>3.3. Spēkā esošās vietējās muitošanas procedūras atļaujas</w:t>
            </w:r>
            <w:r w:rsidR="0016289A">
              <w:rPr>
                <w:noProof/>
                <w:webHidden/>
              </w:rPr>
              <w:tab/>
            </w:r>
            <w:r w:rsidR="0016289A" w:rsidRPr="00D663C9">
              <w:rPr>
                <w:i w:val="0"/>
                <w:noProof/>
                <w:webHidden/>
              </w:rPr>
              <w:fldChar w:fldCharType="begin"/>
            </w:r>
            <w:r w:rsidR="0016289A" w:rsidRPr="00D663C9">
              <w:rPr>
                <w:i w:val="0"/>
                <w:noProof/>
                <w:webHidden/>
              </w:rPr>
              <w:instrText xml:space="preserve"> PAGEREF _Toc490734331 \h </w:instrText>
            </w:r>
            <w:r w:rsidR="0016289A" w:rsidRPr="00D663C9">
              <w:rPr>
                <w:i w:val="0"/>
                <w:noProof/>
                <w:webHidden/>
              </w:rPr>
            </w:r>
            <w:r w:rsidR="0016289A" w:rsidRPr="00D663C9">
              <w:rPr>
                <w:i w:val="0"/>
                <w:noProof/>
                <w:webHidden/>
              </w:rPr>
              <w:fldChar w:fldCharType="separate"/>
            </w:r>
            <w:r w:rsidR="00AF744F">
              <w:rPr>
                <w:i w:val="0"/>
                <w:noProof/>
                <w:webHidden/>
              </w:rPr>
              <w:t>44</w:t>
            </w:r>
            <w:r w:rsidR="0016289A" w:rsidRPr="00D663C9">
              <w:rPr>
                <w:i w:val="0"/>
                <w:noProof/>
                <w:webHidden/>
              </w:rPr>
              <w:fldChar w:fldCharType="end"/>
            </w:r>
          </w:hyperlink>
        </w:p>
        <w:p w:rsidR="0016289A" w:rsidRDefault="00FF42EE" w:rsidP="00D663C9">
          <w:pPr>
            <w:pStyle w:val="Saturs2"/>
            <w:tabs>
              <w:tab w:val="right" w:leader="dot" w:pos="9065"/>
            </w:tabs>
            <w:ind w:left="709" w:firstLine="0"/>
            <w:rPr>
              <w:rFonts w:asciiTheme="minorHAnsi" w:eastAsiaTheme="minorEastAsia" w:hAnsiTheme="minorHAnsi"/>
              <w:i w:val="0"/>
              <w:noProof/>
              <w:sz w:val="22"/>
              <w:szCs w:val="22"/>
              <w:lang w:bidi="ar-SA"/>
            </w:rPr>
          </w:pPr>
          <w:hyperlink w:anchor="_Toc490734332" w:history="1">
            <w:r w:rsidR="0016289A" w:rsidRPr="00F34D76">
              <w:rPr>
                <w:rStyle w:val="Hipersaite"/>
                <w:noProof/>
              </w:rPr>
              <w:t>3.3.1. Kā interpretēt vietējās muitošanas procedūras atļauju 2016. gada 1. maijā</w:t>
            </w:r>
            <w:r w:rsidR="0016289A">
              <w:rPr>
                <w:noProof/>
                <w:webHidden/>
              </w:rPr>
              <w:tab/>
            </w:r>
            <w:r w:rsidR="0016289A" w:rsidRPr="00D663C9">
              <w:rPr>
                <w:i w:val="0"/>
                <w:noProof/>
                <w:webHidden/>
              </w:rPr>
              <w:fldChar w:fldCharType="begin"/>
            </w:r>
            <w:r w:rsidR="0016289A" w:rsidRPr="00D663C9">
              <w:rPr>
                <w:i w:val="0"/>
                <w:noProof/>
                <w:webHidden/>
              </w:rPr>
              <w:instrText xml:space="preserve"> PAGEREF _Toc490734332 \h </w:instrText>
            </w:r>
            <w:r w:rsidR="0016289A" w:rsidRPr="00D663C9">
              <w:rPr>
                <w:i w:val="0"/>
                <w:noProof/>
                <w:webHidden/>
              </w:rPr>
            </w:r>
            <w:r w:rsidR="0016289A" w:rsidRPr="00D663C9">
              <w:rPr>
                <w:i w:val="0"/>
                <w:noProof/>
                <w:webHidden/>
              </w:rPr>
              <w:fldChar w:fldCharType="separate"/>
            </w:r>
            <w:r w:rsidR="00AF744F">
              <w:rPr>
                <w:i w:val="0"/>
                <w:noProof/>
                <w:webHidden/>
              </w:rPr>
              <w:t>44</w:t>
            </w:r>
            <w:r w:rsidR="0016289A" w:rsidRPr="00D663C9">
              <w:rPr>
                <w:i w:val="0"/>
                <w:noProof/>
                <w:webHidden/>
              </w:rPr>
              <w:fldChar w:fldCharType="end"/>
            </w:r>
          </w:hyperlink>
        </w:p>
        <w:p w:rsidR="0016289A" w:rsidRDefault="00FF42EE" w:rsidP="00D663C9">
          <w:pPr>
            <w:pStyle w:val="Saturs2"/>
            <w:tabs>
              <w:tab w:val="right" w:leader="dot" w:pos="9065"/>
            </w:tabs>
            <w:ind w:left="709" w:firstLine="0"/>
            <w:rPr>
              <w:rFonts w:asciiTheme="minorHAnsi" w:eastAsiaTheme="minorEastAsia" w:hAnsiTheme="minorHAnsi"/>
              <w:i w:val="0"/>
              <w:noProof/>
              <w:sz w:val="22"/>
              <w:szCs w:val="22"/>
              <w:lang w:bidi="ar-SA"/>
            </w:rPr>
          </w:pPr>
          <w:hyperlink w:anchor="_Toc490734335" w:history="1">
            <w:r w:rsidR="0016289A" w:rsidRPr="00F34D76">
              <w:rPr>
                <w:rStyle w:val="Hipersaite"/>
                <w:noProof/>
              </w:rPr>
              <w:t>3.3.2. Īpaši gadījumi no 2016. gada 1. maija</w:t>
            </w:r>
            <w:r w:rsidR="0016289A">
              <w:rPr>
                <w:noProof/>
                <w:webHidden/>
              </w:rPr>
              <w:tab/>
            </w:r>
            <w:r w:rsidR="0016289A" w:rsidRPr="00D663C9">
              <w:rPr>
                <w:i w:val="0"/>
                <w:noProof/>
                <w:webHidden/>
              </w:rPr>
              <w:fldChar w:fldCharType="begin"/>
            </w:r>
            <w:r w:rsidR="0016289A" w:rsidRPr="00D663C9">
              <w:rPr>
                <w:i w:val="0"/>
                <w:noProof/>
                <w:webHidden/>
              </w:rPr>
              <w:instrText xml:space="preserve"> PAGEREF _Toc490734335 \h </w:instrText>
            </w:r>
            <w:r w:rsidR="0016289A" w:rsidRPr="00D663C9">
              <w:rPr>
                <w:i w:val="0"/>
                <w:noProof/>
                <w:webHidden/>
              </w:rPr>
            </w:r>
            <w:r w:rsidR="0016289A" w:rsidRPr="00D663C9">
              <w:rPr>
                <w:i w:val="0"/>
                <w:noProof/>
                <w:webHidden/>
              </w:rPr>
              <w:fldChar w:fldCharType="separate"/>
            </w:r>
            <w:r w:rsidR="00AF744F">
              <w:rPr>
                <w:i w:val="0"/>
                <w:noProof/>
                <w:webHidden/>
              </w:rPr>
              <w:t>46</w:t>
            </w:r>
            <w:r w:rsidR="0016289A" w:rsidRPr="00D663C9">
              <w:rPr>
                <w:i w:val="0"/>
                <w:noProof/>
                <w:webHidden/>
              </w:rPr>
              <w:fldChar w:fldCharType="end"/>
            </w:r>
          </w:hyperlink>
        </w:p>
        <w:p w:rsidR="0016289A" w:rsidRDefault="00FF42EE" w:rsidP="00D663C9">
          <w:pPr>
            <w:pStyle w:val="Saturs2"/>
            <w:tabs>
              <w:tab w:val="right" w:leader="dot" w:pos="9065"/>
            </w:tabs>
            <w:ind w:left="709" w:firstLine="0"/>
            <w:rPr>
              <w:rFonts w:asciiTheme="minorHAnsi" w:eastAsiaTheme="minorEastAsia" w:hAnsiTheme="minorHAnsi"/>
              <w:i w:val="0"/>
              <w:noProof/>
              <w:sz w:val="22"/>
              <w:szCs w:val="22"/>
              <w:lang w:bidi="ar-SA"/>
            </w:rPr>
          </w:pPr>
          <w:hyperlink w:anchor="_Toc490734343" w:history="1">
            <w:r w:rsidR="0016289A" w:rsidRPr="00F34D76">
              <w:rPr>
                <w:rStyle w:val="Hipersaite"/>
                <w:noProof/>
              </w:rPr>
              <w:t>3.3.3. Atļaujas atkārtota novērtēšana</w:t>
            </w:r>
            <w:r w:rsidR="0016289A">
              <w:rPr>
                <w:noProof/>
                <w:webHidden/>
              </w:rPr>
              <w:tab/>
            </w:r>
            <w:r w:rsidR="0016289A" w:rsidRPr="00D663C9">
              <w:rPr>
                <w:i w:val="0"/>
                <w:noProof/>
                <w:webHidden/>
              </w:rPr>
              <w:fldChar w:fldCharType="begin"/>
            </w:r>
            <w:r w:rsidR="0016289A" w:rsidRPr="00D663C9">
              <w:rPr>
                <w:i w:val="0"/>
                <w:noProof/>
                <w:webHidden/>
              </w:rPr>
              <w:instrText xml:space="preserve"> PAGEREF _Toc490734343 \h </w:instrText>
            </w:r>
            <w:r w:rsidR="0016289A" w:rsidRPr="00D663C9">
              <w:rPr>
                <w:i w:val="0"/>
                <w:noProof/>
                <w:webHidden/>
              </w:rPr>
            </w:r>
            <w:r w:rsidR="0016289A" w:rsidRPr="00D663C9">
              <w:rPr>
                <w:i w:val="0"/>
                <w:noProof/>
                <w:webHidden/>
              </w:rPr>
              <w:fldChar w:fldCharType="separate"/>
            </w:r>
            <w:r w:rsidR="00AF744F">
              <w:rPr>
                <w:i w:val="0"/>
                <w:noProof/>
                <w:webHidden/>
              </w:rPr>
              <w:t>48</w:t>
            </w:r>
            <w:r w:rsidR="0016289A" w:rsidRPr="00D663C9">
              <w:rPr>
                <w:i w:val="0"/>
                <w:noProof/>
                <w:webHidden/>
              </w:rPr>
              <w:fldChar w:fldCharType="end"/>
            </w:r>
          </w:hyperlink>
        </w:p>
        <w:p w:rsidR="0016289A" w:rsidRDefault="00FF42EE" w:rsidP="00D663C9">
          <w:pPr>
            <w:pStyle w:val="Saturs2"/>
            <w:tabs>
              <w:tab w:val="right" w:leader="dot" w:pos="9065"/>
            </w:tabs>
            <w:ind w:left="709" w:firstLine="0"/>
            <w:rPr>
              <w:rFonts w:asciiTheme="minorHAnsi" w:eastAsiaTheme="minorEastAsia" w:hAnsiTheme="minorHAnsi"/>
              <w:i w:val="0"/>
              <w:noProof/>
              <w:sz w:val="22"/>
              <w:szCs w:val="22"/>
              <w:lang w:bidi="ar-SA"/>
            </w:rPr>
          </w:pPr>
          <w:hyperlink w:anchor="_Toc490734346" w:history="1">
            <w:r w:rsidR="0016289A" w:rsidRPr="00F34D76">
              <w:rPr>
                <w:rStyle w:val="Hipersaite"/>
                <w:noProof/>
              </w:rPr>
              <w:t>3.3.4. Pārraudzības un kontroles aspekti</w:t>
            </w:r>
            <w:r w:rsidR="0016289A">
              <w:rPr>
                <w:noProof/>
                <w:webHidden/>
              </w:rPr>
              <w:tab/>
            </w:r>
            <w:r w:rsidR="0016289A" w:rsidRPr="00D663C9">
              <w:rPr>
                <w:i w:val="0"/>
                <w:noProof/>
                <w:webHidden/>
              </w:rPr>
              <w:fldChar w:fldCharType="begin"/>
            </w:r>
            <w:r w:rsidR="0016289A" w:rsidRPr="00D663C9">
              <w:rPr>
                <w:i w:val="0"/>
                <w:noProof/>
                <w:webHidden/>
              </w:rPr>
              <w:instrText xml:space="preserve"> PAGEREF _Toc490734346 \h </w:instrText>
            </w:r>
            <w:r w:rsidR="0016289A" w:rsidRPr="00D663C9">
              <w:rPr>
                <w:i w:val="0"/>
                <w:noProof/>
                <w:webHidden/>
              </w:rPr>
            </w:r>
            <w:r w:rsidR="0016289A" w:rsidRPr="00D663C9">
              <w:rPr>
                <w:i w:val="0"/>
                <w:noProof/>
                <w:webHidden/>
              </w:rPr>
              <w:fldChar w:fldCharType="separate"/>
            </w:r>
            <w:r w:rsidR="00AF744F">
              <w:rPr>
                <w:i w:val="0"/>
                <w:noProof/>
                <w:webHidden/>
              </w:rPr>
              <w:t>51</w:t>
            </w:r>
            <w:r w:rsidR="0016289A" w:rsidRPr="00D663C9">
              <w:rPr>
                <w:i w:val="0"/>
                <w:noProof/>
                <w:webHidden/>
              </w:rPr>
              <w:fldChar w:fldCharType="end"/>
            </w:r>
          </w:hyperlink>
        </w:p>
        <w:p w:rsidR="0016289A" w:rsidRDefault="00FF42EE" w:rsidP="00D663C9">
          <w:pPr>
            <w:pStyle w:val="Saturs2"/>
            <w:tabs>
              <w:tab w:val="right" w:leader="dot" w:pos="9065"/>
            </w:tabs>
            <w:ind w:left="284" w:firstLine="0"/>
            <w:rPr>
              <w:rFonts w:asciiTheme="minorHAnsi" w:eastAsiaTheme="minorEastAsia" w:hAnsiTheme="minorHAnsi"/>
              <w:i w:val="0"/>
              <w:noProof/>
              <w:sz w:val="22"/>
              <w:szCs w:val="22"/>
              <w:lang w:bidi="ar-SA"/>
            </w:rPr>
          </w:pPr>
          <w:hyperlink w:anchor="_Toc490734347" w:history="1">
            <w:r w:rsidR="0016289A" w:rsidRPr="00F34D76">
              <w:rPr>
                <w:rStyle w:val="Hipersaite"/>
                <w:noProof/>
              </w:rPr>
              <w:t>3.4. Spēkā esošās SASP atļaujas</w:t>
            </w:r>
            <w:r w:rsidR="0016289A">
              <w:rPr>
                <w:noProof/>
                <w:webHidden/>
              </w:rPr>
              <w:tab/>
            </w:r>
            <w:r w:rsidR="0016289A" w:rsidRPr="00D663C9">
              <w:rPr>
                <w:i w:val="0"/>
                <w:noProof/>
                <w:webHidden/>
              </w:rPr>
              <w:fldChar w:fldCharType="begin"/>
            </w:r>
            <w:r w:rsidR="0016289A" w:rsidRPr="00D663C9">
              <w:rPr>
                <w:i w:val="0"/>
                <w:noProof/>
                <w:webHidden/>
              </w:rPr>
              <w:instrText xml:space="preserve"> PAGEREF _Toc490734347 \h </w:instrText>
            </w:r>
            <w:r w:rsidR="0016289A" w:rsidRPr="00D663C9">
              <w:rPr>
                <w:i w:val="0"/>
                <w:noProof/>
                <w:webHidden/>
              </w:rPr>
            </w:r>
            <w:r w:rsidR="0016289A" w:rsidRPr="00D663C9">
              <w:rPr>
                <w:i w:val="0"/>
                <w:noProof/>
                <w:webHidden/>
              </w:rPr>
              <w:fldChar w:fldCharType="separate"/>
            </w:r>
            <w:r w:rsidR="00AF744F">
              <w:rPr>
                <w:i w:val="0"/>
                <w:noProof/>
                <w:webHidden/>
              </w:rPr>
              <w:t>51</w:t>
            </w:r>
            <w:r w:rsidR="0016289A" w:rsidRPr="00D663C9">
              <w:rPr>
                <w:i w:val="0"/>
                <w:noProof/>
                <w:webHidden/>
              </w:rPr>
              <w:fldChar w:fldCharType="end"/>
            </w:r>
          </w:hyperlink>
        </w:p>
        <w:p w:rsidR="0016289A" w:rsidRDefault="00FF42EE" w:rsidP="00AF744F">
          <w:pPr>
            <w:pStyle w:val="Saturs2"/>
            <w:tabs>
              <w:tab w:val="right" w:leader="dot" w:pos="9065"/>
            </w:tabs>
            <w:ind w:left="709" w:firstLine="0"/>
            <w:rPr>
              <w:rFonts w:asciiTheme="minorHAnsi" w:eastAsiaTheme="minorEastAsia" w:hAnsiTheme="minorHAnsi"/>
              <w:i w:val="0"/>
              <w:noProof/>
              <w:sz w:val="22"/>
              <w:szCs w:val="22"/>
              <w:lang w:bidi="ar-SA"/>
            </w:rPr>
          </w:pPr>
          <w:hyperlink w:anchor="_Toc490734348" w:history="1">
            <w:r w:rsidR="0016289A" w:rsidRPr="00F34D76">
              <w:rPr>
                <w:rStyle w:val="Hipersaite"/>
                <w:noProof/>
              </w:rPr>
              <w:t>3.4.1. Kā interpretēt spēkā esošu SASP atļauju 2016. gada 1. maijā atkarībā no tās veida (SASP ar vienkāršoto deklarāciju, SASP ar vietējās muitošanas procedūru ar paziņošanu, SASP ar vietējās muitošanas procedūru ar atbrīvojumu no paziņošanas)</w:t>
            </w:r>
            <w:r w:rsidR="0016289A">
              <w:rPr>
                <w:noProof/>
                <w:webHidden/>
              </w:rPr>
              <w:tab/>
            </w:r>
            <w:r w:rsidR="0016289A" w:rsidRPr="00D663C9">
              <w:rPr>
                <w:i w:val="0"/>
                <w:noProof/>
                <w:webHidden/>
              </w:rPr>
              <w:fldChar w:fldCharType="begin"/>
            </w:r>
            <w:r w:rsidR="0016289A" w:rsidRPr="00D663C9">
              <w:rPr>
                <w:i w:val="0"/>
                <w:noProof/>
                <w:webHidden/>
              </w:rPr>
              <w:instrText xml:space="preserve"> PAGEREF _Toc490734348 \h </w:instrText>
            </w:r>
            <w:r w:rsidR="0016289A" w:rsidRPr="00D663C9">
              <w:rPr>
                <w:i w:val="0"/>
                <w:noProof/>
                <w:webHidden/>
              </w:rPr>
            </w:r>
            <w:r w:rsidR="0016289A" w:rsidRPr="00D663C9">
              <w:rPr>
                <w:i w:val="0"/>
                <w:noProof/>
                <w:webHidden/>
              </w:rPr>
              <w:fldChar w:fldCharType="separate"/>
            </w:r>
            <w:r w:rsidR="00AF744F">
              <w:rPr>
                <w:i w:val="0"/>
                <w:noProof/>
                <w:webHidden/>
              </w:rPr>
              <w:t>51</w:t>
            </w:r>
            <w:r w:rsidR="0016289A" w:rsidRPr="00D663C9">
              <w:rPr>
                <w:i w:val="0"/>
                <w:noProof/>
                <w:webHidden/>
              </w:rPr>
              <w:fldChar w:fldCharType="end"/>
            </w:r>
          </w:hyperlink>
        </w:p>
        <w:p w:rsidR="0016289A" w:rsidRDefault="00FF42EE" w:rsidP="00AF744F">
          <w:pPr>
            <w:pStyle w:val="Saturs2"/>
            <w:tabs>
              <w:tab w:val="right" w:leader="dot" w:pos="9065"/>
            </w:tabs>
            <w:ind w:left="709" w:firstLine="0"/>
            <w:rPr>
              <w:rFonts w:asciiTheme="minorHAnsi" w:eastAsiaTheme="minorEastAsia" w:hAnsiTheme="minorHAnsi"/>
              <w:i w:val="0"/>
              <w:noProof/>
              <w:sz w:val="22"/>
              <w:szCs w:val="22"/>
              <w:lang w:bidi="ar-SA"/>
            </w:rPr>
          </w:pPr>
          <w:hyperlink w:anchor="_Toc490734349" w:history="1">
            <w:r w:rsidR="0016289A" w:rsidRPr="00F34D76">
              <w:rPr>
                <w:rStyle w:val="Hipersaite"/>
                <w:noProof/>
              </w:rPr>
              <w:t>3.4.2. Procesuāli noteikumi katrai kombinācijai: preču uzrādīšana, deklarācijas iesniegšana, informācijas apmaiņa starp muitas dienestiem</w:t>
            </w:r>
            <w:r w:rsidR="0016289A">
              <w:rPr>
                <w:noProof/>
                <w:webHidden/>
              </w:rPr>
              <w:tab/>
            </w:r>
            <w:r w:rsidR="0016289A" w:rsidRPr="00D663C9">
              <w:rPr>
                <w:i w:val="0"/>
                <w:noProof/>
                <w:webHidden/>
              </w:rPr>
              <w:fldChar w:fldCharType="begin"/>
            </w:r>
            <w:r w:rsidR="0016289A" w:rsidRPr="00D663C9">
              <w:rPr>
                <w:i w:val="0"/>
                <w:noProof/>
                <w:webHidden/>
              </w:rPr>
              <w:instrText xml:space="preserve"> PAGEREF _Toc490734349 \h </w:instrText>
            </w:r>
            <w:r w:rsidR="0016289A" w:rsidRPr="00D663C9">
              <w:rPr>
                <w:i w:val="0"/>
                <w:noProof/>
                <w:webHidden/>
              </w:rPr>
            </w:r>
            <w:r w:rsidR="0016289A" w:rsidRPr="00D663C9">
              <w:rPr>
                <w:i w:val="0"/>
                <w:noProof/>
                <w:webHidden/>
              </w:rPr>
              <w:fldChar w:fldCharType="separate"/>
            </w:r>
            <w:r w:rsidR="00AF744F">
              <w:rPr>
                <w:i w:val="0"/>
                <w:noProof/>
                <w:webHidden/>
              </w:rPr>
              <w:t>52</w:t>
            </w:r>
            <w:r w:rsidR="0016289A" w:rsidRPr="00D663C9">
              <w:rPr>
                <w:i w:val="0"/>
                <w:noProof/>
                <w:webHidden/>
              </w:rPr>
              <w:fldChar w:fldCharType="end"/>
            </w:r>
          </w:hyperlink>
        </w:p>
        <w:p w:rsidR="0016289A" w:rsidRDefault="00FF42EE" w:rsidP="00AF744F">
          <w:pPr>
            <w:pStyle w:val="Saturs2"/>
            <w:tabs>
              <w:tab w:val="right" w:leader="dot" w:pos="9065"/>
            </w:tabs>
            <w:ind w:left="709" w:firstLine="0"/>
            <w:rPr>
              <w:rFonts w:asciiTheme="minorHAnsi" w:eastAsiaTheme="minorEastAsia" w:hAnsiTheme="minorHAnsi"/>
              <w:i w:val="0"/>
              <w:noProof/>
              <w:sz w:val="22"/>
              <w:szCs w:val="22"/>
              <w:lang w:bidi="ar-SA"/>
            </w:rPr>
          </w:pPr>
          <w:hyperlink w:anchor="_Toc490734350" w:history="1">
            <w:r w:rsidR="0016289A" w:rsidRPr="00F34D76">
              <w:rPr>
                <w:rStyle w:val="Hipersaite"/>
                <w:noProof/>
              </w:rPr>
              <w:t>3.4.3. Pārraudzības un kontroles aspekti</w:t>
            </w:r>
            <w:r w:rsidR="0016289A">
              <w:rPr>
                <w:noProof/>
                <w:webHidden/>
              </w:rPr>
              <w:tab/>
            </w:r>
            <w:r w:rsidR="0016289A" w:rsidRPr="00D663C9">
              <w:rPr>
                <w:i w:val="0"/>
                <w:noProof/>
                <w:webHidden/>
              </w:rPr>
              <w:fldChar w:fldCharType="begin"/>
            </w:r>
            <w:r w:rsidR="0016289A" w:rsidRPr="00D663C9">
              <w:rPr>
                <w:i w:val="0"/>
                <w:noProof/>
                <w:webHidden/>
              </w:rPr>
              <w:instrText xml:space="preserve"> PAGEREF _Toc490734350 \h </w:instrText>
            </w:r>
            <w:r w:rsidR="0016289A" w:rsidRPr="00D663C9">
              <w:rPr>
                <w:i w:val="0"/>
                <w:noProof/>
                <w:webHidden/>
              </w:rPr>
            </w:r>
            <w:r w:rsidR="0016289A" w:rsidRPr="00D663C9">
              <w:rPr>
                <w:i w:val="0"/>
                <w:noProof/>
                <w:webHidden/>
              </w:rPr>
              <w:fldChar w:fldCharType="separate"/>
            </w:r>
            <w:r w:rsidR="00AF744F">
              <w:rPr>
                <w:i w:val="0"/>
                <w:noProof/>
                <w:webHidden/>
              </w:rPr>
              <w:t>52</w:t>
            </w:r>
            <w:r w:rsidR="0016289A" w:rsidRPr="00D663C9">
              <w:rPr>
                <w:i w:val="0"/>
                <w:noProof/>
                <w:webHidden/>
              </w:rPr>
              <w:fldChar w:fldCharType="end"/>
            </w:r>
          </w:hyperlink>
        </w:p>
        <w:p w:rsidR="0016289A" w:rsidRDefault="00FF42EE" w:rsidP="00AF744F">
          <w:pPr>
            <w:pStyle w:val="Saturs2"/>
            <w:tabs>
              <w:tab w:val="right" w:leader="dot" w:pos="9065"/>
            </w:tabs>
            <w:ind w:left="709" w:firstLine="0"/>
            <w:rPr>
              <w:rFonts w:asciiTheme="minorHAnsi" w:eastAsiaTheme="minorEastAsia" w:hAnsiTheme="minorHAnsi"/>
              <w:i w:val="0"/>
              <w:noProof/>
              <w:sz w:val="22"/>
              <w:szCs w:val="22"/>
              <w:lang w:bidi="ar-SA"/>
            </w:rPr>
          </w:pPr>
          <w:hyperlink w:anchor="_Toc490734351" w:history="1">
            <w:r w:rsidR="0016289A" w:rsidRPr="00F34D76">
              <w:rPr>
                <w:rStyle w:val="Hipersaite"/>
                <w:noProof/>
              </w:rPr>
              <w:t>3.4.4. Strīdi</w:t>
            </w:r>
            <w:r w:rsidR="0016289A">
              <w:rPr>
                <w:noProof/>
                <w:webHidden/>
              </w:rPr>
              <w:tab/>
            </w:r>
            <w:r w:rsidR="0016289A" w:rsidRPr="00D663C9">
              <w:rPr>
                <w:i w:val="0"/>
                <w:noProof/>
                <w:webHidden/>
              </w:rPr>
              <w:fldChar w:fldCharType="begin"/>
            </w:r>
            <w:r w:rsidR="0016289A" w:rsidRPr="00D663C9">
              <w:rPr>
                <w:i w:val="0"/>
                <w:noProof/>
                <w:webHidden/>
              </w:rPr>
              <w:instrText xml:space="preserve"> PAGEREF _Toc490734351 \h </w:instrText>
            </w:r>
            <w:r w:rsidR="0016289A" w:rsidRPr="00D663C9">
              <w:rPr>
                <w:i w:val="0"/>
                <w:noProof/>
                <w:webHidden/>
              </w:rPr>
            </w:r>
            <w:r w:rsidR="0016289A" w:rsidRPr="00D663C9">
              <w:rPr>
                <w:i w:val="0"/>
                <w:noProof/>
                <w:webHidden/>
              </w:rPr>
              <w:fldChar w:fldCharType="separate"/>
            </w:r>
            <w:r w:rsidR="00AF744F">
              <w:rPr>
                <w:i w:val="0"/>
                <w:noProof/>
                <w:webHidden/>
              </w:rPr>
              <w:t>52</w:t>
            </w:r>
            <w:r w:rsidR="0016289A" w:rsidRPr="00D663C9">
              <w:rPr>
                <w:i w:val="0"/>
                <w:noProof/>
                <w:webHidden/>
              </w:rPr>
              <w:fldChar w:fldCharType="end"/>
            </w:r>
          </w:hyperlink>
        </w:p>
        <w:p w:rsidR="0016289A" w:rsidRDefault="00FF42EE" w:rsidP="00AF744F">
          <w:pPr>
            <w:pStyle w:val="Saturs2"/>
            <w:tabs>
              <w:tab w:val="right" w:leader="dot" w:pos="9065"/>
            </w:tabs>
            <w:ind w:left="709" w:firstLine="0"/>
            <w:rPr>
              <w:rFonts w:asciiTheme="minorHAnsi" w:eastAsiaTheme="minorEastAsia" w:hAnsiTheme="minorHAnsi"/>
              <w:i w:val="0"/>
              <w:noProof/>
              <w:sz w:val="22"/>
              <w:szCs w:val="22"/>
              <w:lang w:bidi="ar-SA"/>
            </w:rPr>
          </w:pPr>
          <w:hyperlink w:anchor="_Toc490734354" w:history="1">
            <w:r w:rsidR="0016289A" w:rsidRPr="00F34D76">
              <w:rPr>
                <w:rStyle w:val="Hipersaite"/>
                <w:noProof/>
              </w:rPr>
              <w:t>3.4.5. Neatbilstības</w:t>
            </w:r>
            <w:r w:rsidR="0016289A">
              <w:rPr>
                <w:noProof/>
                <w:webHidden/>
              </w:rPr>
              <w:tab/>
            </w:r>
            <w:r w:rsidR="0016289A" w:rsidRPr="00D663C9">
              <w:rPr>
                <w:i w:val="0"/>
                <w:noProof/>
                <w:webHidden/>
              </w:rPr>
              <w:fldChar w:fldCharType="begin"/>
            </w:r>
            <w:r w:rsidR="0016289A" w:rsidRPr="00D663C9">
              <w:rPr>
                <w:i w:val="0"/>
                <w:noProof/>
                <w:webHidden/>
              </w:rPr>
              <w:instrText xml:space="preserve"> PAGEREF _Toc490734354 \h </w:instrText>
            </w:r>
            <w:r w:rsidR="0016289A" w:rsidRPr="00D663C9">
              <w:rPr>
                <w:i w:val="0"/>
                <w:noProof/>
                <w:webHidden/>
              </w:rPr>
            </w:r>
            <w:r w:rsidR="0016289A" w:rsidRPr="00D663C9">
              <w:rPr>
                <w:i w:val="0"/>
                <w:noProof/>
                <w:webHidden/>
              </w:rPr>
              <w:fldChar w:fldCharType="separate"/>
            </w:r>
            <w:r w:rsidR="00AF744F">
              <w:rPr>
                <w:i w:val="0"/>
                <w:noProof/>
                <w:webHidden/>
              </w:rPr>
              <w:t>53</w:t>
            </w:r>
            <w:r w:rsidR="0016289A" w:rsidRPr="00D663C9">
              <w:rPr>
                <w:i w:val="0"/>
                <w:noProof/>
                <w:webHidden/>
              </w:rPr>
              <w:fldChar w:fldCharType="end"/>
            </w:r>
          </w:hyperlink>
        </w:p>
        <w:p w:rsidR="0016289A" w:rsidRDefault="00FF42EE" w:rsidP="00D663C9">
          <w:pPr>
            <w:pStyle w:val="Saturs1"/>
            <w:tabs>
              <w:tab w:val="right" w:leader="dot" w:pos="9065"/>
            </w:tabs>
            <w:ind w:left="0" w:firstLine="0"/>
            <w:rPr>
              <w:rFonts w:asciiTheme="minorHAnsi" w:eastAsiaTheme="minorEastAsia" w:hAnsiTheme="minorHAnsi"/>
              <w:noProof/>
              <w:sz w:val="22"/>
              <w:szCs w:val="22"/>
              <w:lang w:bidi="ar-SA"/>
            </w:rPr>
          </w:pPr>
          <w:hyperlink w:anchor="_Toc490734360" w:history="1">
            <w:r w:rsidR="0016289A" w:rsidRPr="00F34D76">
              <w:rPr>
                <w:rStyle w:val="Hipersaite"/>
                <w:noProof/>
              </w:rPr>
              <w:t>PIELIKUMI</w:t>
            </w:r>
            <w:r w:rsidR="0016289A">
              <w:rPr>
                <w:noProof/>
                <w:webHidden/>
              </w:rPr>
              <w:tab/>
            </w:r>
            <w:r w:rsidR="0016289A">
              <w:rPr>
                <w:noProof/>
                <w:webHidden/>
              </w:rPr>
              <w:fldChar w:fldCharType="begin"/>
            </w:r>
            <w:r w:rsidR="0016289A">
              <w:rPr>
                <w:noProof/>
                <w:webHidden/>
              </w:rPr>
              <w:instrText xml:space="preserve"> PAGEREF _Toc490734360 \h </w:instrText>
            </w:r>
            <w:r w:rsidR="0016289A">
              <w:rPr>
                <w:noProof/>
                <w:webHidden/>
              </w:rPr>
            </w:r>
            <w:r w:rsidR="0016289A">
              <w:rPr>
                <w:noProof/>
                <w:webHidden/>
              </w:rPr>
              <w:fldChar w:fldCharType="separate"/>
            </w:r>
            <w:r w:rsidR="00AF744F">
              <w:rPr>
                <w:noProof/>
                <w:webHidden/>
              </w:rPr>
              <w:t>54</w:t>
            </w:r>
            <w:r w:rsidR="0016289A">
              <w:rPr>
                <w:noProof/>
                <w:webHidden/>
              </w:rPr>
              <w:fldChar w:fldCharType="end"/>
            </w:r>
          </w:hyperlink>
        </w:p>
        <w:p w:rsidR="0016289A" w:rsidRDefault="00FF42EE" w:rsidP="00AF744F">
          <w:pPr>
            <w:pStyle w:val="Saturs2"/>
            <w:tabs>
              <w:tab w:val="right" w:leader="dot" w:pos="9065"/>
            </w:tabs>
            <w:ind w:left="284" w:firstLine="0"/>
            <w:rPr>
              <w:rFonts w:asciiTheme="minorHAnsi" w:eastAsiaTheme="minorEastAsia" w:hAnsiTheme="minorHAnsi"/>
              <w:i w:val="0"/>
              <w:noProof/>
              <w:sz w:val="22"/>
              <w:szCs w:val="22"/>
              <w:lang w:bidi="ar-SA"/>
            </w:rPr>
          </w:pPr>
          <w:hyperlink w:anchor="_Toc490734361" w:history="1">
            <w:r w:rsidR="0016289A" w:rsidRPr="00F34D76">
              <w:rPr>
                <w:rStyle w:val="Hipersaite"/>
                <w:noProof/>
              </w:rPr>
              <w:t>I PIELIKUMS - PAZIŅOJUMS PAR IEKASĒŠANAS IZMAKSĀM UN IESPĒJAMIE IEKASĒŠANAS IZMAKSU SADALĪŠANAS RISINĀJUMI</w:t>
            </w:r>
            <w:r w:rsidR="0016289A">
              <w:rPr>
                <w:noProof/>
                <w:webHidden/>
              </w:rPr>
              <w:tab/>
            </w:r>
            <w:r w:rsidR="0016289A" w:rsidRPr="00D663C9">
              <w:rPr>
                <w:i w:val="0"/>
                <w:noProof/>
                <w:webHidden/>
              </w:rPr>
              <w:fldChar w:fldCharType="begin"/>
            </w:r>
            <w:r w:rsidR="0016289A" w:rsidRPr="00D663C9">
              <w:rPr>
                <w:i w:val="0"/>
                <w:noProof/>
                <w:webHidden/>
              </w:rPr>
              <w:instrText xml:space="preserve"> PAGEREF _Toc490734361 \h </w:instrText>
            </w:r>
            <w:r w:rsidR="0016289A" w:rsidRPr="00D663C9">
              <w:rPr>
                <w:i w:val="0"/>
                <w:noProof/>
                <w:webHidden/>
              </w:rPr>
            </w:r>
            <w:r w:rsidR="0016289A" w:rsidRPr="00D663C9">
              <w:rPr>
                <w:i w:val="0"/>
                <w:noProof/>
                <w:webHidden/>
              </w:rPr>
              <w:fldChar w:fldCharType="separate"/>
            </w:r>
            <w:r w:rsidR="00AF744F">
              <w:rPr>
                <w:i w:val="0"/>
                <w:noProof/>
                <w:webHidden/>
              </w:rPr>
              <w:t>54</w:t>
            </w:r>
            <w:r w:rsidR="0016289A" w:rsidRPr="00D663C9">
              <w:rPr>
                <w:i w:val="0"/>
                <w:noProof/>
                <w:webHidden/>
              </w:rPr>
              <w:fldChar w:fldCharType="end"/>
            </w:r>
          </w:hyperlink>
        </w:p>
        <w:p w:rsidR="0016289A" w:rsidRDefault="00FF42EE" w:rsidP="00AF744F">
          <w:pPr>
            <w:pStyle w:val="Saturs2"/>
            <w:tabs>
              <w:tab w:val="right" w:leader="dot" w:pos="9065"/>
            </w:tabs>
            <w:ind w:left="284" w:firstLine="0"/>
            <w:rPr>
              <w:rFonts w:asciiTheme="minorHAnsi" w:eastAsiaTheme="minorEastAsia" w:hAnsiTheme="minorHAnsi"/>
              <w:i w:val="0"/>
              <w:noProof/>
              <w:sz w:val="22"/>
              <w:szCs w:val="22"/>
              <w:lang w:bidi="ar-SA"/>
            </w:rPr>
          </w:pPr>
          <w:hyperlink w:anchor="_Toc490734362" w:history="1">
            <w:r w:rsidR="0016289A" w:rsidRPr="00F34D76">
              <w:rPr>
                <w:rStyle w:val="Hipersaite"/>
                <w:noProof/>
              </w:rPr>
              <w:t>II PIELIKUMS - DALĪBVALSTU GALVENĀS PRASĪBAS ATTIECĪBĀ UZ IMPORTA PVN un STATISTIKAS PRASĪBAS</w:t>
            </w:r>
            <w:r w:rsidR="0016289A">
              <w:rPr>
                <w:noProof/>
                <w:webHidden/>
              </w:rPr>
              <w:tab/>
            </w:r>
            <w:r w:rsidR="0016289A" w:rsidRPr="00D663C9">
              <w:rPr>
                <w:i w:val="0"/>
                <w:noProof/>
                <w:webHidden/>
              </w:rPr>
              <w:fldChar w:fldCharType="begin"/>
            </w:r>
            <w:r w:rsidR="0016289A" w:rsidRPr="00D663C9">
              <w:rPr>
                <w:i w:val="0"/>
                <w:noProof/>
                <w:webHidden/>
              </w:rPr>
              <w:instrText xml:space="preserve"> PAGEREF _Toc490734362 \h </w:instrText>
            </w:r>
            <w:r w:rsidR="0016289A" w:rsidRPr="00D663C9">
              <w:rPr>
                <w:i w:val="0"/>
                <w:noProof/>
                <w:webHidden/>
              </w:rPr>
            </w:r>
            <w:r w:rsidR="0016289A" w:rsidRPr="00D663C9">
              <w:rPr>
                <w:i w:val="0"/>
                <w:noProof/>
                <w:webHidden/>
              </w:rPr>
              <w:fldChar w:fldCharType="separate"/>
            </w:r>
            <w:r w:rsidR="00AF744F">
              <w:rPr>
                <w:i w:val="0"/>
                <w:noProof/>
                <w:webHidden/>
              </w:rPr>
              <w:t>55</w:t>
            </w:r>
            <w:r w:rsidR="0016289A" w:rsidRPr="00D663C9">
              <w:rPr>
                <w:i w:val="0"/>
                <w:noProof/>
                <w:webHidden/>
              </w:rPr>
              <w:fldChar w:fldCharType="end"/>
            </w:r>
          </w:hyperlink>
        </w:p>
        <w:p w:rsidR="0016289A" w:rsidRDefault="00FF42EE" w:rsidP="00AF744F">
          <w:pPr>
            <w:pStyle w:val="Saturs2"/>
            <w:tabs>
              <w:tab w:val="right" w:leader="dot" w:pos="9065"/>
            </w:tabs>
            <w:ind w:left="284" w:firstLine="0"/>
            <w:rPr>
              <w:rFonts w:asciiTheme="minorHAnsi" w:eastAsiaTheme="minorEastAsia" w:hAnsiTheme="minorHAnsi"/>
              <w:i w:val="0"/>
              <w:noProof/>
              <w:sz w:val="22"/>
              <w:szCs w:val="22"/>
              <w:lang w:bidi="ar-SA"/>
            </w:rPr>
          </w:pPr>
          <w:hyperlink w:anchor="_Toc490734363" w:history="1">
            <w:r w:rsidR="0016289A" w:rsidRPr="00F34D76">
              <w:rPr>
                <w:rStyle w:val="Hipersaite"/>
                <w:noProof/>
              </w:rPr>
              <w:t>III PIELIKUMS - ATBILDĪBAS SADALĪJUMS</w:t>
            </w:r>
            <w:r w:rsidR="0016289A">
              <w:rPr>
                <w:noProof/>
                <w:webHidden/>
              </w:rPr>
              <w:tab/>
            </w:r>
            <w:r w:rsidR="0016289A" w:rsidRPr="00D663C9">
              <w:rPr>
                <w:i w:val="0"/>
                <w:noProof/>
                <w:webHidden/>
              </w:rPr>
              <w:fldChar w:fldCharType="begin"/>
            </w:r>
            <w:r w:rsidR="0016289A" w:rsidRPr="00D663C9">
              <w:rPr>
                <w:i w:val="0"/>
                <w:noProof/>
                <w:webHidden/>
              </w:rPr>
              <w:instrText xml:space="preserve"> PAGEREF _Toc490734363 \h </w:instrText>
            </w:r>
            <w:r w:rsidR="0016289A" w:rsidRPr="00D663C9">
              <w:rPr>
                <w:i w:val="0"/>
                <w:noProof/>
                <w:webHidden/>
              </w:rPr>
            </w:r>
            <w:r w:rsidR="0016289A" w:rsidRPr="00D663C9">
              <w:rPr>
                <w:i w:val="0"/>
                <w:noProof/>
                <w:webHidden/>
              </w:rPr>
              <w:fldChar w:fldCharType="separate"/>
            </w:r>
            <w:r w:rsidR="00AF744F">
              <w:rPr>
                <w:i w:val="0"/>
                <w:noProof/>
                <w:webHidden/>
              </w:rPr>
              <w:t>65</w:t>
            </w:r>
            <w:r w:rsidR="0016289A" w:rsidRPr="00D663C9">
              <w:rPr>
                <w:i w:val="0"/>
                <w:noProof/>
                <w:webHidden/>
              </w:rPr>
              <w:fldChar w:fldCharType="end"/>
            </w:r>
          </w:hyperlink>
        </w:p>
        <w:p w:rsidR="0016289A" w:rsidRDefault="00FF42EE" w:rsidP="00AF744F">
          <w:pPr>
            <w:pStyle w:val="Saturs2"/>
            <w:tabs>
              <w:tab w:val="right" w:leader="dot" w:pos="9065"/>
            </w:tabs>
            <w:ind w:left="284" w:firstLine="0"/>
            <w:rPr>
              <w:rFonts w:asciiTheme="minorHAnsi" w:eastAsiaTheme="minorEastAsia" w:hAnsiTheme="minorHAnsi"/>
              <w:i w:val="0"/>
              <w:noProof/>
              <w:sz w:val="22"/>
              <w:szCs w:val="22"/>
              <w:lang w:bidi="ar-SA"/>
            </w:rPr>
          </w:pPr>
          <w:hyperlink w:anchor="_Toc490734364" w:history="1">
            <w:r w:rsidR="0016289A" w:rsidRPr="00F34D76">
              <w:rPr>
                <w:rStyle w:val="Hipersaite"/>
                <w:noProof/>
              </w:rPr>
              <w:t>IV PIELIKUMS - KONTROLES PASĀKUMI STARP CENTRALIZĒTAJĀ MUITOŠANĀ IESAISTĪTAJĀM MUITAS ADMINISTRĀCIJĀM</w:t>
            </w:r>
            <w:r w:rsidR="0016289A">
              <w:rPr>
                <w:noProof/>
                <w:webHidden/>
              </w:rPr>
              <w:tab/>
            </w:r>
            <w:r w:rsidR="0016289A" w:rsidRPr="00D663C9">
              <w:rPr>
                <w:i w:val="0"/>
                <w:noProof/>
                <w:webHidden/>
              </w:rPr>
              <w:fldChar w:fldCharType="begin"/>
            </w:r>
            <w:r w:rsidR="0016289A" w:rsidRPr="00D663C9">
              <w:rPr>
                <w:i w:val="0"/>
                <w:noProof/>
                <w:webHidden/>
              </w:rPr>
              <w:instrText xml:space="preserve"> PAGEREF _Toc490734364 \h </w:instrText>
            </w:r>
            <w:r w:rsidR="0016289A" w:rsidRPr="00D663C9">
              <w:rPr>
                <w:i w:val="0"/>
                <w:noProof/>
                <w:webHidden/>
              </w:rPr>
            </w:r>
            <w:r w:rsidR="0016289A" w:rsidRPr="00D663C9">
              <w:rPr>
                <w:i w:val="0"/>
                <w:noProof/>
                <w:webHidden/>
              </w:rPr>
              <w:fldChar w:fldCharType="separate"/>
            </w:r>
            <w:r w:rsidR="00AF744F">
              <w:rPr>
                <w:i w:val="0"/>
                <w:noProof/>
                <w:webHidden/>
              </w:rPr>
              <w:t>66</w:t>
            </w:r>
            <w:r w:rsidR="0016289A" w:rsidRPr="00D663C9">
              <w:rPr>
                <w:i w:val="0"/>
                <w:noProof/>
                <w:webHidden/>
              </w:rPr>
              <w:fldChar w:fldCharType="end"/>
            </w:r>
          </w:hyperlink>
        </w:p>
        <w:p w:rsidR="0016289A" w:rsidRDefault="00FF42EE" w:rsidP="00AF744F">
          <w:pPr>
            <w:pStyle w:val="Saturs2"/>
            <w:tabs>
              <w:tab w:val="right" w:leader="dot" w:pos="9065"/>
            </w:tabs>
            <w:ind w:left="284" w:firstLine="0"/>
            <w:rPr>
              <w:rFonts w:asciiTheme="minorHAnsi" w:eastAsiaTheme="minorEastAsia" w:hAnsiTheme="minorHAnsi"/>
              <w:i w:val="0"/>
              <w:noProof/>
              <w:sz w:val="22"/>
              <w:szCs w:val="22"/>
              <w:lang w:bidi="ar-SA"/>
            </w:rPr>
          </w:pPr>
          <w:hyperlink w:anchor="_Toc490734367" w:history="1">
            <w:r w:rsidR="0016289A" w:rsidRPr="00F34D76">
              <w:rPr>
                <w:rStyle w:val="Hipersaite"/>
                <w:noProof/>
              </w:rPr>
              <w:t>V PIELIKUMS - KOPĪGAIS KONTROLES PLĀNS</w:t>
            </w:r>
            <w:r w:rsidR="0016289A">
              <w:rPr>
                <w:noProof/>
                <w:webHidden/>
              </w:rPr>
              <w:tab/>
            </w:r>
            <w:r w:rsidR="0016289A" w:rsidRPr="00D663C9">
              <w:rPr>
                <w:i w:val="0"/>
                <w:noProof/>
                <w:webHidden/>
              </w:rPr>
              <w:fldChar w:fldCharType="begin"/>
            </w:r>
            <w:r w:rsidR="0016289A" w:rsidRPr="00D663C9">
              <w:rPr>
                <w:i w:val="0"/>
                <w:noProof/>
                <w:webHidden/>
              </w:rPr>
              <w:instrText xml:space="preserve"> PAGEREF _Toc490734367 \h </w:instrText>
            </w:r>
            <w:r w:rsidR="0016289A" w:rsidRPr="00D663C9">
              <w:rPr>
                <w:i w:val="0"/>
                <w:noProof/>
                <w:webHidden/>
              </w:rPr>
            </w:r>
            <w:r w:rsidR="0016289A" w:rsidRPr="00D663C9">
              <w:rPr>
                <w:i w:val="0"/>
                <w:noProof/>
                <w:webHidden/>
              </w:rPr>
              <w:fldChar w:fldCharType="separate"/>
            </w:r>
            <w:r w:rsidR="00AF744F">
              <w:rPr>
                <w:i w:val="0"/>
                <w:noProof/>
                <w:webHidden/>
              </w:rPr>
              <w:t>68</w:t>
            </w:r>
            <w:r w:rsidR="0016289A" w:rsidRPr="00D663C9">
              <w:rPr>
                <w:i w:val="0"/>
                <w:noProof/>
                <w:webHidden/>
              </w:rPr>
              <w:fldChar w:fldCharType="end"/>
            </w:r>
          </w:hyperlink>
        </w:p>
        <w:p w:rsidR="0016289A" w:rsidRDefault="00FF42EE" w:rsidP="00AF744F">
          <w:pPr>
            <w:pStyle w:val="Saturs2"/>
            <w:tabs>
              <w:tab w:val="right" w:leader="dot" w:pos="9065"/>
            </w:tabs>
            <w:ind w:left="284" w:firstLine="0"/>
            <w:rPr>
              <w:rFonts w:asciiTheme="minorHAnsi" w:eastAsiaTheme="minorEastAsia" w:hAnsiTheme="minorHAnsi"/>
              <w:i w:val="0"/>
              <w:noProof/>
              <w:sz w:val="22"/>
              <w:szCs w:val="22"/>
              <w:lang w:bidi="ar-SA"/>
            </w:rPr>
          </w:pPr>
          <w:hyperlink w:anchor="_Toc490734369" w:history="1">
            <w:r w:rsidR="0016289A" w:rsidRPr="00F34D76">
              <w:rPr>
                <w:rStyle w:val="Hipersaite"/>
                <w:noProof/>
              </w:rPr>
              <w:t>VI PIELIKUMS - KONTROLES PIEPRASĪJUMS SAISTĪBĀ AR CENTRALIZĒTO MUITOŠANU</w:t>
            </w:r>
            <w:r w:rsidR="0016289A">
              <w:rPr>
                <w:noProof/>
                <w:webHidden/>
              </w:rPr>
              <w:tab/>
            </w:r>
            <w:r w:rsidR="0016289A" w:rsidRPr="00D663C9">
              <w:rPr>
                <w:i w:val="0"/>
                <w:noProof/>
                <w:webHidden/>
              </w:rPr>
              <w:fldChar w:fldCharType="begin"/>
            </w:r>
            <w:r w:rsidR="0016289A" w:rsidRPr="00D663C9">
              <w:rPr>
                <w:i w:val="0"/>
                <w:noProof/>
                <w:webHidden/>
              </w:rPr>
              <w:instrText xml:space="preserve"> PAGEREF _Toc490734369 \h </w:instrText>
            </w:r>
            <w:r w:rsidR="0016289A" w:rsidRPr="00D663C9">
              <w:rPr>
                <w:i w:val="0"/>
                <w:noProof/>
                <w:webHidden/>
              </w:rPr>
            </w:r>
            <w:r w:rsidR="0016289A" w:rsidRPr="00D663C9">
              <w:rPr>
                <w:i w:val="0"/>
                <w:noProof/>
                <w:webHidden/>
              </w:rPr>
              <w:fldChar w:fldCharType="separate"/>
            </w:r>
            <w:r w:rsidR="00AF744F">
              <w:rPr>
                <w:i w:val="0"/>
                <w:noProof/>
                <w:webHidden/>
              </w:rPr>
              <w:t>71</w:t>
            </w:r>
            <w:r w:rsidR="0016289A" w:rsidRPr="00D663C9">
              <w:rPr>
                <w:i w:val="0"/>
                <w:noProof/>
                <w:webHidden/>
              </w:rPr>
              <w:fldChar w:fldCharType="end"/>
            </w:r>
          </w:hyperlink>
        </w:p>
        <w:p w:rsidR="0016289A" w:rsidRDefault="0016289A" w:rsidP="00D663C9">
          <w:r>
            <w:rPr>
              <w:b/>
              <w:bCs/>
            </w:rPr>
            <w:fldChar w:fldCharType="end"/>
          </w:r>
        </w:p>
      </w:sdtContent>
    </w:sdt>
    <w:p w:rsidR="007E06AA" w:rsidRPr="007E06AA" w:rsidRDefault="007E06AA">
      <w:pPr>
        <w:rPr>
          <w:rFonts w:ascii="Times New Roman" w:hAnsi="Times New Roman" w:cs="Times New Roman"/>
        </w:rPr>
      </w:pPr>
    </w:p>
    <w:p w:rsidR="007E06AA" w:rsidRPr="007E06AA" w:rsidRDefault="007E06AA">
      <w:pPr>
        <w:rPr>
          <w:rFonts w:ascii="Times New Roman" w:hAnsi="Times New Roman" w:cs="Times New Roman"/>
        </w:rPr>
      </w:pPr>
    </w:p>
    <w:p w:rsidR="009E55DD" w:rsidRDefault="009E55DD">
      <w:pPr>
        <w:rPr>
          <w:rFonts w:ascii="Times New Roman" w:eastAsia="Times New Roman" w:hAnsi="Times New Roman"/>
          <w:noProof/>
          <w:sz w:val="24"/>
          <w:szCs w:val="24"/>
        </w:rPr>
      </w:pPr>
      <w:r>
        <w:br w:type="page"/>
      </w:r>
    </w:p>
    <w:p w:rsidR="00211065" w:rsidRPr="003E628F" w:rsidRDefault="009E55DD" w:rsidP="009F0223">
      <w:pPr>
        <w:pStyle w:val="Virsraksts1"/>
        <w:jc w:val="left"/>
        <w:rPr>
          <w:rFonts w:cs="Times New Roman"/>
          <w:noProof/>
        </w:rPr>
      </w:pPr>
      <w:bookmarkStart w:id="2" w:name="_Toc490734224"/>
      <w:r>
        <w:rPr>
          <w:noProof/>
        </w:rPr>
        <w:lastRenderedPageBreak/>
        <w:t>1. IEVADS</w:t>
      </w:r>
      <w:bookmarkStart w:id="3" w:name="_bookmark1"/>
      <w:bookmarkEnd w:id="3"/>
      <w:bookmarkEnd w:id="2"/>
    </w:p>
    <w:p w:rsidR="009E55DD" w:rsidRDefault="009E55DD" w:rsidP="009E55DD">
      <w:pPr>
        <w:pStyle w:val="Virsraksts2"/>
        <w:tabs>
          <w:tab w:val="left" w:pos="676"/>
        </w:tabs>
        <w:jc w:val="both"/>
        <w:rPr>
          <w:noProof/>
        </w:rPr>
      </w:pPr>
    </w:p>
    <w:p w:rsidR="00211065" w:rsidRPr="009F0223" w:rsidRDefault="009E55DD" w:rsidP="009F0223">
      <w:pPr>
        <w:pStyle w:val="Virsraksts2"/>
        <w:rPr>
          <w:b/>
          <w:noProof/>
        </w:rPr>
      </w:pPr>
      <w:bookmarkStart w:id="4" w:name="_Toc490734225"/>
      <w:r w:rsidRPr="009F0223">
        <w:rPr>
          <w:b/>
        </w:rPr>
        <w:t>1.1. SMK – DA/ĪA</w:t>
      </w:r>
      <w:bookmarkStart w:id="5" w:name="_bookmark2"/>
      <w:bookmarkEnd w:id="5"/>
      <w:bookmarkEnd w:id="4"/>
    </w:p>
    <w:p w:rsidR="00211065" w:rsidRPr="003E628F" w:rsidRDefault="00211065" w:rsidP="003E628F">
      <w:pPr>
        <w:jc w:val="both"/>
        <w:rPr>
          <w:rFonts w:ascii="Times New Roman" w:eastAsia="Times New Roman" w:hAnsi="Times New Roman" w:cs="Times New Roman"/>
          <w:b/>
          <w:bCs/>
          <w:i/>
          <w:noProof/>
          <w:sz w:val="24"/>
          <w:szCs w:val="20"/>
        </w:rPr>
      </w:pPr>
    </w:p>
    <w:p w:rsidR="00211065" w:rsidRPr="003E628F" w:rsidRDefault="00211065" w:rsidP="003E628F">
      <w:pPr>
        <w:pStyle w:val="Pamatteksts"/>
        <w:ind w:left="0"/>
        <w:jc w:val="both"/>
        <w:rPr>
          <w:noProof/>
        </w:rPr>
      </w:pPr>
      <w:r>
        <w:t xml:space="preserve">Savienības Muitas kodekss (Eiropas Parlamenta un Padomes Regula (ES) Nr. 952/2013) ir stājies spēkā 2013. gada 9. oktobrī un ir pilnīgi piemērojams no 2016. gada 1. maija. Saistītie Komisijas tiesību akti, deleģētie un īstenošanas tiesību akti, kas aizstāj Muitas kodeksa īstenošanas noteikumus un kas nodrošina iespēju pilnīgi piemērot Savienības Muitas kodeksu, tika publicēti </w:t>
      </w:r>
      <w:r>
        <w:rPr>
          <w:b/>
          <w:noProof/>
        </w:rPr>
        <w:t>2015. gada 29. decembrī</w:t>
      </w:r>
      <w:r>
        <w:t xml:space="preserve"> (Eiropas Savienības Oficiālais Vēstnesis, L 343, 2015. gada 29. decembris). Deleģētā tiesību akta un īstenošanas tiesību akta noteikumi nodrošina plūstošu pāreju no Muitas kodeksa un tā īstenošanas noteikumiem uz SMK un ar to saistītajiem tiesību aktiem. Šie noteikumi ir izklāstīti deleģētā akta (DA) un īstenošanas akta (ĪA) IX sadaļā.</w:t>
      </w:r>
    </w:p>
    <w:p w:rsidR="00211065" w:rsidRPr="003E628F" w:rsidRDefault="00211065" w:rsidP="003E628F">
      <w:pPr>
        <w:jc w:val="both"/>
        <w:rPr>
          <w:rFonts w:ascii="Times New Roman" w:hAnsi="Times New Roman"/>
          <w:noProof/>
          <w:sz w:val="24"/>
        </w:rPr>
      </w:pPr>
    </w:p>
    <w:p w:rsidR="00211065" w:rsidRPr="003E628F" w:rsidRDefault="00211065" w:rsidP="003E628F">
      <w:pPr>
        <w:pStyle w:val="Pamatteksts"/>
        <w:ind w:left="0"/>
        <w:jc w:val="both"/>
        <w:rPr>
          <w:noProof/>
        </w:rPr>
      </w:pPr>
      <w:r>
        <w:t xml:space="preserve">Tomēr daudziem noteikumiem nepieciešama pielāgošana vai jauns elektroniskas informācijas apmaiņas veids starp muitu, tirgotājiem un Komisiju. Tāpēc ir izveidota </w:t>
      </w:r>
      <w:r>
        <w:rPr>
          <w:b/>
          <w:noProof/>
        </w:rPr>
        <w:t>SMK (IT) darba programma</w:t>
      </w:r>
      <w:r>
        <w:t xml:space="preserve"> (Komisijas Īstenošanas lēmums 2014/255/ES) elektronisko sistēmu izstrādei un ieviešanai.</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jc w:val="both"/>
        <w:rPr>
          <w:rFonts w:ascii="Times New Roman" w:eastAsia="Times New Roman" w:hAnsi="Times New Roman" w:cs="Times New Roman"/>
          <w:noProof/>
          <w:sz w:val="24"/>
          <w:szCs w:val="24"/>
        </w:rPr>
      </w:pPr>
      <w:r>
        <w:rPr>
          <w:rFonts w:ascii="Times New Roman" w:hAnsi="Times New Roman"/>
          <w:noProof/>
          <w:sz w:val="24"/>
        </w:rPr>
        <w:t>Papildus tam 2016. gada 15. martā tika publicēts pārejas noteikumu deleģētais tiesību akts, kuru paredz attiecībā uz konkrētiem Savienības Muitas kodeksa noteikumiem, ja attiecīgās elektroniskās sistēmas vēl nedarbojas (</w:t>
      </w:r>
      <w:r>
        <w:rPr>
          <w:rFonts w:ascii="Times New Roman" w:hAnsi="Times New Roman"/>
          <w:i/>
          <w:noProof/>
          <w:sz w:val="24"/>
        </w:rPr>
        <w:t>TDA</w:t>
      </w:r>
      <w:r>
        <w:rPr>
          <w:rFonts w:ascii="Times New Roman" w:hAnsi="Times New Roman"/>
          <w:noProof/>
          <w:sz w:val="24"/>
        </w:rPr>
        <w:t>) (Komisijas Deleģētā regula (ES) Nr. 2016/341).</w:t>
      </w:r>
    </w:p>
    <w:p w:rsidR="00211065" w:rsidRPr="003E628F" w:rsidRDefault="00211065" w:rsidP="003E628F">
      <w:pPr>
        <w:jc w:val="both"/>
        <w:rPr>
          <w:rFonts w:ascii="Times New Roman" w:eastAsia="Times New Roman" w:hAnsi="Times New Roman" w:cs="Times New Roman"/>
          <w:noProof/>
          <w:sz w:val="24"/>
          <w:szCs w:val="24"/>
        </w:rPr>
      </w:pPr>
    </w:p>
    <w:p w:rsidR="00211065" w:rsidRPr="003E628F" w:rsidRDefault="00211065" w:rsidP="003E628F">
      <w:pPr>
        <w:jc w:val="both"/>
        <w:rPr>
          <w:rFonts w:ascii="Times New Roman" w:eastAsia="Times New Roman" w:hAnsi="Times New Roman" w:cs="Times New Roman"/>
          <w:noProof/>
          <w:sz w:val="24"/>
          <w:szCs w:val="24"/>
        </w:rPr>
      </w:pPr>
    </w:p>
    <w:p w:rsidR="00211065" w:rsidRPr="009F0223" w:rsidRDefault="009E55DD" w:rsidP="009F0223">
      <w:pPr>
        <w:pStyle w:val="Virsraksts2"/>
        <w:rPr>
          <w:b/>
        </w:rPr>
      </w:pPr>
      <w:bookmarkStart w:id="6" w:name="_Toc490734226"/>
      <w:r w:rsidRPr="009F0223">
        <w:rPr>
          <w:b/>
        </w:rPr>
        <w:t>1.2. Pārejas periodi (IT un tiesiskais)</w:t>
      </w:r>
      <w:bookmarkStart w:id="7" w:name="_bookmark3"/>
      <w:bookmarkEnd w:id="7"/>
      <w:bookmarkEnd w:id="6"/>
    </w:p>
    <w:p w:rsidR="00211065" w:rsidRPr="003E628F" w:rsidRDefault="00211065" w:rsidP="003E628F">
      <w:pPr>
        <w:jc w:val="both"/>
        <w:rPr>
          <w:rFonts w:ascii="Times New Roman" w:eastAsia="Times New Roman" w:hAnsi="Times New Roman" w:cs="Times New Roman"/>
          <w:b/>
          <w:bCs/>
          <w:i/>
          <w:noProof/>
          <w:sz w:val="24"/>
          <w:szCs w:val="14"/>
        </w:rPr>
      </w:pPr>
    </w:p>
    <w:p w:rsidR="00211065" w:rsidRPr="003E628F" w:rsidRDefault="00211065" w:rsidP="003E628F">
      <w:pPr>
        <w:numPr>
          <w:ilvl w:val="0"/>
          <w:numId w:val="77"/>
        </w:numPr>
        <w:tabs>
          <w:tab w:val="left" w:pos="304"/>
        </w:tabs>
        <w:ind w:left="0" w:firstLine="0"/>
        <w:jc w:val="both"/>
        <w:rPr>
          <w:rFonts w:ascii="Times New Roman" w:hAnsi="Times New Roman"/>
          <w:b/>
          <w:noProof/>
          <w:sz w:val="24"/>
        </w:rPr>
      </w:pPr>
      <w:r>
        <w:rPr>
          <w:rFonts w:ascii="Times New Roman" w:hAnsi="Times New Roman"/>
          <w:b/>
          <w:noProof/>
          <w:sz w:val="24"/>
          <w:highlight w:val="lightGray"/>
        </w:rPr>
        <w:t xml:space="preserve">Administratīvā pāreja </w:t>
      </w:r>
      <w:r>
        <w:rPr>
          <w:rFonts w:ascii="Times New Roman" w:hAnsi="Times New Roman"/>
          <w:b/>
          <w:noProof/>
          <w:sz w:val="24"/>
        </w:rPr>
        <w:t>(DA un ĪA IX sadaļa) ietver visu muitas atļauju/lēmumu atbilstības jaunajiem noteikumiem pakāpeniskas nodrošināšanas periodu.</w:t>
      </w:r>
    </w:p>
    <w:p w:rsidR="00211065" w:rsidRPr="003E628F" w:rsidRDefault="00211065" w:rsidP="003E628F">
      <w:pPr>
        <w:jc w:val="both"/>
        <w:rPr>
          <w:rFonts w:ascii="Times New Roman" w:eastAsia="Times New Roman" w:hAnsi="Times New Roman" w:cs="Times New Roman"/>
          <w:b/>
          <w:bCs/>
          <w:noProof/>
          <w:sz w:val="24"/>
          <w:szCs w:val="20"/>
        </w:rPr>
      </w:pPr>
    </w:p>
    <w:p w:rsidR="00211065" w:rsidRPr="003E628F" w:rsidRDefault="00211065" w:rsidP="003E628F">
      <w:pPr>
        <w:pStyle w:val="Pamatteksts"/>
        <w:ind w:left="0"/>
        <w:jc w:val="both"/>
        <w:rPr>
          <w:noProof/>
        </w:rPr>
      </w:pPr>
      <w:r>
        <w:t>DA un ĪA IX sadaļā noteikti pārejas pasākumi un katra muitas lēmumu/atļauju veida derīgums:</w:t>
      </w:r>
    </w:p>
    <w:p w:rsidR="00211065" w:rsidRPr="003E628F" w:rsidRDefault="00211065" w:rsidP="003E628F">
      <w:pPr>
        <w:jc w:val="both"/>
        <w:rPr>
          <w:rFonts w:ascii="Times New Roman" w:eastAsia="Times New Roman" w:hAnsi="Times New Roman" w:cs="Times New Roman"/>
          <w:noProof/>
          <w:sz w:val="24"/>
          <w:szCs w:val="21"/>
        </w:rPr>
      </w:pPr>
    </w:p>
    <w:p w:rsidR="00211065" w:rsidRPr="003E628F" w:rsidRDefault="00211065" w:rsidP="009E55DD">
      <w:pPr>
        <w:numPr>
          <w:ilvl w:val="1"/>
          <w:numId w:val="77"/>
        </w:numPr>
        <w:tabs>
          <w:tab w:val="left" w:pos="1134"/>
        </w:tabs>
        <w:ind w:left="1134" w:hanging="425"/>
        <w:jc w:val="both"/>
        <w:rPr>
          <w:rFonts w:ascii="Times New Roman" w:hAnsi="Times New Roman"/>
          <w:noProof/>
          <w:sz w:val="24"/>
        </w:rPr>
      </w:pPr>
      <w:r>
        <w:rPr>
          <w:rFonts w:ascii="Times New Roman" w:hAnsi="Times New Roman"/>
          <w:noProof/>
          <w:sz w:val="24"/>
        </w:rPr>
        <w:t>atļaujām, kurām nav ierobežots derīguma termiņš, pēdējais atkārtotas novērtēšanas datums ir 2019. gada 1. maijs (ĪA 345. pants), taču dalībvalstis var nolemt veikt atkārtotu novērtēšanu pirms 2019. gada 1. maija;</w:t>
      </w:r>
    </w:p>
    <w:p w:rsidR="00211065" w:rsidRPr="003E628F" w:rsidRDefault="00211065" w:rsidP="009E55DD">
      <w:pPr>
        <w:numPr>
          <w:ilvl w:val="1"/>
          <w:numId w:val="77"/>
        </w:numPr>
        <w:tabs>
          <w:tab w:val="left" w:pos="1134"/>
        </w:tabs>
        <w:ind w:left="1134" w:hanging="425"/>
        <w:jc w:val="both"/>
        <w:rPr>
          <w:rFonts w:ascii="Times New Roman" w:hAnsi="Times New Roman"/>
          <w:noProof/>
          <w:sz w:val="24"/>
        </w:rPr>
      </w:pPr>
      <w:r>
        <w:rPr>
          <w:rFonts w:ascii="Times New Roman" w:hAnsi="Times New Roman"/>
          <w:noProof/>
          <w:sz w:val="24"/>
        </w:rPr>
        <w:t xml:space="preserve">tomēr </w:t>
      </w:r>
      <w:r>
        <w:rPr>
          <w:rFonts w:ascii="Times New Roman" w:hAnsi="Times New Roman"/>
          <w:i/>
          <w:noProof/>
          <w:sz w:val="24"/>
        </w:rPr>
        <w:t>SASP</w:t>
      </w:r>
      <w:r>
        <w:rPr>
          <w:rFonts w:ascii="Times New Roman" w:hAnsi="Times New Roman"/>
          <w:noProof/>
          <w:sz w:val="24"/>
        </w:rPr>
        <w:t xml:space="preserve"> paliks spēkā līdz importa centralizētās muitošanas un eksporta centralizētās muitošanas sistēmas pilnīgai ieviešanai (ĪA 345. panta 4. punkts).</w:t>
      </w:r>
    </w:p>
    <w:p w:rsidR="00211065" w:rsidRPr="003E628F" w:rsidRDefault="00211065" w:rsidP="003E628F">
      <w:pPr>
        <w:jc w:val="both"/>
        <w:rPr>
          <w:rFonts w:ascii="Times New Roman" w:eastAsia="Times New Roman" w:hAnsi="Times New Roman" w:cs="Times New Roman"/>
          <w:noProof/>
          <w:sz w:val="24"/>
          <w:szCs w:val="17"/>
        </w:rPr>
      </w:pPr>
    </w:p>
    <w:p w:rsidR="00211065" w:rsidRPr="003E628F" w:rsidRDefault="00211065" w:rsidP="003E628F">
      <w:pPr>
        <w:pStyle w:val="Virsraksts1"/>
        <w:jc w:val="both"/>
        <w:rPr>
          <w:noProof/>
        </w:rPr>
      </w:pPr>
      <w:bookmarkStart w:id="8" w:name="_Toc490734227"/>
      <w:r>
        <w:t>Šī administratīvā pāreja ir saistīta ar nosacījumu un kritēriju atkārtotu pārskatīšanu, attiecīgā gadījumā, jaunu veidlapu un IT rīku izmantošanu piešķiršanas posmā.</w:t>
      </w:r>
      <w:bookmarkEnd w:id="8"/>
    </w:p>
    <w:p w:rsidR="00211065" w:rsidRDefault="00211065" w:rsidP="003E628F">
      <w:pPr>
        <w:jc w:val="both"/>
        <w:rPr>
          <w:rFonts w:ascii="Times New Roman" w:eastAsia="Times New Roman" w:hAnsi="Times New Roman" w:cs="Times New Roman"/>
          <w:b/>
          <w:bCs/>
          <w:noProof/>
          <w:sz w:val="24"/>
          <w:szCs w:val="14"/>
        </w:rPr>
      </w:pPr>
    </w:p>
    <w:p w:rsidR="00211065" w:rsidRPr="003E628F" w:rsidRDefault="00211065" w:rsidP="009E55DD">
      <w:pPr>
        <w:pStyle w:val="Pamatteksts"/>
        <w:numPr>
          <w:ilvl w:val="0"/>
          <w:numId w:val="77"/>
        </w:numPr>
        <w:tabs>
          <w:tab w:val="left" w:pos="259"/>
        </w:tabs>
        <w:ind w:left="0" w:firstLine="0"/>
        <w:jc w:val="both"/>
        <w:rPr>
          <w:noProof/>
        </w:rPr>
      </w:pPr>
      <w:r>
        <w:rPr>
          <w:b/>
          <w:noProof/>
          <w:highlight w:val="lightGray"/>
        </w:rPr>
        <w:t>IT pāreja ir saistīta ar</w:t>
      </w:r>
      <w:r>
        <w:t xml:space="preserve"> pārejas pasākumiem, kas tiek piemēroti gadījumos, kad Kodeksa noteikumu piemērošanai nepieciešamās elektroniskās sistēmas vēl nedarbojas.</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Pārejas pasākumi ir noteikti Pārejas perioda deleģētajā tiesību aktā, Deleģētajā tiesību aktā un Īstenošanas tiesību aktā.</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Šo pasākumu piemērošanas periods ir saistīts ar attiecīgo IT sistēmu ieviešanas vai atjaunināšanas termiņiem, kas norādīti SMK darba programmā.</w:t>
      </w:r>
    </w:p>
    <w:p w:rsidR="00211065" w:rsidRPr="003E628F" w:rsidRDefault="00211065" w:rsidP="003E628F">
      <w:pPr>
        <w:jc w:val="both"/>
        <w:rPr>
          <w:rFonts w:ascii="Times New Roman" w:eastAsia="Times New Roman" w:hAnsi="Times New Roman" w:cs="Times New Roman"/>
          <w:noProof/>
          <w:sz w:val="24"/>
          <w:szCs w:val="21"/>
        </w:rPr>
      </w:pPr>
    </w:p>
    <w:p w:rsidR="00211065" w:rsidRPr="003E628F" w:rsidRDefault="00211065" w:rsidP="009E55DD">
      <w:pPr>
        <w:numPr>
          <w:ilvl w:val="1"/>
          <w:numId w:val="77"/>
        </w:numPr>
        <w:tabs>
          <w:tab w:val="left" w:pos="1134"/>
        </w:tabs>
        <w:ind w:left="1134" w:hanging="425"/>
        <w:jc w:val="both"/>
        <w:rPr>
          <w:rFonts w:ascii="Times New Roman" w:hAnsi="Times New Roman"/>
          <w:noProof/>
          <w:sz w:val="24"/>
        </w:rPr>
      </w:pPr>
      <w:r>
        <w:rPr>
          <w:rFonts w:ascii="Times New Roman" w:hAnsi="Times New Roman"/>
          <w:noProof/>
          <w:sz w:val="24"/>
        </w:rPr>
        <w:t>Saskaņā ar SMK 278. pantu galīgais termiņš ir 2020. gada decembris.</w:t>
      </w:r>
    </w:p>
    <w:p w:rsidR="009E55DD" w:rsidRDefault="009E55DD" w:rsidP="003E628F">
      <w:pPr>
        <w:pStyle w:val="Pamatteksts"/>
        <w:ind w:left="0"/>
        <w:jc w:val="both"/>
        <w:rPr>
          <w:noProof/>
        </w:rPr>
      </w:pPr>
    </w:p>
    <w:p w:rsidR="00211065" w:rsidRPr="003E628F" w:rsidRDefault="00211065" w:rsidP="003E628F">
      <w:pPr>
        <w:pStyle w:val="Pamatteksts"/>
        <w:ind w:left="0"/>
        <w:jc w:val="both"/>
        <w:rPr>
          <w:noProof/>
        </w:rPr>
      </w:pPr>
      <w:r>
        <w:t>Atsevišķas sistēmas var būt gatavas pirms minētā termiņa, tāpēc pārejas periodi ir atkarīgi no katras konkrētās sistēmas.</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Dalībvalstis pārejas periodā, pielāgojot pašlaik izmantotos risinājumus (izmantojot IT vai citus līdzekļus), nodrošinās, ka tiek saglabātas SMK pielāgoto vienkāršojumu priekšrocības. Tāpēc lielākajā daļā pārejas pasākumu tiek saglabāti pašreizējie risinājumi.</w:t>
      </w:r>
    </w:p>
    <w:p w:rsidR="00211065" w:rsidRPr="003E628F" w:rsidRDefault="00211065" w:rsidP="003E628F">
      <w:pPr>
        <w:jc w:val="both"/>
        <w:rPr>
          <w:rFonts w:ascii="Times New Roman" w:eastAsia="Times New Roman" w:hAnsi="Times New Roman" w:cs="Times New Roman"/>
          <w:noProof/>
          <w:sz w:val="24"/>
          <w:szCs w:val="24"/>
        </w:rPr>
      </w:pPr>
    </w:p>
    <w:p w:rsidR="00211065" w:rsidRPr="003E628F" w:rsidRDefault="00211065" w:rsidP="003E628F">
      <w:pPr>
        <w:jc w:val="both"/>
        <w:rPr>
          <w:rFonts w:ascii="Times New Roman" w:eastAsia="Times New Roman" w:hAnsi="Times New Roman" w:cs="Times New Roman"/>
          <w:noProof/>
          <w:sz w:val="24"/>
          <w:szCs w:val="24"/>
        </w:rPr>
      </w:pPr>
    </w:p>
    <w:p w:rsidR="00211065" w:rsidRPr="009F0223" w:rsidRDefault="009E55DD" w:rsidP="009F0223">
      <w:pPr>
        <w:pStyle w:val="Virsraksts2"/>
        <w:rPr>
          <w:b/>
        </w:rPr>
      </w:pPr>
      <w:bookmarkStart w:id="9" w:name="_Toc490734228"/>
      <w:r w:rsidRPr="009F0223">
        <w:rPr>
          <w:b/>
        </w:rPr>
        <w:t>1.3. V sadaļas vienkāršojumi</w:t>
      </w:r>
      <w:bookmarkStart w:id="10" w:name="_bookmark4"/>
      <w:bookmarkEnd w:id="10"/>
      <w:bookmarkEnd w:id="9"/>
    </w:p>
    <w:p w:rsidR="00211065" w:rsidRPr="003E628F" w:rsidRDefault="00211065" w:rsidP="003E628F">
      <w:pPr>
        <w:jc w:val="both"/>
        <w:rPr>
          <w:rFonts w:ascii="Times New Roman" w:eastAsia="Times New Roman" w:hAnsi="Times New Roman" w:cs="Times New Roman"/>
          <w:b/>
          <w:bCs/>
          <w:i/>
          <w:noProof/>
          <w:sz w:val="24"/>
          <w:szCs w:val="20"/>
        </w:rPr>
      </w:pPr>
    </w:p>
    <w:p w:rsidR="00211065" w:rsidRPr="003E628F" w:rsidRDefault="00211065" w:rsidP="003E628F">
      <w:pPr>
        <w:pStyle w:val="Pamatteksts"/>
        <w:ind w:left="0"/>
        <w:jc w:val="both"/>
        <w:rPr>
          <w:noProof/>
        </w:rPr>
      </w:pPr>
      <w:r>
        <w:t>Ja uzņēmēji, kas ievēro noteikumus un kam var uzticēties, izpilda nosacījumus, tiem jānodrošina iespēja izmantot visas priekšrocības, ko sniedz muitas vienkāršojumu plaša izmantošana.</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Vienkāršojumi, kas saistīti ar muitas procedūras piemērošanu precēm, ir noteikti Kodeksa V sadaļā un tajos ietverta:</w:t>
      </w:r>
    </w:p>
    <w:p w:rsidR="00211065" w:rsidRPr="003E628F" w:rsidRDefault="00211065" w:rsidP="003E628F">
      <w:pPr>
        <w:jc w:val="both"/>
        <w:rPr>
          <w:rFonts w:ascii="Times New Roman" w:eastAsia="Times New Roman" w:hAnsi="Times New Roman" w:cs="Times New Roman"/>
          <w:noProof/>
          <w:sz w:val="24"/>
          <w:szCs w:val="21"/>
        </w:rPr>
      </w:pPr>
    </w:p>
    <w:p w:rsidR="00211065" w:rsidRPr="003E628F" w:rsidRDefault="00211065" w:rsidP="009E55DD">
      <w:pPr>
        <w:pStyle w:val="Pamatteksts"/>
        <w:numPr>
          <w:ilvl w:val="0"/>
          <w:numId w:val="76"/>
        </w:numPr>
        <w:tabs>
          <w:tab w:val="left" w:pos="709"/>
        </w:tabs>
        <w:ind w:left="709" w:hanging="709"/>
        <w:jc w:val="both"/>
        <w:rPr>
          <w:noProof/>
        </w:rPr>
      </w:pPr>
      <w:r>
        <w:t>vienkāršotā deklarācija (</w:t>
      </w:r>
      <w:r>
        <w:rPr>
          <w:i/>
        </w:rPr>
        <w:t>SD</w:t>
      </w:r>
      <w:r>
        <w:t>) (</w:t>
      </w:r>
      <w:r>
        <w:rPr>
          <w:b/>
          <w:noProof/>
        </w:rPr>
        <w:t>SMK 166. pants, DA 145. pants un ĪA 223.–224. pants</w:t>
      </w:r>
      <w:r>
        <w:t>):</w:t>
      </w:r>
      <w:r>
        <w:rPr>
          <w:b/>
          <w:noProof/>
        </w:rPr>
        <w:t xml:space="preserve"> </w:t>
      </w:r>
      <w:r>
        <w:t>sniedz turētājam iespēju nodot preces kādā muitas procedūrā, pamatojoties uz vienkāršoto deklarāciju. Priekšrocība ir saistīta ar divu posmu procedūru – preču izlaišanas brīdī var nebūt pieejami dati vai dokumenti;</w:t>
      </w:r>
    </w:p>
    <w:p w:rsidR="00211065" w:rsidRPr="003E628F" w:rsidRDefault="00211065" w:rsidP="009E55DD">
      <w:pPr>
        <w:pStyle w:val="Pamatteksts"/>
        <w:numPr>
          <w:ilvl w:val="0"/>
          <w:numId w:val="76"/>
        </w:numPr>
        <w:tabs>
          <w:tab w:val="left" w:pos="709"/>
        </w:tabs>
        <w:ind w:left="709" w:hanging="709"/>
        <w:jc w:val="both"/>
        <w:rPr>
          <w:noProof/>
        </w:rPr>
      </w:pPr>
      <w:r>
        <w:t>ieraksts deklarētāja reģistros (</w:t>
      </w:r>
      <w:r>
        <w:rPr>
          <w:i/>
        </w:rPr>
        <w:t>EIDR</w:t>
      </w:r>
      <w:r>
        <w:t>) (</w:t>
      </w:r>
      <w:r>
        <w:rPr>
          <w:b/>
          <w:noProof/>
        </w:rPr>
        <w:t>SMK 182. pants, DA 150. pants un ĪA 233.–235. pants</w:t>
      </w:r>
      <w:r>
        <w:t>):</w:t>
      </w:r>
      <w:r>
        <w:rPr>
          <w:b/>
          <w:noProof/>
        </w:rPr>
        <w:t xml:space="preserve"> </w:t>
      </w:r>
      <w:r>
        <w:t>ļauj turētājam iesniegt muitas deklarāciju kā ierakstu deklarētāja reģistros ar nosacījumu, ka, kad tiek iesniegta šī deklarācija, tās dati ir muitas dienestu rīcībā deklarētāja sistēmā;</w:t>
      </w:r>
    </w:p>
    <w:p w:rsidR="00211065" w:rsidRPr="003E628F" w:rsidRDefault="00211065" w:rsidP="009E55DD">
      <w:pPr>
        <w:pStyle w:val="Pamatteksts"/>
        <w:numPr>
          <w:ilvl w:val="0"/>
          <w:numId w:val="76"/>
        </w:numPr>
        <w:tabs>
          <w:tab w:val="left" w:pos="709"/>
        </w:tabs>
        <w:ind w:left="709" w:hanging="709"/>
        <w:jc w:val="both"/>
        <w:rPr>
          <w:noProof/>
        </w:rPr>
      </w:pPr>
      <w:r>
        <w:t>centralizēta muitošana (</w:t>
      </w:r>
      <w:r>
        <w:rPr>
          <w:i/>
        </w:rPr>
        <w:t>CC</w:t>
      </w:r>
      <w:r>
        <w:t>) (</w:t>
      </w:r>
      <w:r>
        <w:rPr>
          <w:b/>
          <w:noProof/>
        </w:rPr>
        <w:t>SMK 179. pants, DA 149. pants un ĪA 229.–232. pants</w:t>
      </w:r>
      <w:r>
        <w:t>): ļauj turētājam iesniegt vai darīt pieejamu muitas iestādē, kurā tas ir reģistrēts, muitas deklarāciju par precēm, kas uzrādītas muitai citā muitas iestādē Savienības muitas teritorijā;</w:t>
      </w:r>
    </w:p>
    <w:p w:rsidR="00211065" w:rsidRPr="003E628F" w:rsidRDefault="00211065" w:rsidP="009E55DD">
      <w:pPr>
        <w:pStyle w:val="Pamatteksts"/>
        <w:numPr>
          <w:ilvl w:val="0"/>
          <w:numId w:val="76"/>
        </w:numPr>
        <w:tabs>
          <w:tab w:val="left" w:pos="709"/>
        </w:tabs>
        <w:ind w:left="709" w:hanging="709"/>
        <w:jc w:val="both"/>
        <w:rPr>
          <w:noProof/>
        </w:rPr>
      </w:pPr>
      <w:r>
        <w:t>pašnovērtēšana (</w:t>
      </w:r>
      <w:r>
        <w:rPr>
          <w:i/>
        </w:rPr>
        <w:t>SA</w:t>
      </w:r>
      <w:r>
        <w:t xml:space="preserve">) </w:t>
      </w:r>
      <w:r>
        <w:rPr>
          <w:b/>
          <w:noProof/>
        </w:rPr>
        <w:t>(SMK 185. pants, DA 151.–152. pants un ĪA 237. pants)</w:t>
      </w:r>
      <w:r>
        <w:t xml:space="preserve">: ļauj </w:t>
      </w:r>
      <w:r>
        <w:rPr>
          <w:i/>
        </w:rPr>
        <w:t>AEOC</w:t>
      </w:r>
      <w:r>
        <w:t xml:space="preserve"> kārtot noteiktas muitas formalitātes, kas būtu jāveic muitas dienestiem, noteikt maksājamo ievedmuitas un izvedmuitas nodokļa summu un veikt noteiktu kontroli muitas uzraudzībā.</w:t>
      </w:r>
    </w:p>
    <w:p w:rsidR="009E55DD" w:rsidRDefault="009E55DD" w:rsidP="003E628F">
      <w:pPr>
        <w:pStyle w:val="Pamatteksts"/>
        <w:ind w:left="0"/>
        <w:jc w:val="both"/>
        <w:rPr>
          <w:noProof/>
        </w:rPr>
      </w:pPr>
    </w:p>
    <w:p w:rsidR="00211065" w:rsidRPr="003E628F" w:rsidRDefault="00211065" w:rsidP="003E628F">
      <w:pPr>
        <w:pStyle w:val="Pamatteksts"/>
        <w:ind w:left="0"/>
        <w:jc w:val="both"/>
        <w:rPr>
          <w:noProof/>
        </w:rPr>
      </w:pPr>
      <w:r>
        <w:t>Visu šo vienkāršojumu izmantošana, izņemot vienkāršotu deklarāciju neregulārai izmantošanai un, iespējams, centralizētu muitošanu, valsts līmenī ir atkarīga no atļaujas.</w:t>
      </w:r>
    </w:p>
    <w:p w:rsidR="00211065" w:rsidRPr="003E628F" w:rsidRDefault="00211065" w:rsidP="003E628F">
      <w:pPr>
        <w:jc w:val="both"/>
        <w:rPr>
          <w:rFonts w:ascii="Times New Roman" w:eastAsia="Times New Roman" w:hAnsi="Times New Roman" w:cs="Times New Roman"/>
          <w:noProof/>
          <w:sz w:val="24"/>
          <w:szCs w:val="24"/>
        </w:rPr>
      </w:pPr>
    </w:p>
    <w:p w:rsidR="00211065" w:rsidRPr="003E628F" w:rsidRDefault="00211065" w:rsidP="003E628F">
      <w:pPr>
        <w:jc w:val="both"/>
        <w:rPr>
          <w:rFonts w:ascii="Times New Roman" w:eastAsia="Times New Roman" w:hAnsi="Times New Roman" w:cs="Times New Roman"/>
          <w:noProof/>
          <w:sz w:val="24"/>
          <w:szCs w:val="24"/>
        </w:rPr>
      </w:pPr>
    </w:p>
    <w:p w:rsidR="00211065" w:rsidRPr="009F0223" w:rsidRDefault="009E55DD" w:rsidP="009F0223">
      <w:pPr>
        <w:pStyle w:val="Virsraksts2"/>
        <w:rPr>
          <w:b/>
        </w:rPr>
      </w:pPr>
      <w:bookmarkStart w:id="11" w:name="_Toc490734229"/>
      <w:r w:rsidRPr="009F0223">
        <w:rPr>
          <w:b/>
        </w:rPr>
        <w:t>1.4. Šā dokumenta mērķis un darbības joma</w:t>
      </w:r>
      <w:bookmarkStart w:id="12" w:name="_bookmark5"/>
      <w:bookmarkEnd w:id="12"/>
      <w:bookmarkEnd w:id="11"/>
    </w:p>
    <w:p w:rsidR="00211065" w:rsidRPr="003E628F" w:rsidRDefault="00211065" w:rsidP="003E628F">
      <w:pPr>
        <w:jc w:val="both"/>
        <w:rPr>
          <w:rFonts w:ascii="Times New Roman" w:eastAsia="Times New Roman" w:hAnsi="Times New Roman" w:cs="Times New Roman"/>
          <w:b/>
          <w:bCs/>
          <w:i/>
          <w:noProof/>
          <w:sz w:val="24"/>
          <w:szCs w:val="20"/>
        </w:rPr>
      </w:pPr>
    </w:p>
    <w:p w:rsidR="00211065" w:rsidRPr="009F0223" w:rsidRDefault="009E55DD" w:rsidP="009F0223">
      <w:pPr>
        <w:pStyle w:val="Virsraksts2"/>
        <w:rPr>
          <w:b/>
        </w:rPr>
      </w:pPr>
      <w:bookmarkStart w:id="13" w:name="_Toc490734230"/>
      <w:r w:rsidRPr="009F0223">
        <w:rPr>
          <w:b/>
        </w:rPr>
        <w:t>1.4.1. Mērķis</w:t>
      </w:r>
      <w:bookmarkStart w:id="14" w:name="_bookmark6"/>
      <w:bookmarkEnd w:id="14"/>
      <w:bookmarkEnd w:id="13"/>
    </w:p>
    <w:p w:rsidR="00211065" w:rsidRPr="003E628F" w:rsidRDefault="00211065" w:rsidP="003E628F">
      <w:pPr>
        <w:jc w:val="both"/>
        <w:rPr>
          <w:rFonts w:ascii="Times New Roman" w:eastAsia="Times New Roman" w:hAnsi="Times New Roman" w:cs="Times New Roman"/>
          <w:b/>
          <w:bCs/>
          <w:i/>
          <w:noProof/>
          <w:sz w:val="24"/>
          <w:szCs w:val="20"/>
        </w:rPr>
      </w:pPr>
    </w:p>
    <w:p w:rsidR="00211065" w:rsidRPr="003E628F" w:rsidRDefault="00211065" w:rsidP="003E628F">
      <w:pPr>
        <w:pStyle w:val="Pamatteksts"/>
        <w:ind w:left="0"/>
        <w:jc w:val="both"/>
        <w:rPr>
          <w:noProof/>
        </w:rPr>
      </w:pPr>
      <w:r>
        <w:t>Šīs vadlīnijas, kurās apspriestas visas tirdzniecības atvieglošanas un muitas vienkāršošanas jomas, ir sagatavojusi projekta grupa “Muita 2020”, kurā ietilpst dalībvalstu, tirgotāju un Komisijas eksperti.</w:t>
      </w:r>
    </w:p>
    <w:p w:rsidR="009E55DD" w:rsidRDefault="009E55DD" w:rsidP="003E628F">
      <w:pPr>
        <w:pStyle w:val="Pamatteksts"/>
        <w:ind w:left="0"/>
        <w:jc w:val="both"/>
        <w:rPr>
          <w:noProof/>
        </w:rPr>
      </w:pPr>
    </w:p>
    <w:p w:rsidR="00211065" w:rsidRPr="003E628F" w:rsidRDefault="00211065" w:rsidP="003E628F">
      <w:pPr>
        <w:pStyle w:val="Pamatteksts"/>
        <w:ind w:left="0"/>
        <w:jc w:val="both"/>
        <w:rPr>
          <w:noProof/>
        </w:rPr>
      </w:pPr>
      <w:r>
        <w:t>Šīm vadlīnijām ir jāveicina jauno muitas noteikumu pareiza un vienveidīga piemērošana. Tajās sniegti tehniski skaidrojumi, un to mērķis ir izstrādāt labāko praksi. Tās tiecas arī nodrošināt sekmīgas pārmaiņas pārejas periodā, skaidrojot to, kuri noteikumi ir jāpiemēro un kad tas ir jādara.</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Tomēr uzņēmējiem ir jāvēršas pie kompetentajiem muitas dienestiem pēc papildu informācijas par to, kā īstenot šos vienkāršojumus, jo vadlīnijās nav apspriesti visi iespējamie gadījumi un ar darba programmu saistītā plānošana valstu līmenī.</w:t>
      </w:r>
    </w:p>
    <w:p w:rsidR="00211065" w:rsidRPr="003E628F" w:rsidRDefault="00211065" w:rsidP="003E628F">
      <w:pPr>
        <w:jc w:val="both"/>
        <w:rPr>
          <w:rFonts w:ascii="Times New Roman" w:eastAsia="Times New Roman" w:hAnsi="Times New Roman" w:cs="Times New Roman"/>
          <w:noProof/>
          <w:sz w:val="24"/>
          <w:szCs w:val="21"/>
        </w:rPr>
      </w:pPr>
    </w:p>
    <w:p w:rsidR="00211065" w:rsidRPr="009F0223" w:rsidRDefault="009E55DD" w:rsidP="009F0223">
      <w:pPr>
        <w:pStyle w:val="Virsraksts2"/>
        <w:rPr>
          <w:b/>
        </w:rPr>
      </w:pPr>
      <w:bookmarkStart w:id="15" w:name="_Toc490734231"/>
      <w:r w:rsidRPr="009F0223">
        <w:rPr>
          <w:b/>
        </w:rPr>
        <w:t>1.4.2. Darbības joma</w:t>
      </w:r>
      <w:bookmarkStart w:id="16" w:name="_bookmark7"/>
      <w:bookmarkEnd w:id="16"/>
      <w:bookmarkEnd w:id="15"/>
    </w:p>
    <w:p w:rsidR="00211065" w:rsidRPr="003E628F" w:rsidRDefault="00211065" w:rsidP="003E628F">
      <w:pPr>
        <w:jc w:val="both"/>
        <w:rPr>
          <w:rFonts w:ascii="Times New Roman" w:eastAsia="Times New Roman" w:hAnsi="Times New Roman" w:cs="Times New Roman"/>
          <w:b/>
          <w:bCs/>
          <w:i/>
          <w:noProof/>
          <w:sz w:val="24"/>
          <w:szCs w:val="20"/>
        </w:rPr>
      </w:pPr>
    </w:p>
    <w:p w:rsidR="00211065" w:rsidRPr="003E628F" w:rsidRDefault="00211065" w:rsidP="003E628F">
      <w:pPr>
        <w:pStyle w:val="Pamatteksts"/>
        <w:ind w:left="0"/>
        <w:jc w:val="both"/>
        <w:rPr>
          <w:noProof/>
        </w:rPr>
      </w:pPr>
      <w:r>
        <w:t>Vadlīnijās izskatīti divi galvenie jautājumi, proti:</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9E55DD">
      <w:pPr>
        <w:pStyle w:val="Pamatteksts"/>
        <w:numPr>
          <w:ilvl w:val="0"/>
          <w:numId w:val="76"/>
        </w:numPr>
        <w:tabs>
          <w:tab w:val="left" w:pos="709"/>
        </w:tabs>
        <w:ind w:left="709" w:hanging="709"/>
        <w:jc w:val="both"/>
        <w:rPr>
          <w:noProof/>
        </w:rPr>
      </w:pPr>
      <w:r>
        <w:t>kā administrēt jaunos pieteikumus un atļaujas, kas jāpiešķir saskaņā ar SMK;</w:t>
      </w:r>
    </w:p>
    <w:p w:rsidR="00211065" w:rsidRPr="003E628F" w:rsidRDefault="00211065" w:rsidP="009E55DD">
      <w:pPr>
        <w:pStyle w:val="Pamatteksts"/>
        <w:numPr>
          <w:ilvl w:val="0"/>
          <w:numId w:val="76"/>
        </w:numPr>
        <w:tabs>
          <w:tab w:val="left" w:pos="709"/>
        </w:tabs>
        <w:ind w:left="709" w:hanging="709"/>
        <w:jc w:val="both"/>
        <w:rPr>
          <w:noProof/>
        </w:rPr>
      </w:pPr>
      <w:r>
        <w:t>kā administrēt spēkā esošās atļaujas, kas izdotas saskaņā ar KMK.</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Katrs vienkāršojums ir apspriests no abiem skata punktiem. Vienīgais izņēmums ir saistīts ar pašnovērtējumu, kur līdz šim projekta grupa nav identificējusi nevienu gadījumu.</w:t>
      </w:r>
    </w:p>
    <w:p w:rsidR="00211065" w:rsidRPr="003E628F" w:rsidRDefault="00211065" w:rsidP="003E628F">
      <w:pPr>
        <w:jc w:val="both"/>
        <w:rPr>
          <w:rFonts w:ascii="Times New Roman" w:eastAsia="Times New Roman" w:hAnsi="Times New Roman" w:cs="Times New Roman"/>
          <w:noProof/>
          <w:sz w:val="24"/>
          <w:szCs w:val="24"/>
        </w:rPr>
      </w:pPr>
    </w:p>
    <w:p w:rsidR="00211065" w:rsidRPr="003E628F" w:rsidRDefault="00211065" w:rsidP="003E628F">
      <w:pPr>
        <w:jc w:val="both"/>
        <w:rPr>
          <w:rFonts w:ascii="Times New Roman" w:eastAsia="Times New Roman" w:hAnsi="Times New Roman" w:cs="Times New Roman"/>
          <w:noProof/>
          <w:sz w:val="24"/>
          <w:szCs w:val="24"/>
        </w:rPr>
      </w:pPr>
    </w:p>
    <w:p w:rsidR="00211065" w:rsidRPr="003E628F" w:rsidRDefault="00211065" w:rsidP="003E628F">
      <w:pPr>
        <w:jc w:val="both"/>
        <w:rPr>
          <w:rFonts w:ascii="Times New Roman" w:eastAsia="Times New Roman" w:hAnsi="Times New Roman" w:cs="Times New Roman"/>
          <w:noProof/>
          <w:sz w:val="24"/>
          <w:szCs w:val="24"/>
        </w:rPr>
      </w:pPr>
    </w:p>
    <w:p w:rsidR="00211065" w:rsidRPr="003E628F" w:rsidRDefault="00407233" w:rsidP="009F0223">
      <w:pPr>
        <w:pStyle w:val="Virsraksts1"/>
        <w:jc w:val="left"/>
        <w:rPr>
          <w:rFonts w:cs="Times New Roman"/>
          <w:noProof/>
          <w:szCs w:val="28"/>
        </w:rPr>
      </w:pPr>
      <w:bookmarkStart w:id="17" w:name="_Toc490734232"/>
      <w:r>
        <w:rPr>
          <w:noProof/>
        </w:rPr>
        <w:t>2. PIEMĒROJAMIE NOTEIKUMI JAUNIEM PIETEIKUMIEM UN ATĻAUJĀM NO 2016. GADA 1. MAIJA</w:t>
      </w:r>
      <w:bookmarkStart w:id="18" w:name="_bookmark8"/>
      <w:bookmarkEnd w:id="18"/>
      <w:bookmarkEnd w:id="17"/>
    </w:p>
    <w:p w:rsidR="00211065" w:rsidRPr="003E628F" w:rsidRDefault="00211065" w:rsidP="003E628F">
      <w:pPr>
        <w:jc w:val="both"/>
        <w:rPr>
          <w:rFonts w:ascii="Times New Roman" w:eastAsia="Times New Roman" w:hAnsi="Times New Roman" w:cs="Times New Roman"/>
          <w:b/>
          <w:bCs/>
          <w:noProof/>
          <w:sz w:val="24"/>
          <w:szCs w:val="28"/>
        </w:rPr>
      </w:pPr>
    </w:p>
    <w:p w:rsidR="00211065" w:rsidRPr="003E628F" w:rsidRDefault="00211065" w:rsidP="003E628F">
      <w:pPr>
        <w:jc w:val="both"/>
        <w:rPr>
          <w:rFonts w:ascii="Times New Roman" w:eastAsia="Times New Roman" w:hAnsi="Times New Roman" w:cs="Times New Roman"/>
          <w:b/>
          <w:bCs/>
          <w:noProof/>
          <w:sz w:val="24"/>
          <w:szCs w:val="37"/>
        </w:rPr>
      </w:pPr>
    </w:p>
    <w:p w:rsidR="00211065" w:rsidRPr="009F0223" w:rsidRDefault="00407233" w:rsidP="009F0223">
      <w:pPr>
        <w:pStyle w:val="Virsraksts2"/>
        <w:rPr>
          <w:b/>
        </w:rPr>
      </w:pPr>
      <w:bookmarkStart w:id="19" w:name="_Toc490734233"/>
      <w:r w:rsidRPr="009F0223">
        <w:rPr>
          <w:b/>
        </w:rPr>
        <w:t>2.1. Visiem vienkāršojumiem kopīgās daļas</w:t>
      </w:r>
      <w:bookmarkStart w:id="20" w:name="_bookmark9"/>
      <w:bookmarkEnd w:id="20"/>
      <w:bookmarkEnd w:id="19"/>
    </w:p>
    <w:p w:rsidR="00211065" w:rsidRPr="003E628F" w:rsidRDefault="00211065" w:rsidP="003E628F">
      <w:pPr>
        <w:jc w:val="both"/>
        <w:rPr>
          <w:rFonts w:ascii="Times New Roman" w:eastAsia="Times New Roman" w:hAnsi="Times New Roman" w:cs="Times New Roman"/>
          <w:b/>
          <w:bCs/>
          <w:i/>
          <w:noProof/>
          <w:sz w:val="24"/>
          <w:szCs w:val="20"/>
        </w:rPr>
      </w:pPr>
    </w:p>
    <w:p w:rsidR="00211065" w:rsidRPr="009F0223" w:rsidRDefault="00407233" w:rsidP="009F0223">
      <w:pPr>
        <w:pStyle w:val="Virsraksts2"/>
        <w:rPr>
          <w:b/>
        </w:rPr>
      </w:pPr>
      <w:bookmarkStart w:id="21" w:name="_Toc490734234"/>
      <w:r w:rsidRPr="009F0223">
        <w:rPr>
          <w:b/>
        </w:rPr>
        <w:t>2.1.1. Pieteikuma iesniedzējs</w:t>
      </w:r>
      <w:bookmarkStart w:id="22" w:name="_bookmark10"/>
      <w:bookmarkEnd w:id="22"/>
      <w:bookmarkEnd w:id="21"/>
    </w:p>
    <w:p w:rsidR="00211065" w:rsidRPr="003E628F" w:rsidRDefault="00211065" w:rsidP="003E628F">
      <w:pPr>
        <w:jc w:val="both"/>
        <w:rPr>
          <w:rFonts w:ascii="Times New Roman" w:eastAsia="Times New Roman" w:hAnsi="Times New Roman" w:cs="Times New Roman"/>
          <w:b/>
          <w:bCs/>
          <w:i/>
          <w:noProof/>
          <w:sz w:val="24"/>
          <w:szCs w:val="20"/>
        </w:rPr>
      </w:pPr>
    </w:p>
    <w:p w:rsidR="00211065" w:rsidRPr="003E628F" w:rsidRDefault="00407233" w:rsidP="00407233">
      <w:pPr>
        <w:tabs>
          <w:tab w:val="left" w:pos="369"/>
        </w:tabs>
        <w:jc w:val="both"/>
        <w:rPr>
          <w:rFonts w:ascii="Times New Roman" w:hAnsi="Times New Roman"/>
          <w:b/>
          <w:i/>
          <w:noProof/>
          <w:sz w:val="24"/>
        </w:rPr>
      </w:pPr>
      <w:r>
        <w:rPr>
          <w:rFonts w:ascii="Times New Roman" w:hAnsi="Times New Roman"/>
          <w:b/>
          <w:i/>
          <w:noProof/>
          <w:sz w:val="24"/>
        </w:rPr>
        <w:t>a) Saimnieciskās vienības / uzņēmēji</w:t>
      </w:r>
    </w:p>
    <w:p w:rsidR="00211065" w:rsidRPr="003E628F" w:rsidRDefault="00211065" w:rsidP="003E628F">
      <w:pPr>
        <w:jc w:val="both"/>
        <w:rPr>
          <w:rFonts w:ascii="Times New Roman" w:eastAsia="Times New Roman" w:hAnsi="Times New Roman" w:cs="Times New Roman"/>
          <w:b/>
          <w:bCs/>
          <w:i/>
          <w:noProof/>
          <w:sz w:val="24"/>
          <w:szCs w:val="20"/>
        </w:rPr>
      </w:pPr>
    </w:p>
    <w:p w:rsidR="00211065" w:rsidRPr="003E628F" w:rsidRDefault="00211065" w:rsidP="003E628F">
      <w:pPr>
        <w:pStyle w:val="Pamatteksts"/>
        <w:ind w:left="0"/>
        <w:jc w:val="both"/>
        <w:rPr>
          <w:noProof/>
        </w:rPr>
      </w:pPr>
      <w:r>
        <w:t>Fiziskas personas, juridiskas personas vai personu apvienības, kam nav juridiskas personas statusa, bet kas saskaņā ar ES vai valsts tiesību aktiem ir tiesīgas veikt juridiskas darbības (SMK 5. panta 4. punkts), var iesniegt pieteikumu Kodeksa V sadaļā noteikto vienkāršojumu saņemšanai.</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 xml:space="preserve">Starptautiski vai lieli uzņēmumi parasti sastāv no mātesuzņēmuma un vairākām saimnieciskām vienībām, no kurām katra ir </w:t>
      </w:r>
      <w:r>
        <w:rPr>
          <w:b/>
          <w:noProof/>
        </w:rPr>
        <w:t>atsevišķa juridiska persona</w:t>
      </w:r>
      <w:r>
        <w:t xml:space="preserve">, proti, atsevišķa juridiska vienība, kas reģistrēta vietējā uzņēmumu reģistrā saskaņā ar tās dalībvalsts uzņēmējdarbības tiesībām, kur attiecīgā saimnieciskā vienība veic uzņēmējdarbību. Tā var būt arī </w:t>
      </w:r>
      <w:r>
        <w:rPr>
          <w:b/>
          <w:noProof/>
        </w:rPr>
        <w:t>personu apvienība</w:t>
      </w:r>
      <w:r>
        <w:t>, kam ir atzītas tiesības veikt juridiskas darbības, taču nav juridiskas personas statusa. Šādā gadījumā gan visas saimnieciskās vienības, gan personu apvienības var pieteikties uz vienkāršojumiem vai arī viena juridiska vienība var pieteikties uz vienkāršojumu savā vārdā un rīkoties kā citu grupā ietilpstošo juridisko vienību pārstāvis.</w:t>
      </w:r>
    </w:p>
    <w:p w:rsidR="00211065" w:rsidRPr="003E628F" w:rsidRDefault="00211065" w:rsidP="003E628F">
      <w:pPr>
        <w:jc w:val="both"/>
        <w:rPr>
          <w:rFonts w:ascii="Times New Roman" w:hAnsi="Times New Roman"/>
          <w:noProof/>
          <w:sz w:val="24"/>
        </w:rPr>
      </w:pPr>
    </w:p>
    <w:p w:rsidR="00211065" w:rsidRPr="003E628F" w:rsidRDefault="00407233" w:rsidP="00407233">
      <w:pPr>
        <w:pStyle w:val="Virsraksts2"/>
        <w:tabs>
          <w:tab w:val="left" w:pos="369"/>
        </w:tabs>
        <w:jc w:val="both"/>
        <w:rPr>
          <w:noProof/>
        </w:rPr>
      </w:pPr>
      <w:bookmarkStart w:id="23" w:name="_Toc490734235"/>
      <w:r>
        <w:t>b) Uzņēmējdarbības veikšana muitas teritorijā</w:t>
      </w:r>
      <w:bookmarkEnd w:id="23"/>
    </w:p>
    <w:p w:rsidR="00211065" w:rsidRPr="003E628F" w:rsidRDefault="00211065" w:rsidP="003E628F">
      <w:pPr>
        <w:jc w:val="both"/>
        <w:rPr>
          <w:rFonts w:ascii="Times New Roman" w:eastAsia="Times New Roman" w:hAnsi="Times New Roman" w:cs="Times New Roman"/>
          <w:b/>
          <w:bCs/>
          <w:i/>
          <w:noProof/>
          <w:sz w:val="24"/>
          <w:szCs w:val="20"/>
        </w:rPr>
      </w:pPr>
    </w:p>
    <w:p w:rsidR="00211065" w:rsidRPr="003E628F" w:rsidRDefault="00211065" w:rsidP="003E628F">
      <w:pPr>
        <w:jc w:val="both"/>
        <w:rPr>
          <w:rFonts w:ascii="Times New Roman" w:hAnsi="Times New Roman"/>
          <w:b/>
          <w:noProof/>
          <w:sz w:val="24"/>
        </w:rPr>
      </w:pPr>
      <w:r>
        <w:rPr>
          <w:rFonts w:ascii="Times New Roman" w:hAnsi="Times New Roman"/>
          <w:b/>
          <w:noProof/>
          <w:sz w:val="24"/>
        </w:rPr>
        <w:t>Principā saskaņā ar SMK 18. panta 2. punktu un DA 11. panta 1. punkta b) apakšpunktu uzņēmējiem, pārstāvjiem un citām personām, kas piesakās uz vienkāršojuma izmantošanas atļaujām, ir jāveic uzņēmējdarbība Savienības muitas teritorijā.</w:t>
      </w:r>
    </w:p>
    <w:p w:rsidR="00407233" w:rsidRDefault="00407233" w:rsidP="003E628F">
      <w:pPr>
        <w:jc w:val="both"/>
        <w:rPr>
          <w:rFonts w:ascii="Times New Roman" w:hAnsi="Times New Roman"/>
          <w:i/>
          <w:noProof/>
          <w:color w:val="17365D"/>
          <w:sz w:val="24"/>
        </w:rPr>
      </w:pPr>
    </w:p>
    <w:p w:rsidR="00211065" w:rsidRPr="003E628F" w:rsidRDefault="00211065" w:rsidP="003E628F">
      <w:pPr>
        <w:jc w:val="both"/>
        <w:rPr>
          <w:rFonts w:ascii="Times New Roman" w:hAnsi="Times New Roman"/>
          <w:i/>
          <w:noProof/>
          <w:color w:val="17365D"/>
          <w:sz w:val="24"/>
        </w:rPr>
      </w:pPr>
      <w:r>
        <w:rPr>
          <w:rFonts w:ascii="Times New Roman" w:hAnsi="Times New Roman"/>
          <w:i/>
          <w:noProof/>
          <w:color w:val="17365D"/>
          <w:sz w:val="24"/>
        </w:rPr>
        <w:t>Piemēri</w:t>
      </w:r>
    </w:p>
    <w:p w:rsidR="00211065" w:rsidRPr="003E628F" w:rsidRDefault="00211065" w:rsidP="003E628F">
      <w:pPr>
        <w:jc w:val="both"/>
        <w:rPr>
          <w:rFonts w:ascii="Times New Roman" w:eastAsia="Times New Roman" w:hAnsi="Times New Roman" w:cs="Times New Roman"/>
          <w:i/>
          <w:noProof/>
          <w:sz w:val="24"/>
          <w:szCs w:val="20"/>
        </w:rPr>
      </w:pPr>
    </w:p>
    <w:p w:rsidR="00211065" w:rsidRPr="003E628F" w:rsidRDefault="00211065" w:rsidP="003E628F">
      <w:pPr>
        <w:numPr>
          <w:ilvl w:val="0"/>
          <w:numId w:val="74"/>
        </w:numPr>
        <w:tabs>
          <w:tab w:val="left" w:pos="249"/>
        </w:tabs>
        <w:ind w:left="0" w:firstLine="0"/>
        <w:jc w:val="both"/>
        <w:rPr>
          <w:rFonts w:ascii="Times New Roman" w:hAnsi="Times New Roman"/>
          <w:i/>
          <w:noProof/>
          <w:color w:val="17365D"/>
          <w:sz w:val="24"/>
        </w:rPr>
      </w:pPr>
      <w:r>
        <w:rPr>
          <w:rFonts w:ascii="Times New Roman" w:hAnsi="Times New Roman"/>
          <w:i/>
          <w:noProof/>
          <w:color w:val="17365D"/>
          <w:sz w:val="24"/>
        </w:rPr>
        <w:t xml:space="preserve">Ja pieteikumu iesniedz fiziska persona, šai personai ir pastāvīgi jādzīvo ES muitas </w:t>
      </w:r>
      <w:r>
        <w:rPr>
          <w:rFonts w:ascii="Times New Roman" w:hAnsi="Times New Roman"/>
          <w:i/>
          <w:noProof/>
          <w:color w:val="17365D"/>
          <w:sz w:val="24"/>
        </w:rPr>
        <w:lastRenderedPageBreak/>
        <w:t>teritorijā.</w:t>
      </w:r>
    </w:p>
    <w:p w:rsidR="00211065" w:rsidRPr="003E628F" w:rsidRDefault="00211065" w:rsidP="003E628F">
      <w:pPr>
        <w:jc w:val="both"/>
        <w:rPr>
          <w:rFonts w:ascii="Times New Roman" w:eastAsia="Times New Roman" w:hAnsi="Times New Roman" w:cs="Times New Roman"/>
          <w:i/>
          <w:noProof/>
          <w:sz w:val="24"/>
          <w:szCs w:val="20"/>
        </w:rPr>
      </w:pPr>
    </w:p>
    <w:p w:rsidR="00211065" w:rsidRPr="003E628F" w:rsidRDefault="00211065" w:rsidP="003E628F">
      <w:pPr>
        <w:numPr>
          <w:ilvl w:val="0"/>
          <w:numId w:val="74"/>
        </w:numPr>
        <w:tabs>
          <w:tab w:val="left" w:pos="323"/>
        </w:tabs>
        <w:ind w:left="0" w:firstLine="0"/>
        <w:jc w:val="both"/>
        <w:rPr>
          <w:rFonts w:ascii="Times New Roman" w:hAnsi="Times New Roman"/>
          <w:i/>
          <w:noProof/>
          <w:color w:val="17365D"/>
          <w:sz w:val="24"/>
        </w:rPr>
      </w:pPr>
      <w:r>
        <w:rPr>
          <w:rFonts w:ascii="Times New Roman" w:hAnsi="Times New Roman"/>
          <w:i/>
          <w:noProof/>
          <w:color w:val="17365D"/>
          <w:sz w:val="24"/>
        </w:rPr>
        <w:t>Juridiskas personas vai personu apvienības gadījumā pastāvīgajai darījumdarbības vietai, juridiskajai adresei vai galvenajai mītnei jāatrodas ES muitas teritorijā.</w:t>
      </w:r>
    </w:p>
    <w:p w:rsidR="00211065" w:rsidRPr="003E628F" w:rsidRDefault="00211065" w:rsidP="003E628F">
      <w:pPr>
        <w:jc w:val="both"/>
        <w:rPr>
          <w:rFonts w:ascii="Times New Roman" w:eastAsia="Times New Roman" w:hAnsi="Times New Roman" w:cs="Times New Roman"/>
          <w:i/>
          <w:noProof/>
          <w:sz w:val="24"/>
          <w:szCs w:val="20"/>
        </w:rPr>
      </w:pPr>
    </w:p>
    <w:p w:rsidR="00211065" w:rsidRPr="003E628F" w:rsidRDefault="00211065" w:rsidP="003E628F">
      <w:pPr>
        <w:jc w:val="both"/>
        <w:rPr>
          <w:rFonts w:ascii="Times New Roman" w:eastAsia="Times New Roman" w:hAnsi="Times New Roman" w:cs="Times New Roman"/>
          <w:noProof/>
          <w:sz w:val="24"/>
          <w:szCs w:val="24"/>
        </w:rPr>
      </w:pPr>
      <w:r>
        <w:rPr>
          <w:rFonts w:ascii="Times New Roman" w:hAnsi="Times New Roman"/>
          <w:b/>
          <w:noProof/>
          <w:sz w:val="24"/>
        </w:rPr>
        <w:t xml:space="preserve">SMK 170. panta 2. punktā noteikts princips, </w:t>
      </w:r>
      <w:r>
        <w:rPr>
          <w:rFonts w:ascii="Times New Roman" w:hAnsi="Times New Roman"/>
          <w:noProof/>
          <w:sz w:val="24"/>
        </w:rPr>
        <w:t>ka deklarētājam, kas iesniedz muitas deklarāciju, ir jāveic uzņēmējdarbība Savienības muitas teritorijā.</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jc w:val="both"/>
        <w:rPr>
          <w:rFonts w:ascii="Times New Roman" w:eastAsia="Times New Roman" w:hAnsi="Times New Roman" w:cs="Times New Roman"/>
          <w:noProof/>
          <w:sz w:val="24"/>
          <w:szCs w:val="24"/>
        </w:rPr>
      </w:pPr>
      <w:r>
        <w:rPr>
          <w:rFonts w:ascii="Times New Roman" w:hAnsi="Times New Roman"/>
          <w:i/>
          <w:noProof/>
          <w:color w:val="49442A"/>
          <w:sz w:val="24"/>
          <w:u w:val="single" w:color="49442A"/>
        </w:rPr>
        <w:t>Jāņem vērā</w:t>
      </w:r>
      <w:r>
        <w:rPr>
          <w:rFonts w:ascii="Times New Roman" w:hAnsi="Times New Roman"/>
          <w:i/>
          <w:noProof/>
          <w:color w:val="49442A"/>
          <w:sz w:val="24"/>
        </w:rPr>
        <w:t>! Attiecībā uz nosacījumu, ka deklarētājam ir jāveic uzņēmējdarbība Savienības muitas teritorijā, ir noteikti trīs tiesiski izņēmumi:</w:t>
      </w:r>
    </w:p>
    <w:p w:rsidR="00211065" w:rsidRPr="003E628F" w:rsidRDefault="00211065" w:rsidP="003E628F">
      <w:pPr>
        <w:jc w:val="both"/>
        <w:rPr>
          <w:rFonts w:ascii="Times New Roman" w:eastAsia="Times New Roman" w:hAnsi="Times New Roman" w:cs="Times New Roman"/>
          <w:i/>
          <w:noProof/>
          <w:sz w:val="24"/>
          <w:szCs w:val="20"/>
        </w:rPr>
      </w:pPr>
    </w:p>
    <w:p w:rsidR="00211065" w:rsidRPr="003E628F" w:rsidRDefault="00407233" w:rsidP="00407233">
      <w:pPr>
        <w:tabs>
          <w:tab w:val="left" w:pos="310"/>
        </w:tabs>
        <w:jc w:val="both"/>
        <w:rPr>
          <w:rFonts w:ascii="Times New Roman" w:eastAsia="Times New Roman" w:hAnsi="Times New Roman" w:cs="Times New Roman"/>
          <w:i/>
          <w:noProof/>
          <w:color w:val="49442A"/>
          <w:sz w:val="24"/>
          <w:szCs w:val="24"/>
        </w:rPr>
      </w:pPr>
      <w:r>
        <w:rPr>
          <w:rFonts w:ascii="Times New Roman" w:hAnsi="Times New Roman"/>
          <w:i/>
          <w:noProof/>
          <w:color w:val="49442A"/>
          <w:sz w:val="24"/>
        </w:rPr>
        <w:t>1. saskaņā ar SMK 18. panta 2. punktu un 170. panta 3. punkta a) apakšpunktu deklarētājs var neveikt uzņēmējdarbību ES, ja vienīgās deklarācijas, kas tiek iesniegtas, ir saistītas ar pagaidu ievešanu (procedūras kods “53” vienotā administratīvā dokumenta 37. ailē) vai tranzītu;</w:t>
      </w:r>
    </w:p>
    <w:p w:rsidR="00211065" w:rsidRPr="003E628F" w:rsidRDefault="00211065" w:rsidP="003E628F">
      <w:pPr>
        <w:jc w:val="both"/>
        <w:rPr>
          <w:rFonts w:ascii="Times New Roman" w:eastAsia="Times New Roman" w:hAnsi="Times New Roman" w:cs="Times New Roman"/>
          <w:i/>
          <w:noProof/>
          <w:sz w:val="24"/>
          <w:szCs w:val="20"/>
        </w:rPr>
      </w:pPr>
    </w:p>
    <w:p w:rsidR="00211065" w:rsidRPr="003E628F" w:rsidRDefault="00407233" w:rsidP="00407233">
      <w:pPr>
        <w:tabs>
          <w:tab w:val="left" w:pos="310"/>
        </w:tabs>
        <w:jc w:val="both"/>
        <w:rPr>
          <w:rFonts w:ascii="Times New Roman" w:hAnsi="Times New Roman"/>
          <w:i/>
          <w:noProof/>
          <w:color w:val="49442A"/>
          <w:sz w:val="24"/>
        </w:rPr>
      </w:pPr>
      <w:r>
        <w:rPr>
          <w:rFonts w:ascii="Times New Roman" w:hAnsi="Times New Roman"/>
          <w:i/>
          <w:noProof/>
          <w:color w:val="49442A"/>
          <w:sz w:val="24"/>
        </w:rPr>
        <w:t>2. SMK 170. panta 3. punkta b) apakšpunkts ļauj personai, kas iesniedz deklarāciju, tostarp galapatēriņam vai ievešanai pārstrādei, veikt uzņēmējdarbību ārpus ES, ja šī persona deklarāciju iesniedz neregulāri un ja muitas dienesti to uzskata par pamatotu;</w:t>
      </w:r>
    </w:p>
    <w:p w:rsidR="00211065" w:rsidRPr="003E628F" w:rsidRDefault="00211065" w:rsidP="003E628F">
      <w:pPr>
        <w:jc w:val="both"/>
        <w:rPr>
          <w:rFonts w:ascii="Times New Roman" w:eastAsia="Times New Roman" w:hAnsi="Times New Roman" w:cs="Times New Roman"/>
          <w:i/>
          <w:noProof/>
          <w:sz w:val="24"/>
          <w:szCs w:val="20"/>
        </w:rPr>
      </w:pPr>
    </w:p>
    <w:p w:rsidR="00211065" w:rsidRPr="003E628F" w:rsidRDefault="00407233" w:rsidP="00407233">
      <w:pPr>
        <w:tabs>
          <w:tab w:val="left" w:pos="310"/>
        </w:tabs>
        <w:jc w:val="both"/>
        <w:rPr>
          <w:rFonts w:ascii="Times New Roman" w:hAnsi="Times New Roman"/>
          <w:i/>
          <w:noProof/>
          <w:color w:val="49442A"/>
          <w:sz w:val="24"/>
        </w:rPr>
      </w:pPr>
      <w:r>
        <w:rPr>
          <w:rFonts w:ascii="Times New Roman" w:hAnsi="Times New Roman"/>
          <w:i/>
          <w:noProof/>
          <w:color w:val="49442A"/>
          <w:sz w:val="24"/>
        </w:rPr>
        <w:t>3. sk. arī atkāpes, kas paredzētas SMK 170. panta 3. punkta c) apakšpunktā.</w:t>
      </w:r>
    </w:p>
    <w:p w:rsidR="00211065" w:rsidRPr="003E628F" w:rsidRDefault="00211065" w:rsidP="003E628F">
      <w:pPr>
        <w:jc w:val="both"/>
        <w:rPr>
          <w:rFonts w:ascii="Times New Roman" w:eastAsia="Times New Roman" w:hAnsi="Times New Roman" w:cs="Times New Roman"/>
          <w:i/>
          <w:noProof/>
          <w:sz w:val="24"/>
          <w:szCs w:val="21"/>
        </w:rPr>
      </w:pPr>
    </w:p>
    <w:p w:rsidR="00211065" w:rsidRPr="003E628F" w:rsidRDefault="00407233" w:rsidP="00407233">
      <w:pPr>
        <w:pStyle w:val="Virsraksts2"/>
        <w:tabs>
          <w:tab w:val="left" w:pos="355"/>
        </w:tabs>
        <w:jc w:val="both"/>
        <w:rPr>
          <w:noProof/>
        </w:rPr>
      </w:pPr>
      <w:bookmarkStart w:id="24" w:name="_Toc490734236"/>
      <w:r>
        <w:t>c) Pārstāvji</w:t>
      </w:r>
      <w:bookmarkEnd w:id="24"/>
    </w:p>
    <w:p w:rsidR="00211065" w:rsidRPr="003E628F" w:rsidRDefault="00211065" w:rsidP="003E628F">
      <w:pPr>
        <w:jc w:val="both"/>
        <w:rPr>
          <w:rFonts w:ascii="Times New Roman" w:eastAsia="Times New Roman" w:hAnsi="Times New Roman" w:cs="Times New Roman"/>
          <w:b/>
          <w:bCs/>
          <w:i/>
          <w:noProof/>
          <w:sz w:val="24"/>
          <w:szCs w:val="20"/>
        </w:rPr>
      </w:pPr>
    </w:p>
    <w:p w:rsidR="00211065" w:rsidRPr="003E628F" w:rsidRDefault="00211065" w:rsidP="003E628F">
      <w:pPr>
        <w:jc w:val="both"/>
        <w:rPr>
          <w:rFonts w:ascii="Times New Roman" w:hAnsi="Times New Roman"/>
          <w:i/>
          <w:noProof/>
          <w:sz w:val="24"/>
          <w:u w:val="single" w:color="000000"/>
        </w:rPr>
      </w:pPr>
      <w:r>
        <w:rPr>
          <w:rFonts w:ascii="Times New Roman" w:hAnsi="Times New Roman"/>
          <w:i/>
          <w:noProof/>
          <w:sz w:val="24"/>
          <w:u w:val="single" w:color="000000"/>
        </w:rPr>
        <w:t>Iespējams izšķirt divas situācijas:</w:t>
      </w:r>
    </w:p>
    <w:p w:rsidR="00211065" w:rsidRPr="003E628F" w:rsidRDefault="00211065" w:rsidP="003E628F">
      <w:pPr>
        <w:jc w:val="both"/>
        <w:rPr>
          <w:rFonts w:ascii="Times New Roman" w:eastAsia="Times New Roman" w:hAnsi="Times New Roman" w:cs="Times New Roman"/>
          <w:i/>
          <w:noProof/>
          <w:sz w:val="24"/>
          <w:szCs w:val="14"/>
        </w:rPr>
      </w:pPr>
    </w:p>
    <w:p w:rsidR="00211065" w:rsidRPr="003E628F" w:rsidRDefault="00211065" w:rsidP="003E628F">
      <w:pPr>
        <w:ind w:firstLine="60"/>
        <w:jc w:val="both"/>
        <w:rPr>
          <w:rFonts w:ascii="Times New Roman" w:hAnsi="Times New Roman"/>
          <w:i/>
          <w:noProof/>
          <w:sz w:val="24"/>
        </w:rPr>
      </w:pPr>
      <w:r>
        <w:rPr>
          <w:rFonts w:ascii="Times New Roman" w:hAnsi="Times New Roman"/>
          <w:i/>
          <w:noProof/>
          <w:sz w:val="24"/>
        </w:rPr>
        <w:t>- vienkāršojuma atļaujas turētājs ir importētājs/eksportētājs un var strādāt ar pārstāvi, kas kārto muitas formalitātes, piemēram, iesniedz muitas deklarācijas;</w:t>
      </w:r>
    </w:p>
    <w:p w:rsidR="00211065" w:rsidRPr="003E628F" w:rsidRDefault="00211065" w:rsidP="003E628F">
      <w:pPr>
        <w:jc w:val="both"/>
        <w:rPr>
          <w:rFonts w:ascii="Times New Roman" w:eastAsia="Times New Roman" w:hAnsi="Times New Roman" w:cs="Times New Roman"/>
          <w:i/>
          <w:noProof/>
          <w:sz w:val="24"/>
          <w:szCs w:val="20"/>
        </w:rPr>
      </w:pPr>
    </w:p>
    <w:p w:rsidR="00211065" w:rsidRPr="003E628F" w:rsidRDefault="00211065" w:rsidP="003E628F">
      <w:pPr>
        <w:jc w:val="both"/>
        <w:rPr>
          <w:rFonts w:ascii="Times New Roman" w:eastAsia="Times New Roman" w:hAnsi="Times New Roman" w:cs="Times New Roman"/>
          <w:noProof/>
          <w:sz w:val="24"/>
          <w:szCs w:val="24"/>
        </w:rPr>
      </w:pPr>
      <w:r>
        <w:rPr>
          <w:rFonts w:ascii="Times New Roman" w:hAnsi="Times New Roman"/>
          <w:noProof/>
          <w:sz w:val="24"/>
        </w:rPr>
        <w:t xml:space="preserve">- </w:t>
      </w:r>
      <w:r>
        <w:rPr>
          <w:rFonts w:ascii="Times New Roman" w:hAnsi="Times New Roman"/>
          <w:i/>
          <w:noProof/>
          <w:sz w:val="24"/>
        </w:rPr>
        <w:t>konkrēta vienkāršojuma atļaujas turētājs ir muitas pārstāvis, kas rīkojas klientu uzdevumā</w:t>
      </w:r>
      <w:r>
        <w:rPr>
          <w:rFonts w:ascii="Times New Roman" w:hAnsi="Times New Roman"/>
          <w:noProof/>
          <w:sz w:val="24"/>
        </w:rPr>
        <w:t>.</w:t>
      </w:r>
    </w:p>
    <w:p w:rsidR="00211065" w:rsidRPr="003E628F" w:rsidRDefault="00211065" w:rsidP="003E628F">
      <w:pPr>
        <w:jc w:val="both"/>
        <w:rPr>
          <w:rFonts w:ascii="Times New Roman" w:eastAsia="Times New Roman" w:hAnsi="Times New Roman" w:cs="Times New Roman"/>
          <w:noProof/>
          <w:sz w:val="24"/>
          <w:szCs w:val="21"/>
        </w:rPr>
      </w:pPr>
    </w:p>
    <w:p w:rsidR="00211065" w:rsidRPr="009F0223" w:rsidRDefault="00407233" w:rsidP="009F0223">
      <w:pPr>
        <w:pStyle w:val="Virsraksts2"/>
        <w:rPr>
          <w:b/>
        </w:rPr>
      </w:pPr>
      <w:bookmarkStart w:id="25" w:name="_Toc490734237"/>
      <w:r w:rsidRPr="009F0223">
        <w:rPr>
          <w:b/>
        </w:rPr>
        <w:t>2.1.2. Pieteikuma iesniegšanas un pieņemšanas posmi</w:t>
      </w:r>
      <w:bookmarkStart w:id="26" w:name="_bookmark11"/>
      <w:bookmarkEnd w:id="26"/>
      <w:bookmarkEnd w:id="25"/>
    </w:p>
    <w:p w:rsidR="00211065" w:rsidRPr="003E628F" w:rsidRDefault="00211065" w:rsidP="003E628F">
      <w:pPr>
        <w:jc w:val="both"/>
        <w:rPr>
          <w:rFonts w:ascii="Times New Roman" w:eastAsia="Times New Roman" w:hAnsi="Times New Roman" w:cs="Times New Roman"/>
          <w:b/>
          <w:bCs/>
          <w:i/>
          <w:noProof/>
          <w:sz w:val="24"/>
          <w:szCs w:val="20"/>
        </w:rPr>
      </w:pPr>
    </w:p>
    <w:p w:rsidR="00211065" w:rsidRPr="003E628F" w:rsidRDefault="00407233" w:rsidP="00407233">
      <w:pPr>
        <w:tabs>
          <w:tab w:val="left" w:pos="369"/>
        </w:tabs>
        <w:jc w:val="both"/>
        <w:rPr>
          <w:rFonts w:ascii="Times New Roman" w:hAnsi="Times New Roman"/>
          <w:b/>
          <w:noProof/>
          <w:sz w:val="24"/>
        </w:rPr>
      </w:pPr>
      <w:r>
        <w:rPr>
          <w:rFonts w:ascii="Times New Roman" w:hAnsi="Times New Roman"/>
          <w:b/>
          <w:noProof/>
          <w:sz w:val="24"/>
        </w:rPr>
        <w:t>a) Vienkāršojumu pieteikumu un atļauju veidlapas</w:t>
      </w:r>
    </w:p>
    <w:p w:rsidR="00211065" w:rsidRPr="003E628F" w:rsidRDefault="00211065" w:rsidP="003E628F">
      <w:pPr>
        <w:jc w:val="both"/>
        <w:rPr>
          <w:rFonts w:ascii="Times New Roman" w:eastAsia="Times New Roman" w:hAnsi="Times New Roman" w:cs="Times New Roman"/>
          <w:b/>
          <w:bCs/>
          <w:noProof/>
          <w:sz w:val="24"/>
          <w:szCs w:val="20"/>
        </w:rPr>
      </w:pPr>
    </w:p>
    <w:p w:rsidR="00211065" w:rsidRPr="003E628F" w:rsidRDefault="00211065" w:rsidP="003E628F">
      <w:pPr>
        <w:pStyle w:val="Pamatteksts"/>
        <w:ind w:left="0"/>
        <w:jc w:val="both"/>
        <w:rPr>
          <w:noProof/>
        </w:rPr>
      </w:pPr>
      <w:r>
        <w:t>DA/ĪA A pielikumā noteikta datu kopa vienkāršojumu pieteikumiem un atļaujām.</w:t>
      </w:r>
    </w:p>
    <w:p w:rsidR="00211065" w:rsidRPr="003E628F" w:rsidRDefault="00211065" w:rsidP="003E628F">
      <w:pPr>
        <w:pStyle w:val="Pamatteksts"/>
        <w:ind w:left="0"/>
        <w:jc w:val="both"/>
        <w:rPr>
          <w:noProof/>
        </w:rPr>
      </w:pPr>
      <w:r>
        <w:t xml:space="preserve">Turpmāk papīra veidlapas drīkst izmantot vienīgi atkāpšanās procedūras gadījumā. Būtiskās ailes A pielikuma vispārējā daļā ir: 7.a aile vienkāršotajai deklarācijai, 7.b aile centralizētai muitošanai, 7.c aile </w:t>
      </w:r>
      <w:r>
        <w:rPr>
          <w:i/>
        </w:rPr>
        <w:t>EIDR</w:t>
      </w:r>
      <w:r>
        <w:t xml:space="preserve"> un 7.d aile pašnovērtējumam. Citi elementi ir pieejami konkrētajās daļās.</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 xml:space="preserve">Dalībvalstis var būt izstrādājušas papīra veidlapas saskaņā ar </w:t>
      </w:r>
      <w:r>
        <w:rPr>
          <w:i/>
        </w:rPr>
        <w:t>TDA</w:t>
      </w:r>
      <w:r>
        <w:t xml:space="preserve"> 2. pantu.</w:t>
      </w:r>
    </w:p>
    <w:p w:rsidR="00211065" w:rsidRPr="003E628F" w:rsidRDefault="00211065" w:rsidP="003E628F">
      <w:pPr>
        <w:jc w:val="both"/>
        <w:rPr>
          <w:rFonts w:ascii="Times New Roman" w:eastAsia="Times New Roman" w:hAnsi="Times New Roman" w:cs="Times New Roman"/>
          <w:noProof/>
          <w:sz w:val="24"/>
          <w:szCs w:val="20"/>
        </w:rPr>
      </w:pPr>
    </w:p>
    <w:p w:rsidR="00211065" w:rsidRDefault="00211065" w:rsidP="003E628F">
      <w:pPr>
        <w:jc w:val="both"/>
        <w:rPr>
          <w:rFonts w:ascii="Times New Roman" w:hAnsi="Times New Roman"/>
          <w:i/>
          <w:noProof/>
          <w:color w:val="49442A"/>
          <w:sz w:val="24"/>
        </w:rPr>
      </w:pPr>
      <w:r>
        <w:rPr>
          <w:rFonts w:ascii="Times New Roman" w:hAnsi="Times New Roman"/>
          <w:i/>
          <w:noProof/>
          <w:color w:val="49442A"/>
          <w:sz w:val="24"/>
          <w:u w:val="single" w:color="49442A"/>
        </w:rPr>
        <w:t xml:space="preserve">Jāņem vērā! </w:t>
      </w:r>
      <w:r>
        <w:rPr>
          <w:rFonts w:ascii="Times New Roman" w:hAnsi="Times New Roman"/>
          <w:i/>
          <w:noProof/>
          <w:color w:val="49442A"/>
          <w:sz w:val="24"/>
        </w:rPr>
        <w:t>Saskaņā ar TDA 55. panta 7. punktu pārejas periodā vienkāršotajai deklarācijai, ierakstam deklarētāja reģistros un centralizētai muitošanai var izmantot veidlapas, kas noteiktas TDA 12. pielikumā. Šīs var būt papīra veidlapas. Kas attiecas uz pašnovērtējumu, piemēro TDA 55. panta 5. punktu, kas ļauj muitas dienestiem piemērot citas datu prasības, kuras nav DA A pielikumā noteiktās prasības, saskaņā ar 6. punktā noteiktajiem nosacījumiem.</w:t>
      </w:r>
    </w:p>
    <w:p w:rsidR="009F0223" w:rsidRDefault="009F0223">
      <w:pPr>
        <w:rPr>
          <w:rFonts w:ascii="Times New Roman" w:hAnsi="Times New Roman"/>
          <w:i/>
          <w:noProof/>
          <w:color w:val="49442A"/>
          <w:sz w:val="24"/>
        </w:rPr>
      </w:pPr>
      <w:r>
        <w:rPr>
          <w:rFonts w:ascii="Times New Roman" w:hAnsi="Times New Roman"/>
          <w:i/>
          <w:noProof/>
          <w:color w:val="49442A"/>
          <w:sz w:val="24"/>
        </w:rPr>
        <w:br w:type="page"/>
      </w:r>
    </w:p>
    <w:p w:rsidR="00407233" w:rsidRPr="003E628F" w:rsidRDefault="00407233" w:rsidP="003E628F">
      <w:pPr>
        <w:jc w:val="both"/>
        <w:rPr>
          <w:rFonts w:ascii="Times New Roman" w:hAnsi="Times New Roman"/>
          <w:i/>
          <w:noProof/>
          <w:color w:val="49442A"/>
          <w:sz w:val="24"/>
        </w:rPr>
      </w:pPr>
    </w:p>
    <w:p w:rsidR="00211065" w:rsidRPr="003E628F" w:rsidRDefault="00407233" w:rsidP="00407233">
      <w:pPr>
        <w:pStyle w:val="Virsraksts1"/>
        <w:tabs>
          <w:tab w:val="left" w:pos="374"/>
        </w:tabs>
        <w:jc w:val="both"/>
        <w:rPr>
          <w:noProof/>
        </w:rPr>
      </w:pPr>
      <w:bookmarkStart w:id="27" w:name="_Toc490734238"/>
      <w:r>
        <w:t>b) Pieteikuma pieņemšanas posms</w:t>
      </w:r>
      <w:bookmarkEnd w:id="27"/>
    </w:p>
    <w:p w:rsidR="00211065" w:rsidRPr="003E628F" w:rsidRDefault="00211065" w:rsidP="003E628F">
      <w:pPr>
        <w:jc w:val="both"/>
        <w:rPr>
          <w:rFonts w:ascii="Times New Roman" w:eastAsia="Times New Roman" w:hAnsi="Times New Roman" w:cs="Times New Roman"/>
          <w:b/>
          <w:bCs/>
          <w:noProof/>
          <w:sz w:val="24"/>
          <w:szCs w:val="20"/>
        </w:rPr>
      </w:pPr>
    </w:p>
    <w:p w:rsidR="00211065" w:rsidRPr="003E628F" w:rsidRDefault="00407233" w:rsidP="00407233">
      <w:pPr>
        <w:pStyle w:val="Pamatteksts"/>
        <w:tabs>
          <w:tab w:val="left" w:pos="415"/>
        </w:tabs>
        <w:ind w:left="0"/>
        <w:jc w:val="both"/>
        <w:rPr>
          <w:noProof/>
        </w:rPr>
      </w:pPr>
      <w:r>
        <w:t>1. Saskaņā ar SMK 22. panta 2. punktu un DA 11. panta 1. punktu muitas iestādes 30 dienu laikā pēc pieteikuma saņemšanas pārbauda, vai ir izpildīti visi pieteikuma pieņemšanas nosacījumi, tostarp, vai:</w:t>
      </w:r>
    </w:p>
    <w:p w:rsidR="00211065" w:rsidRPr="003E628F" w:rsidRDefault="00211065" w:rsidP="003E628F">
      <w:pPr>
        <w:jc w:val="both"/>
        <w:rPr>
          <w:rFonts w:ascii="Times New Roman" w:eastAsia="Times New Roman" w:hAnsi="Times New Roman" w:cs="Times New Roman"/>
          <w:noProof/>
          <w:sz w:val="24"/>
          <w:szCs w:val="21"/>
        </w:rPr>
      </w:pPr>
    </w:p>
    <w:p w:rsidR="00211065" w:rsidRPr="003E628F" w:rsidRDefault="00211065" w:rsidP="00407233">
      <w:pPr>
        <w:pStyle w:val="Pamatteksts"/>
        <w:numPr>
          <w:ilvl w:val="1"/>
          <w:numId w:val="71"/>
        </w:numPr>
        <w:tabs>
          <w:tab w:val="left" w:pos="1134"/>
        </w:tabs>
        <w:ind w:left="1134" w:hanging="425"/>
        <w:jc w:val="both"/>
        <w:rPr>
          <w:noProof/>
        </w:rPr>
      </w:pPr>
      <w:r>
        <w:t xml:space="preserve">pieteikuma iesniedzējam ir derīgs </w:t>
      </w:r>
      <w:r>
        <w:rPr>
          <w:i/>
        </w:rPr>
        <w:t>EORI</w:t>
      </w:r>
      <w:r>
        <w:t xml:space="preserve"> numurs (DA 11. panta 1. punkta a) apakšpunkts);</w:t>
      </w:r>
    </w:p>
    <w:p w:rsidR="00211065" w:rsidRPr="003E628F" w:rsidRDefault="00211065" w:rsidP="00407233">
      <w:pPr>
        <w:pStyle w:val="Pamatteksts"/>
        <w:numPr>
          <w:ilvl w:val="1"/>
          <w:numId w:val="71"/>
        </w:numPr>
        <w:tabs>
          <w:tab w:val="left" w:pos="1134"/>
        </w:tabs>
        <w:ind w:left="1134" w:hanging="425"/>
        <w:jc w:val="both"/>
        <w:rPr>
          <w:noProof/>
        </w:rPr>
      </w:pPr>
      <w:r>
        <w:t>pieteikuma iesniedzējs veic uzņēmējdarbību Savienības Muitas teritorijā (DA 11. panta 1. punkta b) apakšpunkts);</w:t>
      </w:r>
    </w:p>
    <w:p w:rsidR="00211065" w:rsidRPr="003E628F" w:rsidRDefault="00211065" w:rsidP="00407233">
      <w:pPr>
        <w:pStyle w:val="Pamatteksts"/>
        <w:numPr>
          <w:ilvl w:val="1"/>
          <w:numId w:val="71"/>
        </w:numPr>
        <w:tabs>
          <w:tab w:val="left" w:pos="1134"/>
        </w:tabs>
        <w:ind w:left="1134" w:hanging="425"/>
        <w:jc w:val="both"/>
        <w:rPr>
          <w:noProof/>
        </w:rPr>
      </w:pPr>
      <w:r>
        <w:t>pieteikuma iesniedzējs ir iesniedzis savu pieteikumu muitas dienestam, kas ir norīkots saņemt pieteikumus kompetentā muitas dienesta dalībvalstī (DA 11. panta 1. punkta c) apakšpunkts);</w:t>
      </w:r>
    </w:p>
    <w:p w:rsidR="00211065" w:rsidRDefault="00211065" w:rsidP="00407233">
      <w:pPr>
        <w:pStyle w:val="Pamatteksts"/>
        <w:numPr>
          <w:ilvl w:val="1"/>
          <w:numId w:val="71"/>
        </w:numPr>
        <w:tabs>
          <w:tab w:val="left" w:pos="1134"/>
        </w:tabs>
        <w:ind w:left="1134" w:hanging="425"/>
        <w:jc w:val="both"/>
        <w:rPr>
          <w:noProof/>
        </w:rPr>
      </w:pPr>
      <w:r>
        <w:t>pieteikuma iesniedzēja pieteikums neattiecas uz lēmumu ar tādu pašu mērķi kā iepriekšējais šim pieteikuma iesniedzējam adresētais lēmums, kas gada laikā pirms pieteikuma iesniegšanas ticis anulēts vai atsaukts, jo pieteikuma iesniedzējs nebija izpildījis kādu no minētajā lēmumā paredzētajiem pienākumiem (DA 11. panta 1. punkta d) apakšpunkts)</w:t>
      </w:r>
      <w:r>
        <w:rPr>
          <w:rStyle w:val="Vresatsauce"/>
          <w:noProof/>
        </w:rPr>
        <w:footnoteReference w:id="1"/>
      </w:r>
      <w:r>
        <w:t>.</w:t>
      </w:r>
    </w:p>
    <w:p w:rsidR="00407233" w:rsidRPr="003E628F" w:rsidRDefault="00407233" w:rsidP="00407233">
      <w:pPr>
        <w:pStyle w:val="Pamatteksts"/>
        <w:tabs>
          <w:tab w:val="left" w:pos="830"/>
        </w:tabs>
        <w:ind w:left="0"/>
        <w:jc w:val="both"/>
        <w:rPr>
          <w:noProof/>
        </w:rPr>
      </w:pPr>
    </w:p>
    <w:p w:rsidR="00211065" w:rsidRPr="003E628F" w:rsidRDefault="00407233" w:rsidP="00407233">
      <w:pPr>
        <w:pStyle w:val="Pamatteksts"/>
        <w:tabs>
          <w:tab w:val="left" w:pos="352"/>
        </w:tabs>
        <w:ind w:left="0"/>
        <w:jc w:val="both"/>
        <w:rPr>
          <w:noProof/>
        </w:rPr>
      </w:pPr>
      <w:r>
        <w:t>2. Ja visa informācija ir sniegta, tad pieteikuma pieņemšanu paziņo tajā pašā termiņā; turpretī saskaņā ar ĪA 12. panta 2. punktu, ja pieteikumā nav norādīta visa prasītā informācija, nepieciešamās informācijas sniegšanai pieteikuma iesniedzējam piešķir papildu laika posmu, kas nav ilgāks par 30 dienām no brīža, kad muitas dienests ir pieprasījis šo informāciju.</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407233" w:rsidP="00407233">
      <w:pPr>
        <w:pStyle w:val="Pamatteksts"/>
        <w:tabs>
          <w:tab w:val="left" w:pos="367"/>
        </w:tabs>
        <w:ind w:left="0"/>
        <w:jc w:val="both"/>
        <w:rPr>
          <w:noProof/>
        </w:rPr>
      </w:pPr>
      <w:r>
        <w:t>3. Ja no muitas dienestiem netiek saņemta atbilde attiecībā pieteikumu, uzskata, ka šis pieteikums ir pieņemts. Pieņemšanas datums ir pieteikuma vai papildu informācijas (ja tāda ir pieprasīta) iesniegšanas datums (ĪA 12. panta 3. punkts).</w:t>
      </w:r>
    </w:p>
    <w:p w:rsidR="00211065" w:rsidRPr="003E628F" w:rsidRDefault="00211065" w:rsidP="003E628F">
      <w:pPr>
        <w:jc w:val="both"/>
        <w:rPr>
          <w:rFonts w:ascii="Times New Roman" w:eastAsia="Times New Roman" w:hAnsi="Times New Roman" w:cs="Times New Roman"/>
          <w:noProof/>
          <w:sz w:val="24"/>
          <w:szCs w:val="21"/>
        </w:rPr>
      </w:pPr>
    </w:p>
    <w:p w:rsidR="00211065" w:rsidRPr="003E628F" w:rsidRDefault="00407233" w:rsidP="00407233">
      <w:pPr>
        <w:pStyle w:val="Virsraksts1"/>
        <w:tabs>
          <w:tab w:val="left" w:pos="355"/>
        </w:tabs>
        <w:jc w:val="both"/>
        <w:rPr>
          <w:noProof/>
        </w:rPr>
      </w:pPr>
      <w:bookmarkStart w:id="28" w:name="_Toc490734239"/>
      <w:r>
        <w:t>c) Tiesības tikt uzklausītam</w:t>
      </w:r>
      <w:bookmarkEnd w:id="28"/>
    </w:p>
    <w:p w:rsidR="00211065" w:rsidRPr="003E628F" w:rsidRDefault="00211065" w:rsidP="003E628F">
      <w:pPr>
        <w:jc w:val="both"/>
        <w:rPr>
          <w:rFonts w:ascii="Times New Roman" w:eastAsia="Times New Roman" w:hAnsi="Times New Roman" w:cs="Times New Roman"/>
          <w:b/>
          <w:bCs/>
          <w:noProof/>
          <w:sz w:val="24"/>
          <w:szCs w:val="20"/>
        </w:rPr>
      </w:pPr>
    </w:p>
    <w:p w:rsidR="00211065" w:rsidRPr="003E628F" w:rsidRDefault="00211065" w:rsidP="003E628F">
      <w:pPr>
        <w:pStyle w:val="Pamatteksts"/>
        <w:ind w:left="0"/>
        <w:jc w:val="both"/>
        <w:rPr>
          <w:noProof/>
        </w:rPr>
      </w:pPr>
      <w:r>
        <w:t>Lai arī pieteikuma nepieņemšana var nelabvēlīgi ietekmēt pieteikuma iesniedzēju, tiesības tikt uzklausītam (SMK 22. panta 6. punkts) ir liegtas saskaņā ar DA 10. panta a) punktu.</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Uzņēmējs var atkārtoti iesniegt pieteikumu, ņemot vērā iepriekšējā pieteikuma nepieņemšanas iemeslu(-us).</w:t>
      </w:r>
    </w:p>
    <w:p w:rsidR="00211065" w:rsidRPr="003E628F" w:rsidRDefault="00211065" w:rsidP="003E628F">
      <w:pPr>
        <w:jc w:val="both"/>
        <w:rPr>
          <w:rFonts w:ascii="Times New Roman" w:eastAsia="Times New Roman" w:hAnsi="Times New Roman" w:cs="Times New Roman"/>
          <w:noProof/>
          <w:sz w:val="24"/>
          <w:szCs w:val="21"/>
        </w:rPr>
      </w:pPr>
    </w:p>
    <w:p w:rsidR="00211065" w:rsidRPr="009F0223" w:rsidRDefault="00407233" w:rsidP="009F0223">
      <w:pPr>
        <w:pStyle w:val="Virsraksts2"/>
        <w:rPr>
          <w:b/>
        </w:rPr>
      </w:pPr>
      <w:bookmarkStart w:id="29" w:name="_Toc490734240"/>
      <w:r w:rsidRPr="009F0223">
        <w:rPr>
          <w:b/>
        </w:rPr>
        <w:t>2.1.3. Iepriekšējs audits</w:t>
      </w:r>
      <w:bookmarkStart w:id="30" w:name="_bookmark12"/>
      <w:bookmarkEnd w:id="30"/>
      <w:bookmarkEnd w:id="29"/>
    </w:p>
    <w:p w:rsidR="00211065" w:rsidRPr="003E628F" w:rsidRDefault="00211065" w:rsidP="003E628F">
      <w:pPr>
        <w:jc w:val="both"/>
        <w:rPr>
          <w:rFonts w:ascii="Times New Roman" w:eastAsia="Times New Roman" w:hAnsi="Times New Roman" w:cs="Times New Roman"/>
          <w:b/>
          <w:bCs/>
          <w:i/>
          <w:noProof/>
          <w:sz w:val="24"/>
          <w:szCs w:val="20"/>
        </w:rPr>
      </w:pPr>
    </w:p>
    <w:p w:rsidR="00211065" w:rsidRPr="003E628F" w:rsidRDefault="00407233" w:rsidP="00407233">
      <w:pPr>
        <w:tabs>
          <w:tab w:val="left" w:pos="369"/>
        </w:tabs>
        <w:jc w:val="both"/>
        <w:rPr>
          <w:rFonts w:ascii="Times New Roman" w:hAnsi="Times New Roman"/>
          <w:b/>
          <w:noProof/>
          <w:sz w:val="24"/>
        </w:rPr>
      </w:pPr>
      <w:r>
        <w:rPr>
          <w:rFonts w:ascii="Times New Roman" w:hAnsi="Times New Roman"/>
          <w:b/>
          <w:noProof/>
          <w:sz w:val="24"/>
        </w:rPr>
        <w:t>a) Iepriekšēja audita veikšana</w:t>
      </w:r>
    </w:p>
    <w:p w:rsidR="00211065" w:rsidRPr="003E628F" w:rsidRDefault="00211065" w:rsidP="003E628F">
      <w:pPr>
        <w:jc w:val="both"/>
        <w:rPr>
          <w:rFonts w:ascii="Times New Roman" w:eastAsia="Times New Roman" w:hAnsi="Times New Roman" w:cs="Times New Roman"/>
          <w:b/>
          <w:bCs/>
          <w:noProof/>
          <w:sz w:val="24"/>
          <w:szCs w:val="20"/>
        </w:rPr>
      </w:pPr>
    </w:p>
    <w:p w:rsidR="00211065" w:rsidRPr="003E628F" w:rsidRDefault="00211065" w:rsidP="003E628F">
      <w:pPr>
        <w:pStyle w:val="Pamatteksts"/>
        <w:ind w:left="0"/>
        <w:jc w:val="both"/>
        <w:rPr>
          <w:noProof/>
        </w:rPr>
      </w:pPr>
      <w:r>
        <w:t>Iepriekšēju auditu veic muita pirms tāda vienkāršojuma piešķiršanas, kam nepieciešama atļauja.</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Muitas dienesti veic iepriekšēju auditu, ja vien, ievērojot šādus nosacījumus, nevar izmantot kāda pirms tam veikta audita rezultātus:</w:t>
      </w:r>
    </w:p>
    <w:p w:rsidR="00211065" w:rsidRPr="003E628F" w:rsidRDefault="00211065" w:rsidP="003E628F">
      <w:pPr>
        <w:jc w:val="both"/>
        <w:rPr>
          <w:rFonts w:ascii="Times New Roman" w:eastAsia="Times New Roman" w:hAnsi="Times New Roman" w:cs="Times New Roman"/>
          <w:noProof/>
          <w:sz w:val="24"/>
          <w:szCs w:val="21"/>
        </w:rPr>
      </w:pPr>
    </w:p>
    <w:p w:rsidR="00211065" w:rsidRPr="003E628F" w:rsidRDefault="00211065" w:rsidP="00407233">
      <w:pPr>
        <w:pStyle w:val="Pamatteksts"/>
        <w:numPr>
          <w:ilvl w:val="0"/>
          <w:numId w:val="1"/>
        </w:numPr>
        <w:tabs>
          <w:tab w:val="left" w:pos="1134"/>
        </w:tabs>
        <w:ind w:left="1134" w:hanging="425"/>
        <w:jc w:val="both"/>
        <w:rPr>
          <w:noProof/>
        </w:rPr>
      </w:pPr>
      <w:r>
        <w:t>šāds audits ir veikts ne senāk kā trīs gadus pirms pieteikuma iesniegšanas;</w:t>
      </w:r>
    </w:p>
    <w:p w:rsidR="00211065" w:rsidRPr="003E628F" w:rsidRDefault="00211065" w:rsidP="00407233">
      <w:pPr>
        <w:pStyle w:val="Pamatteksts"/>
        <w:numPr>
          <w:ilvl w:val="0"/>
          <w:numId w:val="1"/>
        </w:numPr>
        <w:tabs>
          <w:tab w:val="left" w:pos="1134"/>
        </w:tabs>
        <w:ind w:left="1134" w:hanging="425"/>
        <w:jc w:val="both"/>
        <w:rPr>
          <w:noProof/>
        </w:rPr>
      </w:pPr>
      <w:r>
        <w:t>atļaujas izsniegšanas nosacījumi nav mainījušies;</w:t>
      </w:r>
    </w:p>
    <w:p w:rsidR="00211065" w:rsidRPr="003E628F" w:rsidRDefault="00211065" w:rsidP="00407233">
      <w:pPr>
        <w:pStyle w:val="Pamatteksts"/>
        <w:numPr>
          <w:ilvl w:val="0"/>
          <w:numId w:val="1"/>
        </w:numPr>
        <w:tabs>
          <w:tab w:val="left" w:pos="1134"/>
        </w:tabs>
        <w:ind w:left="1134" w:hanging="425"/>
        <w:jc w:val="both"/>
        <w:rPr>
          <w:noProof/>
        </w:rPr>
      </w:pPr>
      <w:r>
        <w:lastRenderedPageBreak/>
        <w:t>nav notikušas izmaiņas tiesību aktos;</w:t>
      </w:r>
    </w:p>
    <w:p w:rsidR="00211065" w:rsidRPr="003E628F" w:rsidRDefault="00211065" w:rsidP="00407233">
      <w:pPr>
        <w:pStyle w:val="Pamatteksts"/>
        <w:numPr>
          <w:ilvl w:val="0"/>
          <w:numId w:val="1"/>
        </w:numPr>
        <w:tabs>
          <w:tab w:val="left" w:pos="1134"/>
        </w:tabs>
        <w:ind w:left="1134" w:hanging="425"/>
        <w:jc w:val="both"/>
        <w:rPr>
          <w:noProof/>
        </w:rPr>
      </w:pPr>
      <w:r>
        <w:t>tirgotājs nav mainījis savus pasākumus, iekšējo kontroli, IT sistēmu, produktus u. c.</w:t>
      </w:r>
    </w:p>
    <w:p w:rsidR="00407233" w:rsidRPr="003E628F" w:rsidRDefault="00407233" w:rsidP="003E628F">
      <w:pPr>
        <w:jc w:val="both"/>
        <w:rPr>
          <w:rFonts w:ascii="Times New Roman" w:eastAsia="Times New Roman" w:hAnsi="Times New Roman" w:cs="Times New Roman"/>
          <w:noProof/>
          <w:sz w:val="24"/>
          <w:szCs w:val="20"/>
        </w:rPr>
      </w:pPr>
    </w:p>
    <w:p w:rsidR="00211065" w:rsidRPr="003E628F" w:rsidRDefault="00211065" w:rsidP="003E628F">
      <w:pPr>
        <w:pStyle w:val="Virsraksts1"/>
        <w:jc w:val="both"/>
        <w:rPr>
          <w:noProof/>
        </w:rPr>
      </w:pPr>
      <w:bookmarkStart w:id="31" w:name="_Toc490734241"/>
      <w:r>
        <w:t xml:space="preserve">Praktiski aspekti ir izklāstīti arī </w:t>
      </w:r>
      <w:r>
        <w:rPr>
          <w:i/>
        </w:rPr>
        <w:t>AEO</w:t>
      </w:r>
      <w:r>
        <w:t xml:space="preserve"> vadlīnijās un citos audita dokumentos, piemēram, lai identificētu riskus, izmantojot kartēšanas procesu, var izmantot </w:t>
      </w:r>
      <w:r>
        <w:rPr>
          <w:i/>
        </w:rPr>
        <w:t>TAXUD</w:t>
      </w:r>
      <w:r>
        <w:t xml:space="preserve"> ģenerāldirektorāta tīmekļa vietnē publicēto </w:t>
      </w:r>
      <w:r>
        <w:rPr>
          <w:i/>
        </w:rPr>
        <w:t>AEO</w:t>
      </w:r>
      <w:r>
        <w:t xml:space="preserve"> </w:t>
      </w:r>
      <w:r>
        <w:rPr>
          <w:i/>
        </w:rPr>
        <w:t>COMPACT</w:t>
      </w:r>
      <w:r>
        <w:t xml:space="preserve"> modeli:</w:t>
      </w:r>
      <w:bookmarkEnd w:id="31"/>
    </w:p>
    <w:p w:rsidR="00211065" w:rsidRPr="003E628F" w:rsidRDefault="00211065" w:rsidP="003E628F">
      <w:pPr>
        <w:jc w:val="both"/>
        <w:rPr>
          <w:rFonts w:ascii="Times New Roman" w:eastAsia="Times New Roman" w:hAnsi="Times New Roman" w:cs="Times New Roman"/>
          <w:b/>
          <w:bCs/>
          <w:noProof/>
          <w:sz w:val="24"/>
          <w:szCs w:val="20"/>
        </w:rPr>
      </w:pPr>
    </w:p>
    <w:p w:rsidR="00211065" w:rsidRPr="003E628F" w:rsidRDefault="00211065" w:rsidP="003E628F">
      <w:pPr>
        <w:jc w:val="both"/>
        <w:rPr>
          <w:rFonts w:ascii="Times New Roman" w:eastAsia="Times New Roman" w:hAnsi="Times New Roman" w:cs="Times New Roman"/>
          <w:noProof/>
          <w:sz w:val="24"/>
          <w:szCs w:val="23"/>
        </w:rPr>
      </w:pPr>
      <w:r>
        <w:rPr>
          <w:rFonts w:ascii="Times New Roman" w:hAnsi="Times New Roman"/>
          <w:noProof/>
          <w:color w:val="0000FF"/>
          <w:sz w:val="24"/>
          <w:u w:val="single" w:color="0000FF"/>
        </w:rPr>
        <w:t>http://ec.europa.eu/taxation_customs/customs/policy_issues/customs_security/aeo/index_en.htm</w:t>
      </w:r>
    </w:p>
    <w:p w:rsidR="00211065" w:rsidRPr="003E628F" w:rsidRDefault="00211065" w:rsidP="003E628F">
      <w:pPr>
        <w:jc w:val="both"/>
        <w:rPr>
          <w:rFonts w:ascii="Times New Roman" w:eastAsia="Times New Roman" w:hAnsi="Times New Roman" w:cs="Times New Roman"/>
          <w:noProof/>
          <w:sz w:val="24"/>
          <w:szCs w:val="14"/>
        </w:rPr>
      </w:pPr>
    </w:p>
    <w:p w:rsidR="00211065" w:rsidRPr="003E628F" w:rsidRDefault="00211065" w:rsidP="003E628F">
      <w:pPr>
        <w:jc w:val="both"/>
        <w:rPr>
          <w:rFonts w:ascii="Times New Roman" w:eastAsia="Times New Roman" w:hAnsi="Times New Roman" w:cs="Times New Roman"/>
          <w:noProof/>
          <w:sz w:val="24"/>
          <w:szCs w:val="24"/>
        </w:rPr>
      </w:pPr>
      <w:r>
        <w:rPr>
          <w:rFonts w:ascii="Times New Roman" w:hAnsi="Times New Roman"/>
          <w:i/>
          <w:noProof/>
          <w:color w:val="49442A"/>
          <w:sz w:val="24"/>
          <w:u w:val="single" w:color="49442A"/>
        </w:rPr>
        <w:t xml:space="preserve">Jāņem vērā! </w:t>
      </w:r>
      <w:r>
        <w:rPr>
          <w:rFonts w:ascii="Times New Roman" w:hAnsi="Times New Roman"/>
          <w:i/>
          <w:noProof/>
          <w:color w:val="49442A"/>
          <w:sz w:val="24"/>
        </w:rPr>
        <w:t>Ja pieteikuma iesniedzējam, kas iesniedzis pieteikumu konkrēta vienkāršojuma saņemšanai, jau ir piešķirts AEOC statuss, uzskata, ka tas ir izpildījis kritērijus visu vienkāršojumu saņemšanai, tomēr pirms atļaujas izsniegšanas jānovērtē atsevišķi elementi vai papildu nosacījumi, kas saistīti ar konkrēto vienkāršojuma veidu (SMK 38. panta 5. punkts).</w:t>
      </w:r>
    </w:p>
    <w:p w:rsidR="00211065" w:rsidRPr="003E628F" w:rsidRDefault="00211065" w:rsidP="003E628F">
      <w:pPr>
        <w:jc w:val="both"/>
        <w:rPr>
          <w:rFonts w:ascii="Times New Roman" w:eastAsia="Times New Roman" w:hAnsi="Times New Roman" w:cs="Times New Roman"/>
          <w:i/>
          <w:noProof/>
          <w:sz w:val="24"/>
          <w:szCs w:val="21"/>
        </w:rPr>
      </w:pPr>
    </w:p>
    <w:p w:rsidR="00211065" w:rsidRPr="003E628F" w:rsidRDefault="00407233" w:rsidP="00407233">
      <w:pPr>
        <w:pStyle w:val="Virsraksts1"/>
        <w:tabs>
          <w:tab w:val="left" w:pos="383"/>
        </w:tabs>
        <w:jc w:val="both"/>
        <w:rPr>
          <w:noProof/>
        </w:rPr>
      </w:pPr>
      <w:bookmarkStart w:id="32" w:name="_Toc490734242"/>
      <w:r>
        <w:t>b) Ziņojums</w:t>
      </w:r>
      <w:bookmarkEnd w:id="32"/>
    </w:p>
    <w:p w:rsidR="00211065" w:rsidRPr="003E628F" w:rsidRDefault="00211065" w:rsidP="003E628F">
      <w:pPr>
        <w:jc w:val="both"/>
        <w:rPr>
          <w:rFonts w:ascii="Times New Roman" w:eastAsia="Times New Roman" w:hAnsi="Times New Roman" w:cs="Times New Roman"/>
          <w:b/>
          <w:bCs/>
          <w:noProof/>
          <w:sz w:val="24"/>
          <w:szCs w:val="20"/>
        </w:rPr>
      </w:pPr>
    </w:p>
    <w:p w:rsidR="00211065" w:rsidRPr="003E628F" w:rsidRDefault="00211065" w:rsidP="003E628F">
      <w:pPr>
        <w:pStyle w:val="Pamatteksts"/>
        <w:ind w:left="0"/>
        <w:jc w:val="both"/>
        <w:rPr>
          <w:noProof/>
        </w:rPr>
      </w:pPr>
      <w:r>
        <w:t xml:space="preserve">Iepriekšēja audita ziņojumam jālīdzinās </w:t>
      </w:r>
      <w:r>
        <w:rPr>
          <w:i/>
        </w:rPr>
        <w:t>AEO</w:t>
      </w:r>
      <w:r>
        <w:t xml:space="preserve"> ziņojumam (sk. atjaunināto </w:t>
      </w:r>
      <w:r>
        <w:rPr>
          <w:i/>
        </w:rPr>
        <w:t>AEO</w:t>
      </w:r>
      <w:r>
        <w:t xml:space="preserve"> vadlīniju 3.III.7.4. punktu), tostarp nepieciešams rakstisks novērtējums tam, vai pieteikuma iesniedzējs atbilst katram kritērijam, un skaidrs ieteikums par to, vai, pamatojoties uz audita pasākumu rezultātiem, var piešķirt vienkāršojumu.</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Viss darbs, ko muitas iestāde veic ar mērķi pieņemt lēmumu par šādas atļaujas piešķiršanu, ir jādokumentē, norādot, kādas pārbaudes muitas dienests ir veicis, telpu apmeklējumu rezultātus, uzņēmēja nodrošinātās procedūras, uzņēmuma organizāciju, informāciju par attiecīgajiem produktiem u. c.</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jc w:val="both"/>
        <w:rPr>
          <w:rFonts w:ascii="Times New Roman" w:eastAsia="Times New Roman" w:hAnsi="Times New Roman" w:cs="Times New Roman"/>
          <w:noProof/>
          <w:sz w:val="24"/>
          <w:szCs w:val="24"/>
        </w:rPr>
      </w:pPr>
      <w:r>
        <w:rPr>
          <w:rFonts w:ascii="Times New Roman" w:hAnsi="Times New Roman"/>
          <w:i/>
          <w:noProof/>
          <w:color w:val="49442A"/>
          <w:sz w:val="24"/>
          <w:u w:val="single" w:color="49442A"/>
        </w:rPr>
        <w:t>Jāņem vērā!</w:t>
      </w:r>
      <w:r>
        <w:rPr>
          <w:rFonts w:ascii="Times New Roman" w:hAnsi="Times New Roman"/>
          <w:i/>
          <w:noProof/>
          <w:color w:val="49442A"/>
          <w:sz w:val="24"/>
        </w:rPr>
        <w:t xml:space="preserve"> Ja pieteikuma iesniedzējam jau ir AEOC statuss, tad gala ziņojums un audita dokumentācija, kas sagatavota AEO atļaujas piešķiršanai, ir jāizmanto ar vienkāršojumiem saistītā iepriekšējā audita sagatavošanai un īstenošanai.</w:t>
      </w:r>
    </w:p>
    <w:p w:rsidR="00211065" w:rsidRPr="003E628F" w:rsidRDefault="00211065" w:rsidP="003E628F">
      <w:pPr>
        <w:jc w:val="both"/>
        <w:rPr>
          <w:rFonts w:ascii="Times New Roman" w:eastAsia="Times New Roman" w:hAnsi="Times New Roman" w:cs="Times New Roman"/>
          <w:i/>
          <w:noProof/>
          <w:sz w:val="24"/>
          <w:szCs w:val="21"/>
        </w:rPr>
      </w:pPr>
    </w:p>
    <w:p w:rsidR="00211065" w:rsidRPr="003E628F" w:rsidRDefault="00407233" w:rsidP="00407233">
      <w:pPr>
        <w:tabs>
          <w:tab w:val="left" w:pos="347"/>
        </w:tabs>
        <w:jc w:val="both"/>
        <w:rPr>
          <w:rFonts w:ascii="Times New Roman" w:hAnsi="Times New Roman"/>
          <w:b/>
          <w:noProof/>
          <w:sz w:val="24"/>
        </w:rPr>
      </w:pPr>
      <w:r>
        <w:rPr>
          <w:rFonts w:ascii="Times New Roman" w:hAnsi="Times New Roman"/>
          <w:b/>
          <w:noProof/>
          <w:sz w:val="24"/>
        </w:rPr>
        <w:t>c) Lēmums, pamatojoties uz uzņēmēja riska novērtējumu</w:t>
      </w:r>
    </w:p>
    <w:p w:rsidR="00211065" w:rsidRPr="003E628F" w:rsidRDefault="00211065" w:rsidP="003E628F">
      <w:pPr>
        <w:jc w:val="both"/>
        <w:rPr>
          <w:rFonts w:ascii="Times New Roman" w:eastAsia="Times New Roman" w:hAnsi="Times New Roman" w:cs="Times New Roman"/>
          <w:b/>
          <w:bCs/>
          <w:noProof/>
          <w:sz w:val="24"/>
          <w:szCs w:val="20"/>
        </w:rPr>
      </w:pPr>
    </w:p>
    <w:p w:rsidR="00211065" w:rsidRPr="003E628F" w:rsidRDefault="00211065" w:rsidP="003E628F">
      <w:pPr>
        <w:jc w:val="both"/>
        <w:rPr>
          <w:rFonts w:ascii="Times New Roman" w:eastAsia="Times New Roman" w:hAnsi="Times New Roman" w:cs="Times New Roman"/>
          <w:noProof/>
          <w:sz w:val="24"/>
          <w:szCs w:val="24"/>
        </w:rPr>
      </w:pPr>
      <w:r>
        <w:rPr>
          <w:rFonts w:ascii="Times New Roman" w:hAnsi="Times New Roman"/>
          <w:noProof/>
          <w:sz w:val="24"/>
        </w:rPr>
        <w:t xml:space="preserve">Laika ierobežojumi muitas lēmuma pieņemšanai ir noteikti </w:t>
      </w:r>
      <w:r>
        <w:rPr>
          <w:rFonts w:ascii="Times New Roman" w:hAnsi="Times New Roman"/>
          <w:i/>
          <w:noProof/>
          <w:sz w:val="24"/>
        </w:rPr>
        <w:t xml:space="preserve">SMK 22. panta 3. punktā un DA 13. pantā: </w:t>
      </w:r>
      <w:r>
        <w:rPr>
          <w:rFonts w:ascii="Times New Roman" w:hAnsi="Times New Roman"/>
          <w:noProof/>
          <w:color w:val="49442A"/>
          <w:sz w:val="24"/>
        </w:rPr>
        <w:t>120 dienas, ko saskaņā ar SMK 22. panta 3. punktu var pagarināt par 30 dienām</w:t>
      </w:r>
      <w:r>
        <w:rPr>
          <w:rFonts w:ascii="Times New Roman" w:hAnsi="Times New Roman"/>
          <w:b/>
          <w:noProof/>
          <w:sz w:val="24"/>
        </w:rPr>
        <w:t>.</w:t>
      </w:r>
    </w:p>
    <w:p w:rsidR="00211065" w:rsidRPr="003E628F" w:rsidRDefault="00211065" w:rsidP="003E628F">
      <w:pPr>
        <w:jc w:val="both"/>
        <w:rPr>
          <w:rFonts w:ascii="Times New Roman" w:eastAsia="Times New Roman" w:hAnsi="Times New Roman" w:cs="Times New Roman"/>
          <w:b/>
          <w:bCs/>
          <w:noProof/>
          <w:sz w:val="24"/>
          <w:szCs w:val="21"/>
        </w:rPr>
      </w:pPr>
    </w:p>
    <w:p w:rsidR="00211065" w:rsidRPr="003E628F" w:rsidRDefault="00211065" w:rsidP="00407233">
      <w:pPr>
        <w:pStyle w:val="Virsraksts1"/>
        <w:numPr>
          <w:ilvl w:val="1"/>
          <w:numId w:val="70"/>
        </w:numPr>
        <w:ind w:left="1134" w:hanging="425"/>
        <w:jc w:val="both"/>
        <w:rPr>
          <w:noProof/>
        </w:rPr>
      </w:pPr>
      <w:bookmarkStart w:id="33" w:name="_Toc490734243"/>
      <w:r>
        <w:t>Nelabvēlīgs lēmums</w:t>
      </w:r>
      <w:bookmarkEnd w:id="33"/>
    </w:p>
    <w:p w:rsidR="00211065" w:rsidRPr="003E628F" w:rsidRDefault="00211065" w:rsidP="003E628F">
      <w:pPr>
        <w:jc w:val="both"/>
        <w:rPr>
          <w:rFonts w:ascii="Times New Roman" w:eastAsia="Times New Roman" w:hAnsi="Times New Roman" w:cs="Times New Roman"/>
          <w:b/>
          <w:bCs/>
          <w:noProof/>
          <w:sz w:val="24"/>
          <w:szCs w:val="20"/>
        </w:rPr>
      </w:pPr>
    </w:p>
    <w:p w:rsidR="00211065" w:rsidRPr="003E628F" w:rsidRDefault="00211065" w:rsidP="003E628F">
      <w:pPr>
        <w:pStyle w:val="Pamatteksts"/>
        <w:ind w:left="0"/>
        <w:jc w:val="both"/>
        <w:rPr>
          <w:noProof/>
        </w:rPr>
      </w:pPr>
      <w:r>
        <w:t>Procesa beigās un pirms galīgā lēmuma pieņemšanas kompetentais muitas dienests informēs pieteikuma iesniedzēju, jo īpaši, ja paredzams, ka rezultāti/secinājumi būs par pamatu nelabvēlīgam lēmumam. Šādā gadījumā jāsniedz iespēja pieteikuma iesniedzējam paust viedokli, reaģēt uz trūkumiem, kas var būt par pamatu paredzamajam lēmumam, un sniegt papildu informāciju, lai panāktu labvēlīga lēmuma pieņemšanu (“tiesības tikt uzklausītam”).</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Ja pēc “tiesību tikt uzklausītam” laikposma beigām muitas iestāde apstiprina nelabvēlīgu lēmumu, tas jādara zināms pieteikuma iesniedzējam.</w:t>
      </w:r>
    </w:p>
    <w:p w:rsidR="009F0223" w:rsidRDefault="009F0223">
      <w:pPr>
        <w:rPr>
          <w:rFonts w:ascii="Times New Roman" w:eastAsia="Times New Roman" w:hAnsi="Times New Roman" w:cs="Times New Roman"/>
          <w:noProof/>
          <w:sz w:val="24"/>
          <w:szCs w:val="20"/>
        </w:rPr>
      </w:pPr>
      <w:r>
        <w:rPr>
          <w:rFonts w:ascii="Times New Roman" w:eastAsia="Times New Roman" w:hAnsi="Times New Roman" w:cs="Times New Roman"/>
          <w:noProof/>
          <w:sz w:val="24"/>
          <w:szCs w:val="20"/>
        </w:rPr>
        <w:br w:type="page"/>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u w:val="single" w:color="000000"/>
        </w:rPr>
      </w:pPr>
      <w:r>
        <w:rPr>
          <w:noProof/>
          <w:u w:val="single" w:color="000000"/>
        </w:rPr>
        <w:t>Pēc atteikuma:</w:t>
      </w:r>
    </w:p>
    <w:p w:rsidR="00211065" w:rsidRPr="003E628F" w:rsidRDefault="00211065" w:rsidP="003E628F">
      <w:pPr>
        <w:jc w:val="both"/>
        <w:rPr>
          <w:rFonts w:ascii="Times New Roman" w:eastAsia="Times New Roman" w:hAnsi="Times New Roman" w:cs="Times New Roman"/>
          <w:noProof/>
          <w:sz w:val="24"/>
          <w:szCs w:val="14"/>
        </w:rPr>
      </w:pPr>
    </w:p>
    <w:p w:rsidR="00211065" w:rsidRPr="003E628F" w:rsidRDefault="00211065" w:rsidP="00407233">
      <w:pPr>
        <w:pStyle w:val="Pamatteksts"/>
        <w:numPr>
          <w:ilvl w:val="0"/>
          <w:numId w:val="69"/>
        </w:numPr>
        <w:tabs>
          <w:tab w:val="left" w:pos="709"/>
        </w:tabs>
        <w:ind w:left="709" w:hanging="709"/>
        <w:jc w:val="both"/>
        <w:rPr>
          <w:noProof/>
        </w:rPr>
      </w:pPr>
      <w:r>
        <w:t>ja atļauja ir saistīta ar vairākām dalībvalstīm, tas tiek paziņots visām dalībvalstīm (tostarp atteikuma iemesls).</w:t>
      </w:r>
    </w:p>
    <w:p w:rsidR="00211065" w:rsidRPr="003E628F" w:rsidRDefault="00211065" w:rsidP="003E628F">
      <w:pPr>
        <w:jc w:val="both"/>
        <w:rPr>
          <w:rFonts w:ascii="Times New Roman" w:eastAsia="Times New Roman" w:hAnsi="Times New Roman" w:cs="Times New Roman"/>
          <w:noProof/>
          <w:sz w:val="24"/>
          <w:szCs w:val="27"/>
        </w:rPr>
      </w:pPr>
    </w:p>
    <w:p w:rsidR="00211065" w:rsidRPr="003E628F" w:rsidRDefault="00211065" w:rsidP="00407233">
      <w:pPr>
        <w:pStyle w:val="Virsraksts1"/>
        <w:numPr>
          <w:ilvl w:val="1"/>
          <w:numId w:val="69"/>
        </w:numPr>
        <w:tabs>
          <w:tab w:val="left" w:pos="1134"/>
        </w:tabs>
        <w:ind w:left="1134" w:hanging="425"/>
        <w:jc w:val="both"/>
        <w:rPr>
          <w:noProof/>
        </w:rPr>
      </w:pPr>
      <w:bookmarkStart w:id="34" w:name="_Toc490734244"/>
      <w:r>
        <w:t>Labvēlīgs lēmums</w:t>
      </w:r>
      <w:bookmarkEnd w:id="34"/>
    </w:p>
    <w:p w:rsidR="00407233" w:rsidRDefault="00407233" w:rsidP="003E628F">
      <w:pPr>
        <w:pStyle w:val="Pamatteksts"/>
        <w:ind w:left="0"/>
        <w:jc w:val="both"/>
        <w:rPr>
          <w:noProof/>
        </w:rPr>
      </w:pPr>
    </w:p>
    <w:p w:rsidR="00211065" w:rsidRPr="003E628F" w:rsidRDefault="00211065" w:rsidP="003E628F">
      <w:pPr>
        <w:pStyle w:val="Pamatteksts"/>
        <w:ind w:left="0"/>
        <w:jc w:val="both"/>
        <w:rPr>
          <w:noProof/>
        </w:rPr>
      </w:pPr>
      <w:r>
        <w:t>Atļauja ir oficiāls labvēlīgs lēmums, un tā ir uzskatāma par skaidrām saistībām starp muitu un uzņēmēju, kas nosaka atļaujas turētāja tiesības un pienākumus, tostarp pienākumu paziņot visas izmaiņas, kas rodas tā darījumdarbībā un organizācijā (sk. SMK 23. panta 2. punktu).</w:t>
      </w:r>
    </w:p>
    <w:p w:rsidR="00211065" w:rsidRPr="003E628F" w:rsidRDefault="00211065" w:rsidP="003E628F">
      <w:pPr>
        <w:jc w:val="both"/>
        <w:rPr>
          <w:rFonts w:ascii="Times New Roman" w:eastAsia="Times New Roman" w:hAnsi="Times New Roman" w:cs="Times New Roman"/>
          <w:noProof/>
          <w:sz w:val="24"/>
          <w:szCs w:val="21"/>
        </w:rPr>
      </w:pPr>
    </w:p>
    <w:p w:rsidR="00211065" w:rsidRPr="009F0223" w:rsidRDefault="00407233" w:rsidP="009F0223">
      <w:pPr>
        <w:pStyle w:val="Virsraksts2"/>
        <w:rPr>
          <w:b/>
        </w:rPr>
      </w:pPr>
      <w:bookmarkStart w:id="35" w:name="_Toc490734245"/>
      <w:r w:rsidRPr="009F0223">
        <w:rPr>
          <w:b/>
        </w:rPr>
        <w:t>2.1.4. Galvojums</w:t>
      </w:r>
      <w:bookmarkStart w:id="36" w:name="_bookmark13"/>
      <w:bookmarkEnd w:id="36"/>
      <w:bookmarkEnd w:id="35"/>
    </w:p>
    <w:p w:rsidR="00211065" w:rsidRPr="003E628F" w:rsidRDefault="00211065" w:rsidP="003E628F">
      <w:pPr>
        <w:jc w:val="both"/>
        <w:rPr>
          <w:rFonts w:ascii="Times New Roman" w:eastAsia="Times New Roman" w:hAnsi="Times New Roman" w:cs="Times New Roman"/>
          <w:b/>
          <w:bCs/>
          <w:i/>
          <w:noProof/>
          <w:sz w:val="24"/>
          <w:szCs w:val="20"/>
        </w:rPr>
      </w:pPr>
    </w:p>
    <w:p w:rsidR="00211065" w:rsidRPr="003E628F" w:rsidRDefault="00211065" w:rsidP="003E628F">
      <w:pPr>
        <w:pStyle w:val="Pamatteksts"/>
        <w:ind w:left="0"/>
        <w:jc w:val="both"/>
        <w:rPr>
          <w:noProof/>
        </w:rPr>
      </w:pPr>
      <w:r>
        <w:t>Galvojums nav daļa no vienkāršojumu piešķiršanas nosacījumiem, kā tas bija KMK īstenošanas noteikumos. Tomēr:</w:t>
      </w:r>
    </w:p>
    <w:p w:rsidR="00211065" w:rsidRPr="003E628F" w:rsidRDefault="00211065" w:rsidP="003E628F">
      <w:pPr>
        <w:jc w:val="both"/>
        <w:rPr>
          <w:rFonts w:ascii="Times New Roman" w:eastAsia="Times New Roman" w:hAnsi="Times New Roman" w:cs="Times New Roman"/>
          <w:noProof/>
          <w:sz w:val="24"/>
          <w:szCs w:val="21"/>
        </w:rPr>
      </w:pPr>
    </w:p>
    <w:p w:rsidR="00211065" w:rsidRPr="003E628F" w:rsidRDefault="00211065" w:rsidP="00407233">
      <w:pPr>
        <w:pStyle w:val="Pamatteksts"/>
        <w:numPr>
          <w:ilvl w:val="0"/>
          <w:numId w:val="68"/>
        </w:numPr>
        <w:tabs>
          <w:tab w:val="left" w:pos="1134"/>
        </w:tabs>
        <w:ind w:left="1134" w:hanging="425"/>
        <w:jc w:val="both"/>
        <w:rPr>
          <w:noProof/>
        </w:rPr>
      </w:pPr>
      <w:r>
        <w:t>SMK 210. panta b)–d) punktā noteikto īpašo procedūru gadījumā, kad vienkāršojumi tiek izmantoti īpašām procedūrām, vienkāršojumu atļauju nevar izsniegt pirms SMK 211. panta 1. punktā minētās īpašo procedūru atļaujas izsniegšanas. Šādai īpašo procedūru atļaujas saņemšanai ir nepieciešams galvojums (sk. SMK 211. panta 3. punkta c) apakšpunktu);</w:t>
      </w:r>
    </w:p>
    <w:p w:rsidR="00211065" w:rsidRPr="003E628F" w:rsidRDefault="00211065" w:rsidP="00407233">
      <w:pPr>
        <w:pStyle w:val="Pamatteksts"/>
        <w:numPr>
          <w:ilvl w:val="0"/>
          <w:numId w:val="68"/>
        </w:numPr>
        <w:tabs>
          <w:tab w:val="left" w:pos="1134"/>
        </w:tabs>
        <w:ind w:left="1134" w:hanging="425"/>
        <w:jc w:val="both"/>
        <w:rPr>
          <w:noProof/>
        </w:rPr>
      </w:pPr>
      <w:r>
        <w:t xml:space="preserve">ja ir radies muitas parāds, ir nepieciešams galvojums arī saistībā ar vienkāršojumiem atbilstīgi SMK 102. panta 4. punktam, 105. panta 1. un 2. punktam, 195. panta 1. punktam. Ja muitas nodokļa summas maksājums ir atlikts (sk. SMK 110. pantu), šādam galvojumam jābūt izdotam </w:t>
      </w:r>
      <w:r>
        <w:rPr>
          <w:noProof/>
          <w:u w:val="single" w:color="000000"/>
        </w:rPr>
        <w:t>pirms</w:t>
      </w:r>
      <w:r>
        <w:t xml:space="preserve"> vienkāršojumu izmantošanas. Attiecīgā gadījumā jāiesniedz atsevišķs pieteikums attiecībā uz galvojumu vai/un atlikto maksājumu, kā arī jāizsniedz atsevišķa atļauja.</w:t>
      </w:r>
    </w:p>
    <w:p w:rsidR="00407233" w:rsidRDefault="00407233" w:rsidP="003E628F">
      <w:pPr>
        <w:jc w:val="both"/>
        <w:rPr>
          <w:rFonts w:ascii="Times New Roman" w:hAnsi="Times New Roman"/>
          <w:noProof/>
          <w:sz w:val="24"/>
        </w:rPr>
      </w:pPr>
    </w:p>
    <w:p w:rsidR="00211065" w:rsidRPr="003E628F" w:rsidRDefault="00211065" w:rsidP="003E628F">
      <w:pPr>
        <w:jc w:val="both"/>
        <w:rPr>
          <w:rFonts w:ascii="Times New Roman" w:eastAsia="Times New Roman" w:hAnsi="Times New Roman" w:cs="Times New Roman"/>
          <w:noProof/>
          <w:sz w:val="24"/>
          <w:szCs w:val="23"/>
        </w:rPr>
      </w:pPr>
      <w:r>
        <w:rPr>
          <w:rFonts w:ascii="Times New Roman" w:hAnsi="Times New Roman"/>
          <w:noProof/>
          <w:sz w:val="24"/>
        </w:rPr>
        <w:t>Lai nodrošinātu vienkāršojumu pareizu izmantošanu, ieteicams sniegt vispārēju galvojumu, kas noteikts SMK 95. pantā. SMK 195. panta 3) punktā paredzēts, ka gadījumā, ja ir sniegts vispārējs galvojums, preču izlaišana nav atkarīga no muitas dienestu veiktas galvojuma uzraudzības.</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407233" w:rsidP="00407233">
      <w:pPr>
        <w:tabs>
          <w:tab w:val="left" w:pos="283"/>
        </w:tabs>
        <w:jc w:val="both"/>
        <w:rPr>
          <w:rFonts w:ascii="Times New Roman" w:hAnsi="Times New Roman"/>
          <w:noProof/>
          <w:sz w:val="24"/>
        </w:rPr>
      </w:pPr>
      <w:r>
        <w:rPr>
          <w:rFonts w:ascii="Times New Roman" w:hAnsi="Times New Roman"/>
          <w:noProof/>
          <w:sz w:val="24"/>
        </w:rPr>
        <w:t>- Laišanas brīvā apgrozībā gadījumā muitas dienesti uzrauga galvojuma summu, pamatojoties uz papildu deklarācijām atbilstīgi ĪA 157. panta 1. punktam.</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407233" w:rsidP="00407233">
      <w:pPr>
        <w:tabs>
          <w:tab w:val="left" w:pos="268"/>
        </w:tabs>
        <w:jc w:val="both"/>
        <w:rPr>
          <w:rFonts w:ascii="Times New Roman" w:hAnsi="Times New Roman"/>
          <w:noProof/>
          <w:sz w:val="24"/>
        </w:rPr>
      </w:pPr>
      <w:r>
        <w:rPr>
          <w:rFonts w:ascii="Times New Roman" w:hAnsi="Times New Roman"/>
          <w:noProof/>
          <w:sz w:val="24"/>
        </w:rPr>
        <w:t>- Īpašo procedūru gadījumā muitas dienesti atbilstīgi ĪA 157. panta 3. punktam pārraudzību nodrošina, veicot auditu.</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jc w:val="both"/>
        <w:rPr>
          <w:rFonts w:ascii="Times New Roman" w:hAnsi="Times New Roman"/>
          <w:noProof/>
          <w:sz w:val="24"/>
        </w:rPr>
      </w:pPr>
      <w:r>
        <w:rPr>
          <w:rFonts w:ascii="Times New Roman" w:hAnsi="Times New Roman"/>
          <w:noProof/>
          <w:sz w:val="24"/>
        </w:rPr>
        <w:t>Ja turpretī tiek sniegts vienreizējs galvojums, preču izlaišana ir atkarīga no galvojuma pārraudzības.</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jc w:val="both"/>
        <w:rPr>
          <w:rFonts w:ascii="Times New Roman" w:eastAsia="Times New Roman" w:hAnsi="Times New Roman" w:cs="Times New Roman"/>
          <w:noProof/>
          <w:sz w:val="24"/>
          <w:szCs w:val="23"/>
        </w:rPr>
      </w:pPr>
      <w:r>
        <w:rPr>
          <w:rFonts w:ascii="Times New Roman" w:hAnsi="Times New Roman"/>
          <w:i/>
          <w:noProof/>
          <w:color w:val="49442A"/>
          <w:sz w:val="24"/>
          <w:u w:val="single" w:color="49442A"/>
        </w:rPr>
        <w:t xml:space="preserve">Jāņem vērā! </w:t>
      </w:r>
      <w:r>
        <w:rPr>
          <w:rFonts w:ascii="Times New Roman" w:hAnsi="Times New Roman"/>
          <w:i/>
          <w:noProof/>
          <w:color w:val="49442A"/>
          <w:sz w:val="24"/>
        </w:rPr>
        <w:t>Galvojums ir jāpārrauga arī personai, kam tas jāsniedz saskaņā ar ĪA 156. pantu.</w:t>
      </w:r>
    </w:p>
    <w:p w:rsidR="00211065" w:rsidRPr="003E628F" w:rsidRDefault="00211065" w:rsidP="003E628F">
      <w:pPr>
        <w:jc w:val="both"/>
        <w:rPr>
          <w:rFonts w:ascii="Times New Roman" w:eastAsia="Times New Roman" w:hAnsi="Times New Roman" w:cs="Times New Roman"/>
          <w:i/>
          <w:noProof/>
          <w:sz w:val="24"/>
          <w:szCs w:val="20"/>
        </w:rPr>
      </w:pPr>
    </w:p>
    <w:p w:rsidR="00211065" w:rsidRPr="003E628F" w:rsidRDefault="00211065" w:rsidP="003E628F">
      <w:pPr>
        <w:jc w:val="both"/>
        <w:rPr>
          <w:rFonts w:ascii="Times New Roman" w:hAnsi="Times New Roman"/>
          <w:i/>
          <w:noProof/>
          <w:sz w:val="24"/>
        </w:rPr>
      </w:pPr>
      <w:r>
        <w:rPr>
          <w:rFonts w:ascii="Times New Roman" w:hAnsi="Times New Roman"/>
          <w:i/>
          <w:noProof/>
          <w:sz w:val="24"/>
        </w:rPr>
        <w:t>Sīkāka informācija par galvojuma pārraudzību ir sniegta vadlīnijās par galvojumu attiecībā uz iespējamu vai pastāvošu muitas parādu.</w:t>
      </w:r>
    </w:p>
    <w:p w:rsidR="009F0223" w:rsidRDefault="009F0223">
      <w:pPr>
        <w:rPr>
          <w:rFonts w:ascii="Times New Roman" w:eastAsia="Times New Roman" w:hAnsi="Times New Roman" w:cs="Times New Roman"/>
          <w:i/>
          <w:noProof/>
          <w:sz w:val="24"/>
          <w:szCs w:val="21"/>
        </w:rPr>
      </w:pPr>
      <w:r>
        <w:rPr>
          <w:rFonts w:ascii="Times New Roman" w:eastAsia="Times New Roman" w:hAnsi="Times New Roman" w:cs="Times New Roman"/>
          <w:i/>
          <w:noProof/>
          <w:sz w:val="24"/>
          <w:szCs w:val="21"/>
        </w:rPr>
        <w:br w:type="page"/>
      </w:r>
    </w:p>
    <w:p w:rsidR="00211065" w:rsidRPr="003E628F" w:rsidRDefault="00211065" w:rsidP="003E628F">
      <w:pPr>
        <w:jc w:val="both"/>
        <w:rPr>
          <w:rFonts w:ascii="Times New Roman" w:eastAsia="Times New Roman" w:hAnsi="Times New Roman" w:cs="Times New Roman"/>
          <w:i/>
          <w:noProof/>
          <w:sz w:val="24"/>
          <w:szCs w:val="21"/>
        </w:rPr>
      </w:pPr>
    </w:p>
    <w:p w:rsidR="00211065" w:rsidRPr="009F0223" w:rsidRDefault="00407233" w:rsidP="009F0223">
      <w:pPr>
        <w:pStyle w:val="Virsraksts2"/>
        <w:rPr>
          <w:b/>
        </w:rPr>
      </w:pPr>
      <w:bookmarkStart w:id="37" w:name="_Toc490734246"/>
      <w:r w:rsidRPr="009F0223">
        <w:rPr>
          <w:b/>
        </w:rPr>
        <w:t>2.1.5. Vispārēja kontroles pieeja</w:t>
      </w:r>
      <w:bookmarkStart w:id="38" w:name="_bookmark14"/>
      <w:bookmarkEnd w:id="38"/>
      <w:bookmarkEnd w:id="37"/>
    </w:p>
    <w:p w:rsidR="00211065" w:rsidRPr="003E628F" w:rsidRDefault="00211065" w:rsidP="003E628F">
      <w:pPr>
        <w:jc w:val="both"/>
        <w:rPr>
          <w:rFonts w:ascii="Times New Roman" w:eastAsia="Times New Roman" w:hAnsi="Times New Roman" w:cs="Times New Roman"/>
          <w:b/>
          <w:bCs/>
          <w:i/>
          <w:noProof/>
          <w:sz w:val="24"/>
          <w:szCs w:val="20"/>
        </w:rPr>
      </w:pPr>
    </w:p>
    <w:p w:rsidR="00211065" w:rsidRPr="003E628F" w:rsidRDefault="00211065" w:rsidP="003E628F">
      <w:pPr>
        <w:pStyle w:val="Pamatteksts"/>
        <w:ind w:left="0"/>
        <w:jc w:val="both"/>
        <w:rPr>
          <w:noProof/>
        </w:rPr>
      </w:pPr>
      <w:r>
        <w:t>Muitas amatpersonām ir jāizstrādā rīki, kas ļauj vislabāk risināt un mazināt riskus, neapdraudot vienkāršojumu sniegtās priekšrocības. Muitas dienestiem ir jābūt visiem elementiem, kas nepieciešami kontroles veikšanai vienmēr, kad šāda kontrole tiek uzskatīta par vajadzīgu.</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jc w:val="both"/>
        <w:rPr>
          <w:rFonts w:ascii="Times New Roman" w:eastAsia="Times New Roman" w:hAnsi="Times New Roman" w:cs="Times New Roman"/>
          <w:i/>
          <w:noProof/>
          <w:sz w:val="24"/>
          <w:szCs w:val="24"/>
        </w:rPr>
      </w:pPr>
      <w:r>
        <w:rPr>
          <w:rFonts w:ascii="Times New Roman" w:hAnsi="Times New Roman"/>
          <w:i/>
          <w:noProof/>
          <w:sz w:val="24"/>
        </w:rPr>
        <w:t>Sīkākai informācijai par kontroles/audita metodoloģiju muitas auditoriem jāizmanto “vadlīnijas”, ko ES darījusi pieejamas kontroles/audita veikšanai, un Eiropas Revīzijas palātas ieteikumi (Īpašais ziņojums Nr. 1/2010).</w:t>
      </w:r>
    </w:p>
    <w:p w:rsidR="00211065" w:rsidRPr="003E628F" w:rsidRDefault="00211065" w:rsidP="003E628F">
      <w:pPr>
        <w:jc w:val="both"/>
        <w:rPr>
          <w:rFonts w:ascii="Times New Roman" w:eastAsia="Times New Roman" w:hAnsi="Times New Roman" w:cs="Times New Roman"/>
          <w:noProof/>
          <w:sz w:val="24"/>
        </w:rPr>
      </w:pPr>
      <w:r>
        <w:rPr>
          <w:rFonts w:ascii="Times New Roman" w:hAnsi="Times New Roman"/>
          <w:b/>
          <w:noProof/>
          <w:sz w:val="24"/>
        </w:rPr>
        <w:t>Kas attiecas uz katram uzņēmējam pielāgotu kontroles plānu,</w:t>
      </w:r>
      <w:r>
        <w:t xml:space="preserve"> </w:t>
      </w:r>
      <w:r>
        <w:rPr>
          <w:rFonts w:ascii="Times New Roman" w:hAnsi="Times New Roman"/>
          <w:noProof/>
          <w:sz w:val="24"/>
        </w:rPr>
        <w:t>šādam ar vienkāršotās deklarēšanas procedūru (</w:t>
      </w:r>
      <w:r>
        <w:rPr>
          <w:rFonts w:ascii="Times New Roman" w:hAnsi="Times New Roman"/>
          <w:i/>
          <w:noProof/>
          <w:sz w:val="24"/>
        </w:rPr>
        <w:t>SDP</w:t>
      </w:r>
      <w:r>
        <w:rPr>
          <w:rFonts w:ascii="Times New Roman" w:hAnsi="Times New Roman"/>
          <w:noProof/>
          <w:sz w:val="24"/>
        </w:rPr>
        <w:t xml:space="preserve">) saistītam kontroles plānam nav atsauces / juridiskā pamata, taču tas ir obligāts saistībā ar </w:t>
      </w:r>
      <w:r>
        <w:rPr>
          <w:rFonts w:ascii="Times New Roman" w:hAnsi="Times New Roman"/>
          <w:i/>
          <w:noProof/>
          <w:sz w:val="24"/>
        </w:rPr>
        <w:t>EIDR</w:t>
      </w:r>
      <w:r>
        <w:rPr>
          <w:rFonts w:ascii="Times New Roman" w:hAnsi="Times New Roman"/>
          <w:noProof/>
          <w:sz w:val="24"/>
        </w:rPr>
        <w:t xml:space="preserve"> atļaujām (sk. ĪA 233. pantu).</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ind w:firstLine="55"/>
        <w:jc w:val="both"/>
        <w:rPr>
          <w:rFonts w:ascii="Times New Roman" w:eastAsia="Times New Roman" w:hAnsi="Times New Roman" w:cs="Times New Roman"/>
          <w:noProof/>
          <w:sz w:val="24"/>
        </w:rPr>
      </w:pPr>
      <w:r>
        <w:rPr>
          <w:rFonts w:ascii="Times New Roman" w:hAnsi="Times New Roman"/>
          <w:noProof/>
          <w:sz w:val="24"/>
        </w:rPr>
        <w:t xml:space="preserve">Tas ir jāsagatavo muitas dienestiem, un tajā, </w:t>
      </w:r>
      <w:r>
        <w:rPr>
          <w:rFonts w:ascii="Times New Roman" w:hAnsi="Times New Roman"/>
          <w:i/>
          <w:noProof/>
          <w:sz w:val="24"/>
        </w:rPr>
        <w:t>inter alia</w:t>
      </w:r>
      <w:r>
        <w:rPr>
          <w:rFonts w:ascii="Times New Roman" w:hAnsi="Times New Roman"/>
          <w:noProof/>
          <w:sz w:val="24"/>
        </w:rPr>
        <w:t>, ir jābūt paredzētai to muitas procedūru pārraudzībai, kas, pamatojoties uz atļauju, tiek īstenotas noteiktam kontroles pasākumu biežumam, un jābūt nodrošinātam, ka efektīvu kontroli ir iespējams veikt visos ieraksta deklarētāja reģistros procedūru posmos.</w:t>
      </w:r>
    </w:p>
    <w:p w:rsidR="00211065" w:rsidRPr="003E628F" w:rsidRDefault="00211065" w:rsidP="003E628F">
      <w:pPr>
        <w:jc w:val="both"/>
        <w:rPr>
          <w:rFonts w:ascii="Times New Roman" w:eastAsia="Times New Roman" w:hAnsi="Times New Roman" w:cs="Times New Roman"/>
          <w:noProof/>
          <w:sz w:val="24"/>
          <w:szCs w:val="21"/>
        </w:rPr>
      </w:pPr>
    </w:p>
    <w:p w:rsidR="00211065" w:rsidRPr="009F0223" w:rsidRDefault="00407233" w:rsidP="009F0223">
      <w:pPr>
        <w:pStyle w:val="Virsraksts2"/>
        <w:rPr>
          <w:b/>
        </w:rPr>
      </w:pPr>
      <w:bookmarkStart w:id="39" w:name="_Toc490734247"/>
      <w:r w:rsidRPr="009F0223">
        <w:rPr>
          <w:b/>
        </w:rPr>
        <w:t>2.1.6. Atļaujas pārraudzība un darbību uzraudzība</w:t>
      </w:r>
      <w:bookmarkStart w:id="40" w:name="_bookmark15"/>
      <w:bookmarkEnd w:id="40"/>
      <w:bookmarkEnd w:id="39"/>
    </w:p>
    <w:p w:rsidR="00211065" w:rsidRPr="003E628F" w:rsidRDefault="00211065" w:rsidP="003E628F">
      <w:pPr>
        <w:jc w:val="both"/>
        <w:rPr>
          <w:rFonts w:ascii="Times New Roman" w:eastAsia="Times New Roman" w:hAnsi="Times New Roman" w:cs="Times New Roman"/>
          <w:b/>
          <w:bCs/>
          <w:i/>
          <w:noProof/>
          <w:sz w:val="24"/>
          <w:szCs w:val="20"/>
        </w:rPr>
      </w:pPr>
    </w:p>
    <w:p w:rsidR="00211065" w:rsidRPr="003E628F" w:rsidRDefault="00211065" w:rsidP="003E628F">
      <w:pPr>
        <w:pStyle w:val="Pamatteksts"/>
        <w:ind w:left="0"/>
        <w:jc w:val="both"/>
        <w:rPr>
          <w:noProof/>
        </w:rPr>
      </w:pPr>
      <w:r>
        <w:t>Muitas dienestiem ir pienākums pārraudzīt atļaujas un uzraudzīt veiktās darbības.</w:t>
      </w:r>
    </w:p>
    <w:p w:rsidR="00211065" w:rsidRPr="003E628F" w:rsidRDefault="00211065" w:rsidP="003E628F">
      <w:pPr>
        <w:jc w:val="both"/>
        <w:rPr>
          <w:rFonts w:ascii="Times New Roman" w:eastAsia="Times New Roman" w:hAnsi="Times New Roman" w:cs="Times New Roman"/>
          <w:noProof/>
          <w:sz w:val="24"/>
          <w:szCs w:val="21"/>
        </w:rPr>
      </w:pPr>
    </w:p>
    <w:p w:rsidR="00211065" w:rsidRPr="003E628F" w:rsidRDefault="00407233" w:rsidP="00407233">
      <w:pPr>
        <w:pStyle w:val="Virsraksts1"/>
        <w:tabs>
          <w:tab w:val="left" w:pos="369"/>
        </w:tabs>
        <w:jc w:val="both"/>
        <w:rPr>
          <w:noProof/>
        </w:rPr>
      </w:pPr>
      <w:bookmarkStart w:id="41" w:name="_Toc490734248"/>
      <w:r>
        <w:t>a) Muitas dienestu nodrošinātā pārraudzība</w:t>
      </w:r>
      <w:bookmarkEnd w:id="41"/>
    </w:p>
    <w:p w:rsidR="00211065" w:rsidRPr="003E628F" w:rsidRDefault="00211065" w:rsidP="003E628F">
      <w:pPr>
        <w:jc w:val="both"/>
        <w:rPr>
          <w:rFonts w:ascii="Times New Roman" w:eastAsia="Times New Roman" w:hAnsi="Times New Roman" w:cs="Times New Roman"/>
          <w:b/>
          <w:bCs/>
          <w:noProof/>
          <w:sz w:val="24"/>
          <w:szCs w:val="20"/>
        </w:rPr>
      </w:pPr>
    </w:p>
    <w:p w:rsidR="00211065" w:rsidRPr="003E628F" w:rsidRDefault="00211065" w:rsidP="003E628F">
      <w:pPr>
        <w:pStyle w:val="Pamatteksts"/>
        <w:ind w:left="0"/>
        <w:jc w:val="both"/>
        <w:rPr>
          <w:noProof/>
        </w:rPr>
      </w:pPr>
      <w:r>
        <w:t>Vispārēja prasība veikt visu muitas lēmumu pārraudzību ir noteikta SMK 23. panta 5. punktā, kas paredz, ka muitas dienesti pārrauga, kā lēmuma turētājs izpilda noteiktos nosacījumus un kritērijus. Tiem ir arī jāpārrauga no šā lēmuma izrietošo pienākumu izpilde. Atļauju pārraudzības mērķis ir savlaicīgi konstatēt visas neatbilstības pazīmes un nekavējoties rīkoties sarežģījumu vai neatbilstības konstatēšanas gadījumā.</w:t>
      </w:r>
    </w:p>
    <w:p w:rsidR="00211065" w:rsidRPr="003E628F" w:rsidRDefault="00211065" w:rsidP="003E628F">
      <w:pPr>
        <w:jc w:val="both"/>
        <w:rPr>
          <w:rFonts w:ascii="Times New Roman" w:eastAsia="Times New Roman" w:hAnsi="Times New Roman" w:cs="Times New Roman"/>
          <w:noProof/>
          <w:sz w:val="24"/>
          <w:szCs w:val="21"/>
        </w:rPr>
      </w:pPr>
    </w:p>
    <w:p w:rsidR="00211065" w:rsidRPr="003E628F" w:rsidRDefault="00211065" w:rsidP="003E628F">
      <w:pPr>
        <w:pStyle w:val="Virsraksts1"/>
        <w:jc w:val="both"/>
        <w:rPr>
          <w:noProof/>
        </w:rPr>
      </w:pPr>
      <w:bookmarkStart w:id="42" w:name="_Toc490734249"/>
      <w:r>
        <w:t>Atļaujas turētāja riska novērtējumu ieteicams veikt vismaz reizi trīs gados, un tas vienmēr ir nepieciešams, kad ir notikušas būtiskas izmaiņas sistēmā (IT, citā sistēmā), kas ietekmējušas muitas procedūras darbību.</w:t>
      </w:r>
      <w:bookmarkEnd w:id="42"/>
    </w:p>
    <w:p w:rsidR="00211065" w:rsidRPr="003E628F" w:rsidRDefault="00211065" w:rsidP="003E628F">
      <w:pPr>
        <w:jc w:val="both"/>
        <w:rPr>
          <w:rFonts w:ascii="Times New Roman" w:eastAsia="Times New Roman" w:hAnsi="Times New Roman" w:cs="Times New Roman"/>
          <w:b/>
          <w:bCs/>
          <w:noProof/>
          <w:sz w:val="24"/>
          <w:szCs w:val="20"/>
        </w:rPr>
      </w:pPr>
    </w:p>
    <w:p w:rsidR="00211065" w:rsidRPr="003E628F" w:rsidRDefault="00211065" w:rsidP="003E628F">
      <w:pPr>
        <w:jc w:val="both"/>
        <w:rPr>
          <w:rFonts w:ascii="Times New Roman" w:hAnsi="Times New Roman"/>
          <w:i/>
          <w:noProof/>
          <w:sz w:val="24"/>
        </w:rPr>
      </w:pPr>
      <w:r>
        <w:rPr>
          <w:rFonts w:ascii="Times New Roman" w:hAnsi="Times New Roman"/>
          <w:i/>
          <w:noProof/>
          <w:sz w:val="24"/>
        </w:rPr>
        <w:t>Sīkāka informācija sniegta atjaunināto AEO vadlīniju 5. daļā.</w:t>
      </w:r>
    </w:p>
    <w:p w:rsidR="00211065" w:rsidRPr="003E628F" w:rsidRDefault="00211065" w:rsidP="003E628F">
      <w:pPr>
        <w:jc w:val="both"/>
        <w:rPr>
          <w:rFonts w:ascii="Times New Roman" w:eastAsia="Times New Roman" w:hAnsi="Times New Roman" w:cs="Times New Roman"/>
          <w:i/>
          <w:noProof/>
          <w:sz w:val="24"/>
          <w:szCs w:val="20"/>
        </w:rPr>
      </w:pPr>
    </w:p>
    <w:p w:rsidR="00211065" w:rsidRPr="003E628F" w:rsidRDefault="00211065" w:rsidP="003E628F">
      <w:pPr>
        <w:jc w:val="both"/>
        <w:rPr>
          <w:rFonts w:ascii="Times New Roman" w:eastAsia="Times New Roman" w:hAnsi="Times New Roman" w:cs="Times New Roman"/>
          <w:noProof/>
          <w:sz w:val="24"/>
          <w:szCs w:val="24"/>
        </w:rPr>
      </w:pPr>
      <w:r>
        <w:rPr>
          <w:rFonts w:ascii="Times New Roman" w:hAnsi="Times New Roman"/>
          <w:b/>
          <w:i/>
          <w:noProof/>
          <w:color w:val="49442A"/>
          <w:sz w:val="24"/>
          <w:u w:val="thick" w:color="49442A"/>
        </w:rPr>
        <w:t>Jāņem vērā!</w:t>
      </w:r>
      <w:r>
        <w:rPr>
          <w:rFonts w:ascii="Times New Roman" w:hAnsi="Times New Roman"/>
          <w:b/>
          <w:i/>
          <w:noProof/>
          <w:color w:val="49442A"/>
          <w:sz w:val="24"/>
        </w:rPr>
        <w:t xml:space="preserve"> Pēcmuitošanas pārbaudēs </w:t>
      </w:r>
      <w:r>
        <w:rPr>
          <w:rFonts w:ascii="Times New Roman" w:hAnsi="Times New Roman"/>
          <w:i/>
          <w:noProof/>
          <w:color w:val="49442A"/>
          <w:sz w:val="24"/>
        </w:rPr>
        <w:t>pārbauda, piemēram, uzņēmēja administrāciju, organizāciju, iekšējās procedūras un/vai iekšējās sistēmas, lai gūtu pierādījumus tam, ka uzņēmējs joprojām atbilst attiecīgajiem tiesību aktiem un prasībām.</w:t>
      </w:r>
    </w:p>
    <w:p w:rsidR="00211065" w:rsidRPr="003E628F" w:rsidRDefault="00211065" w:rsidP="003E628F">
      <w:pPr>
        <w:jc w:val="both"/>
        <w:rPr>
          <w:rFonts w:ascii="Times New Roman" w:eastAsia="Times New Roman" w:hAnsi="Times New Roman" w:cs="Times New Roman"/>
          <w:i/>
          <w:noProof/>
          <w:sz w:val="24"/>
          <w:szCs w:val="21"/>
        </w:rPr>
      </w:pPr>
    </w:p>
    <w:p w:rsidR="00211065" w:rsidRPr="003E628F" w:rsidRDefault="00407233" w:rsidP="00407233">
      <w:pPr>
        <w:pStyle w:val="Virsraksts1"/>
        <w:tabs>
          <w:tab w:val="left" w:pos="383"/>
        </w:tabs>
        <w:jc w:val="both"/>
        <w:rPr>
          <w:noProof/>
        </w:rPr>
      </w:pPr>
      <w:bookmarkStart w:id="43" w:name="_Toc490734250"/>
      <w:r>
        <w:t>b) Uzņēmēja nodrošinātā pārraudzība</w:t>
      </w:r>
      <w:bookmarkEnd w:id="43"/>
    </w:p>
    <w:p w:rsidR="00211065" w:rsidRPr="003E628F" w:rsidRDefault="00211065" w:rsidP="003E628F">
      <w:pPr>
        <w:jc w:val="both"/>
        <w:rPr>
          <w:rFonts w:ascii="Times New Roman" w:eastAsia="Times New Roman" w:hAnsi="Times New Roman" w:cs="Times New Roman"/>
          <w:b/>
          <w:bCs/>
          <w:noProof/>
          <w:sz w:val="24"/>
          <w:szCs w:val="20"/>
        </w:rPr>
      </w:pPr>
    </w:p>
    <w:p w:rsidR="00211065" w:rsidRPr="003E628F" w:rsidRDefault="00211065" w:rsidP="003E628F">
      <w:pPr>
        <w:pStyle w:val="Pamatteksts"/>
        <w:ind w:left="0"/>
        <w:jc w:val="both"/>
        <w:rPr>
          <w:noProof/>
        </w:rPr>
      </w:pPr>
      <w:r>
        <w:t>Par regulāru pārraudzību ir atbildīgs arī uzņēmējs. Tai jābūt daļai no iekšējās kontroles sistēmas.</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jc w:val="both"/>
        <w:rPr>
          <w:rFonts w:ascii="Times New Roman" w:hAnsi="Times New Roman"/>
          <w:i/>
          <w:noProof/>
          <w:sz w:val="24"/>
        </w:rPr>
      </w:pPr>
      <w:r>
        <w:rPr>
          <w:rFonts w:ascii="Times New Roman" w:hAnsi="Times New Roman"/>
          <w:i/>
          <w:noProof/>
          <w:sz w:val="24"/>
        </w:rPr>
        <w:t>Sīkāka informācija sniegta atjaunināto AEO vadlīniju 5. daļā.</w:t>
      </w:r>
    </w:p>
    <w:p w:rsidR="00211065" w:rsidRPr="003E628F" w:rsidRDefault="00211065" w:rsidP="003E628F">
      <w:pPr>
        <w:jc w:val="both"/>
        <w:rPr>
          <w:rFonts w:ascii="Times New Roman" w:eastAsia="Times New Roman" w:hAnsi="Times New Roman" w:cs="Times New Roman"/>
          <w:i/>
          <w:noProof/>
          <w:sz w:val="24"/>
          <w:szCs w:val="20"/>
        </w:rPr>
      </w:pPr>
    </w:p>
    <w:p w:rsidR="00211065" w:rsidRPr="003E628F" w:rsidRDefault="00211065" w:rsidP="003E628F">
      <w:pPr>
        <w:jc w:val="both"/>
        <w:rPr>
          <w:rFonts w:ascii="Times New Roman" w:hAnsi="Times New Roman"/>
          <w:i/>
          <w:noProof/>
          <w:color w:val="49442A"/>
          <w:sz w:val="24"/>
        </w:rPr>
      </w:pPr>
      <w:r>
        <w:rPr>
          <w:rFonts w:ascii="Times New Roman" w:hAnsi="Times New Roman"/>
          <w:i/>
          <w:noProof/>
          <w:color w:val="49442A"/>
          <w:sz w:val="24"/>
          <w:u w:val="single" w:color="49442A"/>
        </w:rPr>
        <w:t>Jāņem vērā!</w:t>
      </w:r>
      <w:r>
        <w:rPr>
          <w:rFonts w:ascii="Times New Roman" w:hAnsi="Times New Roman"/>
          <w:i/>
          <w:noProof/>
          <w:color w:val="49442A"/>
          <w:sz w:val="24"/>
        </w:rPr>
        <w:t xml:space="preserve"> Vienkāršojumu atļauju un AEO statusa pārraudzība ir jāsaskaņo, cik vien tas ir iespējams, lai novērstu pārbaužu dublēšanu. Ja lēmuma turētājs veic uzņēmējdarbību mazāk </w:t>
      </w:r>
      <w:r>
        <w:rPr>
          <w:rFonts w:ascii="Times New Roman" w:hAnsi="Times New Roman"/>
          <w:i/>
          <w:noProof/>
          <w:color w:val="49442A"/>
          <w:sz w:val="24"/>
        </w:rPr>
        <w:lastRenderedPageBreak/>
        <w:t>nekā trīs gadus, muitas dienestiem tas ir cieši jāpārrauga pirmajā gadā pēc lēmuma pieņemšanas.</w:t>
      </w:r>
    </w:p>
    <w:p w:rsidR="00211065" w:rsidRPr="003E628F" w:rsidRDefault="00211065" w:rsidP="003E628F">
      <w:pPr>
        <w:jc w:val="both"/>
        <w:rPr>
          <w:rFonts w:ascii="Times New Roman" w:hAnsi="Times New Roman"/>
          <w:i/>
          <w:noProof/>
          <w:color w:val="49442A"/>
          <w:sz w:val="24"/>
        </w:rPr>
      </w:pPr>
    </w:p>
    <w:p w:rsidR="00211065" w:rsidRPr="003E628F" w:rsidRDefault="00407233" w:rsidP="00407233">
      <w:pPr>
        <w:pStyle w:val="Virsraksts1"/>
        <w:tabs>
          <w:tab w:val="left" w:pos="355"/>
        </w:tabs>
        <w:jc w:val="both"/>
        <w:rPr>
          <w:noProof/>
        </w:rPr>
      </w:pPr>
      <w:bookmarkStart w:id="44" w:name="_Toc490734251"/>
      <w:r>
        <w:t>c) Darbību uzraudzība</w:t>
      </w:r>
      <w:bookmarkEnd w:id="44"/>
    </w:p>
    <w:p w:rsidR="00211065" w:rsidRPr="003E628F" w:rsidRDefault="00211065" w:rsidP="003E628F">
      <w:pPr>
        <w:jc w:val="both"/>
        <w:rPr>
          <w:rFonts w:ascii="Times New Roman" w:eastAsia="Times New Roman" w:hAnsi="Times New Roman" w:cs="Times New Roman"/>
          <w:b/>
          <w:bCs/>
          <w:noProof/>
          <w:sz w:val="24"/>
          <w:szCs w:val="20"/>
        </w:rPr>
      </w:pPr>
    </w:p>
    <w:p w:rsidR="00211065" w:rsidRPr="003E628F" w:rsidRDefault="00211065" w:rsidP="003E628F">
      <w:pPr>
        <w:pStyle w:val="Pamatteksts"/>
        <w:ind w:left="0"/>
        <w:jc w:val="both"/>
        <w:rPr>
          <w:noProof/>
        </w:rPr>
      </w:pPr>
      <w:r>
        <w:t>Vispārējs pienākums ir noteikts SMK 134. pantā. Tajā ietilpst kontroles pasākumi, tostarp ar risku pamatotas pārbaudes un izlases veida pārbaudes preču muitošanas laikā un kontrole pēc preču izlaišanas, kas noteikta SMK 48. pantā, jo īpaši papildu deklarāciju kontrole.</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Lai pienācīgi risinātu pienākumu izpildes novilcināšanas risku, regulāri un pienācīgi jāveic pēcmuitošanas pārbaudes attiecībā uz darījumiem. Katrā pēcmuitošanas pārbaudē pārbaudāmo</w:t>
      </w:r>
      <w:r w:rsidR="00FF42EE">
        <w:t xml:space="preserve"> </w:t>
      </w:r>
      <w:r>
        <w:t>darījumu skaitam jābūt atkarīgam no pastāvošajiem riskiem.</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jc w:val="both"/>
        <w:rPr>
          <w:rFonts w:ascii="Times New Roman" w:hAnsi="Times New Roman"/>
          <w:i/>
          <w:noProof/>
          <w:color w:val="49442A"/>
          <w:sz w:val="24"/>
        </w:rPr>
      </w:pPr>
      <w:r>
        <w:rPr>
          <w:rFonts w:ascii="Times New Roman" w:hAnsi="Times New Roman"/>
          <w:i/>
          <w:noProof/>
          <w:color w:val="49442A"/>
          <w:sz w:val="24"/>
          <w:u w:val="single" w:color="49442A"/>
        </w:rPr>
        <w:t>Jāņem vērā!</w:t>
      </w:r>
      <w:r>
        <w:rPr>
          <w:rFonts w:ascii="Times New Roman" w:hAnsi="Times New Roman"/>
          <w:i/>
          <w:noProof/>
          <w:color w:val="49442A"/>
          <w:sz w:val="24"/>
        </w:rPr>
        <w:t xml:space="preserve"> Kontroles pēc izlaišanas mērķis ir nodrošināt muitas deklarāciju pareizību un pabeigtību konkrētā jomā, piemēram, antidempinga pasākumu vai izcelsmes/atvieglojumu kontrole, izcelsmes sertifikātu pārbaude, muitas vērtības noteikšana, pēc savstarpējas palīdzības pieprasījuma veikta kontrole, muitas kontrole muitas noliktavās (piemēram, inventarizācija vai krājumu uzskaites pārbaude), tarifa klasifikācijas nolūkā veikta kontrole u. c.</w:t>
      </w:r>
    </w:p>
    <w:p w:rsidR="00211065" w:rsidRPr="003E628F" w:rsidRDefault="00211065" w:rsidP="003E628F">
      <w:pPr>
        <w:jc w:val="both"/>
        <w:rPr>
          <w:rFonts w:ascii="Times New Roman" w:hAnsi="Times New Roman"/>
          <w:i/>
          <w:noProof/>
          <w:color w:val="49442A"/>
          <w:sz w:val="24"/>
        </w:rPr>
      </w:pPr>
    </w:p>
    <w:p w:rsidR="00211065" w:rsidRPr="003E628F" w:rsidRDefault="00211065" w:rsidP="003E628F">
      <w:pPr>
        <w:jc w:val="both"/>
        <w:rPr>
          <w:rFonts w:ascii="Times New Roman" w:hAnsi="Times New Roman"/>
          <w:i/>
          <w:noProof/>
          <w:sz w:val="24"/>
        </w:rPr>
      </w:pPr>
      <w:r>
        <w:rPr>
          <w:rFonts w:ascii="Times New Roman" w:hAnsi="Times New Roman"/>
          <w:i/>
          <w:noProof/>
          <w:sz w:val="24"/>
        </w:rPr>
        <w:t>Sīkākai informācijai par audita metodoloģiju, procesiem un posmiem muitas auditoriem jāizmanto vadlīnijas, ko ES sagatavojusi attiecībā uz kontroles/auditu veikšanu.</w:t>
      </w:r>
    </w:p>
    <w:p w:rsidR="00211065" w:rsidRPr="003E628F" w:rsidRDefault="00211065" w:rsidP="003E628F">
      <w:pPr>
        <w:jc w:val="both"/>
        <w:rPr>
          <w:rFonts w:ascii="Times New Roman" w:eastAsia="Times New Roman" w:hAnsi="Times New Roman" w:cs="Times New Roman"/>
          <w:i/>
          <w:noProof/>
          <w:sz w:val="24"/>
          <w:szCs w:val="21"/>
        </w:rPr>
      </w:pPr>
    </w:p>
    <w:p w:rsidR="00211065" w:rsidRPr="009F0223" w:rsidRDefault="00407233" w:rsidP="009F0223">
      <w:pPr>
        <w:pStyle w:val="Virsraksts2"/>
        <w:rPr>
          <w:b/>
        </w:rPr>
      </w:pPr>
      <w:bookmarkStart w:id="45" w:name="_Toc490734252"/>
      <w:r w:rsidRPr="009F0223">
        <w:rPr>
          <w:b/>
        </w:rPr>
        <w:t>2.1.7. Aizliegumi un ierobežojumi</w:t>
      </w:r>
      <w:bookmarkStart w:id="46" w:name="_bookmark16"/>
      <w:bookmarkEnd w:id="46"/>
      <w:bookmarkEnd w:id="45"/>
    </w:p>
    <w:p w:rsidR="00211065" w:rsidRPr="003E628F" w:rsidRDefault="00211065" w:rsidP="003E628F">
      <w:pPr>
        <w:jc w:val="both"/>
        <w:rPr>
          <w:rFonts w:ascii="Times New Roman" w:eastAsia="Times New Roman" w:hAnsi="Times New Roman" w:cs="Times New Roman"/>
          <w:b/>
          <w:bCs/>
          <w:i/>
          <w:noProof/>
          <w:sz w:val="24"/>
          <w:szCs w:val="20"/>
        </w:rPr>
      </w:pPr>
    </w:p>
    <w:p w:rsidR="00211065" w:rsidRPr="003E628F" w:rsidRDefault="00211065" w:rsidP="003E628F">
      <w:pPr>
        <w:pStyle w:val="Pamatteksts"/>
        <w:ind w:left="0"/>
        <w:jc w:val="both"/>
        <w:rPr>
          <w:noProof/>
        </w:rPr>
      </w:pPr>
      <w:r>
        <w:t>Iespējami divu veidu aizliegumi un ierobežojumi, proti, tie, kas saistīti ar ES noteikumiem, un tie, kas saistīti ar valsts noteikumiem.</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ES aizliegumi un ierobežojumi nodrošina juridisko pamatu preču ievešanas/importa un eksporta aizliegšanai un/vai ierobežošanai, ko veic dažādu iemeslu dēļ, jo īpaši drošības, veselības aizsardzības un vides apsvērumu dēļ. Kontroli var veikt ievešanas vai izvešanas vietā vai tad, kad precēm tiek piemērota muitas procedūra, piemēram, laišana brīvā apgrozībā. Muitas administrācijas nodrošina galveno funkciju tādu preču kontrolē, uz kurām attiecas aizliegumi un ierobežojumi un kuras tiek ievestas ES vai izvestas no tās, jo tās parasti ir vienīgie dienesti, kam ir pilnīgs pārskats par muitas teritorijā ievesto vai no tās izvesto preču tirdzniecības plūsmu.</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Aizliegumi un ierobežojumi pastāv arī valsts līmenī un var būt piemērojami tikai vienā dalībvalstī.</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Tāpēc gadījumā, ja attiecībā uz precēm ir piemērojami aizliegumi un ierobežojumi, dalībvalstīm ir jālemj, vai šādus vienkāršojumus var izmantot, vai attiecīgās preces ir jāizslēdz.</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Lēmumus ieteicams pieņemt, pamatojoties uz apspriešanos starp muitas dienestiem un dienestiem, kas atbildīgi par attiecīgo aizliegumu un ierobežojumu politiku.</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jc w:val="both"/>
        <w:rPr>
          <w:rFonts w:ascii="Times New Roman" w:hAnsi="Times New Roman"/>
          <w:i/>
          <w:noProof/>
          <w:color w:val="365F91"/>
          <w:sz w:val="24"/>
        </w:rPr>
      </w:pPr>
      <w:r>
        <w:rPr>
          <w:rFonts w:ascii="Times New Roman" w:hAnsi="Times New Roman"/>
          <w:i/>
          <w:noProof/>
          <w:color w:val="365F91"/>
          <w:sz w:val="24"/>
        </w:rPr>
        <w:t>Piemērs. Ja nepieciešamas papildu pārbaudes vai ja trūkst sertifikāta, preces pirms laišanas brīvā apgrozībā var vispirms nodot pagaidu uzglabāšanā vai uzglabāšanas muitas noliktavā procedūrai, lai tām veiktu muitas kontroli. Alternatīvs risinājums būtu šo preču deklarēšana atbilstīgi standarta procedūrai.</w:t>
      </w:r>
    </w:p>
    <w:p w:rsidR="00211065" w:rsidRPr="003E628F" w:rsidRDefault="00211065" w:rsidP="003E628F">
      <w:pPr>
        <w:jc w:val="both"/>
        <w:rPr>
          <w:rFonts w:ascii="Times New Roman" w:eastAsia="Times New Roman" w:hAnsi="Times New Roman" w:cs="Times New Roman"/>
          <w:i/>
          <w:noProof/>
          <w:sz w:val="24"/>
          <w:szCs w:val="21"/>
        </w:rPr>
      </w:pPr>
    </w:p>
    <w:p w:rsidR="00211065" w:rsidRPr="003E628F" w:rsidRDefault="00407233" w:rsidP="00407233">
      <w:pPr>
        <w:pStyle w:val="Virsraksts2"/>
        <w:tabs>
          <w:tab w:val="left" w:pos="448"/>
        </w:tabs>
        <w:jc w:val="both"/>
        <w:rPr>
          <w:noProof/>
        </w:rPr>
      </w:pPr>
      <w:bookmarkStart w:id="47" w:name="_Toc490734253"/>
      <w:r>
        <w:t>a) Vienkāršotās deklarācijas atļauja</w:t>
      </w:r>
      <w:bookmarkEnd w:id="47"/>
    </w:p>
    <w:p w:rsidR="00211065" w:rsidRPr="003E628F" w:rsidRDefault="00211065" w:rsidP="003E628F">
      <w:pPr>
        <w:jc w:val="both"/>
        <w:rPr>
          <w:rFonts w:ascii="Times New Roman" w:eastAsia="Times New Roman" w:hAnsi="Times New Roman" w:cs="Times New Roman"/>
          <w:b/>
          <w:bCs/>
          <w:i/>
          <w:noProof/>
          <w:sz w:val="24"/>
          <w:szCs w:val="20"/>
        </w:rPr>
      </w:pPr>
    </w:p>
    <w:p w:rsidR="00211065" w:rsidRPr="003E628F" w:rsidRDefault="00211065" w:rsidP="003E628F">
      <w:pPr>
        <w:pStyle w:val="Pamatteksts"/>
        <w:ind w:left="0"/>
        <w:jc w:val="both"/>
        <w:rPr>
          <w:noProof/>
        </w:rPr>
      </w:pPr>
      <w:r>
        <w:t>Visi būtiskie pavaddokumenti, kas ir nepieciešami preču izlaišanai un ir minēti SMK 163. panta 2. punktā, ir jāiesniedz vai jādara pieejami muitas dienestiem laikā, kad tiek iesniegta vienkāršotā (bet ne papildu) deklarācija.</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Vienkāršotajā deklarācijā ir jāsniedz pietiekama informācija, lai būtu iespējams identificēt aizliegtās/ierobežotās preces. Tas ir nepieciešams, lai muitas dienesti spētu veikt pienācīgu kontroli un vajadzības gadījumā pieprasīt to dokumentu iesniegšanu, kas norādīti kā pieejami.</w:t>
      </w:r>
    </w:p>
    <w:p w:rsidR="00211065" w:rsidRPr="003E628F" w:rsidRDefault="00211065" w:rsidP="003E628F">
      <w:pPr>
        <w:jc w:val="both"/>
        <w:rPr>
          <w:rFonts w:ascii="Times New Roman" w:eastAsia="Times New Roman" w:hAnsi="Times New Roman" w:cs="Times New Roman"/>
          <w:noProof/>
          <w:sz w:val="24"/>
          <w:szCs w:val="20"/>
        </w:rPr>
      </w:pPr>
    </w:p>
    <w:p w:rsidR="00211065" w:rsidRDefault="00211065" w:rsidP="003E628F">
      <w:pPr>
        <w:jc w:val="both"/>
        <w:rPr>
          <w:rFonts w:ascii="Times New Roman" w:hAnsi="Times New Roman"/>
          <w:i/>
          <w:noProof/>
          <w:color w:val="49442A"/>
          <w:sz w:val="24"/>
        </w:rPr>
      </w:pPr>
      <w:r>
        <w:rPr>
          <w:rFonts w:ascii="Times New Roman" w:hAnsi="Times New Roman"/>
          <w:i/>
          <w:noProof/>
          <w:color w:val="49442A"/>
          <w:sz w:val="24"/>
        </w:rPr>
        <w:t>Lūdzu, sk. arī DA 145. panta d) punktu, kas minēts 2.2.3. punktā, par vienkāršotās deklarācijas atļaujas izsniegšanas nosacījumiem.</w:t>
      </w:r>
    </w:p>
    <w:p w:rsidR="00407233" w:rsidRPr="003E628F" w:rsidRDefault="00407233" w:rsidP="003E628F">
      <w:pPr>
        <w:jc w:val="both"/>
        <w:rPr>
          <w:rFonts w:ascii="Times New Roman" w:hAnsi="Times New Roman"/>
          <w:i/>
          <w:noProof/>
          <w:color w:val="49442A"/>
          <w:sz w:val="24"/>
        </w:rPr>
      </w:pPr>
    </w:p>
    <w:p w:rsidR="00211065" w:rsidRPr="003E628F" w:rsidRDefault="00407233" w:rsidP="00407233">
      <w:pPr>
        <w:pStyle w:val="Virsraksts2"/>
        <w:tabs>
          <w:tab w:val="left" w:pos="448"/>
        </w:tabs>
        <w:jc w:val="both"/>
        <w:rPr>
          <w:noProof/>
        </w:rPr>
      </w:pPr>
      <w:bookmarkStart w:id="48" w:name="_Toc490734254"/>
      <w:r>
        <w:t>b) EIDR atļauja</w:t>
      </w:r>
      <w:bookmarkEnd w:id="48"/>
    </w:p>
    <w:p w:rsidR="00211065" w:rsidRPr="003E628F" w:rsidRDefault="00211065" w:rsidP="003E628F">
      <w:pPr>
        <w:jc w:val="both"/>
        <w:rPr>
          <w:rFonts w:ascii="Times New Roman" w:eastAsia="Times New Roman" w:hAnsi="Times New Roman" w:cs="Times New Roman"/>
          <w:b/>
          <w:bCs/>
          <w:i/>
          <w:noProof/>
          <w:sz w:val="24"/>
          <w:szCs w:val="20"/>
        </w:rPr>
      </w:pPr>
    </w:p>
    <w:p w:rsidR="00211065" w:rsidRPr="003E628F" w:rsidRDefault="00211065" w:rsidP="003E628F">
      <w:pPr>
        <w:pStyle w:val="Pamatteksts"/>
        <w:ind w:left="0"/>
        <w:jc w:val="both"/>
        <w:rPr>
          <w:noProof/>
        </w:rPr>
      </w:pPr>
      <w:r>
        <w:rPr>
          <w:i/>
        </w:rPr>
        <w:t>EIDR</w:t>
      </w:r>
      <w:r>
        <w:t xml:space="preserve"> atļaujas turētājam ir jādara pieejama uzraugošajai muitas iestādei informācija par precēm, uz kurām attiecas ierobežojumi un aizliegumi (ĪA 234. panta d) punkts). Kopumā, no praktiskā viedokļa raugoties, </w:t>
      </w:r>
      <w:r>
        <w:rPr>
          <w:i/>
        </w:rPr>
        <w:t>EIDR</w:t>
      </w:r>
      <w:r>
        <w:t xml:space="preserve"> var izmantot attiecībā uz aizliegtām vai ierobežotām precēm vienīgi tad, kad ir iespējams nodrošināt pienācīgu aizsardzības līmeni un ir panākta vienošanās ar dienestiem, kas atbildīgi par attiecīgo aizliegumu un ierobežojumu politiku. </w:t>
      </w:r>
      <w:r>
        <w:rPr>
          <w:i/>
        </w:rPr>
        <w:t>EIDR</w:t>
      </w:r>
      <w:r>
        <w:t xml:space="preserve"> atļauju var izmantot ar nosacījumu, ka atļaujas turētājs deklarācijas pieņemšanas brīdī pēc muitas dienesta pieprasījuma iesniedz vai dara pieejamas attiecīgās licences/atļaujas.</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Atļaujā skaidri jānosaka procedūra precēm, uz kurām attiecas aizliegumi un ierobežojumi.</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Piemēram, paziņojums var īpaši ļaut identificēt preces kā tādas, uz kurām attiecas aizliegumi vai ierobežojumi (ĪA 234. panta 1. punkta d) apakšpunkts). Muitas dienestiem vienmēr jāspēj veikt kontroli nepieciešamajā līmenī.</w:t>
      </w:r>
    </w:p>
    <w:p w:rsidR="00211065" w:rsidRPr="003E628F" w:rsidRDefault="00211065" w:rsidP="003E628F">
      <w:pPr>
        <w:jc w:val="both"/>
        <w:rPr>
          <w:rFonts w:ascii="Times New Roman" w:eastAsia="Times New Roman" w:hAnsi="Times New Roman" w:cs="Times New Roman"/>
          <w:noProof/>
          <w:sz w:val="24"/>
          <w:szCs w:val="21"/>
        </w:rPr>
      </w:pPr>
    </w:p>
    <w:p w:rsidR="00211065" w:rsidRPr="003E628F" w:rsidRDefault="00407233" w:rsidP="00407233">
      <w:pPr>
        <w:pStyle w:val="Virsraksts2"/>
        <w:tabs>
          <w:tab w:val="left" w:pos="434"/>
        </w:tabs>
        <w:jc w:val="both"/>
        <w:rPr>
          <w:noProof/>
        </w:rPr>
      </w:pPr>
      <w:bookmarkStart w:id="49" w:name="_Toc490734255"/>
      <w:r>
        <w:t>c) Centralizētas muitošanas atļauja</w:t>
      </w:r>
      <w:bookmarkEnd w:id="49"/>
    </w:p>
    <w:p w:rsidR="00211065" w:rsidRPr="003E628F" w:rsidRDefault="00211065" w:rsidP="003E628F">
      <w:pPr>
        <w:jc w:val="both"/>
        <w:rPr>
          <w:rFonts w:ascii="Times New Roman" w:eastAsia="Times New Roman" w:hAnsi="Times New Roman" w:cs="Times New Roman"/>
          <w:b/>
          <w:bCs/>
          <w:i/>
          <w:noProof/>
          <w:sz w:val="24"/>
          <w:szCs w:val="20"/>
        </w:rPr>
      </w:pPr>
    </w:p>
    <w:p w:rsidR="00211065" w:rsidRPr="003E628F" w:rsidRDefault="00211065" w:rsidP="003E628F">
      <w:pPr>
        <w:pStyle w:val="Pamatteksts"/>
        <w:ind w:left="0"/>
        <w:jc w:val="both"/>
        <w:rPr>
          <w:noProof/>
        </w:rPr>
      </w:pPr>
      <w:r>
        <w:t>Apspriešanās procedūrā ļoti būtiska nozīme ir skaidri identificēt preces, tostarp jebkurus piemērojamus aizliegumus, ierobežojumus un visu nepieciešamo kontroles pasākumu pienācīgas īstenošanas veidus. Pretējā gadījumā jāpieņem lēmums par šo vienkāršojumu neattiecināšanu uz konkrētām precēm. Šāds lēmums jāpieņem, pamatojoties uz tās dalībvalsts(-u) prasībām, kurā preces fiziski atrodas un ir piemērojami aizliegumi un ierobežojumi.</w:t>
      </w:r>
    </w:p>
    <w:p w:rsidR="00211065" w:rsidRPr="003E628F" w:rsidRDefault="00211065" w:rsidP="003E628F">
      <w:pPr>
        <w:jc w:val="both"/>
        <w:rPr>
          <w:rFonts w:ascii="Times New Roman" w:eastAsia="Times New Roman" w:hAnsi="Times New Roman" w:cs="Times New Roman"/>
          <w:noProof/>
          <w:sz w:val="24"/>
          <w:szCs w:val="21"/>
        </w:rPr>
      </w:pPr>
    </w:p>
    <w:p w:rsidR="00211065" w:rsidRPr="009F0223" w:rsidRDefault="00407233" w:rsidP="009F0223">
      <w:pPr>
        <w:pStyle w:val="Virsraksts2"/>
        <w:rPr>
          <w:b/>
        </w:rPr>
      </w:pPr>
      <w:bookmarkStart w:id="50" w:name="_Toc490734256"/>
      <w:r w:rsidRPr="009F0223">
        <w:rPr>
          <w:b/>
        </w:rPr>
        <w:t>2.1.8. Apturēšana, atcelšana un anulēšana</w:t>
      </w:r>
      <w:bookmarkStart w:id="51" w:name="_bookmark17"/>
      <w:bookmarkEnd w:id="51"/>
      <w:bookmarkEnd w:id="50"/>
    </w:p>
    <w:p w:rsidR="00211065" w:rsidRPr="003E628F" w:rsidRDefault="00211065" w:rsidP="003E628F">
      <w:pPr>
        <w:jc w:val="both"/>
        <w:rPr>
          <w:rFonts w:ascii="Times New Roman" w:eastAsia="Times New Roman" w:hAnsi="Times New Roman" w:cs="Times New Roman"/>
          <w:b/>
          <w:bCs/>
          <w:i/>
          <w:noProof/>
          <w:sz w:val="24"/>
          <w:szCs w:val="20"/>
        </w:rPr>
      </w:pPr>
    </w:p>
    <w:p w:rsidR="00211065" w:rsidRPr="003E628F" w:rsidRDefault="00407233" w:rsidP="00407233">
      <w:pPr>
        <w:tabs>
          <w:tab w:val="left" w:pos="369"/>
        </w:tabs>
        <w:jc w:val="both"/>
        <w:rPr>
          <w:rFonts w:ascii="Times New Roman" w:hAnsi="Times New Roman"/>
          <w:b/>
          <w:noProof/>
          <w:sz w:val="24"/>
        </w:rPr>
      </w:pPr>
      <w:r>
        <w:rPr>
          <w:rFonts w:ascii="Times New Roman" w:hAnsi="Times New Roman"/>
          <w:b/>
          <w:noProof/>
          <w:sz w:val="24"/>
        </w:rPr>
        <w:t>a) Apturēšana</w:t>
      </w:r>
    </w:p>
    <w:p w:rsidR="00211065" w:rsidRPr="003E628F" w:rsidRDefault="00211065" w:rsidP="003E628F">
      <w:pPr>
        <w:jc w:val="both"/>
        <w:rPr>
          <w:rFonts w:ascii="Times New Roman" w:eastAsia="Times New Roman" w:hAnsi="Times New Roman" w:cs="Times New Roman"/>
          <w:b/>
          <w:bCs/>
          <w:noProof/>
          <w:sz w:val="24"/>
          <w:szCs w:val="20"/>
        </w:rPr>
      </w:pPr>
    </w:p>
    <w:p w:rsidR="00211065" w:rsidRPr="003E628F" w:rsidRDefault="00211065" w:rsidP="003E628F">
      <w:pPr>
        <w:pStyle w:val="Pamatteksts"/>
        <w:ind w:left="0"/>
        <w:jc w:val="both"/>
        <w:rPr>
          <w:noProof/>
        </w:rPr>
      </w:pPr>
      <w:r>
        <w:t>Pamatojoties uz SMK 23. panta 4. punkta b) apakšpunktu kompetentais muitas dienests aptur vienkāršojumu atļauju šādos gadījumos (DA 16. pants):</w:t>
      </w:r>
    </w:p>
    <w:p w:rsidR="00211065" w:rsidRPr="003E628F" w:rsidRDefault="00211065" w:rsidP="003E628F">
      <w:pPr>
        <w:jc w:val="both"/>
        <w:rPr>
          <w:rFonts w:ascii="Times New Roman" w:eastAsia="Times New Roman" w:hAnsi="Times New Roman" w:cs="Times New Roman"/>
          <w:noProof/>
          <w:sz w:val="24"/>
          <w:szCs w:val="21"/>
        </w:rPr>
      </w:pPr>
    </w:p>
    <w:p w:rsidR="00211065" w:rsidRPr="003E628F" w:rsidRDefault="00211065" w:rsidP="00407233">
      <w:pPr>
        <w:pStyle w:val="Pamatteksts"/>
        <w:numPr>
          <w:ilvl w:val="0"/>
          <w:numId w:val="63"/>
        </w:numPr>
        <w:tabs>
          <w:tab w:val="left" w:pos="709"/>
        </w:tabs>
        <w:ind w:left="709" w:hanging="709"/>
        <w:jc w:val="both"/>
        <w:rPr>
          <w:noProof/>
        </w:rPr>
      </w:pPr>
      <w:r>
        <w:t>muitas dienests uzskata, ka varētu būt pietiekami iemesli šā lēmuma anulēšanai, atcelšanai vai grozīšanai, bet tam vēl nav visu vajadzīgo elementu, lai lemtu par anulēšanu, atcelšanu vai grozīšanu;</w:t>
      </w:r>
    </w:p>
    <w:p w:rsidR="00211065" w:rsidRPr="003E628F" w:rsidRDefault="00211065" w:rsidP="00407233">
      <w:pPr>
        <w:pStyle w:val="Pamatteksts"/>
        <w:numPr>
          <w:ilvl w:val="0"/>
          <w:numId w:val="63"/>
        </w:numPr>
        <w:tabs>
          <w:tab w:val="left" w:pos="709"/>
        </w:tabs>
        <w:ind w:left="709" w:hanging="709"/>
        <w:jc w:val="both"/>
        <w:rPr>
          <w:noProof/>
        </w:rPr>
      </w:pPr>
      <w:r>
        <w:t xml:space="preserve">muitas dienests uzskata, ka nav izpildīti atļaujas izsniegšanas nosacījumi vai ka atļaujas turētājs neizpilda lēmumā paredzētos pienākumus, un ir atbilstoši turētājam </w:t>
      </w:r>
      <w:r>
        <w:lastRenderedPageBreak/>
        <w:t>atvēlēt laiku veikt pasākumus nosacījumu vai pienākumu izpildes nodrošināšanai;</w:t>
      </w:r>
    </w:p>
    <w:p w:rsidR="00211065" w:rsidRPr="003E628F" w:rsidRDefault="00211065" w:rsidP="00407233">
      <w:pPr>
        <w:pStyle w:val="Pamatteksts"/>
        <w:numPr>
          <w:ilvl w:val="0"/>
          <w:numId w:val="63"/>
        </w:numPr>
        <w:tabs>
          <w:tab w:val="left" w:pos="709"/>
        </w:tabs>
        <w:ind w:left="709" w:hanging="709"/>
        <w:jc w:val="both"/>
        <w:rPr>
          <w:noProof/>
        </w:rPr>
      </w:pPr>
      <w:r>
        <w:t>atļaujas turētājs pieprasa šādu apturēšanu, jo īslaicīgi nespēj izpildīt nosacījumus, kas saistīti ar lēmumu, vai ievērot šajā lēmumā paredzētos pienākumus.</w:t>
      </w:r>
    </w:p>
    <w:p w:rsidR="00407233" w:rsidRDefault="00407233" w:rsidP="003E628F">
      <w:pPr>
        <w:pStyle w:val="Virsraksts1"/>
        <w:jc w:val="both"/>
        <w:rPr>
          <w:noProof/>
        </w:rPr>
      </w:pPr>
    </w:p>
    <w:p w:rsidR="00211065" w:rsidRPr="003E628F" w:rsidRDefault="00211065" w:rsidP="003E628F">
      <w:pPr>
        <w:pStyle w:val="Virsraksts1"/>
        <w:jc w:val="both"/>
        <w:rPr>
          <w:noProof/>
        </w:rPr>
      </w:pPr>
      <w:bookmarkStart w:id="52" w:name="_Toc490734257"/>
      <w:r>
        <w:t>Lēmuma apturēšana nozīmē to, ka vienkāršojuma atļauja nav derīga noteiktā laika posmā.</w:t>
      </w:r>
      <w:bookmarkEnd w:id="52"/>
    </w:p>
    <w:p w:rsidR="00211065" w:rsidRPr="003E628F" w:rsidRDefault="00211065" w:rsidP="003E628F">
      <w:pPr>
        <w:jc w:val="both"/>
        <w:rPr>
          <w:rFonts w:ascii="Times New Roman" w:eastAsia="Times New Roman" w:hAnsi="Times New Roman" w:cs="Times New Roman"/>
          <w:b/>
          <w:bCs/>
          <w:noProof/>
          <w:sz w:val="24"/>
          <w:szCs w:val="20"/>
        </w:rPr>
      </w:pPr>
    </w:p>
    <w:p w:rsidR="00211065" w:rsidRDefault="00211065" w:rsidP="003E628F">
      <w:pPr>
        <w:pStyle w:val="Pamatteksts"/>
        <w:ind w:left="0"/>
        <w:jc w:val="both"/>
        <w:rPr>
          <w:noProof/>
        </w:rPr>
      </w:pPr>
      <w:r>
        <w:t>Izdarītie konstatējumi un vērtējums pirms lēmuma apturēšanas kompetentajam muitas dienestam ir jādara zināmi atļaujas turētājam. Atļaujas turētājam ir tiesības tikt uzklausītam un dota iespēja labot situāciju. Uzņēmējs var sniegt komentārus, veikt labojumus un pasākumus 30 dienu laikā pēc paziņošanas datuma (SMK DA 8. panta 1. punkts).</w:t>
      </w:r>
    </w:p>
    <w:p w:rsidR="00407233" w:rsidRPr="003E628F" w:rsidRDefault="00407233" w:rsidP="003E628F">
      <w:pPr>
        <w:pStyle w:val="Pamatteksts"/>
        <w:ind w:left="0"/>
        <w:jc w:val="both"/>
        <w:rPr>
          <w:noProof/>
        </w:rPr>
      </w:pPr>
    </w:p>
    <w:p w:rsidR="00211065" w:rsidRPr="003E628F" w:rsidRDefault="00211065" w:rsidP="003E628F">
      <w:pPr>
        <w:pStyle w:val="Pamatteksts"/>
        <w:ind w:left="0"/>
        <w:jc w:val="both"/>
        <w:rPr>
          <w:noProof/>
        </w:rPr>
      </w:pPr>
      <w:r>
        <w:t>Kompetentajam muitas dienestam ir ļoti rūpīgi jānovērtē apturēšanas ietekme. Apturēšana neietekmēs muitas procedūru, kas sākta pirms apturēšanas datuma un vēl nav pabeigta.</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Ja apturēšanas iemesls vairs nepastāv, apturēšanu atceļ. Ja apturēšanas iemesls joprojām pastāv, muitas iestādei jāapsver, vai atļauju atcelt vai grozīt.</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 xml:space="preserve">DA 30. panta 1. punktā noteikts, ja </w:t>
      </w:r>
      <w:r>
        <w:rPr>
          <w:i/>
        </w:rPr>
        <w:t>AEO</w:t>
      </w:r>
      <w:r>
        <w:t xml:space="preserve"> atļauja ir apturēta sakarā ar neatbilstību kādam no SMK 39. pantā minētajiem kritērijiem, tad jebkuru lēmumu, kas pieņemts attiecībā uz šo </w:t>
      </w:r>
      <w:r>
        <w:rPr>
          <w:i/>
        </w:rPr>
        <w:t>AEO</w:t>
      </w:r>
      <w:r>
        <w:t xml:space="preserve"> un ir saistīts ar </w:t>
      </w:r>
      <w:r>
        <w:rPr>
          <w:i/>
        </w:rPr>
        <w:t>AEO</w:t>
      </w:r>
      <w:r>
        <w:t xml:space="preserve"> atļauju kopumā vai ar kādu no konkrētajiem kritērijiem, kas lika apturēt </w:t>
      </w:r>
      <w:r>
        <w:rPr>
          <w:i/>
        </w:rPr>
        <w:t>AEO</w:t>
      </w:r>
      <w:r>
        <w:t xml:space="preserve"> atļauju, apturēs šo lēmumu pieņēmušais muitas dienests.</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jc w:val="both"/>
        <w:rPr>
          <w:rFonts w:ascii="Times New Roman" w:eastAsia="Times New Roman" w:hAnsi="Times New Roman" w:cs="Times New Roman"/>
          <w:i/>
          <w:noProof/>
          <w:color w:val="17365D"/>
          <w:sz w:val="24"/>
          <w:szCs w:val="24"/>
        </w:rPr>
      </w:pPr>
      <w:r>
        <w:rPr>
          <w:rFonts w:ascii="Times New Roman" w:hAnsi="Times New Roman"/>
          <w:i/>
          <w:noProof/>
          <w:color w:val="17365D"/>
          <w:sz w:val="24"/>
        </w:rPr>
        <w:t>Apturēšanas gadījumu piemēri ir sniegti AEO “vadlīniju” IV sadaļā.</w:t>
      </w:r>
    </w:p>
    <w:p w:rsidR="00211065" w:rsidRPr="003E628F" w:rsidRDefault="00211065" w:rsidP="003E628F">
      <w:pPr>
        <w:jc w:val="both"/>
        <w:rPr>
          <w:rFonts w:ascii="Times New Roman" w:eastAsia="Times New Roman" w:hAnsi="Times New Roman" w:cs="Times New Roman"/>
          <w:i/>
          <w:noProof/>
          <w:sz w:val="24"/>
          <w:szCs w:val="21"/>
        </w:rPr>
      </w:pPr>
    </w:p>
    <w:p w:rsidR="00211065" w:rsidRPr="003E628F" w:rsidRDefault="00407233" w:rsidP="00407233">
      <w:pPr>
        <w:pStyle w:val="Virsraksts1"/>
        <w:tabs>
          <w:tab w:val="left" w:pos="384"/>
        </w:tabs>
        <w:jc w:val="both"/>
        <w:rPr>
          <w:noProof/>
        </w:rPr>
      </w:pPr>
      <w:bookmarkStart w:id="53" w:name="_Toc490734258"/>
      <w:r>
        <w:t>b) Atcelšana</w:t>
      </w:r>
      <w:bookmarkEnd w:id="53"/>
    </w:p>
    <w:p w:rsidR="00211065" w:rsidRPr="003E628F" w:rsidRDefault="00211065" w:rsidP="003E628F">
      <w:pPr>
        <w:jc w:val="both"/>
        <w:rPr>
          <w:rFonts w:ascii="Times New Roman" w:eastAsia="Times New Roman" w:hAnsi="Times New Roman" w:cs="Times New Roman"/>
          <w:b/>
          <w:bCs/>
          <w:noProof/>
          <w:sz w:val="24"/>
          <w:szCs w:val="20"/>
        </w:rPr>
      </w:pPr>
    </w:p>
    <w:p w:rsidR="00211065" w:rsidRPr="003E628F" w:rsidRDefault="00211065" w:rsidP="003E628F">
      <w:pPr>
        <w:pStyle w:val="Pamatteksts"/>
        <w:ind w:left="0"/>
        <w:jc w:val="both"/>
        <w:rPr>
          <w:noProof/>
        </w:rPr>
      </w:pPr>
      <w:r>
        <w:t>Pamatojoties uz SMK 28. panta 1. punktu vienkāršojums ir jāatceļ:</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407233">
      <w:pPr>
        <w:pStyle w:val="Pamatteksts"/>
        <w:numPr>
          <w:ilvl w:val="0"/>
          <w:numId w:val="62"/>
        </w:numPr>
        <w:tabs>
          <w:tab w:val="left" w:pos="709"/>
        </w:tabs>
        <w:ind w:left="709" w:hanging="709"/>
        <w:jc w:val="both"/>
        <w:rPr>
          <w:noProof/>
        </w:rPr>
      </w:pPr>
      <w:r>
        <w:t>ja nav bijuši vai vairs netiek izpildīti viens vai vairāki lēmuma pieņemšanas nosacījumi;</w:t>
      </w:r>
    </w:p>
    <w:p w:rsidR="00211065" w:rsidRPr="003E628F" w:rsidRDefault="00211065" w:rsidP="00407233">
      <w:pPr>
        <w:pStyle w:val="Pamatteksts"/>
        <w:numPr>
          <w:ilvl w:val="0"/>
          <w:numId w:val="62"/>
        </w:numPr>
        <w:tabs>
          <w:tab w:val="left" w:pos="709"/>
        </w:tabs>
        <w:ind w:left="709" w:hanging="709"/>
        <w:jc w:val="both"/>
        <w:rPr>
          <w:noProof/>
        </w:rPr>
      </w:pPr>
      <w:r>
        <w:t>pēc lēmuma turētāja pieteikuma.</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Atcelšanu var veikt uzreiz vai pēc apturēšanas laikposma beigām (DA 18. panta 1. punkta c) apakšpunkts). Atcelšana pēc muitas dienestu iniciatīvas ir muitas lēmums, un uzņēmējam ir tiesības tikt uzklausītam, lai tas varētu paust viedokli atbilstīgi SMK 22. panta 6. punktam. Tāpēc atļaujas turētājam dara zināmu jebkuru konstatējumu, vērtējumu un faktu, ka attiecīgais novērtējums var būt par pamatu atļaujas atcelšanai.</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 xml:space="preserve">Ja </w:t>
      </w:r>
      <w:r>
        <w:rPr>
          <w:i/>
        </w:rPr>
        <w:t>AEOC</w:t>
      </w:r>
      <w:r>
        <w:t xml:space="preserve"> statuss ir izvirzīts kā prasība, kas jāizpilda, lai varētu saņemt vienkāršojumu (</w:t>
      </w:r>
      <w:r>
        <w:rPr>
          <w:i/>
        </w:rPr>
        <w:t>EIDR</w:t>
      </w:r>
      <w:r>
        <w:t xml:space="preserve"> ar atbrīvojumu, pašnovērtējums un centralizētā muitošana), vienkāršojums ir jāaptur vai jāatceļ šā statusa apturēšanas vai atcelšanas gadījumā.</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Ja muitas dienests lemj par apturēšanu vai atcelšanu, lēmums ir jāpieņem atbilstīgi nepieciešamo nosacījumu neievērošanas līmenim.</w:t>
      </w:r>
    </w:p>
    <w:p w:rsidR="00211065" w:rsidRPr="003E628F" w:rsidRDefault="00211065" w:rsidP="003E628F">
      <w:pPr>
        <w:jc w:val="both"/>
        <w:rPr>
          <w:rFonts w:ascii="Times New Roman" w:eastAsia="Times New Roman" w:hAnsi="Times New Roman" w:cs="Times New Roman"/>
          <w:noProof/>
          <w:sz w:val="24"/>
          <w:szCs w:val="21"/>
        </w:rPr>
      </w:pPr>
    </w:p>
    <w:p w:rsidR="00211065" w:rsidRPr="003E628F" w:rsidRDefault="00407233" w:rsidP="00407233">
      <w:pPr>
        <w:pStyle w:val="Virsraksts1"/>
        <w:tabs>
          <w:tab w:val="left" w:pos="355"/>
        </w:tabs>
        <w:jc w:val="both"/>
        <w:rPr>
          <w:noProof/>
        </w:rPr>
      </w:pPr>
      <w:bookmarkStart w:id="54" w:name="_Toc490734259"/>
      <w:r>
        <w:t>c) Anulēšana</w:t>
      </w:r>
      <w:bookmarkEnd w:id="54"/>
    </w:p>
    <w:p w:rsidR="00211065" w:rsidRPr="003E628F" w:rsidRDefault="00211065" w:rsidP="003E628F">
      <w:pPr>
        <w:jc w:val="both"/>
        <w:rPr>
          <w:rFonts w:ascii="Times New Roman" w:eastAsia="Times New Roman" w:hAnsi="Times New Roman" w:cs="Times New Roman"/>
          <w:b/>
          <w:bCs/>
          <w:noProof/>
          <w:sz w:val="24"/>
          <w:szCs w:val="20"/>
        </w:rPr>
      </w:pPr>
    </w:p>
    <w:p w:rsidR="00211065" w:rsidRPr="003E628F" w:rsidRDefault="00211065" w:rsidP="003E628F">
      <w:pPr>
        <w:pStyle w:val="Pamatteksts"/>
        <w:ind w:left="0"/>
        <w:jc w:val="both"/>
        <w:rPr>
          <w:noProof/>
        </w:rPr>
      </w:pPr>
      <w:r>
        <w:t>Saskaņā ar SMK 27. pantu muitas dienesti anulē vienkāršojuma atļaujas turētājam labvēlīgu lēmumu, ja tiek izpildīti visi turpmāk minētie nosacījumi:</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407233" w:rsidP="00407233">
      <w:pPr>
        <w:pStyle w:val="Pamatteksts"/>
        <w:tabs>
          <w:tab w:val="left" w:pos="434"/>
        </w:tabs>
        <w:ind w:left="0"/>
        <w:jc w:val="both"/>
        <w:rPr>
          <w:noProof/>
        </w:rPr>
      </w:pPr>
      <w:r>
        <w:lastRenderedPageBreak/>
        <w:t>a) lēmums tika pieņemts, pamatojoties uz nepatiesu vai nepilnīgu informāciju;</w:t>
      </w:r>
    </w:p>
    <w:p w:rsidR="00407233" w:rsidRDefault="00407233" w:rsidP="00407233">
      <w:pPr>
        <w:pStyle w:val="Pamatteksts"/>
        <w:tabs>
          <w:tab w:val="left" w:pos="527"/>
        </w:tabs>
        <w:ind w:left="0"/>
        <w:jc w:val="both"/>
        <w:rPr>
          <w:rFonts w:cs="Times New Roman"/>
          <w:noProof/>
          <w:szCs w:val="20"/>
        </w:rPr>
      </w:pPr>
    </w:p>
    <w:p w:rsidR="00211065" w:rsidRPr="003E628F" w:rsidRDefault="00407233" w:rsidP="00407233">
      <w:pPr>
        <w:pStyle w:val="Pamatteksts"/>
        <w:tabs>
          <w:tab w:val="left" w:pos="527"/>
        </w:tabs>
        <w:ind w:left="0"/>
        <w:jc w:val="both"/>
        <w:rPr>
          <w:noProof/>
        </w:rPr>
      </w:pPr>
      <w:r>
        <w:t>b) lēmuma turētājs zināja vai viņam būtu bijis jāzina, ka informācija ir nepatiesa vai nepilnīga;</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407233" w:rsidP="00407233">
      <w:pPr>
        <w:pStyle w:val="Pamatteksts"/>
        <w:tabs>
          <w:tab w:val="left" w:pos="496"/>
        </w:tabs>
        <w:ind w:left="0"/>
        <w:jc w:val="both"/>
        <w:rPr>
          <w:noProof/>
        </w:rPr>
      </w:pPr>
      <w:r>
        <w:t>c) ja informācija būtu bijusi patiesa un pilnīga, tiktu pieņemts cits lēmums.</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Atļaujas turētāju informē par šo anulēšanu.</w:t>
      </w:r>
    </w:p>
    <w:p w:rsidR="00211065" w:rsidRPr="003E628F" w:rsidRDefault="00211065" w:rsidP="003E628F">
      <w:pPr>
        <w:jc w:val="both"/>
        <w:rPr>
          <w:rFonts w:ascii="Times New Roman" w:eastAsia="Times New Roman" w:hAnsi="Times New Roman" w:cs="Times New Roman"/>
          <w:noProof/>
          <w:sz w:val="24"/>
          <w:szCs w:val="20"/>
        </w:rPr>
      </w:pPr>
    </w:p>
    <w:p w:rsidR="00211065" w:rsidRDefault="00211065" w:rsidP="003E628F">
      <w:pPr>
        <w:pStyle w:val="Pamatteksts"/>
        <w:ind w:left="0"/>
        <w:jc w:val="both"/>
        <w:rPr>
          <w:noProof/>
        </w:rPr>
      </w:pPr>
      <w:r>
        <w:t>Anulēšana stājas spēkā no dienas, kad stājās spēkā sākotnējais lēmums.</w:t>
      </w:r>
    </w:p>
    <w:p w:rsidR="00407233" w:rsidRPr="003E628F" w:rsidRDefault="00407233" w:rsidP="003E628F">
      <w:pPr>
        <w:pStyle w:val="Pamatteksts"/>
        <w:ind w:left="0"/>
        <w:jc w:val="both"/>
        <w:rPr>
          <w:noProof/>
        </w:rPr>
      </w:pPr>
    </w:p>
    <w:p w:rsidR="00211065" w:rsidRPr="009F0223" w:rsidRDefault="00407233" w:rsidP="009F0223">
      <w:pPr>
        <w:pStyle w:val="Virsraksts2"/>
        <w:rPr>
          <w:b/>
        </w:rPr>
      </w:pPr>
      <w:bookmarkStart w:id="55" w:name="_Toc490734260"/>
      <w:r w:rsidRPr="009F0223">
        <w:rPr>
          <w:b/>
        </w:rPr>
        <w:t>2.2. Jauni pieteikumi attiecībā uz vienkāršoto deklarāciju</w:t>
      </w:r>
      <w:bookmarkStart w:id="56" w:name="_bookmark18"/>
      <w:bookmarkEnd w:id="56"/>
      <w:bookmarkEnd w:id="55"/>
    </w:p>
    <w:p w:rsidR="00211065" w:rsidRPr="003E628F" w:rsidRDefault="00211065" w:rsidP="003E628F">
      <w:pPr>
        <w:jc w:val="both"/>
        <w:rPr>
          <w:rFonts w:ascii="Times New Roman" w:eastAsia="Times New Roman" w:hAnsi="Times New Roman" w:cs="Times New Roman"/>
          <w:b/>
          <w:bCs/>
          <w:i/>
          <w:noProof/>
          <w:sz w:val="24"/>
          <w:szCs w:val="20"/>
        </w:rPr>
      </w:pPr>
    </w:p>
    <w:p w:rsidR="00211065" w:rsidRPr="009F0223" w:rsidRDefault="00407233" w:rsidP="009F0223">
      <w:pPr>
        <w:pStyle w:val="Virsraksts2"/>
        <w:rPr>
          <w:b/>
        </w:rPr>
      </w:pPr>
      <w:bookmarkStart w:id="57" w:name="_Toc490734261"/>
      <w:r w:rsidRPr="009F0223">
        <w:rPr>
          <w:b/>
        </w:rPr>
        <w:t>2.2.1. Vienkāršotās deklarācijas veidi</w:t>
      </w:r>
      <w:bookmarkStart w:id="58" w:name="_bookmark19"/>
      <w:bookmarkEnd w:id="58"/>
      <w:bookmarkEnd w:id="57"/>
    </w:p>
    <w:p w:rsidR="00211065" w:rsidRPr="003E628F" w:rsidRDefault="00211065" w:rsidP="003E628F">
      <w:pPr>
        <w:jc w:val="both"/>
        <w:rPr>
          <w:rFonts w:ascii="Times New Roman" w:eastAsia="Times New Roman" w:hAnsi="Times New Roman" w:cs="Times New Roman"/>
          <w:b/>
          <w:bCs/>
          <w:i/>
          <w:noProof/>
          <w:sz w:val="24"/>
          <w:szCs w:val="20"/>
        </w:rPr>
      </w:pPr>
    </w:p>
    <w:p w:rsidR="00211065" w:rsidRPr="003E628F" w:rsidRDefault="00211065" w:rsidP="003E628F">
      <w:pPr>
        <w:pStyle w:val="Pamatteksts"/>
        <w:ind w:left="0"/>
        <w:jc w:val="both"/>
        <w:rPr>
          <w:noProof/>
        </w:rPr>
      </w:pPr>
      <w:r>
        <w:t>No 2016. gada 1. maija nepilnīgās un vienkāršotās deklarācijas kļūs par vienotu procedūru, dēvētu par “vienkāršoto deklarāciju”.</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 xml:space="preserve">Vienkāršotās deklarācijas atļaujas ietver gadījumus, kad atsevišķi deklarācijas dati (atsevišķi datu elementi) vai dokumenti (vai abi) netiek iesniegti muitas deklarācijas iesniegšanas brīdī. IT pārejas periodā vienkāršoto deklarāciju joprojām var noformēt kā administratīvu dokumentu vai komercdokumentu saskaņā ar </w:t>
      </w:r>
      <w:r>
        <w:rPr>
          <w:i/>
        </w:rPr>
        <w:t>TDA</w:t>
      </w:r>
      <w:r>
        <w:t xml:space="preserve"> 16. panta 2. punktu.</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407233" w:rsidP="00407233">
      <w:pPr>
        <w:pStyle w:val="Pamatteksts"/>
        <w:tabs>
          <w:tab w:val="left" w:pos="256"/>
        </w:tabs>
        <w:ind w:left="0"/>
        <w:jc w:val="both"/>
        <w:rPr>
          <w:noProof/>
        </w:rPr>
      </w:pPr>
      <w:r>
        <w:rPr>
          <w:b/>
          <w:noProof/>
        </w:rPr>
        <w:t>- Neregulāra izmantošana</w:t>
      </w:r>
      <w:r>
        <w:t xml:space="preserve"> (iepriekš – nepilnīga deklarācija): muitas dienesti var pieņemt vai nepieņemt deklarāciju (SMK 166. pants), kurā nav sniegti noteikti dati un/vai nepieciešamie dokumenti, vērtējot katru gadījumu atsevišķi un nepieprasot šādas deklarācijas iesniegšanas atļauju.</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407233" w:rsidP="00407233">
      <w:pPr>
        <w:pStyle w:val="Pamatteksts"/>
        <w:tabs>
          <w:tab w:val="left" w:pos="314"/>
        </w:tabs>
        <w:ind w:left="0"/>
        <w:jc w:val="both"/>
        <w:rPr>
          <w:noProof/>
        </w:rPr>
      </w:pPr>
      <w:r>
        <w:rPr>
          <w:b/>
          <w:noProof/>
        </w:rPr>
        <w:t>- Regulāra izmantošana</w:t>
      </w:r>
      <w:r>
        <w:t xml:space="preserve"> (iepriekš – vienkāršotā deklarācija): muitas iestādes var izsniegt atļauju regulāri iesniegt tādu deklarāciju, kurā nav sniegti noteikti dati un/vai nepieciešamie dokumenti.</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jc w:val="both"/>
        <w:rPr>
          <w:rFonts w:ascii="Times New Roman" w:eastAsia="Times New Roman" w:hAnsi="Times New Roman" w:cs="Times New Roman"/>
          <w:noProof/>
          <w:sz w:val="24"/>
          <w:szCs w:val="24"/>
        </w:rPr>
      </w:pPr>
      <w:r>
        <w:rPr>
          <w:rFonts w:ascii="Times New Roman" w:hAnsi="Times New Roman"/>
          <w:i/>
          <w:noProof/>
          <w:color w:val="49442A"/>
          <w:sz w:val="24"/>
          <w:u w:val="single" w:color="49442A"/>
        </w:rPr>
        <w:t xml:space="preserve">Jāņem vērā! </w:t>
      </w:r>
      <w:r>
        <w:rPr>
          <w:rFonts w:ascii="Times New Roman" w:hAnsi="Times New Roman"/>
          <w:i/>
          <w:noProof/>
          <w:color w:val="49442A"/>
          <w:sz w:val="24"/>
        </w:rPr>
        <w:t xml:space="preserve">Regulāru vai neregulāru izmantošanu nav iespējams precīzi noteikt skaitliskā izteiksmē. Tomēr var būt iespējams pienākumu uzrādīt atļauju saistīt ar </w:t>
      </w:r>
      <w:r>
        <w:rPr>
          <w:rFonts w:ascii="Times New Roman" w:hAnsi="Times New Roman"/>
          <w:b/>
          <w:i/>
          <w:noProof/>
          <w:color w:val="49442A"/>
          <w:sz w:val="24"/>
        </w:rPr>
        <w:t>apkopojošu un periodisku</w:t>
      </w:r>
      <w:r>
        <w:rPr>
          <w:rFonts w:ascii="Times New Roman" w:hAnsi="Times New Roman"/>
          <w:i/>
          <w:noProof/>
          <w:color w:val="49442A"/>
          <w:sz w:val="24"/>
        </w:rPr>
        <w:t xml:space="preserve"> papildu deklarāciju gadījumiem.</w:t>
      </w:r>
    </w:p>
    <w:p w:rsidR="00211065" w:rsidRPr="003E628F" w:rsidRDefault="00211065" w:rsidP="003E628F">
      <w:pPr>
        <w:jc w:val="both"/>
        <w:rPr>
          <w:rFonts w:ascii="Times New Roman" w:eastAsia="Times New Roman" w:hAnsi="Times New Roman" w:cs="Times New Roman"/>
          <w:i/>
          <w:noProof/>
          <w:sz w:val="24"/>
          <w:szCs w:val="21"/>
        </w:rPr>
      </w:pPr>
    </w:p>
    <w:p w:rsidR="00211065" w:rsidRPr="009F0223" w:rsidRDefault="00407233" w:rsidP="009F0223">
      <w:pPr>
        <w:pStyle w:val="Virsraksts2"/>
        <w:rPr>
          <w:b/>
        </w:rPr>
      </w:pPr>
      <w:bookmarkStart w:id="59" w:name="_Toc490734262"/>
      <w:r w:rsidRPr="009F0223">
        <w:rPr>
          <w:b/>
        </w:rPr>
        <w:t>2.2.2. Vienkāršoto deklarāciju datu prasības</w:t>
      </w:r>
      <w:bookmarkStart w:id="60" w:name="_bookmark20"/>
      <w:bookmarkEnd w:id="60"/>
      <w:bookmarkEnd w:id="59"/>
    </w:p>
    <w:p w:rsidR="00211065" w:rsidRPr="003E628F" w:rsidRDefault="00211065" w:rsidP="003E628F">
      <w:pPr>
        <w:jc w:val="both"/>
        <w:rPr>
          <w:rFonts w:ascii="Times New Roman" w:eastAsia="Times New Roman" w:hAnsi="Times New Roman" w:cs="Times New Roman"/>
          <w:b/>
          <w:bCs/>
          <w:i/>
          <w:noProof/>
          <w:sz w:val="24"/>
          <w:szCs w:val="20"/>
        </w:rPr>
      </w:pPr>
    </w:p>
    <w:p w:rsidR="00211065" w:rsidRPr="003E628F" w:rsidRDefault="00211065" w:rsidP="003E628F">
      <w:pPr>
        <w:pStyle w:val="Pamatteksts"/>
        <w:ind w:left="0"/>
        <w:jc w:val="both"/>
        <w:rPr>
          <w:noProof/>
        </w:rPr>
      </w:pPr>
      <w:r>
        <w:t>Datu prasības gadījumā, kad vienkāršotā deklarācija tiek izmantota regulāri, neatšķiras no datu prasībām vienkāršotās deklarācijas neregulāras izmantošanas gadījumā. Tomēr regulāras izmantošanas gadījumā dalībvalsts var atlikt atsevišķu datu prasību piemērošanu līdz papildu deklarācijai.</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Pēc pārejas perioda beigām vienkāršotajai deklarācijai ir jāatbilst datu prasībām, kas noteiktas DA B pielikuma C1 ailē attiecībā uz eksportu vai I1 ailē attiecībā uz importu.</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Importa gadījumā vienkāršotajā deklarācijā sniedz arī informāciju par atliktā maksājuma atļauju.</w:t>
      </w:r>
    </w:p>
    <w:p w:rsidR="009F0223" w:rsidRDefault="009F0223">
      <w:pPr>
        <w:rPr>
          <w:rFonts w:ascii="Times New Roman" w:eastAsia="Times New Roman" w:hAnsi="Times New Roman" w:cs="Times New Roman"/>
          <w:noProof/>
          <w:sz w:val="24"/>
          <w:szCs w:val="21"/>
        </w:rPr>
      </w:pPr>
      <w:r>
        <w:rPr>
          <w:rFonts w:ascii="Times New Roman" w:eastAsia="Times New Roman" w:hAnsi="Times New Roman" w:cs="Times New Roman"/>
          <w:noProof/>
          <w:sz w:val="24"/>
          <w:szCs w:val="21"/>
        </w:rPr>
        <w:br w:type="page"/>
      </w:r>
    </w:p>
    <w:p w:rsidR="00211065" w:rsidRPr="003E628F" w:rsidRDefault="00211065" w:rsidP="003E628F">
      <w:pPr>
        <w:jc w:val="both"/>
        <w:rPr>
          <w:rFonts w:ascii="Times New Roman" w:eastAsia="Times New Roman" w:hAnsi="Times New Roman" w:cs="Times New Roman"/>
          <w:noProof/>
          <w:sz w:val="24"/>
          <w:szCs w:val="21"/>
        </w:rPr>
      </w:pPr>
    </w:p>
    <w:p w:rsidR="00211065" w:rsidRPr="009F0223" w:rsidRDefault="00407233" w:rsidP="009F0223">
      <w:pPr>
        <w:pStyle w:val="Virsraksts2"/>
        <w:rPr>
          <w:b/>
        </w:rPr>
      </w:pPr>
      <w:bookmarkStart w:id="61" w:name="_Toc490734263"/>
      <w:r w:rsidRPr="009F0223">
        <w:rPr>
          <w:b/>
        </w:rPr>
        <w:t>2.2.3. Nosacījumi un kritēriji atļaujas izsniegšanai saskaņā ar SMK un iepriekšējā auditā pārbaudāmie jautājumi</w:t>
      </w:r>
      <w:bookmarkStart w:id="62" w:name="_bookmark21"/>
      <w:bookmarkEnd w:id="62"/>
      <w:bookmarkEnd w:id="61"/>
    </w:p>
    <w:p w:rsidR="00211065" w:rsidRPr="003E628F" w:rsidRDefault="00211065" w:rsidP="003E628F">
      <w:pPr>
        <w:jc w:val="both"/>
        <w:rPr>
          <w:rFonts w:ascii="Times New Roman" w:eastAsia="Times New Roman" w:hAnsi="Times New Roman" w:cs="Times New Roman"/>
          <w:b/>
          <w:bCs/>
          <w:i/>
          <w:noProof/>
          <w:sz w:val="24"/>
          <w:szCs w:val="20"/>
        </w:rPr>
      </w:pPr>
    </w:p>
    <w:p w:rsidR="00211065" w:rsidRPr="003E628F" w:rsidRDefault="00407233" w:rsidP="00407233">
      <w:pPr>
        <w:tabs>
          <w:tab w:val="left" w:pos="369"/>
        </w:tabs>
        <w:jc w:val="both"/>
        <w:rPr>
          <w:rFonts w:ascii="Times New Roman" w:hAnsi="Times New Roman"/>
          <w:b/>
          <w:noProof/>
          <w:sz w:val="24"/>
        </w:rPr>
      </w:pPr>
      <w:r>
        <w:rPr>
          <w:rFonts w:ascii="Times New Roman" w:hAnsi="Times New Roman"/>
          <w:b/>
          <w:noProof/>
          <w:sz w:val="24"/>
        </w:rPr>
        <w:t>a) Vienkāršoto muitas deklarāciju regulāras izmantošanas nosacījumi</w:t>
      </w:r>
    </w:p>
    <w:p w:rsidR="00211065" w:rsidRPr="003E628F" w:rsidRDefault="00211065" w:rsidP="003E628F">
      <w:pPr>
        <w:jc w:val="both"/>
        <w:rPr>
          <w:rFonts w:ascii="Times New Roman" w:eastAsia="Times New Roman" w:hAnsi="Times New Roman" w:cs="Times New Roman"/>
          <w:b/>
          <w:bCs/>
          <w:noProof/>
          <w:sz w:val="24"/>
          <w:szCs w:val="20"/>
        </w:rPr>
      </w:pPr>
    </w:p>
    <w:p w:rsidR="00211065" w:rsidRPr="003E628F" w:rsidRDefault="00211065" w:rsidP="003E628F">
      <w:pPr>
        <w:pStyle w:val="Pamatteksts"/>
        <w:ind w:left="0"/>
        <w:jc w:val="both"/>
        <w:rPr>
          <w:noProof/>
        </w:rPr>
      </w:pPr>
      <w:r>
        <w:t xml:space="preserve">DA 145. pantā minētie nosacījumi, kas jāizpilda, lai saņemtu vienkāršotās deklarācijas atļauju, ir savienoti ar dažām </w:t>
      </w:r>
      <w:r>
        <w:rPr>
          <w:i/>
        </w:rPr>
        <w:t>AEO</w:t>
      </w:r>
      <w:r>
        <w:t xml:space="preserve"> kritēriju daļām, kas ir izklāstītas Kodeksa 39. pantā un ĪA 24. un 25. pantā. Kā parādīts turpmākajā tabulā, šie nosacījumi ir tādi paši kā dažas ĪA izklāstīto </w:t>
      </w:r>
      <w:r>
        <w:rPr>
          <w:i/>
        </w:rPr>
        <w:t>AEO</w:t>
      </w:r>
      <w:r>
        <w:t xml:space="preserve"> kritēriju daļas. Attiecīgi </w:t>
      </w:r>
      <w:r>
        <w:rPr>
          <w:i/>
        </w:rPr>
        <w:t>AEO</w:t>
      </w:r>
      <w:r>
        <w:t xml:space="preserve"> vadlīnijās ir sniegta pilnīga informācija par to, kā tiek novērtēta atbilstība dažādiem atļaujas regulāri izmantot vienkāršoto deklarāciju saņemšanas kritērijiem un nosacījumiem un kā šādus kritērijus un nosacījumus var uzskatīt par izpildītiem.</w:t>
      </w:r>
    </w:p>
    <w:p w:rsidR="00211065" w:rsidRPr="003E628F" w:rsidRDefault="00211065" w:rsidP="003E628F">
      <w:pPr>
        <w:jc w:val="both"/>
        <w:rPr>
          <w:rFonts w:ascii="Times New Roman" w:eastAsia="Times New Roman" w:hAnsi="Times New Roman" w:cs="Times New Roman"/>
          <w:noProof/>
          <w:sz w:val="24"/>
          <w:szCs w:val="7"/>
        </w:rPr>
      </w:pPr>
    </w:p>
    <w:tbl>
      <w:tblPr>
        <w:tblW w:w="5000" w:type="pct"/>
        <w:tblCellMar>
          <w:top w:w="28" w:type="dxa"/>
          <w:left w:w="28" w:type="dxa"/>
          <w:bottom w:w="28" w:type="dxa"/>
          <w:right w:w="28" w:type="dxa"/>
        </w:tblCellMar>
        <w:tblLook w:val="01E0" w:firstRow="1" w:lastRow="1" w:firstColumn="1" w:lastColumn="1" w:noHBand="0" w:noVBand="0"/>
      </w:tblPr>
      <w:tblGrid>
        <w:gridCol w:w="7212"/>
        <w:gridCol w:w="1919"/>
      </w:tblGrid>
      <w:tr w:rsidR="00211065" w:rsidRPr="003E628F" w:rsidTr="00407233">
        <w:trPr>
          <w:trHeight w:hRule="exact" w:val="1450"/>
        </w:trPr>
        <w:tc>
          <w:tcPr>
            <w:tcW w:w="3949" w:type="pct"/>
            <w:tcBorders>
              <w:top w:val="single" w:sz="5" w:space="0" w:color="000000"/>
              <w:left w:val="single" w:sz="5" w:space="0" w:color="000000"/>
              <w:bottom w:val="single" w:sz="5" w:space="0" w:color="000000"/>
              <w:right w:val="single" w:sz="5" w:space="0" w:color="000000"/>
            </w:tcBorders>
            <w:shd w:val="clear" w:color="auto" w:fill="E4DFEB"/>
          </w:tcPr>
          <w:p w:rsidR="00211065" w:rsidRPr="003E628F" w:rsidRDefault="00211065" w:rsidP="003E628F">
            <w:pPr>
              <w:pStyle w:val="TableParagraph"/>
              <w:jc w:val="both"/>
              <w:rPr>
                <w:rFonts w:ascii="Times New Roman" w:hAnsi="Times New Roman"/>
                <w:noProof/>
                <w:sz w:val="24"/>
              </w:rPr>
            </w:pPr>
            <w:r>
              <w:rPr>
                <w:rFonts w:ascii="Times New Roman" w:hAnsi="Times New Roman"/>
                <w:noProof/>
                <w:sz w:val="24"/>
              </w:rPr>
              <w:t>Izpildāmie nosacījumi (DA 145. pants)</w:t>
            </w:r>
          </w:p>
        </w:tc>
        <w:tc>
          <w:tcPr>
            <w:tcW w:w="1051" w:type="pct"/>
            <w:tcBorders>
              <w:top w:val="single" w:sz="5" w:space="0" w:color="000000"/>
              <w:left w:val="single" w:sz="5" w:space="0" w:color="000000"/>
              <w:bottom w:val="single" w:sz="5" w:space="0" w:color="000000"/>
              <w:right w:val="single" w:sz="5" w:space="0" w:color="000000"/>
            </w:tcBorders>
            <w:shd w:val="clear" w:color="auto" w:fill="E4DFEB"/>
          </w:tcPr>
          <w:p w:rsidR="00211065" w:rsidRPr="003E628F" w:rsidRDefault="00211065" w:rsidP="003E628F">
            <w:pPr>
              <w:pStyle w:val="TableParagraph"/>
              <w:jc w:val="both"/>
              <w:rPr>
                <w:rFonts w:ascii="Times New Roman" w:hAnsi="Times New Roman"/>
                <w:noProof/>
                <w:sz w:val="24"/>
              </w:rPr>
            </w:pPr>
            <w:r>
              <w:rPr>
                <w:rFonts w:ascii="Times New Roman" w:hAnsi="Times New Roman"/>
                <w:noProof/>
                <w:sz w:val="24"/>
              </w:rPr>
              <w:t xml:space="preserve">Atsauces uz ĪA saistībā ar </w:t>
            </w:r>
            <w:r>
              <w:rPr>
                <w:rFonts w:ascii="Times New Roman" w:hAnsi="Times New Roman"/>
                <w:i/>
                <w:noProof/>
                <w:sz w:val="24"/>
              </w:rPr>
              <w:t>AEO</w:t>
            </w:r>
            <w:r>
              <w:rPr>
                <w:rFonts w:ascii="Times New Roman" w:hAnsi="Times New Roman"/>
                <w:noProof/>
                <w:sz w:val="24"/>
              </w:rPr>
              <w:t xml:space="preserve"> kritērijiem</w:t>
            </w:r>
          </w:p>
        </w:tc>
      </w:tr>
      <w:tr w:rsidR="00211065" w:rsidRPr="003E628F" w:rsidTr="00407233">
        <w:trPr>
          <w:trHeight w:hRule="exact" w:val="1354"/>
        </w:trPr>
        <w:tc>
          <w:tcPr>
            <w:tcW w:w="3949" w:type="pct"/>
            <w:tcBorders>
              <w:top w:val="single" w:sz="5" w:space="0" w:color="000000"/>
              <w:left w:val="single" w:sz="5" w:space="0" w:color="000000"/>
              <w:bottom w:val="single" w:sz="5" w:space="0" w:color="000000"/>
              <w:right w:val="single" w:sz="5" w:space="0" w:color="000000"/>
            </w:tcBorders>
            <w:shd w:val="clear" w:color="auto" w:fill="E4DFEB"/>
          </w:tcPr>
          <w:p w:rsidR="00211065" w:rsidRPr="003E628F" w:rsidRDefault="00211065" w:rsidP="003E628F">
            <w:pPr>
              <w:pStyle w:val="TableParagraph"/>
              <w:jc w:val="both"/>
              <w:rPr>
                <w:rFonts w:ascii="Times New Roman" w:eastAsia="Times New Roman" w:hAnsi="Times New Roman" w:cs="Times New Roman"/>
                <w:noProof/>
                <w:sz w:val="24"/>
                <w:szCs w:val="24"/>
              </w:rPr>
            </w:pPr>
            <w:r>
              <w:rPr>
                <w:rFonts w:ascii="Times New Roman" w:hAnsi="Times New Roman"/>
                <w:noProof/>
                <w:sz w:val="24"/>
              </w:rPr>
              <w:t>DA 145. panta 1. punkta a) apakšpunkts: kritērijs, kas noteikts Kodeksa 39. panta a) punktā (nav tiesību aktu muitas jomā un nodokļu noteikumu nopietnu vai atkārtotu pārkāpumu, tostarp nav smagu noziedzīgu nodarījumu, kas saistīti ar pieteikuma iesniedzēja saimniecisko darbību)</w:t>
            </w:r>
          </w:p>
        </w:tc>
        <w:tc>
          <w:tcPr>
            <w:tcW w:w="1051" w:type="pct"/>
            <w:tcBorders>
              <w:top w:val="single" w:sz="5" w:space="0" w:color="000000"/>
              <w:left w:val="single" w:sz="5" w:space="0" w:color="000000"/>
              <w:bottom w:val="single" w:sz="5" w:space="0" w:color="000000"/>
              <w:right w:val="single" w:sz="5" w:space="0" w:color="000000"/>
            </w:tcBorders>
            <w:shd w:val="clear" w:color="auto" w:fill="E4DFEB"/>
          </w:tcPr>
          <w:p w:rsidR="00211065" w:rsidRPr="003E628F" w:rsidRDefault="00211065" w:rsidP="003E628F">
            <w:pPr>
              <w:pStyle w:val="TableParagraph"/>
              <w:jc w:val="both"/>
              <w:rPr>
                <w:rFonts w:ascii="Times New Roman" w:hAnsi="Times New Roman"/>
                <w:noProof/>
                <w:sz w:val="24"/>
              </w:rPr>
            </w:pPr>
            <w:r>
              <w:rPr>
                <w:rFonts w:ascii="Times New Roman" w:hAnsi="Times New Roman"/>
                <w:noProof/>
                <w:sz w:val="24"/>
              </w:rPr>
              <w:t>ĪA 24. pants</w:t>
            </w:r>
          </w:p>
        </w:tc>
      </w:tr>
      <w:tr w:rsidR="00211065" w:rsidRPr="003E628F" w:rsidTr="00407233">
        <w:trPr>
          <w:trHeight w:hRule="exact" w:val="1354"/>
        </w:trPr>
        <w:tc>
          <w:tcPr>
            <w:tcW w:w="3949" w:type="pct"/>
            <w:tcBorders>
              <w:top w:val="single" w:sz="5" w:space="0" w:color="000000"/>
              <w:left w:val="single" w:sz="5" w:space="0" w:color="000000"/>
              <w:bottom w:val="single" w:sz="5" w:space="0" w:color="000000"/>
              <w:right w:val="single" w:sz="5" w:space="0" w:color="000000"/>
            </w:tcBorders>
            <w:shd w:val="clear" w:color="auto" w:fill="E4DFEB"/>
          </w:tcPr>
          <w:p w:rsidR="00211065" w:rsidRPr="003E628F" w:rsidRDefault="00211065" w:rsidP="003E628F">
            <w:pPr>
              <w:pStyle w:val="TableParagraph"/>
              <w:jc w:val="both"/>
              <w:rPr>
                <w:rFonts w:ascii="Times New Roman" w:eastAsia="Times New Roman" w:hAnsi="Times New Roman" w:cs="Times New Roman"/>
                <w:noProof/>
                <w:sz w:val="24"/>
                <w:szCs w:val="24"/>
              </w:rPr>
            </w:pPr>
            <w:r>
              <w:rPr>
                <w:rFonts w:ascii="Times New Roman" w:hAnsi="Times New Roman"/>
                <w:noProof/>
                <w:sz w:val="24"/>
              </w:rPr>
              <w:t>DA 145. panta 1. punkta b) apakšpunkts: attiecīgā gadījumā pieteikuma iesniedzēja rīcībā ir atbilstošas procedūras tādu licenču un atļauju apstrādei, kas ir piešķirtas saskaņā ar tirdzniecības politikas pasākumiem vai saistībā ar lauksaimniecības produktu tirdzniecību</w:t>
            </w:r>
          </w:p>
        </w:tc>
        <w:tc>
          <w:tcPr>
            <w:tcW w:w="1051" w:type="pct"/>
            <w:tcBorders>
              <w:top w:val="single" w:sz="5" w:space="0" w:color="000000"/>
              <w:left w:val="single" w:sz="5" w:space="0" w:color="000000"/>
              <w:bottom w:val="single" w:sz="5" w:space="0" w:color="000000"/>
              <w:right w:val="single" w:sz="5" w:space="0" w:color="000000"/>
            </w:tcBorders>
            <w:shd w:val="clear" w:color="auto" w:fill="E4DFEB"/>
          </w:tcPr>
          <w:p w:rsidR="00211065" w:rsidRPr="003E628F" w:rsidRDefault="00211065" w:rsidP="003E628F">
            <w:pPr>
              <w:pStyle w:val="TableParagraph"/>
              <w:jc w:val="both"/>
              <w:rPr>
                <w:rFonts w:ascii="Times New Roman" w:hAnsi="Times New Roman"/>
                <w:noProof/>
                <w:sz w:val="24"/>
              </w:rPr>
            </w:pPr>
            <w:r>
              <w:rPr>
                <w:rFonts w:ascii="Times New Roman" w:hAnsi="Times New Roman"/>
                <w:noProof/>
                <w:sz w:val="24"/>
              </w:rPr>
              <w:t>ĪA 25. panta 1. punkta g) apakšpunkts</w:t>
            </w:r>
          </w:p>
        </w:tc>
      </w:tr>
      <w:tr w:rsidR="00211065" w:rsidRPr="003E628F" w:rsidTr="00407233">
        <w:trPr>
          <w:trHeight w:hRule="exact" w:val="1354"/>
        </w:trPr>
        <w:tc>
          <w:tcPr>
            <w:tcW w:w="3949" w:type="pct"/>
            <w:tcBorders>
              <w:top w:val="single" w:sz="5" w:space="0" w:color="000000"/>
              <w:left w:val="single" w:sz="5" w:space="0" w:color="000000"/>
              <w:bottom w:val="single" w:sz="5" w:space="0" w:color="000000"/>
              <w:right w:val="single" w:sz="5" w:space="0" w:color="000000"/>
            </w:tcBorders>
            <w:shd w:val="clear" w:color="auto" w:fill="E4DFEB"/>
          </w:tcPr>
          <w:p w:rsidR="00211065" w:rsidRPr="003E628F" w:rsidRDefault="00211065" w:rsidP="003E628F">
            <w:pPr>
              <w:pStyle w:val="TableParagraph"/>
              <w:jc w:val="both"/>
              <w:rPr>
                <w:rFonts w:ascii="Times New Roman" w:hAnsi="Times New Roman"/>
                <w:noProof/>
                <w:sz w:val="24"/>
              </w:rPr>
            </w:pPr>
            <w:r>
              <w:rPr>
                <w:rFonts w:ascii="Times New Roman" w:hAnsi="Times New Roman"/>
                <w:noProof/>
                <w:sz w:val="24"/>
              </w:rPr>
              <w:t>DA 145. panta 1. punkta c) apakšpunkts: pieteikuma iesniedzējs nodrošina to, ka attiecīgajiem darbiniekiem ir doti norādījumi informēt muitas dienestus neatbilstību konstatēšanas gadījumā, un izstrādā procedūras muitas dienestu informēšanai par šādām neatbilstībām</w:t>
            </w:r>
          </w:p>
        </w:tc>
        <w:tc>
          <w:tcPr>
            <w:tcW w:w="1051" w:type="pct"/>
            <w:tcBorders>
              <w:top w:val="single" w:sz="5" w:space="0" w:color="000000"/>
              <w:left w:val="single" w:sz="5" w:space="0" w:color="000000"/>
              <w:bottom w:val="single" w:sz="5" w:space="0" w:color="000000"/>
              <w:right w:val="single" w:sz="5" w:space="0" w:color="000000"/>
            </w:tcBorders>
            <w:shd w:val="clear" w:color="auto" w:fill="E4DFEB"/>
          </w:tcPr>
          <w:p w:rsidR="00211065" w:rsidRPr="003E628F" w:rsidRDefault="00211065" w:rsidP="003E628F">
            <w:pPr>
              <w:pStyle w:val="TableParagraph"/>
              <w:jc w:val="both"/>
              <w:rPr>
                <w:rFonts w:ascii="Times New Roman" w:hAnsi="Times New Roman"/>
                <w:noProof/>
                <w:sz w:val="24"/>
              </w:rPr>
            </w:pPr>
            <w:r>
              <w:rPr>
                <w:rFonts w:ascii="Times New Roman" w:hAnsi="Times New Roman"/>
                <w:noProof/>
                <w:sz w:val="24"/>
              </w:rPr>
              <w:t>ĪA 25. panta 1. punkta i) apakšpunkts</w:t>
            </w:r>
          </w:p>
        </w:tc>
      </w:tr>
      <w:tr w:rsidR="00211065" w:rsidRPr="003E628F" w:rsidTr="00407233">
        <w:trPr>
          <w:trHeight w:hRule="exact" w:val="1908"/>
        </w:trPr>
        <w:tc>
          <w:tcPr>
            <w:tcW w:w="3949" w:type="pct"/>
            <w:tcBorders>
              <w:top w:val="single" w:sz="5" w:space="0" w:color="000000"/>
              <w:left w:val="single" w:sz="5" w:space="0" w:color="000000"/>
              <w:bottom w:val="single" w:sz="5" w:space="0" w:color="000000"/>
              <w:right w:val="single" w:sz="5" w:space="0" w:color="000000"/>
            </w:tcBorders>
            <w:shd w:val="clear" w:color="auto" w:fill="E4DFEB"/>
          </w:tcPr>
          <w:p w:rsidR="00211065" w:rsidRPr="003E628F" w:rsidRDefault="00211065" w:rsidP="003E628F">
            <w:pPr>
              <w:pStyle w:val="TableParagraph"/>
              <w:jc w:val="both"/>
              <w:rPr>
                <w:rFonts w:ascii="Times New Roman" w:hAnsi="Times New Roman"/>
                <w:noProof/>
                <w:sz w:val="24"/>
              </w:rPr>
            </w:pPr>
            <w:r>
              <w:rPr>
                <w:rFonts w:ascii="Times New Roman" w:hAnsi="Times New Roman"/>
                <w:noProof/>
                <w:sz w:val="24"/>
              </w:rPr>
              <w:t>DA 145. panta 1. punkta d) apakšpunkts: attiecīgā gadījumā pieteikuma iesniedzēja rīcībā ir atbilstošas procedūras importa un eksporta licenču apstrādei saistībā ar aizliegumiem un ierobežojumiem, tostarp tādi pasākumi, ar kuriem nodrošina tādu preču, uz kurām attiecas aizliegumi un ierobežojumi, nošķiršanu no citām precēm, un to atbilstību minētajiem aizliegumiem un ierobežojumiem</w:t>
            </w:r>
          </w:p>
        </w:tc>
        <w:tc>
          <w:tcPr>
            <w:tcW w:w="1051" w:type="pct"/>
            <w:tcBorders>
              <w:top w:val="single" w:sz="5" w:space="0" w:color="000000"/>
              <w:left w:val="single" w:sz="5" w:space="0" w:color="000000"/>
              <w:bottom w:val="single" w:sz="5" w:space="0" w:color="000000"/>
              <w:right w:val="single" w:sz="5" w:space="0" w:color="000000"/>
            </w:tcBorders>
            <w:shd w:val="clear" w:color="auto" w:fill="E4DFEB"/>
          </w:tcPr>
          <w:p w:rsidR="00211065" w:rsidRPr="003E628F" w:rsidRDefault="00211065" w:rsidP="003E628F">
            <w:pPr>
              <w:pStyle w:val="TableParagraph"/>
              <w:jc w:val="both"/>
              <w:rPr>
                <w:rFonts w:ascii="Times New Roman" w:hAnsi="Times New Roman"/>
                <w:noProof/>
                <w:sz w:val="24"/>
              </w:rPr>
            </w:pPr>
            <w:r>
              <w:rPr>
                <w:rFonts w:ascii="Times New Roman" w:hAnsi="Times New Roman"/>
                <w:noProof/>
                <w:sz w:val="24"/>
              </w:rPr>
              <w:t>ĪA 25. panta 1. punkta k) apakšpunkts</w:t>
            </w:r>
          </w:p>
        </w:tc>
      </w:tr>
    </w:tbl>
    <w:p w:rsidR="00407233" w:rsidRDefault="00407233" w:rsidP="003E628F">
      <w:pPr>
        <w:pStyle w:val="Pamatteksts"/>
        <w:ind w:left="0"/>
        <w:jc w:val="both"/>
        <w:rPr>
          <w:noProof/>
        </w:rPr>
      </w:pPr>
    </w:p>
    <w:p w:rsidR="00211065" w:rsidRPr="003E628F" w:rsidRDefault="00211065" w:rsidP="003E628F">
      <w:pPr>
        <w:pStyle w:val="Pamatteksts"/>
        <w:ind w:left="0"/>
        <w:jc w:val="both"/>
        <w:rPr>
          <w:noProof/>
        </w:rPr>
      </w:pPr>
      <w:r>
        <w:t xml:space="preserve">Ja pieteikuma iesniedzējam jau ir </w:t>
      </w:r>
      <w:r>
        <w:rPr>
          <w:i/>
        </w:rPr>
        <w:t>AEOC</w:t>
      </w:r>
      <w:r>
        <w:t xml:space="preserve"> statuss, jāņem vērā arī </w:t>
      </w:r>
      <w:r>
        <w:rPr>
          <w:i/>
        </w:rPr>
        <w:t>AEO</w:t>
      </w:r>
      <w:r>
        <w:t xml:space="preserve"> statusa piešķiršanas datums un ikviens pēc tā veikts pārraudzības un/vai atkārtotas novērtēšanas pasākums.</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 xml:space="preserve">Līdz ar to kritēriji, kas jau ir novērtēti saistībā ar </w:t>
      </w:r>
      <w:r>
        <w:rPr>
          <w:i/>
        </w:rPr>
        <w:t>AEO</w:t>
      </w:r>
      <w:r>
        <w:t xml:space="preserve"> statusa piešķiršanu, netiks pārbaudīti atkārtoti, taču vajadzības gadījumā muitas dienestiem vienmēr ir iespēja lūgt papildu informāciju. Tomēr jāpārbauda konkrētie ar pieprasīto vienkāršojumu saistītie nosacījumi, kas netika pārbaudīti </w:t>
      </w:r>
      <w:r>
        <w:rPr>
          <w:i/>
        </w:rPr>
        <w:t>AEO</w:t>
      </w:r>
      <w:r>
        <w:t xml:space="preserve"> auditā.</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color w:val="49442A"/>
        </w:rPr>
      </w:pPr>
      <w:r>
        <w:rPr>
          <w:i/>
          <w:noProof/>
          <w:color w:val="49442A"/>
          <w:u w:val="single" w:color="49442A"/>
        </w:rPr>
        <w:lastRenderedPageBreak/>
        <w:t>Jāņem vērā!</w:t>
      </w:r>
      <w:r>
        <w:rPr>
          <w:i/>
          <w:noProof/>
          <w:color w:val="49442A"/>
        </w:rPr>
        <w:t xml:space="preserve"> </w:t>
      </w:r>
      <w:r>
        <w:rPr>
          <w:noProof/>
          <w:color w:val="49442A"/>
        </w:rPr>
        <w:t xml:space="preserve">Ja pieteikumi vienkāršotas deklarācijas atļaujas saņemšanai un </w:t>
      </w:r>
      <w:r>
        <w:rPr>
          <w:i/>
          <w:noProof/>
          <w:color w:val="49442A"/>
        </w:rPr>
        <w:t>AEO</w:t>
      </w:r>
      <w:r>
        <w:rPr>
          <w:noProof/>
          <w:color w:val="49442A"/>
        </w:rPr>
        <w:t xml:space="preserve"> statusa saņemšanai tiek iesniegti vienlaikus, muitas dienestiem ieteicams saskaņot darbības, lai novērstu pārbaudes dublēšanu. Par to pienācīgi jāinformē pieteikuma iesniedzējs.</w:t>
      </w:r>
    </w:p>
    <w:p w:rsidR="00211065" w:rsidRPr="003E628F" w:rsidRDefault="00211065" w:rsidP="003E628F">
      <w:pPr>
        <w:jc w:val="both"/>
        <w:rPr>
          <w:rFonts w:ascii="Times New Roman" w:hAnsi="Times New Roman"/>
          <w:noProof/>
          <w:color w:val="49442A"/>
          <w:sz w:val="24"/>
        </w:rPr>
      </w:pPr>
    </w:p>
    <w:p w:rsidR="00211065" w:rsidRPr="003E628F" w:rsidRDefault="00211065" w:rsidP="003E628F">
      <w:pPr>
        <w:jc w:val="both"/>
        <w:rPr>
          <w:rFonts w:ascii="Times New Roman" w:eastAsia="Times New Roman" w:hAnsi="Times New Roman" w:cs="Times New Roman"/>
          <w:i/>
          <w:noProof/>
          <w:color w:val="49442A"/>
          <w:sz w:val="24"/>
          <w:szCs w:val="24"/>
          <w:u w:val="single" w:color="49442A"/>
        </w:rPr>
      </w:pPr>
      <w:r>
        <w:rPr>
          <w:rFonts w:ascii="Times New Roman" w:hAnsi="Times New Roman"/>
          <w:i/>
          <w:noProof/>
          <w:color w:val="49442A"/>
          <w:sz w:val="24"/>
          <w:u w:val="single" w:color="49442A"/>
        </w:rPr>
        <w:t>Sīkāka informācija par “atbilstības” kritēriju ir sniegta AEO vadlīnijās.</w:t>
      </w:r>
    </w:p>
    <w:p w:rsidR="00211065" w:rsidRPr="003E628F" w:rsidRDefault="00211065" w:rsidP="003E628F">
      <w:pPr>
        <w:jc w:val="both"/>
        <w:rPr>
          <w:rFonts w:ascii="Times New Roman" w:eastAsia="Times New Roman" w:hAnsi="Times New Roman" w:cs="Times New Roman"/>
          <w:i/>
          <w:noProof/>
          <w:sz w:val="24"/>
          <w:szCs w:val="15"/>
        </w:rPr>
      </w:pPr>
    </w:p>
    <w:p w:rsidR="00211065" w:rsidRPr="003E628F" w:rsidRDefault="00407233" w:rsidP="00407233">
      <w:pPr>
        <w:pStyle w:val="Virsraksts1"/>
        <w:tabs>
          <w:tab w:val="left" w:pos="424"/>
        </w:tabs>
        <w:jc w:val="both"/>
        <w:rPr>
          <w:noProof/>
        </w:rPr>
      </w:pPr>
      <w:bookmarkStart w:id="63" w:name="_Toc490734264"/>
      <w:r>
        <w:t>b) Pārbaudāmo jautājumu standartsaraksts (nav pilnīgs)</w:t>
      </w:r>
      <w:bookmarkEnd w:id="63"/>
    </w:p>
    <w:p w:rsidR="00211065" w:rsidRPr="003E628F" w:rsidRDefault="00211065" w:rsidP="003E628F">
      <w:pPr>
        <w:jc w:val="both"/>
        <w:rPr>
          <w:rFonts w:ascii="Times New Roman" w:eastAsia="Times New Roman" w:hAnsi="Times New Roman" w:cs="Times New Roman"/>
          <w:b/>
          <w:bCs/>
          <w:noProof/>
          <w:sz w:val="24"/>
          <w:szCs w:val="20"/>
        </w:rPr>
      </w:pPr>
    </w:p>
    <w:p w:rsidR="00211065" w:rsidRPr="003E628F" w:rsidRDefault="00211065" w:rsidP="003E628F">
      <w:pPr>
        <w:pStyle w:val="Pamatteksts"/>
        <w:ind w:left="0"/>
        <w:jc w:val="both"/>
        <w:rPr>
          <w:noProof/>
        </w:rPr>
      </w:pPr>
      <w:r>
        <w:t xml:space="preserve">Iepriekšējā auditā uzmanība tiek pievērsta atsevišķiem nosacījumiem un </w:t>
      </w:r>
      <w:r>
        <w:rPr>
          <w:i/>
        </w:rPr>
        <w:t>AEO</w:t>
      </w:r>
      <w:r>
        <w:t xml:space="preserve"> kritērijiem, kas ir jāizpilda saistībā ar vienkāršoto deklarāciju, kā arī noteiktiem aspektiem, kas nepieciešami vienkāršotās deklarācijas regulāras izmantošanas atļaujai. Tos var uzskatīt par papildu jautājumiem, ja tie nav pārbaudīti pirms tam iepriekšējā auditā, un/vai elementiem, par ko jāvienojas ar pieteikuma iesniedzēju pirms atļaujas piešķiršanas.</w:t>
      </w:r>
    </w:p>
    <w:p w:rsidR="00211065" w:rsidRPr="003E628F" w:rsidRDefault="00211065" w:rsidP="003E628F">
      <w:pPr>
        <w:jc w:val="both"/>
        <w:rPr>
          <w:rFonts w:ascii="Times New Roman" w:eastAsia="Times New Roman" w:hAnsi="Times New Roman" w:cs="Times New Roman"/>
          <w:noProof/>
          <w:sz w:val="24"/>
          <w:szCs w:val="21"/>
        </w:rPr>
      </w:pPr>
    </w:p>
    <w:tbl>
      <w:tblPr>
        <w:tblW w:w="5000" w:type="pct"/>
        <w:tblCellMar>
          <w:top w:w="28" w:type="dxa"/>
          <w:left w:w="28" w:type="dxa"/>
          <w:bottom w:w="28" w:type="dxa"/>
          <w:right w:w="28" w:type="dxa"/>
        </w:tblCellMar>
        <w:tblLook w:val="01E0" w:firstRow="1" w:lastRow="1" w:firstColumn="1" w:lastColumn="1" w:noHBand="0" w:noVBand="0"/>
      </w:tblPr>
      <w:tblGrid>
        <w:gridCol w:w="9131"/>
      </w:tblGrid>
      <w:tr w:rsidR="00211065" w:rsidRPr="003E628F" w:rsidTr="006C414C">
        <w:trPr>
          <w:trHeight w:hRule="exact" w:val="446"/>
        </w:trPr>
        <w:tc>
          <w:tcPr>
            <w:tcW w:w="5000" w:type="pct"/>
            <w:tcBorders>
              <w:top w:val="single" w:sz="5" w:space="0" w:color="000000"/>
              <w:left w:val="single" w:sz="5" w:space="0" w:color="000000"/>
              <w:bottom w:val="single" w:sz="5" w:space="0" w:color="000000"/>
              <w:right w:val="single" w:sz="5" w:space="0" w:color="000000"/>
            </w:tcBorders>
            <w:shd w:val="clear" w:color="auto" w:fill="E4DFEB"/>
          </w:tcPr>
          <w:p w:rsidR="00211065" w:rsidRPr="003E628F" w:rsidRDefault="00211065" w:rsidP="003E628F">
            <w:pPr>
              <w:pStyle w:val="TableParagraph"/>
              <w:jc w:val="both"/>
              <w:rPr>
                <w:rFonts w:ascii="Times New Roman" w:eastAsia="Times New Roman" w:hAnsi="Times New Roman" w:cs="Times New Roman"/>
                <w:noProof/>
                <w:sz w:val="24"/>
                <w:szCs w:val="24"/>
              </w:rPr>
            </w:pPr>
            <w:r>
              <w:rPr>
                <w:rFonts w:ascii="Times New Roman" w:hAnsi="Times New Roman"/>
                <w:noProof/>
                <w:sz w:val="24"/>
              </w:rPr>
              <w:t>- Citu Kodeksa V sadaļā noteiktu vienkāršojumu izmantošana</w:t>
            </w:r>
          </w:p>
        </w:tc>
      </w:tr>
      <w:tr w:rsidR="00211065" w:rsidRPr="003E628F" w:rsidTr="006C414C">
        <w:trPr>
          <w:trHeight w:hRule="exact" w:val="446"/>
        </w:trPr>
        <w:tc>
          <w:tcPr>
            <w:tcW w:w="5000" w:type="pct"/>
            <w:tcBorders>
              <w:top w:val="single" w:sz="5" w:space="0" w:color="000000"/>
              <w:left w:val="single" w:sz="5" w:space="0" w:color="000000"/>
              <w:bottom w:val="single" w:sz="5" w:space="0" w:color="000000"/>
              <w:right w:val="single" w:sz="5" w:space="0" w:color="000000"/>
            </w:tcBorders>
            <w:shd w:val="clear" w:color="auto" w:fill="E4DFEB"/>
          </w:tcPr>
          <w:p w:rsidR="00211065" w:rsidRPr="003E628F" w:rsidRDefault="00211065" w:rsidP="003E628F">
            <w:pPr>
              <w:pStyle w:val="TableParagraph"/>
              <w:jc w:val="both"/>
              <w:rPr>
                <w:rFonts w:ascii="Times New Roman" w:eastAsia="Times New Roman" w:hAnsi="Times New Roman" w:cs="Times New Roman"/>
                <w:noProof/>
                <w:sz w:val="24"/>
                <w:szCs w:val="24"/>
              </w:rPr>
            </w:pPr>
            <w:r>
              <w:rPr>
                <w:rFonts w:ascii="Times New Roman" w:hAnsi="Times New Roman"/>
                <w:noProof/>
                <w:sz w:val="24"/>
              </w:rPr>
              <w:t>- Īpašo procedūru izmantošana</w:t>
            </w:r>
          </w:p>
        </w:tc>
      </w:tr>
      <w:tr w:rsidR="00211065" w:rsidRPr="003E628F" w:rsidTr="006C414C">
        <w:trPr>
          <w:trHeight w:hRule="exact" w:val="326"/>
        </w:trPr>
        <w:tc>
          <w:tcPr>
            <w:tcW w:w="5000" w:type="pct"/>
            <w:tcBorders>
              <w:top w:val="single" w:sz="5" w:space="0" w:color="000000"/>
              <w:left w:val="single" w:sz="5" w:space="0" w:color="000000"/>
              <w:bottom w:val="single" w:sz="5" w:space="0" w:color="000000"/>
              <w:right w:val="single" w:sz="5" w:space="0" w:color="000000"/>
            </w:tcBorders>
            <w:shd w:val="clear" w:color="auto" w:fill="E4DFEB"/>
          </w:tcPr>
          <w:p w:rsidR="00211065" w:rsidRPr="003E628F" w:rsidRDefault="00211065" w:rsidP="003E628F">
            <w:pPr>
              <w:pStyle w:val="TableParagraph"/>
              <w:jc w:val="both"/>
              <w:rPr>
                <w:rFonts w:ascii="Times New Roman" w:eastAsia="Times New Roman" w:hAnsi="Times New Roman" w:cs="Times New Roman"/>
                <w:noProof/>
                <w:sz w:val="24"/>
                <w:szCs w:val="24"/>
              </w:rPr>
            </w:pPr>
            <w:r>
              <w:rPr>
                <w:rFonts w:ascii="Times New Roman" w:hAnsi="Times New Roman"/>
                <w:noProof/>
                <w:sz w:val="24"/>
              </w:rPr>
              <w:t>- Muitas procedūru veids</w:t>
            </w:r>
          </w:p>
        </w:tc>
      </w:tr>
      <w:tr w:rsidR="00211065" w:rsidRPr="003E628F" w:rsidTr="006C414C">
        <w:trPr>
          <w:trHeight w:hRule="exact" w:val="1001"/>
        </w:trPr>
        <w:tc>
          <w:tcPr>
            <w:tcW w:w="5000" w:type="pct"/>
            <w:tcBorders>
              <w:top w:val="single" w:sz="5" w:space="0" w:color="000000"/>
              <w:left w:val="single" w:sz="5" w:space="0" w:color="000000"/>
              <w:bottom w:val="single" w:sz="5" w:space="0" w:color="000000"/>
              <w:right w:val="single" w:sz="5" w:space="0" w:color="000000"/>
            </w:tcBorders>
            <w:shd w:val="clear" w:color="auto" w:fill="E4DFEB"/>
          </w:tcPr>
          <w:p w:rsidR="00211065" w:rsidRPr="003E628F" w:rsidRDefault="00211065" w:rsidP="00407233">
            <w:pPr>
              <w:pStyle w:val="TableParagraph"/>
              <w:jc w:val="both"/>
              <w:rPr>
                <w:rFonts w:ascii="Times New Roman" w:eastAsia="Times New Roman" w:hAnsi="Times New Roman" w:cs="Times New Roman"/>
                <w:noProof/>
                <w:sz w:val="24"/>
                <w:szCs w:val="24"/>
              </w:rPr>
            </w:pPr>
            <w:r>
              <w:rPr>
                <w:rFonts w:ascii="Times New Roman" w:hAnsi="Times New Roman"/>
                <w:noProof/>
                <w:sz w:val="24"/>
              </w:rPr>
              <w:t>- Termiņš, cik ilgi muitas dienestiem ir jābūt pieejamiem nepieciešamajiem pavaddokumentiem, kas netika sniegti vienkāršotajā deklarācijā (Kodeksa 167. panta 1. punkts un DA 147. panta 2. un 3. punkts)</w:t>
            </w:r>
          </w:p>
        </w:tc>
      </w:tr>
      <w:tr w:rsidR="00211065" w:rsidRPr="003E628F" w:rsidTr="006C414C">
        <w:trPr>
          <w:trHeight w:hRule="exact" w:val="446"/>
        </w:trPr>
        <w:tc>
          <w:tcPr>
            <w:tcW w:w="5000" w:type="pct"/>
            <w:tcBorders>
              <w:top w:val="single" w:sz="5" w:space="0" w:color="000000"/>
              <w:left w:val="single" w:sz="5" w:space="0" w:color="000000"/>
              <w:bottom w:val="single" w:sz="5" w:space="0" w:color="000000"/>
              <w:right w:val="single" w:sz="5" w:space="0" w:color="000000"/>
            </w:tcBorders>
            <w:shd w:val="clear" w:color="auto" w:fill="E4DFEB"/>
          </w:tcPr>
          <w:p w:rsidR="00211065" w:rsidRPr="003E628F" w:rsidRDefault="00211065" w:rsidP="00407233">
            <w:pPr>
              <w:pStyle w:val="TableParagraph"/>
              <w:jc w:val="both"/>
              <w:rPr>
                <w:rFonts w:ascii="Times New Roman" w:eastAsia="Times New Roman" w:hAnsi="Times New Roman" w:cs="Times New Roman"/>
                <w:noProof/>
                <w:sz w:val="24"/>
                <w:szCs w:val="24"/>
              </w:rPr>
            </w:pPr>
            <w:r>
              <w:rPr>
                <w:rFonts w:ascii="Times New Roman" w:hAnsi="Times New Roman"/>
                <w:noProof/>
                <w:sz w:val="24"/>
              </w:rPr>
              <w:t>- Termiņš papildu deklarācijas iesniegšanai (DA 146. panta 3. punkts)</w:t>
            </w:r>
          </w:p>
        </w:tc>
      </w:tr>
      <w:tr w:rsidR="00211065" w:rsidRPr="003E628F" w:rsidTr="006C414C">
        <w:trPr>
          <w:trHeight w:hRule="exact" w:val="722"/>
        </w:trPr>
        <w:tc>
          <w:tcPr>
            <w:tcW w:w="5000" w:type="pct"/>
            <w:tcBorders>
              <w:top w:val="single" w:sz="5" w:space="0" w:color="000000"/>
              <w:left w:val="single" w:sz="5" w:space="0" w:color="000000"/>
              <w:bottom w:val="single" w:sz="5" w:space="0" w:color="000000"/>
              <w:right w:val="single" w:sz="5" w:space="0" w:color="000000"/>
            </w:tcBorders>
            <w:shd w:val="clear" w:color="auto" w:fill="E4DFEB"/>
          </w:tcPr>
          <w:p w:rsidR="00211065" w:rsidRPr="003E628F" w:rsidRDefault="00211065" w:rsidP="00407233">
            <w:pPr>
              <w:pStyle w:val="TableParagraph"/>
              <w:jc w:val="both"/>
              <w:rPr>
                <w:rFonts w:ascii="Times New Roman" w:eastAsia="Times New Roman" w:hAnsi="Times New Roman" w:cs="Times New Roman"/>
                <w:noProof/>
                <w:sz w:val="24"/>
                <w:szCs w:val="24"/>
              </w:rPr>
            </w:pPr>
            <w:r>
              <w:rPr>
                <w:rFonts w:ascii="Times New Roman" w:hAnsi="Times New Roman"/>
                <w:noProof/>
                <w:sz w:val="24"/>
              </w:rPr>
              <w:t>- Atbrīvojums no pienākuma sniegt papildu deklarāciju (Kodeksa 167. panta 2. punkts; DA 183. pants)</w:t>
            </w:r>
          </w:p>
        </w:tc>
      </w:tr>
      <w:tr w:rsidR="00211065" w:rsidRPr="003E628F" w:rsidTr="006C414C">
        <w:trPr>
          <w:trHeight w:hRule="exact" w:val="998"/>
        </w:trPr>
        <w:tc>
          <w:tcPr>
            <w:tcW w:w="5000" w:type="pct"/>
            <w:tcBorders>
              <w:top w:val="single" w:sz="5" w:space="0" w:color="000000"/>
              <w:left w:val="single" w:sz="5" w:space="0" w:color="000000"/>
              <w:bottom w:val="single" w:sz="5" w:space="0" w:color="000000"/>
              <w:right w:val="single" w:sz="5" w:space="0" w:color="000000"/>
            </w:tcBorders>
            <w:shd w:val="clear" w:color="auto" w:fill="E4DFEB"/>
          </w:tcPr>
          <w:p w:rsidR="00211065" w:rsidRPr="003E628F" w:rsidRDefault="00211065" w:rsidP="00407233">
            <w:pPr>
              <w:pStyle w:val="TableParagraph"/>
              <w:jc w:val="both"/>
              <w:rPr>
                <w:rFonts w:ascii="Times New Roman" w:eastAsia="Times New Roman" w:hAnsi="Times New Roman" w:cs="Times New Roman"/>
                <w:noProof/>
                <w:sz w:val="24"/>
                <w:szCs w:val="24"/>
              </w:rPr>
            </w:pPr>
            <w:r>
              <w:rPr>
                <w:rFonts w:ascii="Times New Roman" w:hAnsi="Times New Roman"/>
                <w:noProof/>
                <w:sz w:val="24"/>
              </w:rPr>
              <w:t>- To vietu apstiprināšana, kur preces tiks uzrādītas muitai, un/vai nozīmēto vietu apstiprināšana (attiecībā uz precēm, kas tiek ievestas ES vai kas pēc tranzīta tiek ievestas galamērķa iestādē, sk. attiecīgi Kodeksa 139. pantu un DA 115. pantu)</w:t>
            </w:r>
          </w:p>
        </w:tc>
      </w:tr>
      <w:tr w:rsidR="00211065" w:rsidRPr="003E628F" w:rsidTr="006C414C">
        <w:trPr>
          <w:trHeight w:hRule="exact" w:val="449"/>
        </w:trPr>
        <w:tc>
          <w:tcPr>
            <w:tcW w:w="5000" w:type="pct"/>
            <w:tcBorders>
              <w:top w:val="single" w:sz="5" w:space="0" w:color="000000"/>
              <w:left w:val="single" w:sz="5" w:space="0" w:color="000000"/>
              <w:bottom w:val="single" w:sz="5" w:space="0" w:color="000000"/>
              <w:right w:val="single" w:sz="5" w:space="0" w:color="000000"/>
            </w:tcBorders>
            <w:shd w:val="clear" w:color="auto" w:fill="E4DFEB"/>
          </w:tcPr>
          <w:p w:rsidR="00211065" w:rsidRPr="003E628F" w:rsidRDefault="00211065" w:rsidP="00407233">
            <w:pPr>
              <w:pStyle w:val="TableParagraph"/>
              <w:jc w:val="both"/>
              <w:rPr>
                <w:rFonts w:ascii="Times New Roman" w:eastAsia="Times New Roman" w:hAnsi="Times New Roman" w:cs="Times New Roman"/>
                <w:noProof/>
                <w:sz w:val="24"/>
                <w:szCs w:val="24"/>
              </w:rPr>
            </w:pPr>
            <w:r>
              <w:rPr>
                <w:rFonts w:ascii="Times New Roman" w:hAnsi="Times New Roman"/>
                <w:noProof/>
                <w:sz w:val="24"/>
              </w:rPr>
              <w:t>- Pārstāvis vai deklarētājs (attiecīgā gadījumā – pilnvarojums)</w:t>
            </w:r>
          </w:p>
        </w:tc>
      </w:tr>
      <w:tr w:rsidR="00211065" w:rsidRPr="003E628F" w:rsidTr="006C414C">
        <w:trPr>
          <w:trHeight w:hRule="exact" w:val="446"/>
        </w:trPr>
        <w:tc>
          <w:tcPr>
            <w:tcW w:w="5000" w:type="pct"/>
            <w:tcBorders>
              <w:top w:val="single" w:sz="5" w:space="0" w:color="000000"/>
              <w:left w:val="single" w:sz="5" w:space="0" w:color="000000"/>
              <w:bottom w:val="single" w:sz="5" w:space="0" w:color="000000"/>
              <w:right w:val="single" w:sz="5" w:space="0" w:color="000000"/>
            </w:tcBorders>
            <w:shd w:val="clear" w:color="auto" w:fill="E4DFEB"/>
          </w:tcPr>
          <w:p w:rsidR="00211065" w:rsidRPr="003E628F" w:rsidRDefault="00211065" w:rsidP="00407233">
            <w:pPr>
              <w:pStyle w:val="TableParagraph"/>
              <w:jc w:val="both"/>
              <w:rPr>
                <w:rFonts w:ascii="Times New Roman" w:eastAsia="Times New Roman" w:hAnsi="Times New Roman" w:cs="Times New Roman"/>
                <w:noProof/>
                <w:sz w:val="24"/>
                <w:szCs w:val="24"/>
              </w:rPr>
            </w:pPr>
            <w:r>
              <w:rPr>
                <w:rFonts w:ascii="Times New Roman" w:hAnsi="Times New Roman"/>
                <w:noProof/>
                <w:sz w:val="24"/>
              </w:rPr>
              <w:t>- Vienkāršotās deklarācijas un papildu deklarācijas saskaņošana</w:t>
            </w:r>
          </w:p>
        </w:tc>
      </w:tr>
      <w:tr w:rsidR="00211065" w:rsidRPr="003E628F" w:rsidTr="006C414C">
        <w:trPr>
          <w:trHeight w:hRule="exact" w:val="446"/>
        </w:trPr>
        <w:tc>
          <w:tcPr>
            <w:tcW w:w="5000" w:type="pct"/>
            <w:tcBorders>
              <w:top w:val="single" w:sz="5" w:space="0" w:color="000000"/>
              <w:left w:val="single" w:sz="5" w:space="0" w:color="000000"/>
              <w:bottom w:val="single" w:sz="5" w:space="0" w:color="000000"/>
              <w:right w:val="single" w:sz="5" w:space="0" w:color="000000"/>
            </w:tcBorders>
            <w:shd w:val="clear" w:color="auto" w:fill="E4DFEB"/>
          </w:tcPr>
          <w:p w:rsidR="00211065" w:rsidRPr="003E628F" w:rsidRDefault="00211065" w:rsidP="00407233">
            <w:pPr>
              <w:pStyle w:val="TableParagraph"/>
              <w:jc w:val="both"/>
              <w:rPr>
                <w:rFonts w:ascii="Times New Roman" w:eastAsia="Times New Roman" w:hAnsi="Times New Roman" w:cs="Times New Roman"/>
                <w:noProof/>
                <w:sz w:val="24"/>
                <w:szCs w:val="24"/>
              </w:rPr>
            </w:pPr>
            <w:r>
              <w:rPr>
                <w:rFonts w:ascii="Times New Roman" w:hAnsi="Times New Roman"/>
                <w:noProof/>
                <w:sz w:val="24"/>
              </w:rPr>
              <w:t>- Saite starp uzskaites datiem un grāmatvedības sistēmu</w:t>
            </w:r>
          </w:p>
        </w:tc>
      </w:tr>
      <w:tr w:rsidR="00211065" w:rsidRPr="003E628F" w:rsidTr="006C414C">
        <w:trPr>
          <w:trHeight w:hRule="exact" w:val="447"/>
        </w:trPr>
        <w:tc>
          <w:tcPr>
            <w:tcW w:w="5000" w:type="pct"/>
            <w:tcBorders>
              <w:top w:val="single" w:sz="5" w:space="0" w:color="000000"/>
              <w:left w:val="single" w:sz="5" w:space="0" w:color="000000"/>
              <w:bottom w:val="single" w:sz="5" w:space="0" w:color="000000"/>
              <w:right w:val="single" w:sz="5" w:space="0" w:color="000000"/>
            </w:tcBorders>
            <w:shd w:val="clear" w:color="auto" w:fill="E4DFEB"/>
          </w:tcPr>
          <w:p w:rsidR="00211065" w:rsidRPr="003E628F" w:rsidRDefault="00211065" w:rsidP="00407233">
            <w:pPr>
              <w:pStyle w:val="TableParagraph"/>
              <w:jc w:val="both"/>
              <w:rPr>
                <w:rFonts w:ascii="Times New Roman" w:eastAsia="Times New Roman" w:hAnsi="Times New Roman" w:cs="Times New Roman"/>
                <w:noProof/>
                <w:sz w:val="24"/>
                <w:szCs w:val="24"/>
              </w:rPr>
            </w:pPr>
            <w:r>
              <w:rPr>
                <w:rFonts w:ascii="Times New Roman" w:hAnsi="Times New Roman"/>
                <w:noProof/>
                <w:sz w:val="24"/>
              </w:rPr>
              <w:t>- Vieta, kur tiek glabāti uzskaites dati</w:t>
            </w:r>
          </w:p>
        </w:tc>
      </w:tr>
      <w:tr w:rsidR="00211065" w:rsidRPr="003E628F" w:rsidTr="006C414C">
        <w:trPr>
          <w:trHeight w:hRule="exact" w:val="725"/>
        </w:trPr>
        <w:tc>
          <w:tcPr>
            <w:tcW w:w="5000" w:type="pct"/>
            <w:tcBorders>
              <w:top w:val="single" w:sz="5" w:space="0" w:color="000000"/>
              <w:left w:val="single" w:sz="5" w:space="0" w:color="000000"/>
              <w:bottom w:val="single" w:sz="5" w:space="0" w:color="000000"/>
              <w:right w:val="single" w:sz="5" w:space="0" w:color="000000"/>
            </w:tcBorders>
            <w:shd w:val="clear" w:color="auto" w:fill="E4DFEB"/>
          </w:tcPr>
          <w:p w:rsidR="00211065" w:rsidRPr="003E628F" w:rsidRDefault="00211065" w:rsidP="00407233">
            <w:pPr>
              <w:pStyle w:val="TableParagraph"/>
              <w:jc w:val="both"/>
              <w:rPr>
                <w:rFonts w:ascii="Times New Roman" w:eastAsia="Times New Roman" w:hAnsi="Times New Roman" w:cs="Times New Roman"/>
                <w:noProof/>
                <w:sz w:val="24"/>
                <w:szCs w:val="24"/>
              </w:rPr>
            </w:pPr>
            <w:r>
              <w:rPr>
                <w:rFonts w:ascii="Times New Roman" w:hAnsi="Times New Roman"/>
                <w:noProof/>
                <w:sz w:val="24"/>
              </w:rPr>
              <w:t>- Vieta, kur pieejami uzskaites dati (var atšķirties no vietas, kur tie tiek glabāti, jo īpaši pārstāvības gadījumā)</w:t>
            </w:r>
          </w:p>
        </w:tc>
      </w:tr>
      <w:tr w:rsidR="00211065" w:rsidRPr="003E628F" w:rsidTr="006C414C">
        <w:trPr>
          <w:trHeight w:hRule="exact" w:val="446"/>
        </w:trPr>
        <w:tc>
          <w:tcPr>
            <w:tcW w:w="5000" w:type="pct"/>
            <w:tcBorders>
              <w:top w:val="single" w:sz="5" w:space="0" w:color="000000"/>
              <w:left w:val="single" w:sz="5" w:space="0" w:color="000000"/>
              <w:bottom w:val="single" w:sz="5" w:space="0" w:color="000000"/>
              <w:right w:val="single" w:sz="5" w:space="0" w:color="000000"/>
            </w:tcBorders>
            <w:shd w:val="clear" w:color="auto" w:fill="E4DFEB"/>
          </w:tcPr>
          <w:p w:rsidR="00211065" w:rsidRPr="003E628F" w:rsidRDefault="00211065" w:rsidP="00407233">
            <w:pPr>
              <w:pStyle w:val="TableParagraph"/>
              <w:jc w:val="both"/>
              <w:rPr>
                <w:rFonts w:ascii="Times New Roman" w:eastAsia="Times New Roman" w:hAnsi="Times New Roman" w:cs="Times New Roman"/>
                <w:noProof/>
                <w:sz w:val="24"/>
                <w:szCs w:val="24"/>
              </w:rPr>
            </w:pPr>
            <w:r>
              <w:rPr>
                <w:rFonts w:ascii="Times New Roman" w:hAnsi="Times New Roman"/>
                <w:noProof/>
                <w:sz w:val="24"/>
              </w:rPr>
              <w:t>- Galvojumi, ja attiecināmi uz nepieciešamo muitas procedūru</w:t>
            </w:r>
          </w:p>
        </w:tc>
      </w:tr>
      <w:tr w:rsidR="00211065" w:rsidRPr="003E628F" w:rsidTr="006C414C">
        <w:trPr>
          <w:trHeight w:hRule="exact" w:val="446"/>
        </w:trPr>
        <w:tc>
          <w:tcPr>
            <w:tcW w:w="5000" w:type="pct"/>
            <w:tcBorders>
              <w:top w:val="single" w:sz="5" w:space="0" w:color="000000"/>
              <w:left w:val="single" w:sz="5" w:space="0" w:color="000000"/>
              <w:bottom w:val="single" w:sz="5" w:space="0" w:color="000000"/>
              <w:right w:val="single" w:sz="5" w:space="0" w:color="000000"/>
            </w:tcBorders>
            <w:shd w:val="clear" w:color="auto" w:fill="E4DFEB"/>
          </w:tcPr>
          <w:p w:rsidR="00211065" w:rsidRPr="003E628F" w:rsidRDefault="00211065" w:rsidP="00407233">
            <w:pPr>
              <w:pStyle w:val="TableParagraph"/>
              <w:jc w:val="both"/>
              <w:rPr>
                <w:rFonts w:ascii="Times New Roman" w:eastAsia="Times New Roman" w:hAnsi="Times New Roman" w:cs="Times New Roman"/>
                <w:noProof/>
                <w:sz w:val="24"/>
                <w:szCs w:val="24"/>
              </w:rPr>
            </w:pPr>
            <w:r>
              <w:rPr>
                <w:rFonts w:ascii="Times New Roman" w:hAnsi="Times New Roman"/>
                <w:noProof/>
                <w:sz w:val="24"/>
              </w:rPr>
              <w:t>- Preču veids, daudzums, vērtība</w:t>
            </w:r>
          </w:p>
        </w:tc>
      </w:tr>
      <w:tr w:rsidR="00211065" w:rsidRPr="003E628F" w:rsidTr="006C414C">
        <w:trPr>
          <w:trHeight w:hRule="exact" w:val="449"/>
        </w:trPr>
        <w:tc>
          <w:tcPr>
            <w:tcW w:w="5000" w:type="pct"/>
            <w:tcBorders>
              <w:top w:val="single" w:sz="5" w:space="0" w:color="000000"/>
              <w:left w:val="single" w:sz="5" w:space="0" w:color="000000"/>
              <w:bottom w:val="single" w:sz="5" w:space="0" w:color="000000"/>
              <w:right w:val="single" w:sz="5" w:space="0" w:color="000000"/>
            </w:tcBorders>
            <w:shd w:val="clear" w:color="auto" w:fill="E4DFEB"/>
          </w:tcPr>
          <w:p w:rsidR="00211065" w:rsidRPr="003E628F" w:rsidRDefault="00211065" w:rsidP="00407233">
            <w:pPr>
              <w:pStyle w:val="TableParagraph"/>
              <w:jc w:val="both"/>
              <w:rPr>
                <w:rFonts w:ascii="Times New Roman" w:eastAsia="Times New Roman" w:hAnsi="Times New Roman" w:cs="Times New Roman"/>
                <w:noProof/>
                <w:sz w:val="24"/>
                <w:szCs w:val="24"/>
              </w:rPr>
            </w:pPr>
            <w:r>
              <w:rPr>
                <w:rFonts w:ascii="Times New Roman" w:hAnsi="Times New Roman"/>
                <w:noProof/>
                <w:sz w:val="24"/>
              </w:rPr>
              <w:t>- Atļaujā iekļautie uzņēmumi</w:t>
            </w:r>
          </w:p>
        </w:tc>
      </w:tr>
      <w:tr w:rsidR="00211065" w:rsidRPr="003E628F" w:rsidTr="006C414C">
        <w:trPr>
          <w:trHeight w:hRule="exact" w:val="722"/>
        </w:trPr>
        <w:tc>
          <w:tcPr>
            <w:tcW w:w="5000" w:type="pct"/>
            <w:tcBorders>
              <w:top w:val="single" w:sz="5" w:space="0" w:color="000000"/>
              <w:left w:val="single" w:sz="5" w:space="0" w:color="000000"/>
              <w:bottom w:val="single" w:sz="5" w:space="0" w:color="000000"/>
              <w:right w:val="single" w:sz="5" w:space="0" w:color="000000"/>
            </w:tcBorders>
            <w:shd w:val="clear" w:color="auto" w:fill="E4DFEB"/>
          </w:tcPr>
          <w:p w:rsidR="00211065" w:rsidRPr="003E628F" w:rsidRDefault="00211065" w:rsidP="00407233">
            <w:pPr>
              <w:pStyle w:val="TableParagraph"/>
              <w:jc w:val="both"/>
              <w:rPr>
                <w:rFonts w:ascii="Times New Roman" w:eastAsia="Times New Roman" w:hAnsi="Times New Roman" w:cs="Times New Roman"/>
                <w:noProof/>
                <w:sz w:val="24"/>
                <w:szCs w:val="24"/>
              </w:rPr>
            </w:pPr>
            <w:r>
              <w:rPr>
                <w:rFonts w:ascii="Times New Roman" w:hAnsi="Times New Roman"/>
                <w:noProof/>
                <w:sz w:val="24"/>
              </w:rPr>
              <w:t xml:space="preserve">- </w:t>
            </w:r>
            <w:r>
              <w:rPr>
                <w:rFonts w:ascii="Times New Roman" w:hAnsi="Times New Roman"/>
                <w:noProof/>
                <w:sz w:val="24"/>
                <w:u w:val="single" w:color="000000"/>
              </w:rPr>
              <w:t xml:space="preserve">Īpaši jautājumi importa gadījumā: </w:t>
            </w:r>
            <w:r>
              <w:rPr>
                <w:rFonts w:ascii="Times New Roman" w:hAnsi="Times New Roman"/>
                <w:noProof/>
                <w:sz w:val="24"/>
              </w:rPr>
              <w:t>PVN identifikācija, atzītais saņēmējs un citi tranzīta aspekti, atlikta maksājuma informācija</w:t>
            </w:r>
          </w:p>
        </w:tc>
      </w:tr>
      <w:tr w:rsidR="00211065" w:rsidRPr="003E628F" w:rsidTr="006C414C">
        <w:trPr>
          <w:trHeight w:hRule="exact" w:val="602"/>
        </w:trPr>
        <w:tc>
          <w:tcPr>
            <w:tcW w:w="5000" w:type="pct"/>
            <w:tcBorders>
              <w:top w:val="single" w:sz="5" w:space="0" w:color="000000"/>
              <w:left w:val="single" w:sz="5" w:space="0" w:color="000000"/>
              <w:bottom w:val="single" w:sz="5" w:space="0" w:color="000000"/>
              <w:right w:val="single" w:sz="5" w:space="0" w:color="000000"/>
            </w:tcBorders>
            <w:shd w:val="clear" w:color="auto" w:fill="E4DFEB"/>
          </w:tcPr>
          <w:p w:rsidR="00211065" w:rsidRPr="003E628F" w:rsidRDefault="00211065" w:rsidP="00407233">
            <w:pPr>
              <w:pStyle w:val="TableParagraph"/>
              <w:jc w:val="both"/>
              <w:rPr>
                <w:rFonts w:ascii="Times New Roman" w:eastAsia="Times New Roman" w:hAnsi="Times New Roman" w:cs="Times New Roman"/>
                <w:noProof/>
                <w:sz w:val="24"/>
                <w:szCs w:val="24"/>
              </w:rPr>
            </w:pPr>
            <w:r>
              <w:rPr>
                <w:rFonts w:ascii="Times New Roman" w:hAnsi="Times New Roman"/>
                <w:noProof/>
                <w:sz w:val="24"/>
              </w:rPr>
              <w:t xml:space="preserve">- </w:t>
            </w:r>
            <w:r>
              <w:rPr>
                <w:rFonts w:ascii="Times New Roman" w:hAnsi="Times New Roman"/>
                <w:noProof/>
                <w:sz w:val="24"/>
                <w:u w:val="single" w:color="000000"/>
              </w:rPr>
              <w:t xml:space="preserve">Īpaši jautājumi eksporta gadījumā: </w:t>
            </w:r>
            <w:r>
              <w:rPr>
                <w:rFonts w:ascii="Times New Roman" w:hAnsi="Times New Roman"/>
                <w:noProof/>
                <w:sz w:val="24"/>
              </w:rPr>
              <w:t>pirmsizvešanas formalitātes, atzītais nosūtītājs un izvešanas apstiprinājums attiecīgajā gadījumā</w:t>
            </w:r>
          </w:p>
        </w:tc>
      </w:tr>
    </w:tbl>
    <w:p w:rsidR="006C414C" w:rsidRDefault="006C414C" w:rsidP="003E628F">
      <w:pPr>
        <w:pStyle w:val="Pamatteksts"/>
        <w:ind w:left="0"/>
        <w:jc w:val="both"/>
        <w:rPr>
          <w:noProof/>
        </w:rPr>
      </w:pPr>
    </w:p>
    <w:p w:rsidR="00211065" w:rsidRPr="003E628F" w:rsidRDefault="00211065" w:rsidP="003E628F">
      <w:pPr>
        <w:pStyle w:val="Pamatteksts"/>
        <w:ind w:left="0"/>
        <w:jc w:val="both"/>
        <w:rPr>
          <w:noProof/>
        </w:rPr>
      </w:pPr>
      <w:r>
        <w:t>Lai nodrošinātu iepriekš izklāstīto nosacījumu un kritēriju godīgu un objektīvu piemērošanu, atļauju izsniedzošajiem muitas dienestiem ir pienācīgi jāņem vērā pieteikuma iesniedzēja raksturs, tostarp tā lielums un darbību apjoms.</w:t>
      </w:r>
    </w:p>
    <w:p w:rsidR="00211065" w:rsidRPr="003E628F" w:rsidRDefault="00211065" w:rsidP="003E628F">
      <w:pPr>
        <w:jc w:val="both"/>
        <w:rPr>
          <w:rFonts w:ascii="Times New Roman" w:eastAsia="Times New Roman" w:hAnsi="Times New Roman" w:cs="Times New Roman"/>
          <w:noProof/>
          <w:sz w:val="24"/>
          <w:szCs w:val="21"/>
        </w:rPr>
      </w:pPr>
    </w:p>
    <w:p w:rsidR="00211065" w:rsidRPr="009F0223" w:rsidRDefault="006C414C" w:rsidP="009F0223">
      <w:pPr>
        <w:pStyle w:val="Virsraksts2"/>
        <w:rPr>
          <w:b/>
        </w:rPr>
      </w:pPr>
      <w:bookmarkStart w:id="64" w:name="_Toc490734265"/>
      <w:r w:rsidRPr="009F0223">
        <w:rPr>
          <w:b/>
        </w:rPr>
        <w:t>2.2.4. Papildu deklarācija</w:t>
      </w:r>
      <w:bookmarkStart w:id="65" w:name="_bookmark22"/>
      <w:bookmarkEnd w:id="65"/>
      <w:bookmarkEnd w:id="64"/>
    </w:p>
    <w:p w:rsidR="00211065" w:rsidRPr="003E628F" w:rsidRDefault="00211065" w:rsidP="003E628F">
      <w:pPr>
        <w:jc w:val="both"/>
        <w:rPr>
          <w:rFonts w:ascii="Times New Roman" w:eastAsia="Times New Roman" w:hAnsi="Times New Roman" w:cs="Times New Roman"/>
          <w:b/>
          <w:bCs/>
          <w:i/>
          <w:noProof/>
          <w:sz w:val="24"/>
          <w:szCs w:val="20"/>
        </w:rPr>
      </w:pPr>
    </w:p>
    <w:p w:rsidR="00211065" w:rsidRPr="003E628F" w:rsidRDefault="006C414C" w:rsidP="006C414C">
      <w:pPr>
        <w:tabs>
          <w:tab w:val="left" w:pos="409"/>
        </w:tabs>
        <w:jc w:val="both"/>
        <w:rPr>
          <w:rFonts w:ascii="Times New Roman" w:hAnsi="Times New Roman"/>
          <w:b/>
          <w:noProof/>
          <w:sz w:val="24"/>
        </w:rPr>
      </w:pPr>
      <w:r>
        <w:rPr>
          <w:rFonts w:ascii="Times New Roman" w:hAnsi="Times New Roman"/>
          <w:b/>
          <w:noProof/>
          <w:sz w:val="24"/>
        </w:rPr>
        <w:t>a) Termiņi</w:t>
      </w:r>
    </w:p>
    <w:p w:rsidR="00211065" w:rsidRPr="003E628F" w:rsidRDefault="00211065" w:rsidP="003E628F">
      <w:pPr>
        <w:jc w:val="both"/>
        <w:rPr>
          <w:rFonts w:ascii="Times New Roman" w:eastAsia="Times New Roman" w:hAnsi="Times New Roman" w:cs="Times New Roman"/>
          <w:b/>
          <w:bCs/>
          <w:noProof/>
          <w:sz w:val="24"/>
          <w:szCs w:val="20"/>
        </w:rPr>
      </w:pPr>
    </w:p>
    <w:p w:rsidR="00211065" w:rsidRPr="003E628F" w:rsidRDefault="00211065" w:rsidP="003E628F">
      <w:pPr>
        <w:jc w:val="both"/>
        <w:rPr>
          <w:rFonts w:ascii="Times New Roman" w:hAnsi="Times New Roman"/>
          <w:b/>
          <w:noProof/>
          <w:sz w:val="24"/>
        </w:rPr>
      </w:pPr>
      <w:r>
        <w:rPr>
          <w:rFonts w:ascii="Times New Roman" w:hAnsi="Times New Roman"/>
          <w:b/>
          <w:noProof/>
          <w:sz w:val="24"/>
        </w:rPr>
        <w:t>Saskaņā ar SMK (DA 146. pants) papildu deklarācija var būt:</w:t>
      </w:r>
    </w:p>
    <w:p w:rsidR="00211065" w:rsidRPr="003E628F" w:rsidRDefault="00211065" w:rsidP="003E628F">
      <w:pPr>
        <w:jc w:val="both"/>
        <w:rPr>
          <w:rFonts w:ascii="Times New Roman" w:eastAsia="Times New Roman" w:hAnsi="Times New Roman" w:cs="Times New Roman"/>
          <w:b/>
          <w:bCs/>
          <w:noProof/>
          <w:sz w:val="24"/>
          <w:szCs w:val="21"/>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131"/>
      </w:tblGrid>
      <w:tr w:rsidR="006C414C" w:rsidTr="009F0223">
        <w:tc>
          <w:tcPr>
            <w:tcW w:w="5000" w:type="pct"/>
            <w:shd w:val="clear" w:color="auto" w:fill="E4DFEB"/>
          </w:tcPr>
          <w:p w:rsidR="006C414C" w:rsidRDefault="006C414C" w:rsidP="006C414C">
            <w:pPr>
              <w:pStyle w:val="Sarakstarindkopa"/>
              <w:numPr>
                <w:ilvl w:val="0"/>
                <w:numId w:val="62"/>
              </w:numPr>
              <w:jc w:val="both"/>
              <w:rPr>
                <w:rFonts w:ascii="Times New Roman" w:eastAsia="Times New Roman" w:hAnsi="Times New Roman" w:cs="Times New Roman"/>
                <w:noProof/>
                <w:sz w:val="24"/>
                <w:szCs w:val="20"/>
              </w:rPr>
            </w:pPr>
            <w:r>
              <w:rPr>
                <w:rFonts w:ascii="Times New Roman" w:hAnsi="Times New Roman"/>
                <w:noProof/>
                <w:sz w:val="24"/>
              </w:rPr>
              <w:t>vispārīga: 10 dienas pēc preču izlaišanas, ja papildu deklarācija attiecas uz vienu vienkāršoto deklarāciju;</w:t>
            </w:r>
          </w:p>
          <w:p w:rsidR="006C414C" w:rsidRDefault="006C414C" w:rsidP="006C414C">
            <w:pPr>
              <w:pStyle w:val="Sarakstarindkopa"/>
              <w:numPr>
                <w:ilvl w:val="0"/>
                <w:numId w:val="62"/>
              </w:numPr>
              <w:jc w:val="both"/>
              <w:rPr>
                <w:rFonts w:ascii="Times New Roman" w:eastAsia="Times New Roman" w:hAnsi="Times New Roman" w:cs="Times New Roman"/>
                <w:noProof/>
                <w:sz w:val="24"/>
                <w:szCs w:val="20"/>
              </w:rPr>
            </w:pPr>
            <w:r>
              <w:rPr>
                <w:rFonts w:ascii="Times New Roman" w:hAnsi="Times New Roman"/>
                <w:noProof/>
                <w:sz w:val="24"/>
              </w:rPr>
              <w:t>apkopojoša: 10 dienas pēc perioda beigām, ja viena papildu deklarācija attiecas uz vairākām vienkāršotajām deklarācijām (šis periods nedrīkst pārsniegt vienu kalendāro mēnesi);</w:t>
            </w:r>
          </w:p>
          <w:p w:rsidR="006C414C" w:rsidRPr="006C414C" w:rsidRDefault="006C414C" w:rsidP="006C414C">
            <w:pPr>
              <w:pStyle w:val="Sarakstarindkopa"/>
              <w:numPr>
                <w:ilvl w:val="0"/>
                <w:numId w:val="62"/>
              </w:numPr>
              <w:jc w:val="both"/>
              <w:rPr>
                <w:rFonts w:ascii="Times New Roman" w:eastAsia="Times New Roman" w:hAnsi="Times New Roman" w:cs="Times New Roman"/>
                <w:noProof/>
                <w:sz w:val="24"/>
                <w:szCs w:val="20"/>
              </w:rPr>
            </w:pPr>
            <w:r>
              <w:rPr>
                <w:rFonts w:ascii="Times New Roman" w:hAnsi="Times New Roman"/>
                <w:noProof/>
                <w:sz w:val="24"/>
              </w:rPr>
              <w:t>periodiska: 10 dienas pēc perioda beigām, ja viena papildu deklarācija attiecas uz vienu vienkāršoto deklarāciju (šis periods nedrīkst pārsniegt vienu kalendāro mēnesi)</w:t>
            </w:r>
          </w:p>
        </w:tc>
      </w:tr>
    </w:tbl>
    <w:p w:rsidR="006C414C" w:rsidRPr="003E628F" w:rsidRDefault="006C414C" w:rsidP="003E628F">
      <w:pPr>
        <w:jc w:val="both"/>
        <w:rPr>
          <w:rFonts w:ascii="Times New Roman" w:eastAsia="Times New Roman" w:hAnsi="Times New Roman" w:cs="Times New Roman"/>
          <w:noProof/>
          <w:sz w:val="24"/>
          <w:szCs w:val="20"/>
        </w:rPr>
      </w:pPr>
    </w:p>
    <w:p w:rsidR="00211065" w:rsidRPr="003E628F" w:rsidRDefault="00211065" w:rsidP="006C414C">
      <w:pPr>
        <w:numPr>
          <w:ilvl w:val="1"/>
          <w:numId w:val="57"/>
        </w:numPr>
        <w:tabs>
          <w:tab w:val="left" w:pos="1134"/>
        </w:tabs>
        <w:ind w:left="1134" w:hanging="425"/>
        <w:jc w:val="both"/>
        <w:rPr>
          <w:rFonts w:ascii="Times New Roman" w:hAnsi="Times New Roman"/>
          <w:i/>
          <w:noProof/>
          <w:sz w:val="24"/>
        </w:rPr>
      </w:pPr>
      <w:r>
        <w:rPr>
          <w:rFonts w:ascii="Times New Roman" w:hAnsi="Times New Roman"/>
          <w:i/>
          <w:noProof/>
          <w:sz w:val="24"/>
        </w:rPr>
        <w:t>Atļaujas turētājs papildu deklarāciju var iesniegt pirms termiņa beigām.</w:t>
      </w:r>
    </w:p>
    <w:p w:rsidR="00211065" w:rsidRPr="003E628F" w:rsidRDefault="00211065" w:rsidP="003E628F">
      <w:pPr>
        <w:jc w:val="both"/>
        <w:rPr>
          <w:rFonts w:ascii="Times New Roman" w:eastAsia="Times New Roman" w:hAnsi="Times New Roman" w:cs="Times New Roman"/>
          <w:i/>
          <w:noProof/>
          <w:sz w:val="24"/>
          <w:szCs w:val="21"/>
        </w:rPr>
      </w:pPr>
    </w:p>
    <w:p w:rsidR="00211065" w:rsidRPr="003E628F" w:rsidRDefault="006C414C" w:rsidP="006C414C">
      <w:pPr>
        <w:tabs>
          <w:tab w:val="left" w:pos="411"/>
        </w:tabs>
        <w:jc w:val="both"/>
        <w:rPr>
          <w:rFonts w:ascii="Times New Roman" w:hAnsi="Times New Roman"/>
          <w:b/>
          <w:noProof/>
          <w:sz w:val="24"/>
        </w:rPr>
      </w:pPr>
      <w:r>
        <w:rPr>
          <w:rFonts w:ascii="Times New Roman" w:hAnsi="Times New Roman"/>
          <w:b/>
          <w:noProof/>
          <w:sz w:val="24"/>
        </w:rPr>
        <w:t>b) Saskaņošana</w:t>
      </w:r>
    </w:p>
    <w:p w:rsidR="006C414C" w:rsidRDefault="006C414C" w:rsidP="003E628F">
      <w:pPr>
        <w:jc w:val="both"/>
        <w:rPr>
          <w:rFonts w:ascii="Times New Roman" w:hAnsi="Times New Roman"/>
          <w:noProof/>
          <w:sz w:val="24"/>
        </w:rPr>
      </w:pPr>
    </w:p>
    <w:p w:rsidR="00211065" w:rsidRPr="003E628F" w:rsidRDefault="00211065" w:rsidP="003E628F">
      <w:pPr>
        <w:jc w:val="both"/>
        <w:rPr>
          <w:rFonts w:ascii="Times New Roman" w:hAnsi="Times New Roman"/>
          <w:noProof/>
          <w:sz w:val="24"/>
        </w:rPr>
      </w:pPr>
      <w:r>
        <w:rPr>
          <w:rFonts w:ascii="Times New Roman" w:hAnsi="Times New Roman"/>
          <w:noProof/>
          <w:sz w:val="24"/>
        </w:rPr>
        <w:t>Ir jāsamazina riski, ieviešot procedūras, ar kurām nodrošina vienkāršoto deklarāciju un attiecīgo papildu deklarāciju savstarpēju saskaņošanu.</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jc w:val="both"/>
        <w:rPr>
          <w:rFonts w:ascii="Times New Roman" w:eastAsia="Times New Roman" w:hAnsi="Times New Roman" w:cs="Times New Roman"/>
          <w:noProof/>
          <w:sz w:val="24"/>
          <w:szCs w:val="24"/>
        </w:rPr>
      </w:pPr>
      <w:r>
        <w:rPr>
          <w:rFonts w:ascii="Times New Roman" w:hAnsi="Times New Roman"/>
          <w:noProof/>
          <w:sz w:val="24"/>
        </w:rPr>
        <w:t xml:space="preserve">Vienkāršota deklarācija kopā ar papildu deklarāciju ir </w:t>
      </w:r>
      <w:r>
        <w:rPr>
          <w:rFonts w:ascii="Times New Roman" w:hAnsi="Times New Roman"/>
          <w:i/>
          <w:noProof/>
          <w:sz w:val="24"/>
        </w:rPr>
        <w:t>vienots, nedalāms dokuments</w:t>
      </w:r>
      <w:r>
        <w:rPr>
          <w:rFonts w:ascii="Times New Roman" w:hAnsi="Times New Roman"/>
          <w:noProof/>
          <w:sz w:val="24"/>
        </w:rPr>
        <w:t xml:space="preserve"> (SMK 167. panta 4. punkts), kas ļauj norādīt muitas parāda datumu.</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Ja papildu deklarācija atbilst vairākām vienkāršotām deklarācijām, tai jāietver visas attiecīgā perioda vienkāršotās deklarācijas.</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Šīs kontroles procedūras nodrošinās, ka tiek uzturēta muitas parāda fiskālā atbilstība un integritāte. Vēlams, ka saskaņošana notiek automātiski, un tai jānodrošina papildu deklarāciju datu pareizība un pilnīgums. To jāveic uzņēmējam un jākontrolē muitai.</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Automatizēta saskaņošanai ir ieteicama vienmēr, kad tas iespējams, un jāpārbauda kļūdas. Deklarācijās iekļauto datu automatizēta saskaņošana jāveic valstu muitošanas sistēmās.</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 xml:space="preserve">Saskaņojamās deklarācijas identificēšanai var izmantot muitas deklarācijas reģistrācijas numuru / </w:t>
      </w:r>
      <w:r>
        <w:rPr>
          <w:i/>
        </w:rPr>
        <w:t>MRN</w:t>
      </w:r>
      <w:r>
        <w:t>. Šādai elektroniskai saskaņošanai ir jānodrošina pietiekama pārliecība par papildu deklarācijas pilnīgumu, pareizību un to, ka visas preces ir pienācīgi deklarētas.</w:t>
      </w:r>
    </w:p>
    <w:p w:rsidR="00211065" w:rsidRPr="003E628F" w:rsidRDefault="00211065" w:rsidP="003E628F">
      <w:pPr>
        <w:jc w:val="both"/>
        <w:rPr>
          <w:rFonts w:ascii="Times New Roman" w:eastAsia="Times New Roman" w:hAnsi="Times New Roman" w:cs="Times New Roman"/>
          <w:noProof/>
          <w:sz w:val="24"/>
          <w:szCs w:val="21"/>
        </w:rPr>
      </w:pPr>
    </w:p>
    <w:p w:rsidR="00211065" w:rsidRPr="003E628F" w:rsidRDefault="006C414C" w:rsidP="006C414C">
      <w:pPr>
        <w:pStyle w:val="Virsraksts1"/>
        <w:tabs>
          <w:tab w:val="left" w:pos="355"/>
        </w:tabs>
        <w:jc w:val="both"/>
        <w:rPr>
          <w:noProof/>
        </w:rPr>
      </w:pPr>
      <w:bookmarkStart w:id="66" w:name="_Toc490734266"/>
      <w:r>
        <w:t>c) Atbrīvojums no papildu deklarācijas</w:t>
      </w:r>
      <w:bookmarkEnd w:id="66"/>
    </w:p>
    <w:p w:rsidR="00211065" w:rsidRPr="003E628F" w:rsidRDefault="00211065" w:rsidP="003E628F">
      <w:pPr>
        <w:jc w:val="both"/>
        <w:rPr>
          <w:rFonts w:ascii="Times New Roman" w:eastAsia="Times New Roman" w:hAnsi="Times New Roman" w:cs="Times New Roman"/>
          <w:b/>
          <w:bCs/>
          <w:noProof/>
          <w:sz w:val="24"/>
          <w:szCs w:val="20"/>
        </w:rPr>
      </w:pPr>
    </w:p>
    <w:p w:rsidR="00211065" w:rsidRPr="003E628F" w:rsidRDefault="00211065" w:rsidP="003E628F">
      <w:pPr>
        <w:pStyle w:val="Pamatteksts"/>
        <w:ind w:left="0"/>
        <w:jc w:val="both"/>
        <w:rPr>
          <w:noProof/>
        </w:rPr>
      </w:pPr>
      <w:r>
        <w:t>Atbrīvojumu no pienākuma iesniegt papildu deklarāciju var piešķirt pēc tam, kad ir iesniegta vienkāršotā deklarācija, un vienīgi SMK 167. panta 2. punkta a) apakšpunktā un 3. punktā minētajos gadījumos.</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 xml:space="preserve">Atbilstīgi 2. punkta a) apakšpunktam gadījumā, ja precēm ir piemērota muitas noliktavas </w:t>
      </w:r>
      <w:r>
        <w:lastRenderedPageBreak/>
        <w:t>procedūra. Atbilstīgi 3. punktam gadījumā, ja preču vērtība un daudzums ir mazāks par statistisko robežvērtību un vienkāršotajā deklarācijā ir iekļauta visa informācija, kas vajadzīga attiecīgās muitas procedūras piemērošanai precēm.</w:t>
      </w:r>
    </w:p>
    <w:p w:rsidR="00211065" w:rsidRPr="003E628F" w:rsidRDefault="00211065" w:rsidP="003E628F">
      <w:pPr>
        <w:jc w:val="both"/>
        <w:rPr>
          <w:rFonts w:ascii="Times New Roman" w:eastAsia="Times New Roman" w:hAnsi="Times New Roman" w:cs="Times New Roman"/>
          <w:noProof/>
          <w:sz w:val="24"/>
          <w:szCs w:val="21"/>
        </w:rPr>
      </w:pPr>
    </w:p>
    <w:p w:rsidR="00211065" w:rsidRPr="009F0223" w:rsidRDefault="006C414C" w:rsidP="009F0223">
      <w:pPr>
        <w:pStyle w:val="Virsraksts2"/>
        <w:rPr>
          <w:b/>
        </w:rPr>
      </w:pPr>
      <w:bookmarkStart w:id="67" w:name="_Toc490734267"/>
      <w:r w:rsidRPr="009F0223">
        <w:rPr>
          <w:b/>
        </w:rPr>
        <w:t>2.2.5. TDA aspekti, kas piemērojami līdz IT sistēmu atjaunināšanai vai ieviešanai</w:t>
      </w:r>
      <w:bookmarkStart w:id="68" w:name="_bookmark23"/>
      <w:bookmarkEnd w:id="68"/>
      <w:bookmarkEnd w:id="67"/>
    </w:p>
    <w:p w:rsidR="00211065" w:rsidRPr="003E628F" w:rsidRDefault="00211065" w:rsidP="003E628F">
      <w:pPr>
        <w:jc w:val="both"/>
        <w:rPr>
          <w:rFonts w:ascii="Times New Roman" w:eastAsia="Times New Roman" w:hAnsi="Times New Roman" w:cs="Times New Roman"/>
          <w:b/>
          <w:bCs/>
          <w:i/>
          <w:noProof/>
          <w:sz w:val="24"/>
          <w:szCs w:val="20"/>
        </w:rPr>
      </w:pPr>
    </w:p>
    <w:p w:rsidR="00211065" w:rsidRPr="003E628F" w:rsidRDefault="00211065" w:rsidP="003E628F">
      <w:pPr>
        <w:pStyle w:val="Pamatteksts"/>
        <w:ind w:left="0"/>
        <w:jc w:val="both"/>
        <w:rPr>
          <w:noProof/>
        </w:rPr>
      </w:pPr>
      <w:r>
        <w:t>Deklarētāji var turpināt izmantot pastāvošās IT sistēmas līdz attiecīgo IT sistēmu atjaunināšanai vai ieviešanai, ņemot vērā turpmāk minētos apsvērumus.</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 xml:space="preserve">- Tā kā DA/ĪA B pielikuma piemērošana pārejas periodā ir apturēta, līdz sistēmas atjaunināšanai piemēro datu prasības, kas noteiktas </w:t>
      </w:r>
      <w:r>
        <w:rPr>
          <w:i/>
        </w:rPr>
        <w:t>TDA</w:t>
      </w:r>
      <w:r>
        <w:t xml:space="preserve"> 9. pielikuma A papildinājumā.</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 xml:space="preserve">Papīra vienkāršoto deklarāciju gadījumā tās ir norādītas attiecīgajās papīra veidlapās, kas noteiktas </w:t>
      </w:r>
      <w:r>
        <w:rPr>
          <w:i/>
        </w:rPr>
        <w:t>TDA</w:t>
      </w:r>
      <w:r>
        <w:t xml:space="preserve"> 9. pielikuma B1–B5 papildinājumā (vienotā administratīvā dokumenta veidlapas (</w:t>
      </w:r>
      <w:r>
        <w:rPr>
          <w:i/>
        </w:rPr>
        <w:t>TDA</w:t>
      </w:r>
      <w:r>
        <w:t xml:space="preserve"> 16. pielikuma 1. punkts)).</w:t>
      </w:r>
    </w:p>
    <w:p w:rsidR="00211065" w:rsidRPr="003E628F" w:rsidRDefault="00211065" w:rsidP="003E628F">
      <w:pPr>
        <w:jc w:val="both"/>
        <w:rPr>
          <w:rFonts w:ascii="Times New Roman" w:eastAsia="Times New Roman" w:hAnsi="Times New Roman" w:cs="Times New Roman"/>
          <w:noProof/>
          <w:sz w:val="24"/>
          <w:szCs w:val="21"/>
        </w:rPr>
      </w:pPr>
    </w:p>
    <w:p w:rsidR="00211065" w:rsidRPr="003E628F" w:rsidRDefault="00211065" w:rsidP="003E628F">
      <w:pPr>
        <w:pStyle w:val="Pamatteksts"/>
        <w:ind w:left="0"/>
        <w:jc w:val="both"/>
        <w:rPr>
          <w:noProof/>
        </w:rPr>
      </w:pPr>
      <w:r>
        <w:t>Kas attiecas uz papildu deklarācijas iesniegšanas termiņiem, muitas iestādes var saskaņā ar DA 146. panta 4. punktu atļaut līdz valstu IT sistēmu atjaunināšanai izmantot citus papildu deklarācijas iesniegšanas termiņus.</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Pārejas periodā, kas piemērots attiecībā uz valstu importa un eksporta sistēmām, pēcmuitošanas vai atbilstības nodrošināšanas pasākumā joprojām tiek pieļauta manuāla saskaņošana.</w:t>
      </w:r>
    </w:p>
    <w:p w:rsidR="006C414C" w:rsidRDefault="006C414C" w:rsidP="003E628F">
      <w:pPr>
        <w:pStyle w:val="Pamatteksts"/>
        <w:ind w:left="0"/>
        <w:jc w:val="both"/>
        <w:rPr>
          <w:noProof/>
        </w:rPr>
      </w:pPr>
    </w:p>
    <w:p w:rsidR="00211065" w:rsidRPr="003E628F" w:rsidRDefault="00211065" w:rsidP="003E628F">
      <w:pPr>
        <w:pStyle w:val="Pamatteksts"/>
        <w:ind w:left="0"/>
        <w:jc w:val="both"/>
        <w:rPr>
          <w:noProof/>
        </w:rPr>
      </w:pPr>
      <w:r>
        <w:t xml:space="preserve">Pārejas periodā vienkāršoto deklarāciju var noformēt kā komercdokumentu vai administratīvu dokumentu ar nosacījumu, ka ir izpildīti </w:t>
      </w:r>
      <w:r>
        <w:rPr>
          <w:i/>
        </w:rPr>
        <w:t>TDA</w:t>
      </w:r>
      <w:r>
        <w:t xml:space="preserve"> 16. panta 2. punkta nosacījumi.</w:t>
      </w:r>
    </w:p>
    <w:p w:rsidR="00211065" w:rsidRPr="003E628F" w:rsidRDefault="00211065" w:rsidP="003E628F">
      <w:pPr>
        <w:jc w:val="both"/>
        <w:rPr>
          <w:rFonts w:ascii="Times New Roman" w:eastAsia="Times New Roman" w:hAnsi="Times New Roman" w:cs="Times New Roman"/>
          <w:noProof/>
          <w:sz w:val="24"/>
          <w:szCs w:val="21"/>
        </w:rPr>
      </w:pPr>
    </w:p>
    <w:p w:rsidR="00211065" w:rsidRPr="009F0223" w:rsidRDefault="006C414C" w:rsidP="009F0223">
      <w:pPr>
        <w:pStyle w:val="Virsraksts2"/>
        <w:rPr>
          <w:b/>
        </w:rPr>
      </w:pPr>
      <w:bookmarkStart w:id="69" w:name="_Toc490734268"/>
      <w:r w:rsidRPr="009F0223">
        <w:rPr>
          <w:b/>
        </w:rPr>
        <w:t>2.3. Jauni pieteikumi EIDR atļaujas saņemšanai</w:t>
      </w:r>
      <w:bookmarkStart w:id="70" w:name="_bookmark24"/>
      <w:bookmarkEnd w:id="70"/>
      <w:bookmarkEnd w:id="69"/>
    </w:p>
    <w:p w:rsidR="00211065" w:rsidRPr="003E628F" w:rsidRDefault="00211065" w:rsidP="003E628F">
      <w:pPr>
        <w:jc w:val="both"/>
        <w:rPr>
          <w:rFonts w:ascii="Times New Roman" w:eastAsia="Times New Roman" w:hAnsi="Times New Roman" w:cs="Times New Roman"/>
          <w:b/>
          <w:bCs/>
          <w:i/>
          <w:noProof/>
          <w:sz w:val="24"/>
          <w:szCs w:val="20"/>
        </w:rPr>
      </w:pPr>
    </w:p>
    <w:p w:rsidR="00211065" w:rsidRPr="009F0223" w:rsidRDefault="006C414C" w:rsidP="009F0223">
      <w:pPr>
        <w:pStyle w:val="Virsraksts2"/>
        <w:rPr>
          <w:b/>
          <w:noProof/>
        </w:rPr>
      </w:pPr>
      <w:bookmarkStart w:id="71" w:name="_Toc490734269"/>
      <w:r w:rsidRPr="009F0223">
        <w:rPr>
          <w:b/>
          <w:noProof/>
        </w:rPr>
        <w:t>2.3.1. Nosacījumi un kritēriji atļaujas izsniegšanai un iepriekšējā auditā pārbaudāmie jautājumi</w:t>
      </w:r>
      <w:bookmarkStart w:id="72" w:name="_bookmark25"/>
      <w:bookmarkEnd w:id="72"/>
      <w:bookmarkEnd w:id="71"/>
    </w:p>
    <w:p w:rsidR="00211065" w:rsidRPr="003E628F" w:rsidRDefault="00211065" w:rsidP="003E628F">
      <w:pPr>
        <w:jc w:val="both"/>
        <w:rPr>
          <w:rFonts w:ascii="Times New Roman" w:eastAsia="Times New Roman" w:hAnsi="Times New Roman" w:cs="Times New Roman"/>
          <w:b/>
          <w:bCs/>
          <w:i/>
          <w:noProof/>
          <w:sz w:val="24"/>
          <w:szCs w:val="20"/>
        </w:rPr>
      </w:pPr>
    </w:p>
    <w:p w:rsidR="00211065" w:rsidRPr="003E628F" w:rsidRDefault="006C414C" w:rsidP="006C414C">
      <w:pPr>
        <w:tabs>
          <w:tab w:val="left" w:pos="389"/>
        </w:tabs>
        <w:jc w:val="both"/>
        <w:rPr>
          <w:rFonts w:ascii="Times New Roman" w:hAnsi="Times New Roman"/>
          <w:b/>
          <w:noProof/>
          <w:sz w:val="24"/>
        </w:rPr>
      </w:pPr>
      <w:r>
        <w:rPr>
          <w:rFonts w:ascii="Times New Roman" w:hAnsi="Times New Roman"/>
          <w:b/>
          <w:noProof/>
          <w:sz w:val="24"/>
        </w:rPr>
        <w:t xml:space="preserve">a) </w:t>
      </w:r>
      <w:r>
        <w:rPr>
          <w:rFonts w:ascii="Times New Roman" w:hAnsi="Times New Roman"/>
          <w:b/>
          <w:i/>
          <w:noProof/>
          <w:sz w:val="24"/>
        </w:rPr>
        <w:t>EIDR</w:t>
      </w:r>
      <w:r>
        <w:rPr>
          <w:rFonts w:ascii="Times New Roman" w:hAnsi="Times New Roman"/>
          <w:b/>
          <w:noProof/>
          <w:sz w:val="24"/>
        </w:rPr>
        <w:t xml:space="preserve"> atļaujas izsniegšanas nosacījumi</w:t>
      </w:r>
    </w:p>
    <w:p w:rsidR="00211065" w:rsidRPr="003E628F" w:rsidRDefault="00211065" w:rsidP="003E628F">
      <w:pPr>
        <w:jc w:val="both"/>
        <w:rPr>
          <w:rFonts w:ascii="Times New Roman" w:eastAsia="Times New Roman" w:hAnsi="Times New Roman" w:cs="Times New Roman"/>
          <w:b/>
          <w:bCs/>
          <w:noProof/>
          <w:sz w:val="24"/>
          <w:szCs w:val="20"/>
        </w:rPr>
      </w:pPr>
    </w:p>
    <w:p w:rsidR="00211065" w:rsidRPr="003E628F" w:rsidRDefault="00211065" w:rsidP="003E628F">
      <w:pPr>
        <w:pStyle w:val="Pamatteksts"/>
        <w:ind w:left="0"/>
        <w:jc w:val="both"/>
        <w:rPr>
          <w:noProof/>
        </w:rPr>
      </w:pPr>
      <w:r>
        <w:t xml:space="preserve">DA 150. panta 1. punktā minētie nosacījumi, kas jāizpilda, lai saņemtu </w:t>
      </w:r>
      <w:r>
        <w:rPr>
          <w:i/>
        </w:rPr>
        <w:t>EIDR</w:t>
      </w:r>
      <w:r>
        <w:t xml:space="preserve"> atļauju, ir savienoti ar </w:t>
      </w:r>
      <w:r>
        <w:rPr>
          <w:i/>
        </w:rPr>
        <w:t>AEO</w:t>
      </w:r>
      <w:r>
        <w:t xml:space="preserve"> kritērijiem, kas ir izklāstīti Kodeksa 39. panta a), b) un d) punktā. Turpmākajā tabulā izklāstīti šie nosacījumi un sniegtas atsauces uz ĪA noteikumiem.</w:t>
      </w:r>
    </w:p>
    <w:p w:rsidR="00211065" w:rsidRPr="003E628F" w:rsidRDefault="00211065" w:rsidP="003E628F">
      <w:pPr>
        <w:jc w:val="both"/>
        <w:rPr>
          <w:rFonts w:ascii="Times New Roman" w:eastAsia="Times New Roman" w:hAnsi="Times New Roman" w:cs="Times New Roman"/>
          <w:noProof/>
          <w:sz w:val="24"/>
          <w:szCs w:val="21"/>
        </w:rPr>
      </w:pPr>
    </w:p>
    <w:tbl>
      <w:tblPr>
        <w:tblW w:w="0" w:type="auto"/>
        <w:tblInd w:w="111" w:type="dxa"/>
        <w:tblLayout w:type="fixed"/>
        <w:tblCellMar>
          <w:top w:w="28" w:type="dxa"/>
          <w:left w:w="28" w:type="dxa"/>
          <w:bottom w:w="28" w:type="dxa"/>
          <w:right w:w="28" w:type="dxa"/>
        </w:tblCellMar>
        <w:tblLook w:val="01E0" w:firstRow="1" w:lastRow="1" w:firstColumn="1" w:lastColumn="1" w:noHBand="0" w:noVBand="0"/>
      </w:tblPr>
      <w:tblGrid>
        <w:gridCol w:w="7081"/>
        <w:gridCol w:w="1721"/>
      </w:tblGrid>
      <w:tr w:rsidR="00211065" w:rsidRPr="003E628F" w:rsidTr="006C414C">
        <w:trPr>
          <w:trHeight w:hRule="exact" w:val="1452"/>
        </w:trPr>
        <w:tc>
          <w:tcPr>
            <w:tcW w:w="7081" w:type="dxa"/>
            <w:tcBorders>
              <w:top w:val="single" w:sz="5" w:space="0" w:color="000000"/>
              <w:left w:val="single" w:sz="5" w:space="0" w:color="000000"/>
              <w:bottom w:val="single" w:sz="5" w:space="0" w:color="000000"/>
              <w:right w:val="single" w:sz="5" w:space="0" w:color="000000"/>
            </w:tcBorders>
            <w:shd w:val="clear" w:color="auto" w:fill="E4DFEB"/>
          </w:tcPr>
          <w:p w:rsidR="00211065" w:rsidRPr="003E628F" w:rsidRDefault="00211065" w:rsidP="009F0223">
            <w:pPr>
              <w:pStyle w:val="TableParagraph"/>
              <w:jc w:val="both"/>
              <w:rPr>
                <w:rFonts w:ascii="Times New Roman" w:hAnsi="Times New Roman"/>
                <w:noProof/>
                <w:sz w:val="24"/>
              </w:rPr>
            </w:pPr>
            <w:r>
              <w:rPr>
                <w:rFonts w:ascii="Times New Roman" w:hAnsi="Times New Roman"/>
                <w:noProof/>
                <w:sz w:val="24"/>
              </w:rPr>
              <w:t>Izpildāmie nosacījumi (DA 150. pants)</w:t>
            </w:r>
          </w:p>
        </w:tc>
        <w:tc>
          <w:tcPr>
            <w:tcW w:w="1721" w:type="dxa"/>
            <w:tcBorders>
              <w:top w:val="single" w:sz="5" w:space="0" w:color="000000"/>
              <w:left w:val="single" w:sz="5" w:space="0" w:color="000000"/>
              <w:bottom w:val="single" w:sz="5" w:space="0" w:color="000000"/>
              <w:right w:val="single" w:sz="5" w:space="0" w:color="000000"/>
            </w:tcBorders>
            <w:shd w:val="clear" w:color="auto" w:fill="E4DFEB"/>
          </w:tcPr>
          <w:p w:rsidR="00211065" w:rsidRPr="003E628F" w:rsidRDefault="00211065" w:rsidP="003E628F">
            <w:pPr>
              <w:pStyle w:val="TableParagraph"/>
              <w:jc w:val="both"/>
              <w:rPr>
                <w:rFonts w:ascii="Times New Roman" w:hAnsi="Times New Roman"/>
                <w:noProof/>
                <w:sz w:val="24"/>
              </w:rPr>
            </w:pPr>
            <w:r>
              <w:rPr>
                <w:rFonts w:ascii="Times New Roman" w:hAnsi="Times New Roman"/>
                <w:noProof/>
                <w:sz w:val="24"/>
              </w:rPr>
              <w:t>Atsauces uz ĪA</w:t>
            </w:r>
          </w:p>
        </w:tc>
      </w:tr>
      <w:tr w:rsidR="00211065" w:rsidRPr="003E628F" w:rsidTr="006C414C">
        <w:trPr>
          <w:trHeight w:hRule="exact" w:val="1355"/>
        </w:trPr>
        <w:tc>
          <w:tcPr>
            <w:tcW w:w="7081" w:type="dxa"/>
            <w:tcBorders>
              <w:top w:val="single" w:sz="5" w:space="0" w:color="000000"/>
              <w:left w:val="single" w:sz="5" w:space="0" w:color="000000"/>
              <w:bottom w:val="single" w:sz="5" w:space="0" w:color="000000"/>
              <w:right w:val="single" w:sz="5" w:space="0" w:color="000000"/>
            </w:tcBorders>
            <w:shd w:val="clear" w:color="auto" w:fill="E4DFEB"/>
          </w:tcPr>
          <w:p w:rsidR="00211065" w:rsidRPr="003E628F" w:rsidRDefault="00211065" w:rsidP="003E628F">
            <w:pPr>
              <w:pStyle w:val="TableParagraph"/>
              <w:jc w:val="both"/>
              <w:rPr>
                <w:rFonts w:ascii="Times New Roman" w:eastAsia="Times New Roman" w:hAnsi="Times New Roman" w:cs="Times New Roman"/>
                <w:noProof/>
                <w:sz w:val="24"/>
                <w:szCs w:val="24"/>
              </w:rPr>
            </w:pPr>
            <w:r>
              <w:rPr>
                <w:rFonts w:ascii="Times New Roman" w:hAnsi="Times New Roman"/>
                <w:noProof/>
                <w:sz w:val="24"/>
              </w:rPr>
              <w:t>Kodeksa 39. panta a) punktā noteiktais kritērijs (nav tiesību aktu muitas jomā un nodokļu noteikumu nopietnu vai atkārtotu pārkāpumu, tostarp nav smagu noziedzīgu nodarījumu, kas saistīti ar pieteikuma iesniedzēja saimniecisko darbību)</w:t>
            </w:r>
          </w:p>
        </w:tc>
        <w:tc>
          <w:tcPr>
            <w:tcW w:w="1721" w:type="dxa"/>
            <w:tcBorders>
              <w:top w:val="single" w:sz="5" w:space="0" w:color="000000"/>
              <w:left w:val="single" w:sz="5" w:space="0" w:color="000000"/>
              <w:bottom w:val="single" w:sz="5" w:space="0" w:color="000000"/>
              <w:right w:val="single" w:sz="5" w:space="0" w:color="000000"/>
            </w:tcBorders>
            <w:shd w:val="clear" w:color="auto" w:fill="E4DFEB"/>
          </w:tcPr>
          <w:p w:rsidR="00211065" w:rsidRPr="003E628F" w:rsidRDefault="00211065" w:rsidP="003E628F">
            <w:pPr>
              <w:pStyle w:val="TableParagraph"/>
              <w:jc w:val="both"/>
              <w:rPr>
                <w:rFonts w:ascii="Times New Roman" w:hAnsi="Times New Roman"/>
                <w:noProof/>
                <w:sz w:val="24"/>
              </w:rPr>
            </w:pPr>
            <w:r>
              <w:rPr>
                <w:rFonts w:ascii="Times New Roman" w:hAnsi="Times New Roman"/>
                <w:noProof/>
                <w:sz w:val="24"/>
              </w:rPr>
              <w:t>ĪA 24. pants</w:t>
            </w:r>
          </w:p>
        </w:tc>
      </w:tr>
      <w:tr w:rsidR="00211065" w:rsidRPr="003E628F" w:rsidTr="006C414C">
        <w:trPr>
          <w:trHeight w:hRule="exact" w:val="1630"/>
        </w:trPr>
        <w:tc>
          <w:tcPr>
            <w:tcW w:w="7081" w:type="dxa"/>
            <w:tcBorders>
              <w:top w:val="single" w:sz="5" w:space="0" w:color="000000"/>
              <w:left w:val="single" w:sz="5" w:space="0" w:color="000000"/>
              <w:bottom w:val="single" w:sz="5" w:space="0" w:color="000000"/>
              <w:right w:val="single" w:sz="5" w:space="0" w:color="000000"/>
            </w:tcBorders>
            <w:shd w:val="clear" w:color="auto" w:fill="E4DFEB"/>
          </w:tcPr>
          <w:p w:rsidR="00211065" w:rsidRPr="003E628F" w:rsidRDefault="00211065" w:rsidP="003E628F">
            <w:pPr>
              <w:pStyle w:val="TableParagraph"/>
              <w:jc w:val="both"/>
              <w:rPr>
                <w:rFonts w:ascii="Times New Roman" w:hAnsi="Times New Roman"/>
                <w:noProof/>
                <w:sz w:val="24"/>
              </w:rPr>
            </w:pPr>
            <w:r>
              <w:rPr>
                <w:rFonts w:ascii="Times New Roman" w:hAnsi="Times New Roman"/>
                <w:noProof/>
                <w:sz w:val="24"/>
              </w:rPr>
              <w:lastRenderedPageBreak/>
              <w:t>Kodeksa 39. panta b) punktā noteiktais kritērijs (pieteikuma iesniedzējs ir demonstrējis augsta līmeņa kontroli pār savām darbībām un preču plūsmu, izmantojot komerciālās un, attiecīgos gadījumos, pārvadājumu uzskaites pārvaldības sistēmu, kas ļauj veikt pienācīgu muitas kontroli)</w:t>
            </w:r>
          </w:p>
        </w:tc>
        <w:tc>
          <w:tcPr>
            <w:tcW w:w="1721" w:type="dxa"/>
            <w:tcBorders>
              <w:top w:val="single" w:sz="5" w:space="0" w:color="000000"/>
              <w:left w:val="single" w:sz="5" w:space="0" w:color="000000"/>
              <w:bottom w:val="single" w:sz="5" w:space="0" w:color="000000"/>
              <w:right w:val="single" w:sz="5" w:space="0" w:color="000000"/>
            </w:tcBorders>
            <w:shd w:val="clear" w:color="auto" w:fill="E4DFEB"/>
          </w:tcPr>
          <w:p w:rsidR="00211065" w:rsidRPr="003E628F" w:rsidRDefault="00211065" w:rsidP="003E628F">
            <w:pPr>
              <w:pStyle w:val="TableParagraph"/>
              <w:jc w:val="both"/>
              <w:rPr>
                <w:rFonts w:ascii="Times New Roman" w:hAnsi="Times New Roman"/>
                <w:noProof/>
                <w:sz w:val="24"/>
              </w:rPr>
            </w:pPr>
            <w:r>
              <w:rPr>
                <w:rFonts w:ascii="Times New Roman" w:hAnsi="Times New Roman"/>
                <w:noProof/>
                <w:sz w:val="24"/>
              </w:rPr>
              <w:t>ĪA 25. pants</w:t>
            </w:r>
          </w:p>
        </w:tc>
      </w:tr>
      <w:tr w:rsidR="00211065" w:rsidRPr="003E628F" w:rsidTr="006C414C">
        <w:trPr>
          <w:trHeight w:hRule="exact" w:val="1354"/>
        </w:trPr>
        <w:tc>
          <w:tcPr>
            <w:tcW w:w="7081" w:type="dxa"/>
            <w:tcBorders>
              <w:top w:val="single" w:sz="5" w:space="0" w:color="000000"/>
              <w:left w:val="single" w:sz="5" w:space="0" w:color="000000"/>
              <w:bottom w:val="single" w:sz="5" w:space="0" w:color="000000"/>
              <w:right w:val="single" w:sz="5" w:space="0" w:color="000000"/>
            </w:tcBorders>
            <w:shd w:val="clear" w:color="auto" w:fill="E4DFEB"/>
          </w:tcPr>
          <w:p w:rsidR="00211065" w:rsidRPr="003E628F" w:rsidRDefault="00211065" w:rsidP="003E628F">
            <w:pPr>
              <w:pStyle w:val="TableParagraph"/>
              <w:jc w:val="both"/>
              <w:rPr>
                <w:rFonts w:ascii="Times New Roman" w:hAnsi="Times New Roman"/>
                <w:noProof/>
                <w:sz w:val="24"/>
              </w:rPr>
            </w:pPr>
            <w:r>
              <w:rPr>
                <w:rFonts w:ascii="Times New Roman" w:hAnsi="Times New Roman"/>
                <w:noProof/>
                <w:sz w:val="24"/>
              </w:rPr>
              <w:t>Kodeksa 39. panta d) punktā noteiktais kritērijs (attiecībā uz 38. panta 2. punkta a) apakšpunktā minēto atļauju [</w:t>
            </w:r>
            <w:r>
              <w:rPr>
                <w:rFonts w:ascii="Times New Roman" w:hAnsi="Times New Roman"/>
                <w:i/>
                <w:noProof/>
                <w:sz w:val="24"/>
              </w:rPr>
              <w:t>AEOC</w:t>
            </w:r>
            <w:r>
              <w:rPr>
                <w:rFonts w:ascii="Times New Roman" w:hAnsi="Times New Roman"/>
                <w:noProof/>
                <w:sz w:val="24"/>
              </w:rPr>
              <w:t>] praktiski kompetences vai profesionālās kvalifikācijas standarti, kas tieši saistīti ar veikto darbību)</w:t>
            </w:r>
          </w:p>
        </w:tc>
        <w:tc>
          <w:tcPr>
            <w:tcW w:w="1721" w:type="dxa"/>
            <w:tcBorders>
              <w:top w:val="single" w:sz="5" w:space="0" w:color="000000"/>
              <w:left w:val="single" w:sz="5" w:space="0" w:color="000000"/>
              <w:bottom w:val="single" w:sz="5" w:space="0" w:color="000000"/>
              <w:right w:val="single" w:sz="5" w:space="0" w:color="000000"/>
            </w:tcBorders>
            <w:shd w:val="clear" w:color="auto" w:fill="E4DFEB"/>
          </w:tcPr>
          <w:p w:rsidR="00211065" w:rsidRPr="003E628F" w:rsidRDefault="00211065" w:rsidP="003E628F">
            <w:pPr>
              <w:pStyle w:val="TableParagraph"/>
              <w:jc w:val="both"/>
              <w:rPr>
                <w:rFonts w:ascii="Times New Roman" w:hAnsi="Times New Roman"/>
                <w:noProof/>
                <w:sz w:val="24"/>
              </w:rPr>
            </w:pPr>
            <w:r>
              <w:rPr>
                <w:rFonts w:ascii="Times New Roman" w:hAnsi="Times New Roman"/>
                <w:noProof/>
                <w:sz w:val="24"/>
              </w:rPr>
              <w:t>ĪA 27. pants</w:t>
            </w:r>
          </w:p>
        </w:tc>
      </w:tr>
    </w:tbl>
    <w:p w:rsidR="006C414C" w:rsidRDefault="006C414C" w:rsidP="003E628F">
      <w:pPr>
        <w:pStyle w:val="Pamatteksts"/>
        <w:ind w:left="0"/>
        <w:jc w:val="both"/>
        <w:rPr>
          <w:noProof/>
        </w:rPr>
      </w:pPr>
    </w:p>
    <w:p w:rsidR="00211065" w:rsidRPr="003E628F" w:rsidRDefault="00211065" w:rsidP="003E628F">
      <w:pPr>
        <w:pStyle w:val="Pamatteksts"/>
        <w:ind w:left="0"/>
        <w:jc w:val="both"/>
        <w:rPr>
          <w:noProof/>
        </w:rPr>
      </w:pPr>
      <w:r>
        <w:t xml:space="preserve">Ja pieteikuma iesniedzējam jau ir </w:t>
      </w:r>
      <w:r>
        <w:rPr>
          <w:i/>
        </w:rPr>
        <w:t>AEOC</w:t>
      </w:r>
      <w:r>
        <w:t xml:space="preserve"> statuss, jāņem vērā arī </w:t>
      </w:r>
      <w:r>
        <w:rPr>
          <w:i/>
        </w:rPr>
        <w:t>AEO</w:t>
      </w:r>
      <w:r>
        <w:t xml:space="preserve"> statusa piešķiršanas datums un ikviens pēc tā veikts pārraudzības un/vai atkārtotas novērtēšanas pasākums.</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 xml:space="preserve">Līdz ar to kritērijus, kas jau ir novērtēti saistībā ar </w:t>
      </w:r>
      <w:r>
        <w:rPr>
          <w:i/>
        </w:rPr>
        <w:t>AEO</w:t>
      </w:r>
      <w:r>
        <w:t xml:space="preserve"> statusa piešķiršanu, var nepārbaudīt atkārtoti, taču vajadzības gadījumā muitas dienestiem ir iespēja lūgt papildu informāciju (piemēram, apstākļu maiņas gadījumā). Tomēr jāpārbauda konkrētie ar pieprasīto </w:t>
      </w:r>
      <w:r>
        <w:rPr>
          <w:i/>
        </w:rPr>
        <w:t>EIDR</w:t>
      </w:r>
      <w:r>
        <w:t xml:space="preserve"> saistītie nosacījumi, kas netika pārbaudīti </w:t>
      </w:r>
      <w:r>
        <w:rPr>
          <w:i/>
        </w:rPr>
        <w:t>AEO</w:t>
      </w:r>
      <w:r>
        <w:t xml:space="preserve"> auditā.</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color w:val="49442A"/>
        </w:rPr>
      </w:pPr>
      <w:r>
        <w:rPr>
          <w:i/>
          <w:noProof/>
          <w:color w:val="49442A"/>
          <w:u w:val="single" w:color="49442A"/>
        </w:rPr>
        <w:t>Jāņem vērā!</w:t>
      </w:r>
      <w:r>
        <w:rPr>
          <w:i/>
          <w:noProof/>
          <w:color w:val="49442A"/>
        </w:rPr>
        <w:t xml:space="preserve"> </w:t>
      </w:r>
      <w:r>
        <w:rPr>
          <w:noProof/>
          <w:color w:val="49442A"/>
        </w:rPr>
        <w:t xml:space="preserve">Ja pieteikumi </w:t>
      </w:r>
      <w:r>
        <w:rPr>
          <w:i/>
          <w:noProof/>
          <w:color w:val="49442A"/>
        </w:rPr>
        <w:t>EIDR</w:t>
      </w:r>
      <w:r>
        <w:rPr>
          <w:noProof/>
          <w:color w:val="49442A"/>
        </w:rPr>
        <w:t xml:space="preserve"> atļaujas saņemšanai un </w:t>
      </w:r>
      <w:r>
        <w:rPr>
          <w:i/>
          <w:noProof/>
          <w:color w:val="49442A"/>
        </w:rPr>
        <w:t>AEO</w:t>
      </w:r>
      <w:r>
        <w:rPr>
          <w:noProof/>
          <w:color w:val="49442A"/>
        </w:rPr>
        <w:t xml:space="preserve"> statusa saņemšanai tiek iesniegti vienlaikus, muitas dienestiem ieteicams saskaņot darbības, lai novērstu pārbaudes dublēšanu. Par to pienācīgi jāinformē pieteikuma iesniedzējs. Jebkurā gadījumā gala ziņojumi un paziņojumi pieteikuma iesniedzējam jāsniedz atsevišķi par abiem lēmuma pieņemšanas procesiem.</w:t>
      </w:r>
    </w:p>
    <w:p w:rsidR="00211065" w:rsidRPr="003E628F" w:rsidRDefault="00211065" w:rsidP="003E628F">
      <w:pPr>
        <w:jc w:val="both"/>
        <w:rPr>
          <w:rFonts w:ascii="Times New Roman" w:hAnsi="Times New Roman"/>
          <w:noProof/>
          <w:color w:val="49442A"/>
          <w:sz w:val="24"/>
        </w:rPr>
      </w:pPr>
    </w:p>
    <w:p w:rsidR="00211065" w:rsidRPr="003E628F" w:rsidRDefault="006C414C" w:rsidP="006C414C">
      <w:pPr>
        <w:pStyle w:val="Virsraksts1"/>
        <w:tabs>
          <w:tab w:val="left" w:pos="404"/>
        </w:tabs>
        <w:jc w:val="both"/>
        <w:rPr>
          <w:noProof/>
        </w:rPr>
      </w:pPr>
      <w:bookmarkStart w:id="73" w:name="_Toc490734270"/>
      <w:r>
        <w:t>b) Papildu nosacījumi, lai saņemtu atbrīvojumu no pienākuma uzrādīt preces</w:t>
      </w:r>
      <w:bookmarkEnd w:id="73"/>
    </w:p>
    <w:p w:rsidR="006C414C" w:rsidRDefault="006C414C" w:rsidP="003E628F">
      <w:pPr>
        <w:pStyle w:val="Pamatteksts"/>
        <w:ind w:left="0"/>
        <w:jc w:val="both"/>
        <w:rPr>
          <w:noProof/>
        </w:rPr>
      </w:pPr>
    </w:p>
    <w:p w:rsidR="00211065" w:rsidRPr="003E628F" w:rsidRDefault="00211065" w:rsidP="003E628F">
      <w:pPr>
        <w:pStyle w:val="Pamatteksts"/>
        <w:ind w:left="0"/>
        <w:jc w:val="both"/>
        <w:rPr>
          <w:noProof/>
        </w:rPr>
      </w:pPr>
      <w:r>
        <w:t>Muitas dienesti, pamatojoties uz pieteikumu, var atbrīvot no pienākuma uzrādīt preces. Turpmākajā tabulā minēti papildu nosacījumi, kas šādā gadījumā deklarētājam ir jāizpilda, un informācija par to, kā novērtēt šo nosacījumu izpildi iepriekšējā auditā.</w:t>
      </w:r>
    </w:p>
    <w:p w:rsidR="00211065" w:rsidRPr="003E628F" w:rsidRDefault="00211065" w:rsidP="003E628F">
      <w:pPr>
        <w:jc w:val="both"/>
        <w:rPr>
          <w:rFonts w:ascii="Times New Roman" w:eastAsia="Times New Roman" w:hAnsi="Times New Roman" w:cs="Times New Roman"/>
          <w:noProof/>
          <w:sz w:val="24"/>
          <w:szCs w:val="21"/>
        </w:rPr>
      </w:pPr>
    </w:p>
    <w:tbl>
      <w:tblPr>
        <w:tblW w:w="5000" w:type="pct"/>
        <w:tblCellMar>
          <w:top w:w="28" w:type="dxa"/>
          <w:left w:w="28" w:type="dxa"/>
          <w:bottom w:w="28" w:type="dxa"/>
          <w:right w:w="28" w:type="dxa"/>
        </w:tblCellMar>
        <w:tblLook w:val="01E0" w:firstRow="1" w:lastRow="1" w:firstColumn="1" w:lastColumn="1" w:noHBand="0" w:noVBand="0"/>
      </w:tblPr>
      <w:tblGrid>
        <w:gridCol w:w="4761"/>
        <w:gridCol w:w="4370"/>
      </w:tblGrid>
      <w:tr w:rsidR="00211065" w:rsidRPr="003E628F" w:rsidTr="009F0223">
        <w:tc>
          <w:tcPr>
            <w:tcW w:w="2607" w:type="pct"/>
            <w:tcBorders>
              <w:top w:val="single" w:sz="3" w:space="0" w:color="000000"/>
              <w:left w:val="single" w:sz="3" w:space="0" w:color="000000"/>
              <w:bottom w:val="single" w:sz="3" w:space="0" w:color="000000"/>
              <w:right w:val="single" w:sz="3" w:space="0" w:color="000000"/>
            </w:tcBorders>
            <w:shd w:val="clear" w:color="auto" w:fill="E4DFEB"/>
          </w:tcPr>
          <w:p w:rsidR="00211065" w:rsidRPr="003E628F" w:rsidRDefault="00211065" w:rsidP="003E628F">
            <w:pPr>
              <w:pStyle w:val="TableParagraph"/>
              <w:jc w:val="both"/>
              <w:rPr>
                <w:rFonts w:ascii="Times New Roman" w:hAnsi="Times New Roman"/>
                <w:b/>
                <w:noProof/>
                <w:sz w:val="24"/>
              </w:rPr>
            </w:pPr>
            <w:r>
              <w:rPr>
                <w:rFonts w:ascii="Times New Roman" w:hAnsi="Times New Roman"/>
                <w:b/>
                <w:noProof/>
                <w:sz w:val="24"/>
              </w:rPr>
              <w:t>Nosacījumi (Kodeksa 182. panta 3. punkts)</w:t>
            </w:r>
          </w:p>
        </w:tc>
        <w:tc>
          <w:tcPr>
            <w:tcW w:w="2393" w:type="pct"/>
            <w:tcBorders>
              <w:top w:val="single" w:sz="3" w:space="0" w:color="000000"/>
              <w:left w:val="single" w:sz="3" w:space="0" w:color="000000"/>
              <w:bottom w:val="single" w:sz="3" w:space="0" w:color="000000"/>
              <w:right w:val="single" w:sz="3" w:space="0" w:color="000000"/>
            </w:tcBorders>
            <w:shd w:val="clear" w:color="auto" w:fill="E4DFEB"/>
          </w:tcPr>
          <w:p w:rsidR="00211065" w:rsidRPr="003E628F" w:rsidRDefault="00211065" w:rsidP="003E628F">
            <w:pPr>
              <w:pStyle w:val="TableParagraph"/>
              <w:jc w:val="both"/>
              <w:rPr>
                <w:rFonts w:ascii="Times New Roman" w:hAnsi="Times New Roman"/>
                <w:b/>
                <w:noProof/>
                <w:sz w:val="24"/>
              </w:rPr>
            </w:pPr>
            <w:r>
              <w:rPr>
                <w:rFonts w:ascii="Times New Roman" w:hAnsi="Times New Roman"/>
                <w:b/>
                <w:noProof/>
                <w:sz w:val="24"/>
              </w:rPr>
              <w:t>Iepriekšējā auditā pārbaudāmā informācija</w:t>
            </w:r>
          </w:p>
        </w:tc>
      </w:tr>
      <w:tr w:rsidR="00211065" w:rsidRPr="003E628F" w:rsidTr="009F0223">
        <w:tc>
          <w:tcPr>
            <w:tcW w:w="2607" w:type="pct"/>
            <w:tcBorders>
              <w:top w:val="single" w:sz="3" w:space="0" w:color="000000"/>
              <w:left w:val="single" w:sz="3" w:space="0" w:color="000000"/>
              <w:bottom w:val="single" w:sz="3" w:space="0" w:color="000000"/>
              <w:right w:val="single" w:sz="3" w:space="0" w:color="000000"/>
            </w:tcBorders>
            <w:shd w:val="clear" w:color="auto" w:fill="E4DFEB"/>
          </w:tcPr>
          <w:p w:rsidR="00211065" w:rsidRPr="003E628F" w:rsidRDefault="00211065" w:rsidP="003E628F">
            <w:pPr>
              <w:pStyle w:val="TableParagraph"/>
              <w:jc w:val="both"/>
              <w:rPr>
                <w:rFonts w:ascii="Times New Roman" w:hAnsi="Times New Roman"/>
                <w:noProof/>
                <w:sz w:val="24"/>
              </w:rPr>
            </w:pPr>
            <w:r>
              <w:rPr>
                <w:rFonts w:ascii="Times New Roman" w:hAnsi="Times New Roman"/>
                <w:noProof/>
                <w:sz w:val="24"/>
              </w:rPr>
              <w:t xml:space="preserve">a) deklarētājam ir </w:t>
            </w:r>
            <w:r>
              <w:rPr>
                <w:rFonts w:ascii="Times New Roman" w:hAnsi="Times New Roman"/>
                <w:i/>
                <w:noProof/>
                <w:sz w:val="24"/>
              </w:rPr>
              <w:t>AEO</w:t>
            </w:r>
            <w:r>
              <w:rPr>
                <w:rFonts w:ascii="Times New Roman" w:hAnsi="Times New Roman"/>
                <w:noProof/>
                <w:sz w:val="24"/>
              </w:rPr>
              <w:t xml:space="preserve"> statuss muitas vienkāršojumiem</w:t>
            </w:r>
          </w:p>
        </w:tc>
        <w:tc>
          <w:tcPr>
            <w:tcW w:w="2393" w:type="pct"/>
            <w:tcBorders>
              <w:top w:val="single" w:sz="3" w:space="0" w:color="000000"/>
              <w:left w:val="single" w:sz="3" w:space="0" w:color="000000"/>
              <w:bottom w:val="single" w:sz="3" w:space="0" w:color="000000"/>
              <w:right w:val="single" w:sz="3" w:space="0" w:color="000000"/>
            </w:tcBorders>
            <w:shd w:val="clear" w:color="auto" w:fill="E4DFEB"/>
          </w:tcPr>
          <w:p w:rsidR="00211065" w:rsidRPr="003E628F" w:rsidRDefault="00211065" w:rsidP="003E628F">
            <w:pPr>
              <w:pStyle w:val="TableParagraph"/>
              <w:jc w:val="both"/>
              <w:rPr>
                <w:rFonts w:ascii="Times New Roman" w:hAnsi="Times New Roman"/>
                <w:i/>
                <w:noProof/>
                <w:sz w:val="24"/>
              </w:rPr>
            </w:pPr>
            <w:r>
              <w:rPr>
                <w:rFonts w:ascii="Times New Roman" w:hAnsi="Times New Roman"/>
                <w:i/>
                <w:noProof/>
                <w:sz w:val="24"/>
              </w:rPr>
              <w:t>sal. ar Kodeksa 38. un 39. pantu, ĪA 24.–27. pantu un AEO vadlīnijām par muitas vienkāršojumiem</w:t>
            </w:r>
          </w:p>
        </w:tc>
      </w:tr>
      <w:tr w:rsidR="00211065" w:rsidRPr="003E628F" w:rsidTr="009F0223">
        <w:tc>
          <w:tcPr>
            <w:tcW w:w="2607" w:type="pct"/>
            <w:tcBorders>
              <w:top w:val="single" w:sz="3" w:space="0" w:color="000000"/>
              <w:left w:val="single" w:sz="3" w:space="0" w:color="000000"/>
              <w:bottom w:val="single" w:sz="3" w:space="0" w:color="000000"/>
              <w:right w:val="single" w:sz="3" w:space="0" w:color="000000"/>
            </w:tcBorders>
            <w:shd w:val="clear" w:color="auto" w:fill="E4DFEB"/>
          </w:tcPr>
          <w:p w:rsidR="00211065" w:rsidRPr="003E628F" w:rsidRDefault="00211065" w:rsidP="003E628F">
            <w:pPr>
              <w:pStyle w:val="TableParagraph"/>
              <w:jc w:val="both"/>
              <w:rPr>
                <w:rFonts w:ascii="Times New Roman" w:hAnsi="Times New Roman"/>
                <w:noProof/>
                <w:sz w:val="24"/>
              </w:rPr>
            </w:pPr>
            <w:r>
              <w:rPr>
                <w:rFonts w:ascii="Times New Roman" w:hAnsi="Times New Roman"/>
                <w:noProof/>
                <w:sz w:val="24"/>
              </w:rPr>
              <w:t>b) attiecīgo preču raksturs un plūsma to ļauj veikt un ir zināma muitas dienestam</w:t>
            </w:r>
          </w:p>
        </w:tc>
        <w:tc>
          <w:tcPr>
            <w:tcW w:w="2393" w:type="pct"/>
            <w:tcBorders>
              <w:top w:val="single" w:sz="3" w:space="0" w:color="000000"/>
              <w:left w:val="single" w:sz="3" w:space="0" w:color="000000"/>
              <w:bottom w:val="single" w:sz="3" w:space="0" w:color="000000"/>
              <w:right w:val="single" w:sz="3" w:space="0" w:color="000000"/>
            </w:tcBorders>
            <w:shd w:val="clear" w:color="auto" w:fill="E4DFEB"/>
          </w:tcPr>
          <w:p w:rsidR="00211065" w:rsidRPr="003E628F" w:rsidRDefault="00211065" w:rsidP="003E628F">
            <w:pPr>
              <w:pStyle w:val="TableParagraph"/>
              <w:jc w:val="both"/>
              <w:rPr>
                <w:rFonts w:ascii="Times New Roman" w:hAnsi="Times New Roman"/>
                <w:noProof/>
                <w:sz w:val="24"/>
              </w:rPr>
            </w:pPr>
            <w:r>
              <w:rPr>
                <w:rFonts w:ascii="Times New Roman" w:hAnsi="Times New Roman"/>
                <w:noProof/>
                <w:sz w:val="24"/>
              </w:rPr>
              <w:t>- Preču veidam ir jābūt zināmam iepriekšēja audita laikā, lai novērtētu, vai var piešķirt atbrīvojumu no uzrādīšanas.</w:t>
            </w:r>
          </w:p>
          <w:p w:rsidR="00211065" w:rsidRPr="003E628F" w:rsidRDefault="00211065" w:rsidP="003E628F">
            <w:pPr>
              <w:pStyle w:val="TableParagraph"/>
              <w:jc w:val="both"/>
              <w:rPr>
                <w:rFonts w:ascii="Times New Roman" w:eastAsia="Times New Roman" w:hAnsi="Times New Roman" w:cs="Times New Roman"/>
                <w:noProof/>
                <w:sz w:val="24"/>
                <w:szCs w:val="20"/>
              </w:rPr>
            </w:pPr>
          </w:p>
          <w:p w:rsidR="00211065" w:rsidRPr="003E628F" w:rsidRDefault="00211065" w:rsidP="003E628F">
            <w:pPr>
              <w:pStyle w:val="TableParagraph"/>
              <w:jc w:val="both"/>
              <w:rPr>
                <w:rFonts w:ascii="Times New Roman" w:hAnsi="Times New Roman"/>
                <w:noProof/>
                <w:sz w:val="24"/>
              </w:rPr>
            </w:pPr>
            <w:r>
              <w:rPr>
                <w:rFonts w:ascii="Times New Roman" w:hAnsi="Times New Roman"/>
                <w:noProof/>
                <w:sz w:val="24"/>
              </w:rPr>
              <w:t>Ar preču veidu saistītas izmaiņas ir jādara zināmas muitas dienestam.</w:t>
            </w:r>
          </w:p>
          <w:p w:rsidR="00211065" w:rsidRPr="003E628F" w:rsidRDefault="00211065" w:rsidP="003E628F">
            <w:pPr>
              <w:pStyle w:val="TableParagraph"/>
              <w:jc w:val="both"/>
              <w:rPr>
                <w:rFonts w:ascii="Times New Roman" w:eastAsia="Times New Roman" w:hAnsi="Times New Roman" w:cs="Times New Roman"/>
                <w:noProof/>
                <w:sz w:val="24"/>
                <w:szCs w:val="20"/>
              </w:rPr>
            </w:pPr>
          </w:p>
          <w:p w:rsidR="00211065" w:rsidRPr="003E628F" w:rsidRDefault="00211065" w:rsidP="003E628F">
            <w:pPr>
              <w:pStyle w:val="TableParagraph"/>
              <w:jc w:val="both"/>
              <w:rPr>
                <w:rFonts w:ascii="Times New Roman" w:hAnsi="Times New Roman"/>
                <w:noProof/>
                <w:sz w:val="24"/>
              </w:rPr>
            </w:pPr>
            <w:r>
              <w:rPr>
                <w:rFonts w:ascii="Times New Roman" w:hAnsi="Times New Roman"/>
                <w:noProof/>
                <w:sz w:val="24"/>
              </w:rPr>
              <w:t>Var izslēgt, piemēram, šādus preču veidus:</w:t>
            </w:r>
          </w:p>
          <w:p w:rsidR="00211065" w:rsidRPr="003E628F" w:rsidRDefault="00211065" w:rsidP="003E628F">
            <w:pPr>
              <w:pStyle w:val="TableParagraph"/>
              <w:jc w:val="both"/>
              <w:rPr>
                <w:rFonts w:ascii="Times New Roman" w:eastAsia="Times New Roman" w:hAnsi="Times New Roman" w:cs="Times New Roman"/>
                <w:noProof/>
                <w:sz w:val="24"/>
                <w:szCs w:val="20"/>
              </w:rPr>
            </w:pPr>
          </w:p>
          <w:p w:rsidR="00211065" w:rsidRPr="003E628F" w:rsidRDefault="00211065" w:rsidP="003E628F">
            <w:pPr>
              <w:pStyle w:val="Sarakstarindkopa"/>
              <w:numPr>
                <w:ilvl w:val="0"/>
                <w:numId w:val="53"/>
              </w:numPr>
              <w:tabs>
                <w:tab w:val="left" w:pos="230"/>
              </w:tabs>
              <w:ind w:left="0" w:firstLine="0"/>
              <w:jc w:val="both"/>
              <w:rPr>
                <w:rFonts w:ascii="Times New Roman" w:hAnsi="Times New Roman"/>
                <w:noProof/>
                <w:sz w:val="24"/>
              </w:rPr>
            </w:pPr>
            <w:r>
              <w:rPr>
                <w:rFonts w:ascii="Times New Roman" w:hAnsi="Times New Roman"/>
                <w:noProof/>
                <w:sz w:val="24"/>
              </w:rPr>
              <w:t>preces, kuru izlaišanai ir nepieciešami 163. panta 2. punktā noteiktie pavaddokumenti;</w:t>
            </w:r>
          </w:p>
          <w:p w:rsidR="00211065" w:rsidRPr="003E628F" w:rsidRDefault="00211065" w:rsidP="003E628F">
            <w:pPr>
              <w:pStyle w:val="TableParagraph"/>
              <w:jc w:val="both"/>
              <w:rPr>
                <w:rFonts w:ascii="Times New Roman" w:eastAsia="Times New Roman" w:hAnsi="Times New Roman" w:cs="Times New Roman"/>
                <w:noProof/>
                <w:sz w:val="24"/>
                <w:szCs w:val="20"/>
              </w:rPr>
            </w:pPr>
          </w:p>
          <w:p w:rsidR="00211065" w:rsidRPr="003E628F" w:rsidRDefault="00211065" w:rsidP="003E628F">
            <w:pPr>
              <w:pStyle w:val="Sarakstarindkopa"/>
              <w:numPr>
                <w:ilvl w:val="0"/>
                <w:numId w:val="53"/>
              </w:numPr>
              <w:tabs>
                <w:tab w:val="left" w:pos="259"/>
              </w:tabs>
              <w:ind w:left="0" w:firstLine="0"/>
              <w:jc w:val="both"/>
              <w:rPr>
                <w:rFonts w:ascii="Times New Roman" w:hAnsi="Times New Roman"/>
                <w:noProof/>
                <w:sz w:val="24"/>
              </w:rPr>
            </w:pPr>
            <w:r>
              <w:rPr>
                <w:rFonts w:ascii="Times New Roman" w:hAnsi="Times New Roman"/>
                <w:noProof/>
                <w:sz w:val="24"/>
              </w:rPr>
              <w:lastRenderedPageBreak/>
              <w:t>preces, uz kurām attiecināmi aizliegumi un ierobežojumi, ja vien netiek izpildīts SMK 182. panta 3. punkta d) apakšpunktā minētais nosacījums (sk. zemāk).</w:t>
            </w:r>
          </w:p>
          <w:p w:rsidR="00211065" w:rsidRPr="003E628F" w:rsidRDefault="00211065" w:rsidP="003E628F">
            <w:pPr>
              <w:pStyle w:val="TableParagraph"/>
              <w:jc w:val="both"/>
              <w:rPr>
                <w:rFonts w:ascii="Times New Roman" w:eastAsia="Times New Roman" w:hAnsi="Times New Roman" w:cs="Times New Roman"/>
                <w:noProof/>
                <w:sz w:val="24"/>
                <w:szCs w:val="24"/>
              </w:rPr>
            </w:pPr>
          </w:p>
          <w:p w:rsidR="00211065" w:rsidRPr="003E628F" w:rsidRDefault="00211065" w:rsidP="003E628F">
            <w:pPr>
              <w:pStyle w:val="TableParagraph"/>
              <w:jc w:val="both"/>
              <w:rPr>
                <w:rFonts w:ascii="Times New Roman" w:eastAsia="Times New Roman" w:hAnsi="Times New Roman" w:cs="Times New Roman"/>
                <w:noProof/>
                <w:sz w:val="24"/>
                <w:szCs w:val="24"/>
              </w:rPr>
            </w:pPr>
          </w:p>
          <w:p w:rsidR="00211065" w:rsidRPr="003E628F" w:rsidRDefault="00211065" w:rsidP="003E628F">
            <w:pPr>
              <w:pStyle w:val="TableParagraph"/>
              <w:jc w:val="both"/>
              <w:rPr>
                <w:rFonts w:ascii="Times New Roman" w:hAnsi="Times New Roman"/>
                <w:noProof/>
                <w:sz w:val="24"/>
              </w:rPr>
            </w:pPr>
            <w:r>
              <w:rPr>
                <w:rFonts w:ascii="Times New Roman" w:hAnsi="Times New Roman"/>
                <w:noProof/>
                <w:sz w:val="24"/>
              </w:rPr>
              <w:t>- Kas attiecas uz preču plūsmu, izslēgšanas iemesli var būt saistīti ar:</w:t>
            </w:r>
          </w:p>
          <w:p w:rsidR="00211065" w:rsidRPr="003E628F" w:rsidRDefault="00211065" w:rsidP="003E628F">
            <w:pPr>
              <w:pStyle w:val="TableParagraph"/>
              <w:jc w:val="both"/>
              <w:rPr>
                <w:rFonts w:ascii="Times New Roman" w:eastAsia="Times New Roman" w:hAnsi="Times New Roman" w:cs="Times New Roman"/>
                <w:noProof/>
                <w:sz w:val="24"/>
                <w:szCs w:val="20"/>
              </w:rPr>
            </w:pPr>
          </w:p>
          <w:p w:rsidR="00211065" w:rsidRPr="003E628F" w:rsidRDefault="00211065" w:rsidP="006C414C">
            <w:pPr>
              <w:pStyle w:val="Sarakstarindkopa"/>
              <w:numPr>
                <w:ilvl w:val="0"/>
                <w:numId w:val="52"/>
              </w:numPr>
              <w:tabs>
                <w:tab w:val="left" w:pos="220"/>
              </w:tabs>
              <w:ind w:left="0" w:firstLine="0"/>
              <w:jc w:val="both"/>
              <w:rPr>
                <w:rFonts w:ascii="Times New Roman" w:hAnsi="Times New Roman"/>
                <w:noProof/>
                <w:sz w:val="24"/>
              </w:rPr>
            </w:pPr>
            <w:r>
              <w:rPr>
                <w:rFonts w:ascii="Times New Roman" w:hAnsi="Times New Roman"/>
                <w:noProof/>
                <w:sz w:val="24"/>
              </w:rPr>
              <w:t>maršrutiem;</w:t>
            </w:r>
          </w:p>
          <w:p w:rsidR="00211065" w:rsidRPr="003E628F" w:rsidRDefault="00211065" w:rsidP="006C414C">
            <w:pPr>
              <w:pStyle w:val="TableParagraph"/>
              <w:jc w:val="both"/>
              <w:rPr>
                <w:rFonts w:ascii="Times New Roman" w:eastAsia="Times New Roman" w:hAnsi="Times New Roman" w:cs="Times New Roman"/>
                <w:noProof/>
                <w:sz w:val="24"/>
                <w:szCs w:val="20"/>
              </w:rPr>
            </w:pPr>
          </w:p>
          <w:p w:rsidR="00211065" w:rsidRPr="003E628F" w:rsidRDefault="00211065" w:rsidP="006C414C">
            <w:pPr>
              <w:pStyle w:val="Sarakstarindkopa"/>
              <w:numPr>
                <w:ilvl w:val="0"/>
                <w:numId w:val="52"/>
              </w:numPr>
              <w:tabs>
                <w:tab w:val="left" w:pos="220"/>
              </w:tabs>
              <w:ind w:left="0" w:firstLine="0"/>
              <w:jc w:val="both"/>
              <w:rPr>
                <w:rFonts w:ascii="Times New Roman" w:hAnsi="Times New Roman"/>
                <w:noProof/>
                <w:sz w:val="24"/>
              </w:rPr>
            </w:pPr>
            <w:r>
              <w:rPr>
                <w:rFonts w:ascii="Times New Roman" w:hAnsi="Times New Roman"/>
                <w:noProof/>
                <w:sz w:val="24"/>
              </w:rPr>
              <w:t>piegādes ķēdēm;</w:t>
            </w:r>
          </w:p>
          <w:p w:rsidR="00211065" w:rsidRPr="003E628F" w:rsidRDefault="00211065" w:rsidP="006C414C">
            <w:pPr>
              <w:pStyle w:val="TableParagraph"/>
              <w:jc w:val="both"/>
              <w:rPr>
                <w:rFonts w:ascii="Times New Roman" w:eastAsia="Times New Roman" w:hAnsi="Times New Roman" w:cs="Times New Roman"/>
                <w:noProof/>
                <w:sz w:val="24"/>
                <w:szCs w:val="20"/>
              </w:rPr>
            </w:pPr>
          </w:p>
          <w:p w:rsidR="00211065" w:rsidRPr="003E628F" w:rsidRDefault="00211065" w:rsidP="006C414C">
            <w:pPr>
              <w:pStyle w:val="Sarakstarindkopa"/>
              <w:numPr>
                <w:ilvl w:val="0"/>
                <w:numId w:val="52"/>
              </w:numPr>
              <w:tabs>
                <w:tab w:val="left" w:pos="220"/>
              </w:tabs>
              <w:ind w:left="0" w:firstLine="0"/>
              <w:jc w:val="both"/>
              <w:rPr>
                <w:rFonts w:ascii="Times New Roman" w:hAnsi="Times New Roman"/>
                <w:noProof/>
                <w:sz w:val="24"/>
              </w:rPr>
            </w:pPr>
            <w:r>
              <w:rPr>
                <w:rFonts w:ascii="Times New Roman" w:hAnsi="Times New Roman"/>
                <w:noProof/>
                <w:sz w:val="24"/>
              </w:rPr>
              <w:t>plūsmas raksturu vai biežumu.</w:t>
            </w:r>
          </w:p>
          <w:p w:rsidR="00211065" w:rsidRPr="003E628F" w:rsidRDefault="00211065" w:rsidP="003E628F">
            <w:pPr>
              <w:pStyle w:val="TableParagraph"/>
              <w:jc w:val="both"/>
              <w:rPr>
                <w:rFonts w:ascii="Times New Roman" w:eastAsia="Times New Roman" w:hAnsi="Times New Roman" w:cs="Times New Roman"/>
                <w:noProof/>
                <w:sz w:val="24"/>
                <w:szCs w:val="20"/>
              </w:rPr>
            </w:pPr>
          </w:p>
          <w:p w:rsidR="00211065" w:rsidRPr="003E628F" w:rsidRDefault="00211065" w:rsidP="003E628F">
            <w:pPr>
              <w:pStyle w:val="TableParagraph"/>
              <w:jc w:val="both"/>
              <w:rPr>
                <w:rFonts w:ascii="Times New Roman" w:hAnsi="Times New Roman"/>
                <w:noProof/>
                <w:sz w:val="24"/>
              </w:rPr>
            </w:pPr>
            <w:r>
              <w:rPr>
                <w:rFonts w:ascii="Times New Roman" w:hAnsi="Times New Roman"/>
                <w:noProof/>
                <w:sz w:val="24"/>
              </w:rPr>
              <w:t>Lēmums jāpieņem, katru gadījumu vērtējot atsevišķi.</w:t>
            </w:r>
          </w:p>
        </w:tc>
      </w:tr>
      <w:tr w:rsidR="00211065" w:rsidRPr="003E628F" w:rsidTr="009F0223">
        <w:tc>
          <w:tcPr>
            <w:tcW w:w="2607" w:type="pct"/>
            <w:tcBorders>
              <w:top w:val="single" w:sz="3" w:space="0" w:color="000000"/>
              <w:left w:val="single" w:sz="3" w:space="0" w:color="000000"/>
              <w:bottom w:val="single" w:sz="25" w:space="0" w:color="E4DFEB"/>
              <w:right w:val="single" w:sz="3" w:space="0" w:color="000000"/>
            </w:tcBorders>
            <w:shd w:val="clear" w:color="auto" w:fill="E4DFEB"/>
          </w:tcPr>
          <w:p w:rsidR="00211065" w:rsidRPr="003E628F" w:rsidRDefault="00211065" w:rsidP="003E628F">
            <w:pPr>
              <w:pStyle w:val="TableParagraph"/>
              <w:jc w:val="both"/>
              <w:rPr>
                <w:rFonts w:ascii="Times New Roman" w:hAnsi="Times New Roman"/>
                <w:noProof/>
                <w:sz w:val="24"/>
              </w:rPr>
            </w:pPr>
            <w:r>
              <w:rPr>
                <w:rFonts w:ascii="Times New Roman" w:hAnsi="Times New Roman"/>
                <w:noProof/>
                <w:sz w:val="24"/>
              </w:rPr>
              <w:lastRenderedPageBreak/>
              <w:t>c) uzraudzības muitas iestādei ir piekļuve visai informācijai, ko tā uzskata par vajadzīgu, lai tā varētu īstenot savas tiesības pārbaudīt preces, ja tāda vajadzība rastos</w:t>
            </w:r>
          </w:p>
        </w:tc>
        <w:tc>
          <w:tcPr>
            <w:tcW w:w="2393" w:type="pct"/>
            <w:tcBorders>
              <w:top w:val="single" w:sz="3" w:space="0" w:color="000000"/>
              <w:left w:val="single" w:sz="3" w:space="0" w:color="000000"/>
              <w:bottom w:val="single" w:sz="25" w:space="0" w:color="E4DFEB"/>
              <w:right w:val="single" w:sz="3" w:space="0" w:color="000000"/>
            </w:tcBorders>
            <w:shd w:val="clear" w:color="auto" w:fill="E4DFEB"/>
          </w:tcPr>
          <w:p w:rsidR="00211065" w:rsidRPr="003E628F" w:rsidRDefault="00211065" w:rsidP="003E628F">
            <w:pPr>
              <w:pStyle w:val="TableParagraph"/>
              <w:jc w:val="both"/>
              <w:rPr>
                <w:rFonts w:ascii="Times New Roman" w:hAnsi="Times New Roman"/>
                <w:noProof/>
                <w:sz w:val="24"/>
              </w:rPr>
            </w:pPr>
            <w:r>
              <w:rPr>
                <w:rFonts w:ascii="Times New Roman" w:hAnsi="Times New Roman"/>
                <w:noProof/>
                <w:sz w:val="24"/>
              </w:rPr>
              <w:t>Uzraudzības muitas iestādei ir jāpārbauda telpu pieejamība un tas, vai ir pieejama riska analīzei nepieciešamā informācija, kas jāsniedz deklarētājam (reģistri, uzņēmuma pārstāvja klātbūtne u. c.).</w:t>
            </w:r>
          </w:p>
        </w:tc>
      </w:tr>
      <w:tr w:rsidR="00211065" w:rsidRPr="003E628F" w:rsidTr="009F0223">
        <w:tblPrEx>
          <w:tblCellMar>
            <w:top w:w="0" w:type="dxa"/>
            <w:left w:w="0" w:type="dxa"/>
            <w:bottom w:w="0" w:type="dxa"/>
            <w:right w:w="0" w:type="dxa"/>
          </w:tblCellMar>
        </w:tblPrEx>
        <w:trPr>
          <w:trHeight w:hRule="exact" w:val="2254"/>
        </w:trPr>
        <w:tc>
          <w:tcPr>
            <w:tcW w:w="2607" w:type="pct"/>
            <w:tcBorders>
              <w:top w:val="nil"/>
              <w:left w:val="single" w:sz="3" w:space="0" w:color="000000"/>
              <w:bottom w:val="single" w:sz="3" w:space="0" w:color="000000"/>
              <w:right w:val="single" w:sz="3" w:space="0" w:color="000000"/>
            </w:tcBorders>
            <w:shd w:val="clear" w:color="auto" w:fill="E4DFEB"/>
          </w:tcPr>
          <w:p w:rsidR="00211065" w:rsidRPr="003E628F" w:rsidRDefault="00211065" w:rsidP="003E628F">
            <w:pPr>
              <w:pStyle w:val="TableParagraph"/>
              <w:jc w:val="both"/>
              <w:rPr>
                <w:rFonts w:ascii="Times New Roman" w:hAnsi="Times New Roman"/>
                <w:noProof/>
                <w:sz w:val="24"/>
              </w:rPr>
            </w:pPr>
            <w:r>
              <w:rPr>
                <w:rFonts w:ascii="Times New Roman" w:hAnsi="Times New Roman"/>
                <w:noProof/>
                <w:sz w:val="24"/>
              </w:rPr>
              <w:t>d) brīdī, kad tiek veikts ieraksts reģistros, uz precēm vairs neattiecas aizliegumi vai ierobežojumi, izņemot gadījumus, kad atļaujā ir noteikts citādi</w:t>
            </w:r>
          </w:p>
        </w:tc>
        <w:tc>
          <w:tcPr>
            <w:tcW w:w="2393" w:type="pct"/>
            <w:tcBorders>
              <w:top w:val="nil"/>
              <w:left w:val="single" w:sz="3" w:space="0" w:color="000000"/>
              <w:bottom w:val="single" w:sz="3" w:space="0" w:color="000000"/>
              <w:right w:val="single" w:sz="3" w:space="0" w:color="000000"/>
            </w:tcBorders>
            <w:shd w:val="clear" w:color="auto" w:fill="E4DFEB"/>
          </w:tcPr>
          <w:p w:rsidR="00211065" w:rsidRPr="003E628F" w:rsidRDefault="00211065" w:rsidP="003E628F">
            <w:pPr>
              <w:pStyle w:val="Sarakstarindkopa"/>
              <w:numPr>
                <w:ilvl w:val="0"/>
                <w:numId w:val="51"/>
              </w:numPr>
              <w:tabs>
                <w:tab w:val="left" w:pos="218"/>
              </w:tabs>
              <w:ind w:left="0" w:firstLine="0"/>
              <w:jc w:val="both"/>
              <w:rPr>
                <w:rFonts w:ascii="Times New Roman" w:hAnsi="Times New Roman"/>
                <w:noProof/>
                <w:sz w:val="24"/>
              </w:rPr>
            </w:pPr>
            <w:r>
              <w:rPr>
                <w:rFonts w:ascii="Times New Roman" w:hAnsi="Times New Roman"/>
                <w:noProof/>
                <w:sz w:val="24"/>
              </w:rPr>
              <w:t>Atkarībā no iepriekšēja audita rezultātiem nosacījumi, kas jāizpilda, lai saņemtu atbrīvojumu no paziņošanas gadījumā, kad uz precēm attiecas aizliegumi un ierobežojumi, var būt integrēti atļaujā.</w:t>
            </w:r>
          </w:p>
          <w:p w:rsidR="00211065" w:rsidRPr="003E628F" w:rsidRDefault="00211065" w:rsidP="003E628F">
            <w:pPr>
              <w:pStyle w:val="TableParagraph"/>
              <w:jc w:val="both"/>
              <w:rPr>
                <w:rFonts w:ascii="Times New Roman" w:eastAsia="Times New Roman" w:hAnsi="Times New Roman" w:cs="Times New Roman"/>
                <w:noProof/>
                <w:sz w:val="24"/>
                <w:szCs w:val="20"/>
              </w:rPr>
            </w:pPr>
          </w:p>
          <w:p w:rsidR="00211065" w:rsidRPr="003E628F" w:rsidRDefault="00211065" w:rsidP="003E628F">
            <w:pPr>
              <w:pStyle w:val="Sarakstarindkopa"/>
              <w:numPr>
                <w:ilvl w:val="0"/>
                <w:numId w:val="51"/>
              </w:numPr>
              <w:tabs>
                <w:tab w:val="left" w:pos="292"/>
              </w:tabs>
              <w:ind w:left="0" w:firstLine="0"/>
              <w:jc w:val="both"/>
              <w:rPr>
                <w:rFonts w:ascii="Times New Roman" w:hAnsi="Times New Roman"/>
                <w:noProof/>
                <w:sz w:val="24"/>
              </w:rPr>
            </w:pPr>
            <w:r>
              <w:rPr>
                <w:rFonts w:ascii="Times New Roman" w:hAnsi="Times New Roman"/>
                <w:noProof/>
                <w:sz w:val="24"/>
              </w:rPr>
              <w:t>Jāveic cieša darījumdarbības pārraudzība.</w:t>
            </w:r>
          </w:p>
        </w:tc>
      </w:tr>
      <w:tr w:rsidR="00211065" w:rsidRPr="003E628F" w:rsidTr="009F0223">
        <w:tblPrEx>
          <w:tblCellMar>
            <w:top w:w="0" w:type="dxa"/>
            <w:left w:w="0" w:type="dxa"/>
            <w:bottom w:w="0" w:type="dxa"/>
            <w:right w:w="0" w:type="dxa"/>
          </w:tblCellMar>
        </w:tblPrEx>
        <w:trPr>
          <w:trHeight w:hRule="exact" w:val="2006"/>
        </w:trPr>
        <w:tc>
          <w:tcPr>
            <w:tcW w:w="2607" w:type="pct"/>
            <w:tcBorders>
              <w:top w:val="single" w:sz="3" w:space="0" w:color="000000"/>
              <w:left w:val="single" w:sz="3" w:space="0" w:color="000000"/>
              <w:bottom w:val="single" w:sz="25" w:space="0" w:color="E4DFEB"/>
              <w:right w:val="single" w:sz="3" w:space="0" w:color="000000"/>
            </w:tcBorders>
            <w:shd w:val="clear" w:color="auto" w:fill="E4DFEB"/>
          </w:tcPr>
          <w:p w:rsidR="00211065" w:rsidRPr="003E628F" w:rsidRDefault="00211065" w:rsidP="003E628F">
            <w:pPr>
              <w:pStyle w:val="TableParagraph"/>
              <w:jc w:val="both"/>
              <w:rPr>
                <w:rFonts w:ascii="Times New Roman" w:hAnsi="Times New Roman"/>
                <w:noProof/>
                <w:sz w:val="24"/>
              </w:rPr>
            </w:pPr>
            <w:r>
              <w:rPr>
                <w:rFonts w:ascii="Times New Roman" w:hAnsi="Times New Roman"/>
                <w:noProof/>
                <w:sz w:val="24"/>
              </w:rPr>
              <w:t>e) tomēr uzraudzības muitas iestāde īpašās situācijās var lūgt preces uzrādīt</w:t>
            </w:r>
          </w:p>
        </w:tc>
        <w:tc>
          <w:tcPr>
            <w:tcW w:w="2393" w:type="pct"/>
            <w:tcBorders>
              <w:top w:val="single" w:sz="3" w:space="0" w:color="000000"/>
              <w:left w:val="single" w:sz="3" w:space="0" w:color="000000"/>
              <w:bottom w:val="single" w:sz="25" w:space="0" w:color="E4DFEB"/>
              <w:right w:val="single" w:sz="3" w:space="0" w:color="000000"/>
            </w:tcBorders>
            <w:shd w:val="clear" w:color="auto" w:fill="E4DFEB"/>
          </w:tcPr>
          <w:p w:rsidR="00211065" w:rsidRPr="003E628F" w:rsidRDefault="00211065" w:rsidP="003E628F">
            <w:pPr>
              <w:pStyle w:val="TableParagraph"/>
              <w:jc w:val="both"/>
              <w:rPr>
                <w:rFonts w:ascii="Times New Roman" w:hAnsi="Times New Roman"/>
                <w:noProof/>
                <w:sz w:val="24"/>
              </w:rPr>
            </w:pPr>
            <w:r>
              <w:rPr>
                <w:rFonts w:ascii="Times New Roman" w:hAnsi="Times New Roman"/>
                <w:noProof/>
                <w:sz w:val="24"/>
              </w:rPr>
              <w:t>- Jebkurā gadījumā deklarētājam jāspēj paziņot preču uzrādīšana muitai, kad muitas dienests to pieprasa. Prasības uzrādīt preces var paredzēt apstākļos, kad mainās riski.</w:t>
            </w:r>
          </w:p>
        </w:tc>
      </w:tr>
    </w:tbl>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jc w:val="both"/>
        <w:rPr>
          <w:rFonts w:ascii="Times New Roman" w:eastAsia="Times New Roman" w:hAnsi="Times New Roman" w:cs="Times New Roman"/>
          <w:noProof/>
          <w:sz w:val="24"/>
          <w:szCs w:val="18"/>
        </w:rPr>
      </w:pPr>
    </w:p>
    <w:p w:rsidR="00211065" w:rsidRPr="003E628F" w:rsidRDefault="006C414C" w:rsidP="006C414C">
      <w:pPr>
        <w:pStyle w:val="Virsraksts1"/>
        <w:tabs>
          <w:tab w:val="left" w:pos="455"/>
        </w:tabs>
        <w:jc w:val="both"/>
        <w:rPr>
          <w:noProof/>
        </w:rPr>
      </w:pPr>
      <w:bookmarkStart w:id="74" w:name="_Toc490734271"/>
      <w:r>
        <w:t>c) Citi jautājumi, kas jāpārbauda iepriekšēja audita apmeklējumos</w:t>
      </w:r>
      <w:bookmarkEnd w:id="74"/>
    </w:p>
    <w:p w:rsidR="00211065" w:rsidRPr="003E628F" w:rsidRDefault="00211065" w:rsidP="003E628F">
      <w:pPr>
        <w:jc w:val="both"/>
        <w:rPr>
          <w:rFonts w:ascii="Times New Roman" w:eastAsia="Times New Roman" w:hAnsi="Times New Roman" w:cs="Times New Roman"/>
          <w:b/>
          <w:bCs/>
          <w:noProof/>
          <w:sz w:val="24"/>
          <w:szCs w:val="20"/>
        </w:rPr>
      </w:pPr>
    </w:p>
    <w:p w:rsidR="00211065" w:rsidRPr="003E628F" w:rsidRDefault="00211065" w:rsidP="003E628F">
      <w:pPr>
        <w:pStyle w:val="Pamatteksts"/>
        <w:ind w:left="0"/>
        <w:jc w:val="both"/>
        <w:rPr>
          <w:noProof/>
        </w:rPr>
      </w:pPr>
      <w:r>
        <w:t xml:space="preserve">Iepriekšējā auditā galvenā uzmanība tiek pievērsta būtiskajiem </w:t>
      </w:r>
      <w:r>
        <w:rPr>
          <w:i/>
        </w:rPr>
        <w:t>AEO</w:t>
      </w:r>
      <w:r>
        <w:t xml:space="preserve"> kritērijiem, kā arī noteiktiem aspektiem, kas nepieciešami </w:t>
      </w:r>
      <w:r>
        <w:rPr>
          <w:i/>
        </w:rPr>
        <w:t>EIDR</w:t>
      </w:r>
      <w:r>
        <w:t xml:space="preserve"> izmantošanas atļaujai. Tos var uzskatīt par papildu jautājumiem, ja tie nav pārbaudīti pirms tam veiktā iepriekšējā auditā, un/vai elementiem, par ko jāvienojas ar pieteikuma iesniedzēju pirms atļaujas piešķiršanas.</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Noteiktā kārtība, kā uzrādīt preces / paziņot preču uzrādīšanu, ja nav piešķirts atbrīvojums no paziņošanas (Kodeksa 182. panta 3. punkts).</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lastRenderedPageBreak/>
        <w:t>Nosacījumi, saskaņā ar kuriem ir atļauta preču izlaišana (Kodeksa 182. panta 4. punkts)</w:t>
      </w:r>
    </w:p>
    <w:p w:rsidR="00211065" w:rsidRPr="003E628F" w:rsidRDefault="00211065" w:rsidP="003E628F">
      <w:pPr>
        <w:jc w:val="both"/>
        <w:rPr>
          <w:rFonts w:ascii="Times New Roman" w:eastAsia="Times New Roman" w:hAnsi="Times New Roman" w:cs="Times New Roman"/>
          <w:noProof/>
          <w:sz w:val="24"/>
          <w:szCs w:val="21"/>
        </w:rPr>
      </w:pPr>
    </w:p>
    <w:tbl>
      <w:tblPr>
        <w:tblW w:w="5000" w:type="pct"/>
        <w:tblCellMar>
          <w:top w:w="28" w:type="dxa"/>
          <w:left w:w="28" w:type="dxa"/>
          <w:bottom w:w="28" w:type="dxa"/>
          <w:right w:w="28" w:type="dxa"/>
        </w:tblCellMar>
        <w:tblLook w:val="01E0" w:firstRow="1" w:lastRow="1" w:firstColumn="1" w:lastColumn="1" w:noHBand="0" w:noVBand="0"/>
      </w:tblPr>
      <w:tblGrid>
        <w:gridCol w:w="9131"/>
      </w:tblGrid>
      <w:tr w:rsidR="00211065" w:rsidRPr="003E628F" w:rsidTr="006C414C">
        <w:trPr>
          <w:trHeight w:hRule="exact" w:val="495"/>
        </w:trPr>
        <w:tc>
          <w:tcPr>
            <w:tcW w:w="5000" w:type="pct"/>
            <w:tcBorders>
              <w:top w:val="single" w:sz="5" w:space="0" w:color="000000"/>
              <w:left w:val="single" w:sz="5" w:space="0" w:color="000000"/>
              <w:bottom w:val="single" w:sz="5" w:space="0" w:color="000000"/>
              <w:right w:val="single" w:sz="5" w:space="0" w:color="000000"/>
            </w:tcBorders>
            <w:shd w:val="clear" w:color="auto" w:fill="E4DFEB"/>
          </w:tcPr>
          <w:p w:rsidR="00211065" w:rsidRPr="003E628F" w:rsidRDefault="00211065" w:rsidP="003E628F">
            <w:pPr>
              <w:pStyle w:val="TableParagraph"/>
              <w:tabs>
                <w:tab w:val="left" w:pos="462"/>
              </w:tabs>
              <w:jc w:val="both"/>
              <w:rPr>
                <w:rFonts w:ascii="Times New Roman" w:eastAsia="Times New Roman" w:hAnsi="Times New Roman" w:cs="Times New Roman"/>
                <w:noProof/>
                <w:sz w:val="24"/>
                <w:szCs w:val="24"/>
              </w:rPr>
            </w:pPr>
            <w:r>
              <w:rPr>
                <w:rFonts w:ascii="Times New Roman" w:hAnsi="Times New Roman"/>
                <w:noProof/>
                <w:sz w:val="24"/>
              </w:rPr>
              <w:t>-</w:t>
            </w:r>
            <w:r>
              <w:tab/>
            </w:r>
            <w:r>
              <w:rPr>
                <w:rFonts w:ascii="Times New Roman" w:hAnsi="Times New Roman"/>
                <w:noProof/>
                <w:sz w:val="24"/>
              </w:rPr>
              <w:t>Citu Kodeksa V sadaļā noteiktu vienkāršojumu izmantošana</w:t>
            </w:r>
          </w:p>
        </w:tc>
      </w:tr>
      <w:tr w:rsidR="00211065" w:rsidRPr="003E628F" w:rsidTr="006C414C">
        <w:trPr>
          <w:trHeight w:hRule="exact" w:val="461"/>
        </w:trPr>
        <w:tc>
          <w:tcPr>
            <w:tcW w:w="5000" w:type="pct"/>
            <w:tcBorders>
              <w:top w:val="single" w:sz="5" w:space="0" w:color="000000"/>
              <w:left w:val="single" w:sz="5" w:space="0" w:color="000000"/>
              <w:bottom w:val="single" w:sz="5" w:space="0" w:color="000000"/>
              <w:right w:val="single" w:sz="5" w:space="0" w:color="000000"/>
            </w:tcBorders>
            <w:shd w:val="clear" w:color="auto" w:fill="E4DFEB"/>
          </w:tcPr>
          <w:p w:rsidR="00211065" w:rsidRPr="003E628F" w:rsidRDefault="00211065" w:rsidP="003E628F">
            <w:pPr>
              <w:pStyle w:val="TableParagraph"/>
              <w:tabs>
                <w:tab w:val="left" w:pos="462"/>
              </w:tabs>
              <w:jc w:val="both"/>
              <w:rPr>
                <w:rFonts w:ascii="Times New Roman" w:eastAsia="Times New Roman" w:hAnsi="Times New Roman" w:cs="Times New Roman"/>
                <w:noProof/>
                <w:sz w:val="24"/>
                <w:szCs w:val="24"/>
              </w:rPr>
            </w:pPr>
            <w:r>
              <w:rPr>
                <w:rFonts w:ascii="Times New Roman" w:hAnsi="Times New Roman"/>
                <w:noProof/>
                <w:sz w:val="24"/>
              </w:rPr>
              <w:t>-</w:t>
            </w:r>
            <w:r>
              <w:tab/>
            </w:r>
            <w:r>
              <w:rPr>
                <w:rFonts w:ascii="Times New Roman" w:hAnsi="Times New Roman"/>
                <w:noProof/>
                <w:sz w:val="24"/>
              </w:rPr>
              <w:t>Īpašo procedūru izmantošana</w:t>
            </w:r>
          </w:p>
        </w:tc>
      </w:tr>
      <w:tr w:rsidR="00211065" w:rsidRPr="003E628F" w:rsidTr="006C414C">
        <w:trPr>
          <w:trHeight w:hRule="exact" w:val="441"/>
        </w:trPr>
        <w:tc>
          <w:tcPr>
            <w:tcW w:w="5000" w:type="pct"/>
            <w:tcBorders>
              <w:top w:val="single" w:sz="5" w:space="0" w:color="000000"/>
              <w:left w:val="single" w:sz="5" w:space="0" w:color="000000"/>
              <w:bottom w:val="single" w:sz="5" w:space="0" w:color="000000"/>
              <w:right w:val="single" w:sz="5" w:space="0" w:color="000000"/>
            </w:tcBorders>
            <w:shd w:val="clear" w:color="auto" w:fill="E4DFEB"/>
          </w:tcPr>
          <w:p w:rsidR="00211065" w:rsidRPr="003E628F" w:rsidRDefault="00211065" w:rsidP="003E628F">
            <w:pPr>
              <w:pStyle w:val="TableParagraph"/>
              <w:tabs>
                <w:tab w:val="left" w:pos="462"/>
              </w:tabs>
              <w:jc w:val="both"/>
              <w:rPr>
                <w:rFonts w:ascii="Times New Roman" w:eastAsia="Times New Roman" w:hAnsi="Times New Roman" w:cs="Times New Roman"/>
                <w:noProof/>
                <w:sz w:val="24"/>
                <w:szCs w:val="24"/>
              </w:rPr>
            </w:pPr>
            <w:r>
              <w:rPr>
                <w:rFonts w:ascii="Times New Roman" w:hAnsi="Times New Roman"/>
                <w:noProof/>
                <w:sz w:val="24"/>
              </w:rPr>
              <w:t>-</w:t>
            </w:r>
            <w:r>
              <w:tab/>
            </w:r>
            <w:r>
              <w:rPr>
                <w:rFonts w:ascii="Times New Roman" w:hAnsi="Times New Roman"/>
                <w:noProof/>
                <w:sz w:val="24"/>
              </w:rPr>
              <w:t>Muitas procedūru veids</w:t>
            </w:r>
          </w:p>
        </w:tc>
      </w:tr>
      <w:tr w:rsidR="00211065" w:rsidRPr="003E628F" w:rsidTr="006C414C">
        <w:trPr>
          <w:trHeight w:hRule="exact" w:val="691"/>
        </w:trPr>
        <w:tc>
          <w:tcPr>
            <w:tcW w:w="5000" w:type="pct"/>
            <w:tcBorders>
              <w:top w:val="single" w:sz="5" w:space="0" w:color="000000"/>
              <w:left w:val="single" w:sz="5" w:space="0" w:color="000000"/>
              <w:bottom w:val="single" w:sz="5" w:space="0" w:color="000000"/>
              <w:right w:val="single" w:sz="5" w:space="0" w:color="000000"/>
            </w:tcBorders>
            <w:shd w:val="clear" w:color="auto" w:fill="E4DFEB"/>
          </w:tcPr>
          <w:p w:rsidR="00211065" w:rsidRPr="003E628F" w:rsidRDefault="00211065" w:rsidP="006C414C">
            <w:pPr>
              <w:pStyle w:val="TableParagraph"/>
              <w:tabs>
                <w:tab w:val="left" w:pos="462"/>
              </w:tabs>
              <w:ind w:left="463" w:hanging="463"/>
              <w:jc w:val="both"/>
              <w:rPr>
                <w:rFonts w:ascii="Times New Roman" w:eastAsia="Times New Roman" w:hAnsi="Times New Roman" w:cs="Times New Roman"/>
                <w:noProof/>
                <w:sz w:val="24"/>
                <w:szCs w:val="24"/>
              </w:rPr>
            </w:pPr>
            <w:r>
              <w:rPr>
                <w:rFonts w:ascii="Times New Roman" w:hAnsi="Times New Roman"/>
                <w:noProof/>
                <w:sz w:val="24"/>
              </w:rPr>
              <w:t>-</w:t>
            </w:r>
            <w:r>
              <w:tab/>
            </w:r>
            <w:r>
              <w:rPr>
                <w:rFonts w:ascii="Times New Roman" w:hAnsi="Times New Roman"/>
                <w:noProof/>
                <w:sz w:val="24"/>
              </w:rPr>
              <w:t>Termiņš, kurā nepieciešamajiem pavaddokumentiem ir jābūt pieejamiem muitas dienestiem (Kodeksa 167. panta 1. punkts un DA 147. pants)</w:t>
            </w:r>
          </w:p>
        </w:tc>
      </w:tr>
      <w:tr w:rsidR="00211065" w:rsidRPr="003E628F" w:rsidTr="006C414C">
        <w:trPr>
          <w:trHeight w:hRule="exact" w:val="566"/>
        </w:trPr>
        <w:tc>
          <w:tcPr>
            <w:tcW w:w="5000" w:type="pct"/>
            <w:tcBorders>
              <w:top w:val="single" w:sz="5" w:space="0" w:color="000000"/>
              <w:left w:val="single" w:sz="5" w:space="0" w:color="000000"/>
              <w:bottom w:val="single" w:sz="5" w:space="0" w:color="000000"/>
              <w:right w:val="single" w:sz="5" w:space="0" w:color="000000"/>
            </w:tcBorders>
            <w:shd w:val="clear" w:color="auto" w:fill="E4DFEB"/>
          </w:tcPr>
          <w:p w:rsidR="00211065" w:rsidRPr="003E628F" w:rsidRDefault="00211065" w:rsidP="003E628F">
            <w:pPr>
              <w:pStyle w:val="TableParagraph"/>
              <w:tabs>
                <w:tab w:val="left" w:pos="462"/>
              </w:tabs>
              <w:jc w:val="both"/>
              <w:rPr>
                <w:rFonts w:ascii="Times New Roman" w:eastAsia="Times New Roman" w:hAnsi="Times New Roman" w:cs="Times New Roman"/>
                <w:noProof/>
                <w:sz w:val="24"/>
                <w:szCs w:val="24"/>
              </w:rPr>
            </w:pPr>
            <w:r>
              <w:rPr>
                <w:rFonts w:ascii="Times New Roman" w:hAnsi="Times New Roman"/>
                <w:noProof/>
                <w:sz w:val="24"/>
              </w:rPr>
              <w:t>-</w:t>
            </w:r>
            <w:r>
              <w:tab/>
            </w:r>
            <w:r>
              <w:rPr>
                <w:rFonts w:ascii="Times New Roman" w:hAnsi="Times New Roman"/>
                <w:noProof/>
                <w:sz w:val="24"/>
              </w:rPr>
              <w:t>Termiņš papildu deklarācijas iesniegšanai (DA 146. pants)</w:t>
            </w:r>
          </w:p>
        </w:tc>
      </w:tr>
      <w:tr w:rsidR="00211065" w:rsidRPr="003E628F" w:rsidTr="006C414C">
        <w:trPr>
          <w:trHeight w:hRule="exact" w:val="613"/>
        </w:trPr>
        <w:tc>
          <w:tcPr>
            <w:tcW w:w="5000" w:type="pct"/>
            <w:tcBorders>
              <w:top w:val="single" w:sz="5" w:space="0" w:color="000000"/>
              <w:left w:val="single" w:sz="5" w:space="0" w:color="000000"/>
              <w:bottom w:val="single" w:sz="5" w:space="0" w:color="000000"/>
              <w:right w:val="single" w:sz="5" w:space="0" w:color="000000"/>
            </w:tcBorders>
            <w:shd w:val="clear" w:color="auto" w:fill="E4DFEB"/>
          </w:tcPr>
          <w:p w:rsidR="00211065" w:rsidRPr="003E628F" w:rsidRDefault="00211065" w:rsidP="006C414C">
            <w:pPr>
              <w:pStyle w:val="TableParagraph"/>
              <w:tabs>
                <w:tab w:val="left" w:pos="462"/>
              </w:tabs>
              <w:ind w:left="463" w:hanging="463"/>
              <w:jc w:val="both"/>
              <w:rPr>
                <w:rFonts w:ascii="Times New Roman" w:eastAsia="Times New Roman" w:hAnsi="Times New Roman" w:cs="Times New Roman"/>
                <w:noProof/>
                <w:sz w:val="24"/>
                <w:szCs w:val="24"/>
              </w:rPr>
            </w:pPr>
            <w:r>
              <w:rPr>
                <w:rFonts w:ascii="Times New Roman" w:hAnsi="Times New Roman"/>
                <w:noProof/>
                <w:sz w:val="24"/>
              </w:rPr>
              <w:t>-</w:t>
            </w:r>
            <w:r>
              <w:tab/>
            </w:r>
            <w:r>
              <w:rPr>
                <w:rFonts w:ascii="Times New Roman" w:hAnsi="Times New Roman"/>
                <w:noProof/>
                <w:sz w:val="24"/>
              </w:rPr>
              <w:t>Atbrīvojums no pienākuma iesniegt papildu deklarāciju (Kodeksa 167. panta 2. punkts; DA 183. pants)</w:t>
            </w:r>
          </w:p>
        </w:tc>
      </w:tr>
      <w:tr w:rsidR="00211065" w:rsidRPr="003E628F" w:rsidTr="006C414C">
        <w:trPr>
          <w:trHeight w:hRule="exact" w:val="966"/>
        </w:trPr>
        <w:tc>
          <w:tcPr>
            <w:tcW w:w="5000" w:type="pct"/>
            <w:tcBorders>
              <w:top w:val="single" w:sz="5" w:space="0" w:color="000000"/>
              <w:left w:val="single" w:sz="5" w:space="0" w:color="000000"/>
              <w:bottom w:val="single" w:sz="5" w:space="0" w:color="000000"/>
              <w:right w:val="single" w:sz="5" w:space="0" w:color="000000"/>
            </w:tcBorders>
            <w:shd w:val="clear" w:color="auto" w:fill="E4DFEB"/>
          </w:tcPr>
          <w:p w:rsidR="00211065" w:rsidRPr="003E628F" w:rsidRDefault="00211065" w:rsidP="006C414C">
            <w:pPr>
              <w:pStyle w:val="TableParagraph"/>
              <w:tabs>
                <w:tab w:val="left" w:pos="462"/>
              </w:tabs>
              <w:ind w:left="463" w:hanging="463"/>
              <w:jc w:val="both"/>
              <w:rPr>
                <w:rFonts w:ascii="Times New Roman" w:eastAsia="Times New Roman" w:hAnsi="Times New Roman" w:cs="Times New Roman"/>
                <w:noProof/>
                <w:sz w:val="24"/>
                <w:szCs w:val="24"/>
              </w:rPr>
            </w:pPr>
            <w:r>
              <w:rPr>
                <w:rFonts w:ascii="Times New Roman" w:hAnsi="Times New Roman"/>
                <w:noProof/>
                <w:sz w:val="24"/>
              </w:rPr>
              <w:t>-</w:t>
            </w:r>
            <w:r>
              <w:tab/>
            </w:r>
            <w:r>
              <w:rPr>
                <w:rFonts w:ascii="Times New Roman" w:hAnsi="Times New Roman"/>
                <w:noProof/>
                <w:sz w:val="24"/>
              </w:rPr>
              <w:t>To vietu apstiprināšana, kur preces tiks uzrādītas muitai, un/vai nozīmēto vietu apstiprināšana (attiecībā uz precēm, kas tiek ievestas ES vai kas pēc tranzīta tiek ievestas galamērķa iestādē, sk. attiecīgi Kodeksa 139. pantu un DA 115. pantu)</w:t>
            </w:r>
          </w:p>
        </w:tc>
      </w:tr>
      <w:tr w:rsidR="00211065" w:rsidRPr="003E628F" w:rsidTr="006C414C">
        <w:trPr>
          <w:trHeight w:hRule="exact" w:val="370"/>
        </w:trPr>
        <w:tc>
          <w:tcPr>
            <w:tcW w:w="5000" w:type="pct"/>
            <w:tcBorders>
              <w:top w:val="single" w:sz="5" w:space="0" w:color="000000"/>
              <w:left w:val="single" w:sz="5" w:space="0" w:color="000000"/>
              <w:bottom w:val="single" w:sz="5" w:space="0" w:color="000000"/>
              <w:right w:val="single" w:sz="5" w:space="0" w:color="000000"/>
            </w:tcBorders>
            <w:shd w:val="clear" w:color="auto" w:fill="E4DFEB"/>
          </w:tcPr>
          <w:p w:rsidR="00211065" w:rsidRPr="003E628F" w:rsidRDefault="00211065" w:rsidP="003E628F">
            <w:pPr>
              <w:pStyle w:val="TableParagraph"/>
              <w:tabs>
                <w:tab w:val="left" w:pos="462"/>
              </w:tabs>
              <w:jc w:val="both"/>
              <w:rPr>
                <w:rFonts w:ascii="Times New Roman" w:eastAsia="Times New Roman" w:hAnsi="Times New Roman" w:cs="Times New Roman"/>
                <w:noProof/>
                <w:sz w:val="24"/>
                <w:szCs w:val="24"/>
              </w:rPr>
            </w:pPr>
            <w:r>
              <w:rPr>
                <w:rFonts w:ascii="Times New Roman" w:hAnsi="Times New Roman"/>
                <w:noProof/>
                <w:sz w:val="24"/>
              </w:rPr>
              <w:t>-</w:t>
            </w:r>
            <w:r>
              <w:tab/>
            </w:r>
            <w:r>
              <w:rPr>
                <w:rFonts w:ascii="Times New Roman" w:hAnsi="Times New Roman"/>
                <w:noProof/>
                <w:sz w:val="24"/>
              </w:rPr>
              <w:t>Pārstāvis vai deklarētājs (attiecīgajā gadījumā – pilnvarojums)</w:t>
            </w:r>
          </w:p>
        </w:tc>
      </w:tr>
      <w:tr w:rsidR="00211065" w:rsidRPr="003E628F" w:rsidTr="006C414C">
        <w:trPr>
          <w:trHeight w:hRule="exact" w:val="1173"/>
        </w:trPr>
        <w:tc>
          <w:tcPr>
            <w:tcW w:w="5000" w:type="pct"/>
            <w:tcBorders>
              <w:top w:val="single" w:sz="5" w:space="0" w:color="000000"/>
              <w:left w:val="single" w:sz="5" w:space="0" w:color="000000"/>
              <w:bottom w:val="single" w:sz="5" w:space="0" w:color="000000"/>
              <w:right w:val="single" w:sz="5" w:space="0" w:color="000000"/>
            </w:tcBorders>
            <w:shd w:val="clear" w:color="auto" w:fill="E4DFEB"/>
          </w:tcPr>
          <w:p w:rsidR="00211065" w:rsidRPr="003E628F" w:rsidRDefault="00211065" w:rsidP="006C414C">
            <w:pPr>
              <w:pStyle w:val="TableParagraph"/>
              <w:tabs>
                <w:tab w:val="left" w:pos="462"/>
              </w:tabs>
              <w:ind w:left="426" w:hanging="426"/>
              <w:jc w:val="both"/>
              <w:rPr>
                <w:rFonts w:ascii="Times New Roman" w:eastAsia="Times New Roman" w:hAnsi="Times New Roman" w:cs="Times New Roman"/>
                <w:noProof/>
                <w:sz w:val="24"/>
                <w:szCs w:val="24"/>
              </w:rPr>
            </w:pPr>
            <w:r>
              <w:rPr>
                <w:rFonts w:ascii="Times New Roman" w:hAnsi="Times New Roman"/>
                <w:noProof/>
                <w:sz w:val="24"/>
              </w:rPr>
              <w:t>-</w:t>
            </w:r>
            <w:r>
              <w:tab/>
            </w:r>
            <w:r>
              <w:rPr>
                <w:rFonts w:ascii="Times New Roman" w:hAnsi="Times New Roman"/>
                <w:noProof/>
                <w:sz w:val="24"/>
              </w:rPr>
              <w:t>Uzrādīšanas paziņojuma un papildu deklarācijas savstarpēja saskaņošana, bet uzrādīšanas atbrīvojuma gadījumā uzņēmumam ir jāspēj pierādīt, ka dati, kas tika ievadīti preču izlaišanai, bija precīzi un pēc tam tika apkopoti papildu deklarācijas sagatavošanai</w:t>
            </w:r>
          </w:p>
        </w:tc>
      </w:tr>
      <w:tr w:rsidR="00211065" w:rsidRPr="003E628F" w:rsidTr="006C414C">
        <w:trPr>
          <w:trHeight w:hRule="exact" w:val="569"/>
        </w:trPr>
        <w:tc>
          <w:tcPr>
            <w:tcW w:w="5000" w:type="pct"/>
            <w:tcBorders>
              <w:top w:val="single" w:sz="5" w:space="0" w:color="000000"/>
              <w:left w:val="single" w:sz="5" w:space="0" w:color="000000"/>
              <w:bottom w:val="single" w:sz="5" w:space="0" w:color="000000"/>
              <w:right w:val="single" w:sz="5" w:space="0" w:color="000000"/>
            </w:tcBorders>
            <w:shd w:val="clear" w:color="auto" w:fill="E4DFEB"/>
          </w:tcPr>
          <w:p w:rsidR="00211065" w:rsidRPr="003E628F" w:rsidRDefault="00211065" w:rsidP="003E628F">
            <w:pPr>
              <w:pStyle w:val="TableParagraph"/>
              <w:tabs>
                <w:tab w:val="left" w:pos="462"/>
              </w:tabs>
              <w:jc w:val="both"/>
              <w:rPr>
                <w:rFonts w:ascii="Times New Roman" w:eastAsia="Times New Roman" w:hAnsi="Times New Roman" w:cs="Times New Roman"/>
                <w:noProof/>
                <w:sz w:val="24"/>
                <w:szCs w:val="24"/>
              </w:rPr>
            </w:pPr>
            <w:r>
              <w:rPr>
                <w:rFonts w:ascii="Times New Roman" w:hAnsi="Times New Roman"/>
                <w:noProof/>
                <w:sz w:val="24"/>
              </w:rPr>
              <w:t>-</w:t>
            </w:r>
            <w:r>
              <w:tab/>
            </w:r>
            <w:r>
              <w:rPr>
                <w:rFonts w:ascii="Times New Roman" w:hAnsi="Times New Roman"/>
                <w:noProof/>
                <w:sz w:val="24"/>
              </w:rPr>
              <w:t>Saite starp uzskaites datiem un grāmatvedības sistēmu attiecīgajā gadījumā</w:t>
            </w:r>
          </w:p>
        </w:tc>
      </w:tr>
      <w:tr w:rsidR="00211065" w:rsidRPr="003E628F" w:rsidTr="006C414C">
        <w:trPr>
          <w:trHeight w:hRule="exact" w:val="569"/>
        </w:trPr>
        <w:tc>
          <w:tcPr>
            <w:tcW w:w="5000" w:type="pct"/>
            <w:tcBorders>
              <w:top w:val="single" w:sz="5" w:space="0" w:color="000000"/>
              <w:left w:val="single" w:sz="5" w:space="0" w:color="000000"/>
              <w:bottom w:val="single" w:sz="5" w:space="0" w:color="000000"/>
              <w:right w:val="single" w:sz="5" w:space="0" w:color="000000"/>
            </w:tcBorders>
            <w:shd w:val="clear" w:color="auto" w:fill="E4DFEB"/>
          </w:tcPr>
          <w:p w:rsidR="00211065" w:rsidRPr="003E628F" w:rsidRDefault="00211065" w:rsidP="003E628F">
            <w:pPr>
              <w:pStyle w:val="TableParagraph"/>
              <w:tabs>
                <w:tab w:val="left" w:pos="462"/>
              </w:tabs>
              <w:jc w:val="both"/>
              <w:rPr>
                <w:rFonts w:ascii="Times New Roman" w:eastAsia="Times New Roman" w:hAnsi="Times New Roman" w:cs="Times New Roman"/>
                <w:noProof/>
                <w:sz w:val="24"/>
                <w:szCs w:val="24"/>
              </w:rPr>
            </w:pPr>
            <w:r>
              <w:rPr>
                <w:rFonts w:ascii="Times New Roman" w:hAnsi="Times New Roman"/>
                <w:noProof/>
                <w:sz w:val="24"/>
              </w:rPr>
              <w:t>-</w:t>
            </w:r>
            <w:r>
              <w:tab/>
            </w:r>
            <w:r>
              <w:rPr>
                <w:rFonts w:ascii="Times New Roman" w:hAnsi="Times New Roman"/>
                <w:noProof/>
                <w:sz w:val="24"/>
              </w:rPr>
              <w:t>Vieta, kur tiek glabāti uzskaites dati</w:t>
            </w:r>
          </w:p>
        </w:tc>
      </w:tr>
      <w:tr w:rsidR="00211065" w:rsidRPr="003E628F" w:rsidTr="006C414C">
        <w:trPr>
          <w:trHeight w:hRule="exact" w:val="886"/>
        </w:trPr>
        <w:tc>
          <w:tcPr>
            <w:tcW w:w="5000" w:type="pct"/>
            <w:tcBorders>
              <w:top w:val="single" w:sz="5" w:space="0" w:color="000000"/>
              <w:left w:val="single" w:sz="5" w:space="0" w:color="000000"/>
              <w:bottom w:val="single" w:sz="5" w:space="0" w:color="000000"/>
              <w:right w:val="single" w:sz="5" w:space="0" w:color="000000"/>
            </w:tcBorders>
            <w:shd w:val="clear" w:color="auto" w:fill="E4DFEB"/>
          </w:tcPr>
          <w:p w:rsidR="00211065" w:rsidRPr="003E628F" w:rsidRDefault="00211065" w:rsidP="006C414C">
            <w:pPr>
              <w:pStyle w:val="TableParagraph"/>
              <w:tabs>
                <w:tab w:val="left" w:pos="462"/>
              </w:tabs>
              <w:ind w:left="426" w:hanging="426"/>
              <w:jc w:val="both"/>
              <w:rPr>
                <w:rFonts w:ascii="Times New Roman" w:eastAsia="Times New Roman" w:hAnsi="Times New Roman" w:cs="Times New Roman"/>
                <w:noProof/>
                <w:sz w:val="24"/>
                <w:szCs w:val="24"/>
              </w:rPr>
            </w:pPr>
            <w:r>
              <w:rPr>
                <w:rFonts w:ascii="Times New Roman" w:hAnsi="Times New Roman"/>
                <w:noProof/>
                <w:sz w:val="24"/>
              </w:rPr>
              <w:t>-</w:t>
            </w:r>
            <w:r>
              <w:tab/>
            </w:r>
            <w:r>
              <w:rPr>
                <w:rFonts w:ascii="Times New Roman" w:hAnsi="Times New Roman"/>
                <w:noProof/>
                <w:sz w:val="24"/>
              </w:rPr>
              <w:t>Vieta, kur pieejami uzskaites dati (var atšķirties no vietas, kur tie tiek glabāti, jo īpaši pārstāvības gadījumā)</w:t>
            </w:r>
          </w:p>
        </w:tc>
      </w:tr>
      <w:tr w:rsidR="00211065" w:rsidRPr="003E628F" w:rsidTr="006C414C">
        <w:trPr>
          <w:trHeight w:hRule="exact" w:val="569"/>
        </w:trPr>
        <w:tc>
          <w:tcPr>
            <w:tcW w:w="5000" w:type="pct"/>
            <w:tcBorders>
              <w:top w:val="single" w:sz="5" w:space="0" w:color="000000"/>
              <w:left w:val="single" w:sz="5" w:space="0" w:color="000000"/>
              <w:bottom w:val="single" w:sz="5" w:space="0" w:color="000000"/>
              <w:right w:val="single" w:sz="5" w:space="0" w:color="000000"/>
            </w:tcBorders>
            <w:shd w:val="clear" w:color="auto" w:fill="E4DFEB"/>
          </w:tcPr>
          <w:p w:rsidR="00211065" w:rsidRPr="003E628F" w:rsidRDefault="00211065" w:rsidP="003E628F">
            <w:pPr>
              <w:pStyle w:val="TableParagraph"/>
              <w:tabs>
                <w:tab w:val="left" w:pos="462"/>
              </w:tabs>
              <w:jc w:val="both"/>
              <w:rPr>
                <w:rFonts w:ascii="Times New Roman" w:eastAsia="Times New Roman" w:hAnsi="Times New Roman" w:cs="Times New Roman"/>
                <w:noProof/>
                <w:sz w:val="24"/>
                <w:szCs w:val="24"/>
              </w:rPr>
            </w:pPr>
            <w:r>
              <w:rPr>
                <w:rFonts w:ascii="Times New Roman" w:hAnsi="Times New Roman"/>
                <w:noProof/>
                <w:sz w:val="24"/>
              </w:rPr>
              <w:t>-</w:t>
            </w:r>
            <w:r>
              <w:tab/>
            </w:r>
            <w:r>
              <w:rPr>
                <w:rFonts w:ascii="Times New Roman" w:hAnsi="Times New Roman"/>
                <w:noProof/>
                <w:sz w:val="24"/>
              </w:rPr>
              <w:t>Galvojumi, ja attiecināmi, saistībā ar nepieciešamo muitas procedūru</w:t>
            </w:r>
          </w:p>
        </w:tc>
      </w:tr>
      <w:tr w:rsidR="00211065" w:rsidRPr="003E628F" w:rsidTr="006C414C">
        <w:trPr>
          <w:trHeight w:hRule="exact" w:val="567"/>
        </w:trPr>
        <w:tc>
          <w:tcPr>
            <w:tcW w:w="5000" w:type="pct"/>
            <w:tcBorders>
              <w:top w:val="single" w:sz="5" w:space="0" w:color="000000"/>
              <w:left w:val="single" w:sz="5" w:space="0" w:color="000000"/>
              <w:bottom w:val="single" w:sz="5" w:space="0" w:color="000000"/>
              <w:right w:val="single" w:sz="5" w:space="0" w:color="000000"/>
            </w:tcBorders>
            <w:shd w:val="clear" w:color="auto" w:fill="E4DFEB"/>
          </w:tcPr>
          <w:p w:rsidR="00211065" w:rsidRPr="003E628F" w:rsidRDefault="00211065" w:rsidP="003E628F">
            <w:pPr>
              <w:pStyle w:val="TableParagraph"/>
              <w:tabs>
                <w:tab w:val="left" w:pos="462"/>
              </w:tabs>
              <w:jc w:val="both"/>
              <w:rPr>
                <w:rFonts w:ascii="Times New Roman" w:eastAsia="Times New Roman" w:hAnsi="Times New Roman" w:cs="Times New Roman"/>
                <w:noProof/>
                <w:sz w:val="24"/>
                <w:szCs w:val="24"/>
              </w:rPr>
            </w:pPr>
            <w:r>
              <w:rPr>
                <w:rFonts w:ascii="Times New Roman" w:hAnsi="Times New Roman"/>
                <w:noProof/>
                <w:sz w:val="24"/>
              </w:rPr>
              <w:t>-</w:t>
            </w:r>
            <w:r>
              <w:tab/>
            </w:r>
            <w:r>
              <w:rPr>
                <w:rFonts w:ascii="Times New Roman" w:hAnsi="Times New Roman"/>
                <w:noProof/>
                <w:sz w:val="24"/>
              </w:rPr>
              <w:t>Preču veids, daudzums, vērtība</w:t>
            </w:r>
          </w:p>
        </w:tc>
      </w:tr>
      <w:tr w:rsidR="00211065" w:rsidRPr="003E628F" w:rsidTr="006C414C">
        <w:trPr>
          <w:trHeight w:hRule="exact" w:val="569"/>
        </w:trPr>
        <w:tc>
          <w:tcPr>
            <w:tcW w:w="5000" w:type="pct"/>
            <w:tcBorders>
              <w:top w:val="single" w:sz="5" w:space="0" w:color="000000"/>
              <w:left w:val="single" w:sz="5" w:space="0" w:color="000000"/>
              <w:bottom w:val="single" w:sz="5" w:space="0" w:color="000000"/>
              <w:right w:val="single" w:sz="5" w:space="0" w:color="000000"/>
            </w:tcBorders>
            <w:shd w:val="clear" w:color="auto" w:fill="E4DFEB"/>
          </w:tcPr>
          <w:p w:rsidR="00211065" w:rsidRPr="003E628F" w:rsidRDefault="00211065" w:rsidP="003E628F">
            <w:pPr>
              <w:pStyle w:val="TableParagraph"/>
              <w:tabs>
                <w:tab w:val="left" w:pos="462"/>
              </w:tabs>
              <w:jc w:val="both"/>
              <w:rPr>
                <w:rFonts w:ascii="Times New Roman" w:eastAsia="Times New Roman" w:hAnsi="Times New Roman" w:cs="Times New Roman"/>
                <w:noProof/>
                <w:sz w:val="24"/>
                <w:szCs w:val="24"/>
              </w:rPr>
            </w:pPr>
            <w:r>
              <w:rPr>
                <w:rFonts w:ascii="Times New Roman" w:hAnsi="Times New Roman"/>
                <w:noProof/>
                <w:sz w:val="24"/>
              </w:rPr>
              <w:t>-</w:t>
            </w:r>
            <w:r>
              <w:tab/>
            </w:r>
            <w:r>
              <w:rPr>
                <w:rFonts w:ascii="Times New Roman" w:hAnsi="Times New Roman"/>
                <w:noProof/>
                <w:sz w:val="24"/>
              </w:rPr>
              <w:t>Tādu uzņēmumu piemēri, kas izmanto atļaujas sniegtās priekšrocības, pārstāvības gadījumā</w:t>
            </w:r>
          </w:p>
        </w:tc>
      </w:tr>
      <w:tr w:rsidR="00211065" w:rsidRPr="003E628F" w:rsidTr="006C414C">
        <w:trPr>
          <w:trHeight w:hRule="exact" w:val="886"/>
        </w:trPr>
        <w:tc>
          <w:tcPr>
            <w:tcW w:w="5000" w:type="pct"/>
            <w:tcBorders>
              <w:top w:val="single" w:sz="5" w:space="0" w:color="000000"/>
              <w:left w:val="single" w:sz="5" w:space="0" w:color="000000"/>
              <w:bottom w:val="single" w:sz="5" w:space="0" w:color="000000"/>
              <w:right w:val="single" w:sz="5" w:space="0" w:color="000000"/>
            </w:tcBorders>
            <w:shd w:val="clear" w:color="auto" w:fill="E4DFEB"/>
          </w:tcPr>
          <w:p w:rsidR="00211065" w:rsidRPr="003E628F" w:rsidRDefault="00211065" w:rsidP="006C414C">
            <w:pPr>
              <w:pStyle w:val="TableParagraph"/>
              <w:tabs>
                <w:tab w:val="left" w:pos="462"/>
              </w:tabs>
              <w:ind w:left="426" w:hanging="426"/>
              <w:jc w:val="both"/>
              <w:rPr>
                <w:rFonts w:ascii="Times New Roman" w:eastAsia="Times New Roman" w:hAnsi="Times New Roman" w:cs="Times New Roman"/>
                <w:noProof/>
                <w:sz w:val="24"/>
                <w:szCs w:val="24"/>
              </w:rPr>
            </w:pPr>
            <w:r>
              <w:rPr>
                <w:rFonts w:ascii="Times New Roman" w:hAnsi="Times New Roman"/>
                <w:noProof/>
                <w:sz w:val="24"/>
              </w:rPr>
              <w:t>-</w:t>
            </w:r>
            <w:r>
              <w:tab/>
            </w:r>
            <w:r>
              <w:rPr>
                <w:rFonts w:ascii="Times New Roman" w:hAnsi="Times New Roman"/>
                <w:noProof/>
                <w:sz w:val="24"/>
                <w:u w:val="single" w:color="000000"/>
              </w:rPr>
              <w:t>Īpaši jautājumi importa gadījumā:</w:t>
            </w:r>
            <w:r>
              <w:rPr>
                <w:rFonts w:ascii="Times New Roman" w:hAnsi="Times New Roman"/>
                <w:noProof/>
                <w:sz w:val="24"/>
              </w:rPr>
              <w:t xml:space="preserve"> PVN identifikācija, atzītais saņēmējs un citi tranzīta aspekti, atlikta maksājuma informācija</w:t>
            </w:r>
          </w:p>
        </w:tc>
      </w:tr>
      <w:tr w:rsidR="00211065" w:rsidRPr="003E628F" w:rsidTr="006C414C">
        <w:trPr>
          <w:trHeight w:hRule="exact" w:val="689"/>
        </w:trPr>
        <w:tc>
          <w:tcPr>
            <w:tcW w:w="5000" w:type="pct"/>
            <w:tcBorders>
              <w:top w:val="single" w:sz="5" w:space="0" w:color="000000"/>
              <w:left w:val="single" w:sz="5" w:space="0" w:color="000000"/>
              <w:bottom w:val="single" w:sz="5" w:space="0" w:color="000000"/>
              <w:right w:val="single" w:sz="5" w:space="0" w:color="000000"/>
            </w:tcBorders>
            <w:shd w:val="clear" w:color="auto" w:fill="E4DFEB"/>
          </w:tcPr>
          <w:p w:rsidR="00211065" w:rsidRPr="003E628F" w:rsidRDefault="00211065" w:rsidP="006C414C">
            <w:pPr>
              <w:pStyle w:val="TableParagraph"/>
              <w:tabs>
                <w:tab w:val="left" w:pos="462"/>
              </w:tabs>
              <w:ind w:left="426" w:hanging="426"/>
              <w:jc w:val="both"/>
              <w:rPr>
                <w:rFonts w:ascii="Times New Roman" w:eastAsia="Times New Roman" w:hAnsi="Times New Roman" w:cs="Times New Roman"/>
                <w:noProof/>
                <w:sz w:val="24"/>
                <w:szCs w:val="24"/>
              </w:rPr>
            </w:pPr>
            <w:r>
              <w:rPr>
                <w:rFonts w:ascii="Times New Roman" w:hAnsi="Times New Roman"/>
                <w:noProof/>
                <w:sz w:val="24"/>
              </w:rPr>
              <w:t>-</w:t>
            </w:r>
            <w:r>
              <w:tab/>
            </w:r>
            <w:r>
              <w:rPr>
                <w:rFonts w:ascii="Times New Roman" w:hAnsi="Times New Roman"/>
                <w:noProof/>
                <w:sz w:val="24"/>
                <w:u w:val="single" w:color="000000"/>
              </w:rPr>
              <w:t>Īpaši jautājumi eksporta gadījumā</w:t>
            </w:r>
            <w:r>
              <w:rPr>
                <w:rFonts w:ascii="Times New Roman" w:hAnsi="Times New Roman"/>
                <w:noProof/>
                <w:sz w:val="24"/>
              </w:rPr>
              <w:t>:</w:t>
            </w:r>
            <w:r>
              <w:t xml:space="preserve"> </w:t>
            </w:r>
            <w:r>
              <w:rPr>
                <w:rFonts w:ascii="Times New Roman" w:hAnsi="Times New Roman"/>
                <w:noProof/>
                <w:sz w:val="24"/>
              </w:rPr>
              <w:t>pirmsizvešanas formalitātes, atzītais nosūtītājs un izvešanas apstiprinājums attiecīgajā gadījumā</w:t>
            </w:r>
          </w:p>
        </w:tc>
      </w:tr>
    </w:tbl>
    <w:p w:rsidR="00211065" w:rsidRPr="003E628F" w:rsidRDefault="00211065" w:rsidP="003E628F">
      <w:pPr>
        <w:jc w:val="both"/>
        <w:rPr>
          <w:rFonts w:ascii="Times New Roman" w:eastAsia="Times New Roman" w:hAnsi="Times New Roman" w:cs="Times New Roman"/>
          <w:noProof/>
          <w:sz w:val="24"/>
          <w:szCs w:val="10"/>
        </w:rPr>
      </w:pPr>
    </w:p>
    <w:p w:rsidR="00211065" w:rsidRPr="009F0223" w:rsidRDefault="006C414C" w:rsidP="009F0223">
      <w:pPr>
        <w:pStyle w:val="Virsraksts2"/>
        <w:rPr>
          <w:b/>
        </w:rPr>
      </w:pPr>
      <w:bookmarkStart w:id="75" w:name="_Toc490734272"/>
      <w:r w:rsidRPr="009F0223">
        <w:rPr>
          <w:b/>
        </w:rPr>
        <w:t>2.3.2. Kas var būt atļaujas turētājs, attiecībā uz kurām precēm un kurām procedūrām</w:t>
      </w:r>
      <w:bookmarkStart w:id="76" w:name="_bookmark26"/>
      <w:bookmarkEnd w:id="76"/>
      <w:bookmarkEnd w:id="75"/>
    </w:p>
    <w:p w:rsidR="00211065" w:rsidRPr="003E628F" w:rsidRDefault="00211065" w:rsidP="003E628F">
      <w:pPr>
        <w:jc w:val="both"/>
        <w:rPr>
          <w:rFonts w:ascii="Times New Roman" w:eastAsia="Times New Roman" w:hAnsi="Times New Roman" w:cs="Times New Roman"/>
          <w:b/>
          <w:bCs/>
          <w:i/>
          <w:noProof/>
          <w:sz w:val="24"/>
          <w:szCs w:val="20"/>
        </w:rPr>
      </w:pPr>
    </w:p>
    <w:p w:rsidR="00211065" w:rsidRPr="003E628F" w:rsidRDefault="006C414C" w:rsidP="006C414C">
      <w:pPr>
        <w:tabs>
          <w:tab w:val="left" w:pos="369"/>
        </w:tabs>
        <w:jc w:val="both"/>
        <w:rPr>
          <w:rFonts w:ascii="Times New Roman" w:hAnsi="Times New Roman"/>
          <w:b/>
          <w:noProof/>
          <w:sz w:val="24"/>
        </w:rPr>
      </w:pPr>
      <w:r>
        <w:rPr>
          <w:rFonts w:ascii="Times New Roman" w:hAnsi="Times New Roman"/>
          <w:b/>
          <w:noProof/>
          <w:sz w:val="24"/>
        </w:rPr>
        <w:t>a) Netieša pārstāvība</w:t>
      </w:r>
    </w:p>
    <w:p w:rsidR="00211065" w:rsidRPr="003E628F" w:rsidRDefault="00211065" w:rsidP="003E628F">
      <w:pPr>
        <w:jc w:val="both"/>
        <w:rPr>
          <w:rFonts w:ascii="Times New Roman" w:eastAsia="Times New Roman" w:hAnsi="Times New Roman" w:cs="Times New Roman"/>
          <w:b/>
          <w:bCs/>
          <w:noProof/>
          <w:sz w:val="24"/>
          <w:szCs w:val="20"/>
        </w:rPr>
      </w:pPr>
    </w:p>
    <w:p w:rsidR="00211065" w:rsidRPr="003E628F" w:rsidRDefault="00211065" w:rsidP="003E628F">
      <w:pPr>
        <w:pStyle w:val="Pamatteksts"/>
        <w:ind w:left="0"/>
        <w:jc w:val="both"/>
        <w:rPr>
          <w:noProof/>
        </w:rPr>
      </w:pPr>
      <w:r>
        <w:t xml:space="preserve">Šādā gadījumā netiešs pārstāvis rīkojas savā vārdā un citas personas uzdevumā (SMK 18. panta 1. punkts). Līdz ar to persona, kas iesniedz attiecīgās muitas deklarācijas, ir arī </w:t>
      </w:r>
      <w:r>
        <w:lastRenderedPageBreak/>
        <w:t>deklarētājs.</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 xml:space="preserve">Attiecīgi </w:t>
      </w:r>
      <w:r>
        <w:rPr>
          <w:i/>
        </w:rPr>
        <w:t>EIDR</w:t>
      </w:r>
      <w:r>
        <w:t xml:space="preserve"> atļaujas turētājs var rīkoties kā netiešs pārstāvis.</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Tomēr atļaujā ir jānorāda tas, kur jāglabā uzskaites dati, un visi citi aspekti, kas saistīti ar piekļuvi šiem datiem.</w:t>
      </w:r>
    </w:p>
    <w:p w:rsidR="00211065" w:rsidRPr="003E628F" w:rsidRDefault="00211065" w:rsidP="003E628F">
      <w:pPr>
        <w:jc w:val="both"/>
        <w:rPr>
          <w:rFonts w:ascii="Times New Roman" w:eastAsia="Times New Roman" w:hAnsi="Times New Roman" w:cs="Times New Roman"/>
          <w:noProof/>
          <w:sz w:val="24"/>
          <w:szCs w:val="21"/>
        </w:rPr>
      </w:pPr>
    </w:p>
    <w:p w:rsidR="00211065" w:rsidRPr="003E628F" w:rsidRDefault="006C414C" w:rsidP="006C414C">
      <w:pPr>
        <w:pStyle w:val="Virsraksts1"/>
        <w:tabs>
          <w:tab w:val="left" w:pos="383"/>
        </w:tabs>
        <w:jc w:val="both"/>
        <w:rPr>
          <w:noProof/>
        </w:rPr>
      </w:pPr>
      <w:bookmarkStart w:id="77" w:name="_Toc490734273"/>
      <w:r>
        <w:t>b) Īpašas procedūras</w:t>
      </w:r>
      <w:bookmarkEnd w:id="77"/>
    </w:p>
    <w:p w:rsidR="00211065" w:rsidRPr="003E628F" w:rsidRDefault="00211065" w:rsidP="003E628F">
      <w:pPr>
        <w:jc w:val="both"/>
        <w:rPr>
          <w:rFonts w:ascii="Times New Roman" w:eastAsia="Times New Roman" w:hAnsi="Times New Roman" w:cs="Times New Roman"/>
          <w:b/>
          <w:bCs/>
          <w:noProof/>
          <w:sz w:val="24"/>
          <w:szCs w:val="20"/>
        </w:rPr>
      </w:pPr>
    </w:p>
    <w:p w:rsidR="00211065" w:rsidRPr="003E628F" w:rsidRDefault="00211065" w:rsidP="003E628F">
      <w:pPr>
        <w:pStyle w:val="Pamatteksts"/>
        <w:ind w:left="0"/>
        <w:jc w:val="both"/>
        <w:rPr>
          <w:noProof/>
        </w:rPr>
      </w:pPr>
      <w:r>
        <w:t xml:space="preserve">Lai arī īpašo procedūru izmantošanai ir nepieciešama atļauja izmantot pašu procedūru, precēm var piemērot attiecīgo īpašo procedūru, iesniedzot muitas deklarāciju </w:t>
      </w:r>
      <w:r>
        <w:rPr>
          <w:i/>
        </w:rPr>
        <w:t>EIDR</w:t>
      </w:r>
      <w:r>
        <w:t xml:space="preserve"> veidā.</w:t>
      </w:r>
    </w:p>
    <w:p w:rsidR="00211065" w:rsidRPr="003E628F" w:rsidRDefault="00211065" w:rsidP="003E628F">
      <w:pPr>
        <w:jc w:val="both"/>
        <w:rPr>
          <w:rFonts w:ascii="Times New Roman" w:eastAsia="Times New Roman" w:hAnsi="Times New Roman" w:cs="Times New Roman"/>
          <w:noProof/>
          <w:sz w:val="24"/>
          <w:szCs w:val="21"/>
        </w:rPr>
      </w:pPr>
    </w:p>
    <w:p w:rsidR="00211065" w:rsidRPr="003E628F" w:rsidRDefault="006C414C" w:rsidP="006C414C">
      <w:pPr>
        <w:pStyle w:val="Virsraksts1"/>
        <w:tabs>
          <w:tab w:val="left" w:pos="355"/>
        </w:tabs>
        <w:jc w:val="both"/>
        <w:rPr>
          <w:noProof/>
        </w:rPr>
      </w:pPr>
      <w:bookmarkStart w:id="78" w:name="_Toc490734274"/>
      <w:r>
        <w:t>c) Kuģu / gaisa kuģu vajadzībām piegādātās preces</w:t>
      </w:r>
      <w:bookmarkEnd w:id="78"/>
    </w:p>
    <w:p w:rsidR="00211065" w:rsidRPr="003E628F" w:rsidRDefault="00211065" w:rsidP="003E628F">
      <w:pPr>
        <w:jc w:val="both"/>
        <w:rPr>
          <w:rFonts w:ascii="Times New Roman" w:eastAsia="Times New Roman" w:hAnsi="Times New Roman" w:cs="Times New Roman"/>
          <w:b/>
          <w:bCs/>
          <w:noProof/>
          <w:sz w:val="24"/>
          <w:szCs w:val="20"/>
        </w:rPr>
      </w:pPr>
    </w:p>
    <w:p w:rsidR="00211065" w:rsidRPr="003E628F" w:rsidRDefault="00211065" w:rsidP="003E628F">
      <w:pPr>
        <w:pStyle w:val="Pamatteksts"/>
        <w:ind w:left="0"/>
        <w:jc w:val="both"/>
        <w:rPr>
          <w:noProof/>
        </w:rPr>
      </w:pPr>
      <w:r>
        <w:t>Vienkāršojumi attiecībā uz kuģu un gaisa kuģu vajadzībām piegādātajām precēm, jāatļauj vienmēr, kad tas ir iespējams. Muita var atļaut uzņēmējiem, kuri piegādā preces kuģiem un gaisa kuģiem, piemēram, ievadīt savos reģistros eksportētās preces un regulāri ziņot par eksporta darbībām pēc preču izvešanas no Savienības muitas teritorijas, ja vien ir izpildīti DA 150. panta 4. un 5. punktā minētie nosacījumi.</w:t>
      </w:r>
    </w:p>
    <w:p w:rsidR="00211065" w:rsidRPr="003E628F" w:rsidRDefault="00211065" w:rsidP="003E628F">
      <w:pPr>
        <w:jc w:val="both"/>
        <w:rPr>
          <w:rFonts w:ascii="Times New Roman" w:eastAsia="Times New Roman" w:hAnsi="Times New Roman" w:cs="Times New Roman"/>
          <w:noProof/>
          <w:sz w:val="24"/>
          <w:szCs w:val="21"/>
        </w:rPr>
      </w:pPr>
    </w:p>
    <w:p w:rsidR="00211065" w:rsidRDefault="006C414C" w:rsidP="006C414C">
      <w:pPr>
        <w:pStyle w:val="Virsraksts1"/>
        <w:tabs>
          <w:tab w:val="left" w:pos="369"/>
        </w:tabs>
        <w:jc w:val="both"/>
        <w:rPr>
          <w:noProof/>
        </w:rPr>
      </w:pPr>
      <w:bookmarkStart w:id="79" w:name="_Toc490734275"/>
      <w:r>
        <w:t>d) Muitas procedūras</w:t>
      </w:r>
      <w:bookmarkEnd w:id="79"/>
    </w:p>
    <w:p w:rsidR="006C414C" w:rsidRPr="003E628F" w:rsidRDefault="006C414C" w:rsidP="006C414C">
      <w:pPr>
        <w:pStyle w:val="Virsraksts1"/>
        <w:tabs>
          <w:tab w:val="left" w:pos="369"/>
        </w:tabs>
        <w:jc w:val="both"/>
        <w:rPr>
          <w:noProof/>
        </w:rPr>
      </w:pPr>
    </w:p>
    <w:p w:rsidR="00211065" w:rsidRPr="003E628F" w:rsidRDefault="00211065" w:rsidP="00131C8A">
      <w:pPr>
        <w:numPr>
          <w:ilvl w:val="1"/>
          <w:numId w:val="49"/>
        </w:numPr>
        <w:tabs>
          <w:tab w:val="left" w:pos="1134"/>
        </w:tabs>
        <w:ind w:left="1134" w:hanging="425"/>
        <w:jc w:val="both"/>
        <w:rPr>
          <w:rFonts w:ascii="Times New Roman" w:eastAsia="Times New Roman" w:hAnsi="Times New Roman" w:cs="Times New Roman"/>
          <w:noProof/>
          <w:sz w:val="24"/>
          <w:szCs w:val="24"/>
        </w:rPr>
      </w:pPr>
      <w:r>
        <w:rPr>
          <w:rFonts w:ascii="Times New Roman" w:hAnsi="Times New Roman"/>
          <w:b/>
          <w:i/>
          <w:noProof/>
          <w:sz w:val="24"/>
        </w:rPr>
        <w:t>Saskaņā ar DA 150. panta 2. punktu</w:t>
      </w:r>
      <w:r>
        <w:t xml:space="preserve"> </w:t>
      </w:r>
      <w:r>
        <w:rPr>
          <w:rFonts w:ascii="Times New Roman" w:hAnsi="Times New Roman"/>
          <w:i/>
          <w:noProof/>
          <w:sz w:val="24"/>
        </w:rPr>
        <w:t>EIDR</w:t>
      </w:r>
      <w:r>
        <w:rPr>
          <w:rFonts w:ascii="Times New Roman" w:hAnsi="Times New Roman"/>
          <w:noProof/>
          <w:sz w:val="24"/>
        </w:rPr>
        <w:t xml:space="preserve"> nevar izmantot ne tranzītam, ne preču ievietošanai pagaidu uzglabāšanas vietās.</w:t>
      </w:r>
    </w:p>
    <w:p w:rsidR="00211065" w:rsidRPr="003E628F" w:rsidRDefault="00211065" w:rsidP="00131C8A">
      <w:pPr>
        <w:numPr>
          <w:ilvl w:val="1"/>
          <w:numId w:val="49"/>
        </w:numPr>
        <w:tabs>
          <w:tab w:val="left" w:pos="1134"/>
        </w:tabs>
        <w:ind w:left="1134" w:hanging="425"/>
        <w:jc w:val="both"/>
        <w:rPr>
          <w:rFonts w:ascii="Times New Roman" w:hAnsi="Times New Roman"/>
          <w:noProof/>
          <w:sz w:val="24"/>
        </w:rPr>
      </w:pPr>
      <w:r>
        <w:rPr>
          <w:rFonts w:ascii="Times New Roman" w:hAnsi="Times New Roman"/>
          <w:b/>
          <w:i/>
          <w:noProof/>
          <w:sz w:val="24"/>
        </w:rPr>
        <w:t xml:space="preserve">Saskaņā ar DA 150. panta 3. punktu tiek izslēgts procedūras kods “42” un “63”. </w:t>
      </w:r>
      <w:r>
        <w:rPr>
          <w:rFonts w:ascii="Times New Roman" w:hAnsi="Times New Roman"/>
          <w:i/>
          <w:noProof/>
          <w:sz w:val="24"/>
        </w:rPr>
        <w:t>EIDR</w:t>
      </w:r>
      <w:r>
        <w:rPr>
          <w:rFonts w:ascii="Times New Roman" w:hAnsi="Times New Roman"/>
          <w:noProof/>
          <w:sz w:val="24"/>
        </w:rPr>
        <w:t xml:space="preserve"> nevar izmantot tādu preču laišanai brīvā apgrozībā, kas ir atbrīvotas no PVN saistībā ar nosūtīšanu Savienības iekšienē, ne arī tādu preču laišanai brīvā apgrozībā, kam piemērota akcīzes nodokļa atlikšana.</w:t>
      </w:r>
    </w:p>
    <w:p w:rsidR="00211065" w:rsidRPr="003E628F" w:rsidRDefault="00211065" w:rsidP="00131C8A">
      <w:pPr>
        <w:numPr>
          <w:ilvl w:val="1"/>
          <w:numId w:val="49"/>
        </w:numPr>
        <w:tabs>
          <w:tab w:val="left" w:pos="1134"/>
        </w:tabs>
        <w:ind w:left="1134" w:hanging="425"/>
        <w:jc w:val="both"/>
        <w:rPr>
          <w:rFonts w:ascii="Times New Roman" w:eastAsia="Times New Roman" w:hAnsi="Times New Roman" w:cs="Times New Roman"/>
          <w:noProof/>
          <w:sz w:val="24"/>
          <w:szCs w:val="24"/>
        </w:rPr>
      </w:pPr>
      <w:r>
        <w:rPr>
          <w:rFonts w:ascii="Times New Roman" w:hAnsi="Times New Roman"/>
          <w:b/>
          <w:noProof/>
          <w:sz w:val="24"/>
        </w:rPr>
        <w:t xml:space="preserve">Saskaņā ar DA 150. panta 4. punktu </w:t>
      </w:r>
      <w:r>
        <w:rPr>
          <w:rFonts w:ascii="Times New Roman" w:hAnsi="Times New Roman"/>
          <w:noProof/>
          <w:sz w:val="24"/>
        </w:rPr>
        <w:t>attiecībā uz eksportu un reeksportu ir jāizpilda divi nosacījumi:</w:t>
      </w:r>
    </w:p>
    <w:p w:rsidR="00211065" w:rsidRPr="003E628F" w:rsidRDefault="00211065" w:rsidP="00131C8A">
      <w:pPr>
        <w:pStyle w:val="Pamatteksts"/>
        <w:tabs>
          <w:tab w:val="left" w:pos="1134"/>
        </w:tabs>
        <w:ind w:left="1134"/>
        <w:jc w:val="both"/>
        <w:rPr>
          <w:noProof/>
        </w:rPr>
      </w:pPr>
      <w:r>
        <w:t>nav jāiesniedz pirmsizvešanas deklarācija, eksporta muitas iestādei ir jābūt arī izvešanas muitas iestādei, vai arī tās ir atsevišķas muitas iestādes un ir panākušas vienošanos, kas nodrošina, ka precēm izvešanas laikā tiek piemērota muitas uzraudzība.</w:t>
      </w:r>
    </w:p>
    <w:p w:rsidR="006C414C" w:rsidRDefault="006C414C" w:rsidP="003E628F">
      <w:pPr>
        <w:jc w:val="both"/>
        <w:rPr>
          <w:rFonts w:ascii="Times New Roman" w:eastAsia="Times New Roman" w:hAnsi="Times New Roman" w:cs="Times New Roman"/>
          <w:noProof/>
          <w:sz w:val="24"/>
          <w:szCs w:val="24"/>
        </w:rPr>
      </w:pPr>
    </w:p>
    <w:p w:rsidR="00211065" w:rsidRPr="003E628F" w:rsidRDefault="00211065" w:rsidP="003E628F">
      <w:pPr>
        <w:jc w:val="both"/>
        <w:rPr>
          <w:rFonts w:ascii="Times New Roman" w:eastAsia="Times New Roman" w:hAnsi="Times New Roman" w:cs="Times New Roman"/>
          <w:noProof/>
          <w:sz w:val="24"/>
          <w:szCs w:val="24"/>
        </w:rPr>
      </w:pPr>
      <w:r>
        <w:rPr>
          <w:rFonts w:ascii="Times New Roman" w:hAnsi="Times New Roman"/>
          <w:noProof/>
          <w:sz w:val="24"/>
        </w:rPr>
        <w:t xml:space="preserve">Tas nozīmē, ka </w:t>
      </w:r>
      <w:r>
        <w:rPr>
          <w:rFonts w:ascii="Times New Roman" w:hAnsi="Times New Roman"/>
          <w:i/>
          <w:noProof/>
          <w:sz w:val="24"/>
        </w:rPr>
        <w:t>EIDR</w:t>
      </w:r>
      <w:r>
        <w:rPr>
          <w:rFonts w:ascii="Times New Roman" w:hAnsi="Times New Roman"/>
          <w:noProof/>
          <w:sz w:val="24"/>
        </w:rPr>
        <w:t xml:space="preserve"> ir izmantojams gadījumos, kad uz eksportējamajām precēm ir attiecināmi DA 245. panta noteikumi, piemēram, attiecībā uz </w:t>
      </w:r>
      <w:r>
        <w:rPr>
          <w:rFonts w:ascii="Times New Roman" w:hAnsi="Times New Roman"/>
          <w:i/>
          <w:noProof/>
          <w:sz w:val="24"/>
        </w:rPr>
        <w:t>elektroenerģiju vai komerciālām precēm, kuru vērtība nepārsniedz 1 000 EUR vai kuru neto svars nepārsniedz 1 000 kg.</w:t>
      </w:r>
    </w:p>
    <w:p w:rsidR="00211065" w:rsidRPr="003E628F" w:rsidRDefault="00211065" w:rsidP="003E628F">
      <w:pPr>
        <w:jc w:val="both"/>
        <w:rPr>
          <w:rFonts w:ascii="Times New Roman" w:eastAsia="Times New Roman" w:hAnsi="Times New Roman" w:cs="Times New Roman"/>
          <w:noProof/>
          <w:sz w:val="24"/>
          <w:szCs w:val="21"/>
        </w:rPr>
      </w:pPr>
    </w:p>
    <w:p w:rsidR="00211065" w:rsidRPr="003E628F" w:rsidRDefault="00211065" w:rsidP="00131C8A">
      <w:pPr>
        <w:numPr>
          <w:ilvl w:val="0"/>
          <w:numId w:val="48"/>
        </w:numPr>
        <w:tabs>
          <w:tab w:val="left" w:pos="1134"/>
        </w:tabs>
        <w:ind w:left="1134" w:hanging="425"/>
        <w:jc w:val="both"/>
        <w:rPr>
          <w:rFonts w:ascii="Times New Roman" w:eastAsia="Times New Roman" w:hAnsi="Times New Roman" w:cs="Times New Roman"/>
          <w:noProof/>
          <w:sz w:val="24"/>
        </w:rPr>
      </w:pPr>
      <w:r>
        <w:rPr>
          <w:rFonts w:ascii="Times New Roman" w:hAnsi="Times New Roman"/>
          <w:b/>
          <w:noProof/>
          <w:sz w:val="24"/>
        </w:rPr>
        <w:t>Saskaņā ar DA 150. panta 5. punktu</w:t>
      </w:r>
      <w:r>
        <w:t xml:space="preserve"> </w:t>
      </w:r>
      <w:r>
        <w:rPr>
          <w:rFonts w:ascii="Times New Roman" w:hAnsi="Times New Roman"/>
          <w:noProof/>
          <w:sz w:val="24"/>
        </w:rPr>
        <w:t>akcīzes preču eksports ir atļauts vienīgi tad, ja ir piemērojams Direktīvas 2008/118/EK 30. pants.</w:t>
      </w:r>
    </w:p>
    <w:p w:rsidR="00211065" w:rsidRPr="003E628F" w:rsidRDefault="00211065" w:rsidP="003E628F">
      <w:pPr>
        <w:jc w:val="both"/>
        <w:rPr>
          <w:rFonts w:ascii="Times New Roman" w:eastAsia="Times New Roman" w:hAnsi="Times New Roman" w:cs="Times New Roman"/>
          <w:noProof/>
          <w:sz w:val="24"/>
          <w:szCs w:val="17"/>
        </w:rPr>
      </w:pPr>
    </w:p>
    <w:p w:rsidR="00211065" w:rsidRPr="003E628F" w:rsidRDefault="00211065" w:rsidP="003E628F">
      <w:pPr>
        <w:pStyle w:val="Pamatteksts"/>
        <w:ind w:left="0"/>
        <w:jc w:val="both"/>
        <w:rPr>
          <w:noProof/>
        </w:rPr>
      </w:pPr>
      <w:r>
        <w:t xml:space="preserve">Tas nozīmē, ka </w:t>
      </w:r>
      <w:r>
        <w:rPr>
          <w:i/>
        </w:rPr>
        <w:t>EIDR</w:t>
      </w:r>
      <w:r>
        <w:t xml:space="preserve"> drīkst izmantot attiecībā uz akcīzes preču eksportu vai reeksportu vienīgi gadījumos, kad ir piemērojams Direktīvas 2008/118/EK 30. pants. Šāds gadījums pastāvētu, ja viss eksports vai reeksports notiktu tikai vienā dalībvalstī (tiešais eksports).</w:t>
      </w:r>
    </w:p>
    <w:p w:rsidR="00211065" w:rsidRPr="003E628F" w:rsidRDefault="00211065" w:rsidP="003E628F">
      <w:pPr>
        <w:jc w:val="both"/>
        <w:rPr>
          <w:rFonts w:ascii="Times New Roman" w:eastAsia="Times New Roman" w:hAnsi="Times New Roman" w:cs="Times New Roman"/>
          <w:noProof/>
          <w:sz w:val="24"/>
          <w:szCs w:val="21"/>
        </w:rPr>
      </w:pPr>
    </w:p>
    <w:p w:rsidR="00211065" w:rsidRPr="003E628F" w:rsidRDefault="00211065" w:rsidP="00131C8A">
      <w:pPr>
        <w:pStyle w:val="Pamatteksts"/>
        <w:numPr>
          <w:ilvl w:val="0"/>
          <w:numId w:val="47"/>
        </w:numPr>
        <w:tabs>
          <w:tab w:val="left" w:pos="1134"/>
        </w:tabs>
        <w:ind w:left="1134" w:hanging="425"/>
        <w:jc w:val="both"/>
        <w:rPr>
          <w:noProof/>
        </w:rPr>
      </w:pPr>
      <w:r>
        <w:rPr>
          <w:b/>
          <w:noProof/>
        </w:rPr>
        <w:t>Saskaņā ar DA 150. panta 6. punktu attiecībā uz īpašām procedūrām</w:t>
      </w:r>
      <w:r>
        <w:t xml:space="preserve"> </w:t>
      </w:r>
      <w:r>
        <w:rPr>
          <w:i/>
        </w:rPr>
        <w:t>EIDR</w:t>
      </w:r>
      <w:r>
        <w:t xml:space="preserve"> nedrīkst piemērot, ja muitas deklarāciju iesniedz ievešanai pārstrādei vai izvešanai pārstrādei, kad ir nepieciešama informācijas apmaiņa starp muitas dienestiem dažādās dalībvalstīs, izmantojot informācijas lapu, izņemot gadījumu, kad muitas iestādes informācijas lapas vietā vienojas par citiem informācijas elektroniskas </w:t>
      </w:r>
      <w:r>
        <w:lastRenderedPageBreak/>
        <w:t>apmaiņas līdzekļiem (atbilstīgi DA 176. panta 1. punkta a) apakšpunktam).</w:t>
      </w:r>
    </w:p>
    <w:p w:rsidR="00131C8A" w:rsidRDefault="00131C8A" w:rsidP="00131C8A">
      <w:pPr>
        <w:pStyle w:val="Virsraksts1"/>
        <w:tabs>
          <w:tab w:val="left" w:pos="331"/>
        </w:tabs>
        <w:jc w:val="both"/>
        <w:rPr>
          <w:noProof/>
        </w:rPr>
      </w:pPr>
    </w:p>
    <w:p w:rsidR="00211065" w:rsidRPr="003E628F" w:rsidRDefault="00131C8A" w:rsidP="00131C8A">
      <w:pPr>
        <w:pStyle w:val="Virsraksts1"/>
        <w:tabs>
          <w:tab w:val="left" w:pos="331"/>
        </w:tabs>
        <w:jc w:val="both"/>
        <w:rPr>
          <w:noProof/>
        </w:rPr>
      </w:pPr>
      <w:bookmarkStart w:id="80" w:name="_Toc490734276"/>
      <w:r>
        <w:t>f) Citi izņēmumi</w:t>
      </w:r>
      <w:bookmarkEnd w:id="80"/>
    </w:p>
    <w:p w:rsidR="00211065" w:rsidRPr="003E628F" w:rsidRDefault="00211065" w:rsidP="003E628F">
      <w:pPr>
        <w:jc w:val="both"/>
        <w:rPr>
          <w:rFonts w:ascii="Times New Roman" w:eastAsia="Times New Roman" w:hAnsi="Times New Roman" w:cs="Times New Roman"/>
          <w:b/>
          <w:bCs/>
          <w:noProof/>
          <w:sz w:val="24"/>
          <w:szCs w:val="20"/>
        </w:rPr>
      </w:pPr>
    </w:p>
    <w:p w:rsidR="00211065" w:rsidRPr="003E628F" w:rsidRDefault="00211065" w:rsidP="00131C8A">
      <w:pPr>
        <w:pStyle w:val="Pamatteksts"/>
        <w:numPr>
          <w:ilvl w:val="1"/>
          <w:numId w:val="46"/>
        </w:numPr>
        <w:tabs>
          <w:tab w:val="left" w:pos="1134"/>
        </w:tabs>
        <w:ind w:left="1134" w:hanging="425"/>
        <w:jc w:val="both"/>
        <w:rPr>
          <w:noProof/>
        </w:rPr>
      </w:pPr>
      <w:r>
        <w:t xml:space="preserve">Saskaņā ar DA 163. panta 2. punkta c) apakšpunktu </w:t>
      </w:r>
      <w:r>
        <w:rPr>
          <w:i/>
        </w:rPr>
        <w:t>EIDR</w:t>
      </w:r>
      <w:r>
        <w:t xml:space="preserve"> nevar izmantot, ja muitas deklarācija uzskatāma par pieteikumu īpašās procedūras atļaujas saņemšanai.</w:t>
      </w:r>
    </w:p>
    <w:p w:rsidR="00211065" w:rsidRPr="003E628F" w:rsidRDefault="00211065" w:rsidP="00131C8A">
      <w:pPr>
        <w:pStyle w:val="Pamatteksts"/>
        <w:numPr>
          <w:ilvl w:val="1"/>
          <w:numId w:val="46"/>
        </w:numPr>
        <w:tabs>
          <w:tab w:val="left" w:pos="1134"/>
        </w:tabs>
        <w:ind w:left="1134" w:hanging="425"/>
        <w:jc w:val="both"/>
        <w:rPr>
          <w:noProof/>
        </w:rPr>
      </w:pPr>
      <w:r>
        <w:t>Saskaņā ar ĪA 234. panta 2. punkta b) apakšpunktu muitas deklarāciju, ar ko tiek aizstāta ievešanas kopsavilkuma deklarācija (</w:t>
      </w:r>
      <w:r>
        <w:rPr>
          <w:i/>
        </w:rPr>
        <w:t>ENS</w:t>
      </w:r>
      <w:r>
        <w:t xml:space="preserve">), nedrīkst iesniegt, izmantojot </w:t>
      </w:r>
      <w:r>
        <w:rPr>
          <w:i/>
        </w:rPr>
        <w:t>EIDR</w:t>
      </w:r>
      <w:r>
        <w:t>.</w:t>
      </w:r>
    </w:p>
    <w:p w:rsidR="00131C8A" w:rsidRDefault="00131C8A" w:rsidP="00131C8A">
      <w:pPr>
        <w:pStyle w:val="Virsraksts2"/>
        <w:tabs>
          <w:tab w:val="left" w:pos="818"/>
        </w:tabs>
        <w:jc w:val="both"/>
        <w:rPr>
          <w:noProof/>
        </w:rPr>
      </w:pPr>
    </w:p>
    <w:p w:rsidR="00211065" w:rsidRPr="009F0223" w:rsidRDefault="00131C8A" w:rsidP="009F0223">
      <w:pPr>
        <w:pStyle w:val="Virsraksts2"/>
        <w:rPr>
          <w:b/>
        </w:rPr>
      </w:pPr>
      <w:bookmarkStart w:id="81" w:name="_Toc490734277"/>
      <w:r w:rsidRPr="009F0223">
        <w:rPr>
          <w:b/>
        </w:rPr>
        <w:t>2.3.3. Kontroles aspekti</w:t>
      </w:r>
      <w:bookmarkStart w:id="82" w:name="_bookmark27"/>
      <w:bookmarkEnd w:id="82"/>
      <w:bookmarkEnd w:id="81"/>
    </w:p>
    <w:p w:rsidR="00211065" w:rsidRPr="003E628F" w:rsidRDefault="00211065" w:rsidP="003E628F">
      <w:pPr>
        <w:jc w:val="both"/>
        <w:rPr>
          <w:rFonts w:ascii="Times New Roman" w:eastAsia="Times New Roman" w:hAnsi="Times New Roman" w:cs="Times New Roman"/>
          <w:b/>
          <w:bCs/>
          <w:i/>
          <w:noProof/>
          <w:sz w:val="24"/>
          <w:szCs w:val="20"/>
        </w:rPr>
      </w:pPr>
    </w:p>
    <w:p w:rsidR="00211065" w:rsidRPr="003E628F" w:rsidRDefault="00211065" w:rsidP="003E628F">
      <w:pPr>
        <w:pStyle w:val="Pamatteksts"/>
        <w:ind w:left="0"/>
        <w:jc w:val="both"/>
        <w:rPr>
          <w:noProof/>
        </w:rPr>
      </w:pPr>
      <w:r>
        <w:t>Lai uzraudzītu darbības un novērstu muitas identificēto ārējo apdraudējumu, muitai jāspēj sazināties ar atļauju turētājiem. Atbilstīgi pastāvošajai riska situācijai atļauja var būt jākoriģē uz laiku vai pastāvīgi.</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Piemēram, ja tiek identificēti jauni riski, kuru dēļ ir jāveic preču kontrole muitošanas laikā (piemēram, antidempinga maksājumi, kas ir jāapsver muitošanā, neatbilstība vai auditā konstatētas aizdomas vai neatbilstība, kas ir jāizskata muitošanā), muitai jāspēj sazināties ar uzņēmēju, un tā var lūgt atcelt atļaujas piemērošanu noteiktam preču veidam no konkrēta datuma (uz laiku vai pastāvīgi) vai attiecināt uz šādām precēm konkrētus nosacījumus (piemēram, prasība ņemt noteikta preču veida paraugu, neapturot šīs preces muitošanā). Tādējādi vajadzības gadījumā būtu iespējams pielāgot atļauju jaunākajām tendencēm/riskiem.</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u w:val="single" w:color="000000"/>
        </w:rPr>
      </w:pPr>
      <w:r>
        <w:rPr>
          <w:noProof/>
          <w:u w:val="single" w:color="000000"/>
        </w:rPr>
        <w:t>Kas attiecas uz kontroles plānu, ĪA 233. pants paredz, ka šāds plāns:</w:t>
      </w:r>
    </w:p>
    <w:p w:rsidR="00211065" w:rsidRDefault="00211065" w:rsidP="003E628F">
      <w:pPr>
        <w:jc w:val="both"/>
        <w:rPr>
          <w:rFonts w:ascii="Times New Roman" w:eastAsia="Times New Roman" w:hAnsi="Times New Roman" w:cs="Times New Roman"/>
          <w:noProof/>
          <w:sz w:val="24"/>
          <w:szCs w:val="17"/>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31"/>
      </w:tblGrid>
      <w:tr w:rsidR="00131C8A" w:rsidTr="009F0223">
        <w:tc>
          <w:tcPr>
            <w:tcW w:w="9291" w:type="dxa"/>
            <w:shd w:val="clear" w:color="auto" w:fill="E4DFEB"/>
          </w:tcPr>
          <w:p w:rsidR="00131C8A" w:rsidRPr="003E628F" w:rsidRDefault="00131C8A" w:rsidP="00131C8A">
            <w:pPr>
              <w:pStyle w:val="Pamatteksts"/>
              <w:numPr>
                <w:ilvl w:val="0"/>
                <w:numId w:val="45"/>
              </w:numPr>
              <w:tabs>
                <w:tab w:val="left" w:pos="709"/>
              </w:tabs>
              <w:ind w:left="709" w:hanging="567"/>
              <w:jc w:val="both"/>
              <w:rPr>
                <w:noProof/>
              </w:rPr>
            </w:pPr>
            <w:r>
              <w:t>ir izveidots attiecībā uz konkrēto uzņēmēju (atsevišķs plāns, ko izmanto muita un kas paredzēts izmantošanai vienīgi muitā);</w:t>
            </w:r>
          </w:p>
          <w:p w:rsidR="00131C8A" w:rsidRPr="003E628F" w:rsidRDefault="00131C8A" w:rsidP="00131C8A">
            <w:pPr>
              <w:pStyle w:val="Pamatteksts"/>
              <w:numPr>
                <w:ilvl w:val="0"/>
                <w:numId w:val="45"/>
              </w:numPr>
              <w:tabs>
                <w:tab w:val="left" w:pos="709"/>
              </w:tabs>
              <w:ind w:left="709" w:hanging="567"/>
              <w:jc w:val="both"/>
              <w:rPr>
                <w:noProof/>
              </w:rPr>
            </w:pPr>
            <w:r>
              <w:t>ir saistīts ar muitas procedūru uzraudzību un arī ar atļaujas pārraudzību;</w:t>
            </w:r>
          </w:p>
          <w:p w:rsidR="00131C8A" w:rsidRPr="003E628F" w:rsidRDefault="00131C8A" w:rsidP="00131C8A">
            <w:pPr>
              <w:pStyle w:val="Pamatteksts"/>
              <w:numPr>
                <w:ilvl w:val="0"/>
                <w:numId w:val="45"/>
              </w:numPr>
              <w:tabs>
                <w:tab w:val="left" w:pos="709"/>
              </w:tabs>
              <w:ind w:left="709" w:hanging="567"/>
              <w:jc w:val="both"/>
              <w:rPr>
                <w:noProof/>
              </w:rPr>
            </w:pPr>
            <w:r>
              <w:t>nosaka galvenos elementus, kas kontrolējami atbilstīgi riska līmenim. Tajā jānorāda riski, kas identificēti saistībā ar konkrēto atļauju;</w:t>
            </w:r>
          </w:p>
          <w:p w:rsidR="00131C8A" w:rsidRPr="003E628F" w:rsidRDefault="00131C8A" w:rsidP="00131C8A">
            <w:pPr>
              <w:pStyle w:val="Pamatteksts"/>
              <w:numPr>
                <w:ilvl w:val="0"/>
                <w:numId w:val="45"/>
              </w:numPr>
              <w:tabs>
                <w:tab w:val="left" w:pos="709"/>
              </w:tabs>
              <w:ind w:left="709" w:hanging="567"/>
              <w:jc w:val="both"/>
              <w:rPr>
                <w:noProof/>
              </w:rPr>
            </w:pPr>
            <w:r>
              <w:t>nosaka muitas kontroles biežumu atbilstīgi darījumu skaitam, riska apstākļiem un iekšējās kontroles sistēmu/procedūru līmenim;</w:t>
            </w:r>
          </w:p>
          <w:p w:rsidR="00131C8A" w:rsidRPr="003E628F" w:rsidRDefault="00131C8A" w:rsidP="00131C8A">
            <w:pPr>
              <w:pStyle w:val="Pamatteksts"/>
              <w:numPr>
                <w:ilvl w:val="0"/>
                <w:numId w:val="45"/>
              </w:numPr>
              <w:tabs>
                <w:tab w:val="left" w:pos="709"/>
              </w:tabs>
              <w:ind w:left="709" w:hanging="567"/>
              <w:jc w:val="both"/>
              <w:rPr>
                <w:noProof/>
              </w:rPr>
            </w:pPr>
            <w:r>
              <w:t xml:space="preserve">nodrošina, ka visos </w:t>
            </w:r>
            <w:r>
              <w:rPr>
                <w:i/>
              </w:rPr>
              <w:t>EIDR</w:t>
            </w:r>
            <w:r>
              <w:t xml:space="preserve"> posmos ir iespējams veikt efektīvu kontroli un ka šāda kontrole ir pielāgota mainīgajiem riskiem;</w:t>
            </w:r>
          </w:p>
          <w:p w:rsidR="00131C8A" w:rsidRPr="003E628F" w:rsidRDefault="00131C8A" w:rsidP="00131C8A">
            <w:pPr>
              <w:pStyle w:val="Pamatteksts"/>
              <w:numPr>
                <w:ilvl w:val="0"/>
                <w:numId w:val="45"/>
              </w:numPr>
              <w:tabs>
                <w:tab w:val="left" w:pos="709"/>
              </w:tabs>
              <w:ind w:left="709" w:hanging="567"/>
              <w:jc w:val="both"/>
              <w:rPr>
                <w:noProof/>
              </w:rPr>
            </w:pPr>
            <w:r>
              <w:t>paredz kontroles veidus (uz risku balstīta kontrole / izlases veida kontrole / pēcmuitošanas audits), minimālo veicamo kontroli, ar riska jautājumiem saistītu Kodeksa pasākumu (dokumentālu, fizisku u. c.) piemērošanu;</w:t>
            </w:r>
          </w:p>
          <w:p w:rsidR="00131C8A" w:rsidRPr="003E628F" w:rsidRDefault="00131C8A" w:rsidP="00131C8A">
            <w:pPr>
              <w:pStyle w:val="Pamatteksts"/>
              <w:numPr>
                <w:ilvl w:val="0"/>
                <w:numId w:val="45"/>
              </w:numPr>
              <w:tabs>
                <w:tab w:val="left" w:pos="709"/>
              </w:tabs>
              <w:ind w:left="709" w:hanging="567"/>
              <w:jc w:val="both"/>
              <w:rPr>
                <w:noProof/>
              </w:rPr>
            </w:pPr>
            <w:r>
              <w:t>attiecīgā gadījumā ņem vērā ierobežojumu periodu, kas noteikts muitas parāda paziņošanai;</w:t>
            </w:r>
          </w:p>
          <w:p w:rsidR="00131C8A" w:rsidRPr="003E628F" w:rsidRDefault="00131C8A" w:rsidP="00131C8A">
            <w:pPr>
              <w:pStyle w:val="Pamatteksts"/>
              <w:numPr>
                <w:ilvl w:val="0"/>
                <w:numId w:val="45"/>
              </w:numPr>
              <w:tabs>
                <w:tab w:val="left" w:pos="709"/>
              </w:tabs>
              <w:ind w:left="709" w:hanging="567"/>
              <w:jc w:val="both"/>
              <w:rPr>
                <w:noProof/>
              </w:rPr>
            </w:pPr>
            <w:r>
              <w:t>nosaka īpašas kontroles procedūras, ja ir spēkā atbrīvojums no paziņošanas pienākuma (tādas kā iespējamie uzrādīšanas atbrīvojuma apturēšanas periodi atbilstīgi 182. panta 3. punktam);</w:t>
            </w:r>
          </w:p>
          <w:p w:rsidR="00131C8A" w:rsidRPr="00131C8A" w:rsidRDefault="00131C8A" w:rsidP="003E628F">
            <w:pPr>
              <w:pStyle w:val="Pamatteksts"/>
              <w:numPr>
                <w:ilvl w:val="0"/>
                <w:numId w:val="45"/>
              </w:numPr>
              <w:tabs>
                <w:tab w:val="left" w:pos="709"/>
              </w:tabs>
              <w:ind w:left="709" w:hanging="567"/>
              <w:jc w:val="both"/>
              <w:rPr>
                <w:noProof/>
              </w:rPr>
            </w:pPr>
            <w:r>
              <w:t>kontroles plānā ir jāņem vērā risku izmaiņu iespējamība un jāparedz atbilstošas izmaiņas kontroles pasākumos, kas nepieciešamas, lai nodrošinātu riska analīzi un pārvaldību. Tie var būt konkrēti pieprasījumi uzrādīt preces atbilstīgi SMK 182. panta 3. punkta d) apakšpunkta otrajai daļai.</w:t>
            </w:r>
          </w:p>
        </w:tc>
      </w:tr>
    </w:tbl>
    <w:p w:rsidR="00211065" w:rsidRPr="003E628F" w:rsidRDefault="00211065" w:rsidP="003E628F">
      <w:pPr>
        <w:jc w:val="both"/>
        <w:rPr>
          <w:rFonts w:ascii="Times New Roman" w:eastAsia="Times New Roman" w:hAnsi="Times New Roman" w:cs="Times New Roman"/>
          <w:noProof/>
          <w:sz w:val="24"/>
          <w:szCs w:val="13"/>
        </w:rPr>
      </w:pPr>
    </w:p>
    <w:p w:rsidR="00211065" w:rsidRPr="003E628F" w:rsidRDefault="00211065" w:rsidP="003E628F">
      <w:pPr>
        <w:jc w:val="both"/>
        <w:rPr>
          <w:rFonts w:ascii="Times New Roman" w:hAnsi="Times New Roman"/>
          <w:i/>
          <w:noProof/>
          <w:sz w:val="24"/>
        </w:rPr>
      </w:pPr>
      <w:r>
        <w:rPr>
          <w:rFonts w:ascii="Times New Roman" w:hAnsi="Times New Roman"/>
          <w:i/>
          <w:noProof/>
          <w:sz w:val="24"/>
        </w:rPr>
        <w:t>Papildu informācija sniegta audita darba rīkos.</w:t>
      </w:r>
    </w:p>
    <w:p w:rsidR="00211065" w:rsidRPr="003E628F" w:rsidRDefault="00211065" w:rsidP="003E628F">
      <w:pPr>
        <w:jc w:val="both"/>
        <w:rPr>
          <w:rFonts w:ascii="Times New Roman" w:eastAsia="Times New Roman" w:hAnsi="Times New Roman" w:cs="Times New Roman"/>
          <w:i/>
          <w:noProof/>
          <w:sz w:val="24"/>
          <w:szCs w:val="21"/>
        </w:rPr>
      </w:pPr>
    </w:p>
    <w:p w:rsidR="00211065" w:rsidRPr="003E628F" w:rsidRDefault="00211065" w:rsidP="003E628F">
      <w:pPr>
        <w:jc w:val="both"/>
        <w:rPr>
          <w:rFonts w:ascii="Times New Roman" w:eastAsia="Times New Roman" w:hAnsi="Times New Roman" w:cs="Times New Roman"/>
          <w:noProof/>
          <w:sz w:val="24"/>
          <w:szCs w:val="23"/>
        </w:rPr>
      </w:pPr>
      <w:r>
        <w:rPr>
          <w:rFonts w:ascii="Times New Roman" w:hAnsi="Times New Roman"/>
          <w:i/>
          <w:noProof/>
          <w:color w:val="49442A"/>
          <w:sz w:val="24"/>
          <w:u w:val="single" w:color="49442A"/>
        </w:rPr>
        <w:t>Jāņem vērā!</w:t>
      </w:r>
      <w:r>
        <w:rPr>
          <w:rFonts w:ascii="Times New Roman" w:hAnsi="Times New Roman"/>
          <w:i/>
          <w:noProof/>
          <w:color w:val="49442A"/>
          <w:sz w:val="24"/>
        </w:rPr>
        <w:t xml:space="preserve"> Ja uzņēmējam ir AEO statuss, šajā kontroles plānā jāņem vērā pārraudzības plāns, ko muitas dienests sagatavojis AEO atļaujas pārvaldībai.</w:t>
      </w:r>
    </w:p>
    <w:p w:rsidR="00211065" w:rsidRPr="003E628F" w:rsidRDefault="00211065" w:rsidP="003E628F">
      <w:pPr>
        <w:jc w:val="both"/>
        <w:rPr>
          <w:rFonts w:ascii="Times New Roman" w:eastAsia="Times New Roman" w:hAnsi="Times New Roman" w:cs="Times New Roman"/>
          <w:i/>
          <w:noProof/>
          <w:sz w:val="24"/>
          <w:szCs w:val="21"/>
        </w:rPr>
      </w:pPr>
    </w:p>
    <w:p w:rsidR="00211065" w:rsidRPr="009F0223" w:rsidRDefault="00131C8A" w:rsidP="009F0223">
      <w:pPr>
        <w:pStyle w:val="Virsraksts2"/>
        <w:rPr>
          <w:b/>
        </w:rPr>
      </w:pPr>
      <w:bookmarkStart w:id="83" w:name="_Toc490734278"/>
      <w:r w:rsidRPr="009F0223">
        <w:rPr>
          <w:b/>
        </w:rPr>
        <w:t>2.3.4. Preču izlaišana</w:t>
      </w:r>
      <w:bookmarkStart w:id="84" w:name="_bookmark28"/>
      <w:bookmarkEnd w:id="84"/>
      <w:bookmarkEnd w:id="83"/>
    </w:p>
    <w:p w:rsidR="00211065" w:rsidRPr="003E628F" w:rsidRDefault="00211065" w:rsidP="003E628F">
      <w:pPr>
        <w:jc w:val="both"/>
        <w:rPr>
          <w:rFonts w:ascii="Times New Roman" w:eastAsia="Times New Roman" w:hAnsi="Times New Roman" w:cs="Times New Roman"/>
          <w:b/>
          <w:bCs/>
          <w:i/>
          <w:noProof/>
          <w:sz w:val="24"/>
          <w:szCs w:val="20"/>
        </w:rPr>
      </w:pPr>
    </w:p>
    <w:p w:rsidR="00211065" w:rsidRPr="003E628F" w:rsidRDefault="00211065" w:rsidP="00131C8A">
      <w:pPr>
        <w:pStyle w:val="Pamatteksts"/>
        <w:numPr>
          <w:ilvl w:val="0"/>
          <w:numId w:val="44"/>
        </w:numPr>
        <w:tabs>
          <w:tab w:val="left" w:pos="513"/>
        </w:tabs>
        <w:ind w:left="426" w:hanging="426"/>
        <w:jc w:val="both"/>
        <w:rPr>
          <w:noProof/>
        </w:rPr>
      </w:pPr>
      <w:r>
        <w:t xml:space="preserve">Ja </w:t>
      </w:r>
      <w:r>
        <w:rPr>
          <w:i/>
        </w:rPr>
        <w:t>EIDR</w:t>
      </w:r>
      <w:r>
        <w:t xml:space="preserve"> atļauja nosaka termiņu šīs atļaujas turētāja informēšanai par jebkuru kontroli, ko paredzēts veikt, preces uzskata par izlaistām šā termiņa beigās, ja vien uzraudzības muitas iestāde šajā termiņā neizsaka nodomu veikt kontroli.</w:t>
      </w:r>
    </w:p>
    <w:p w:rsidR="00131C8A" w:rsidRDefault="00131C8A" w:rsidP="003E628F">
      <w:pPr>
        <w:pStyle w:val="Pamatteksts"/>
        <w:ind w:left="0"/>
        <w:jc w:val="both"/>
        <w:rPr>
          <w:noProof/>
        </w:rPr>
      </w:pPr>
    </w:p>
    <w:p w:rsidR="00211065" w:rsidRDefault="00211065" w:rsidP="00131C8A">
      <w:pPr>
        <w:pStyle w:val="Pamatteksts"/>
        <w:ind w:left="426"/>
        <w:jc w:val="both"/>
        <w:rPr>
          <w:noProof/>
        </w:rPr>
      </w:pPr>
      <w:r>
        <w:t>Jāizraugās konkrēts termiņš, lai kompetentais muitas dienests varētu veikt nepieciešamās pārbaudes.</w:t>
      </w:r>
    </w:p>
    <w:p w:rsidR="00131C8A" w:rsidRPr="003E628F" w:rsidRDefault="00131C8A" w:rsidP="003E628F">
      <w:pPr>
        <w:pStyle w:val="Pamatteksts"/>
        <w:ind w:left="0"/>
        <w:jc w:val="both"/>
        <w:rPr>
          <w:noProof/>
        </w:rPr>
      </w:pPr>
    </w:p>
    <w:p w:rsidR="00211065" w:rsidRDefault="00211065" w:rsidP="00131C8A">
      <w:pPr>
        <w:pStyle w:val="Pamatteksts"/>
        <w:numPr>
          <w:ilvl w:val="0"/>
          <w:numId w:val="44"/>
        </w:numPr>
        <w:tabs>
          <w:tab w:val="left" w:pos="513"/>
        </w:tabs>
        <w:ind w:left="426" w:hanging="426"/>
        <w:jc w:val="both"/>
        <w:rPr>
          <w:noProof/>
        </w:rPr>
      </w:pPr>
      <w:r>
        <w:t>Ja atļaujā nav noteikts 1. punktā minētais termiņš, uzraudzības iestāde izlaiž preces saskaņā ar Kodeksa 194. pantu. Šādā gadījumā izlaišana tiks veikta saskaņā ar ĪA 235. pantu.</w:t>
      </w:r>
    </w:p>
    <w:p w:rsidR="00131C8A" w:rsidRPr="003E628F" w:rsidRDefault="00131C8A" w:rsidP="00131C8A">
      <w:pPr>
        <w:pStyle w:val="Pamatteksts"/>
        <w:tabs>
          <w:tab w:val="left" w:pos="513"/>
        </w:tabs>
        <w:ind w:left="0"/>
        <w:jc w:val="both"/>
        <w:rPr>
          <w:noProof/>
        </w:rPr>
      </w:pPr>
    </w:p>
    <w:p w:rsidR="00211065" w:rsidRPr="009F0223" w:rsidRDefault="00131C8A" w:rsidP="009F0223">
      <w:pPr>
        <w:pStyle w:val="Virsraksts2"/>
        <w:rPr>
          <w:b/>
        </w:rPr>
      </w:pPr>
      <w:bookmarkStart w:id="85" w:name="_Toc490734279"/>
      <w:r w:rsidRPr="009F0223">
        <w:rPr>
          <w:b/>
        </w:rPr>
        <w:t>2.3.5. Preču izlaišana uzrādīšanas atbrīvojuma gadījumā</w:t>
      </w:r>
      <w:bookmarkStart w:id="86" w:name="_bookmark29"/>
      <w:bookmarkEnd w:id="86"/>
      <w:bookmarkEnd w:id="85"/>
    </w:p>
    <w:p w:rsidR="00211065" w:rsidRPr="003E628F" w:rsidRDefault="00211065" w:rsidP="003E628F">
      <w:pPr>
        <w:jc w:val="both"/>
        <w:rPr>
          <w:rFonts w:ascii="Times New Roman" w:eastAsia="Times New Roman" w:hAnsi="Times New Roman" w:cs="Times New Roman"/>
          <w:b/>
          <w:bCs/>
          <w:i/>
          <w:noProof/>
          <w:sz w:val="24"/>
          <w:szCs w:val="20"/>
        </w:rPr>
      </w:pPr>
    </w:p>
    <w:p w:rsidR="00211065" w:rsidRPr="003E628F" w:rsidRDefault="00211065" w:rsidP="003E628F">
      <w:pPr>
        <w:pStyle w:val="Pamatteksts"/>
        <w:ind w:left="0"/>
        <w:jc w:val="both"/>
        <w:rPr>
          <w:noProof/>
        </w:rPr>
      </w:pPr>
      <w:r>
        <w:t xml:space="preserve">Saskaņā ar SMK 182. panta 3. punktu muitas iestāde var, saņemot </w:t>
      </w:r>
      <w:r>
        <w:rPr>
          <w:i/>
        </w:rPr>
        <w:t>AEOC</w:t>
      </w:r>
      <w:r>
        <w:t xml:space="preserve"> iesniegtu </w:t>
      </w:r>
      <w:r>
        <w:rPr>
          <w:i/>
        </w:rPr>
        <w:t>EIDR</w:t>
      </w:r>
      <w:r>
        <w:t xml:space="preserve"> pieteikumu, atbrīvot no pienākuma uzrādīt preces. Šādā gadījumā preces uzskata par izlaistām brīdī, kad tiek veikts ieraksts deklarētāja reģistros. Šis datums ir skaidri jānosaka deklarētāja reģistros.</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Konkrētus nosacījumus, saskaņā ar kuriem ir atļauta preču izlaišana, nosaka atļaujā.</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jc w:val="both"/>
        <w:rPr>
          <w:rFonts w:ascii="Times New Roman" w:eastAsia="Times New Roman" w:hAnsi="Times New Roman" w:cs="Times New Roman"/>
          <w:noProof/>
          <w:sz w:val="24"/>
          <w:szCs w:val="24"/>
        </w:rPr>
      </w:pPr>
      <w:r>
        <w:rPr>
          <w:rFonts w:ascii="Times New Roman" w:hAnsi="Times New Roman"/>
          <w:i/>
          <w:noProof/>
          <w:color w:val="49442A"/>
          <w:sz w:val="24"/>
          <w:u w:val="single" w:color="49442A"/>
        </w:rPr>
        <w:t>Jāņem vērā!</w:t>
      </w:r>
      <w:r>
        <w:t xml:space="preserve"> </w:t>
      </w:r>
      <w:r>
        <w:rPr>
          <w:rFonts w:ascii="Times New Roman" w:hAnsi="Times New Roman"/>
          <w:i/>
          <w:noProof/>
          <w:color w:val="49442A"/>
          <w:sz w:val="24"/>
        </w:rPr>
        <w:t>Automātisku izlaišanu var apturēt muita vai to var veikt pēc uzņēmēja pieprasījuma, un noteiktā laikposmā var būt nepieciešams uzrādīšanas paziņojums.</w:t>
      </w:r>
    </w:p>
    <w:p w:rsidR="00211065" w:rsidRPr="003E628F" w:rsidRDefault="00211065" w:rsidP="003E628F">
      <w:pPr>
        <w:jc w:val="both"/>
        <w:rPr>
          <w:rFonts w:ascii="Times New Roman" w:eastAsia="Times New Roman" w:hAnsi="Times New Roman" w:cs="Times New Roman"/>
          <w:i/>
          <w:noProof/>
          <w:sz w:val="24"/>
          <w:szCs w:val="21"/>
        </w:rPr>
      </w:pPr>
    </w:p>
    <w:p w:rsidR="00211065" w:rsidRPr="009F0223" w:rsidRDefault="00131C8A" w:rsidP="009F0223">
      <w:pPr>
        <w:pStyle w:val="Virsraksts2"/>
        <w:rPr>
          <w:b/>
        </w:rPr>
      </w:pPr>
      <w:bookmarkStart w:id="87" w:name="_Toc490734280"/>
      <w:r w:rsidRPr="009F0223">
        <w:rPr>
          <w:b/>
        </w:rPr>
        <w:t>2.3.6. Datu prasības attiecībā uz reģistriem un attiecībā uz uzrādīšanas paziņojumu, ja tāds nepieciešams</w:t>
      </w:r>
      <w:bookmarkStart w:id="88" w:name="_bookmark30"/>
      <w:bookmarkEnd w:id="88"/>
      <w:bookmarkEnd w:id="87"/>
    </w:p>
    <w:p w:rsidR="00211065" w:rsidRPr="003E628F" w:rsidRDefault="00211065" w:rsidP="003E628F">
      <w:pPr>
        <w:jc w:val="both"/>
        <w:rPr>
          <w:rFonts w:ascii="Times New Roman" w:eastAsia="Times New Roman" w:hAnsi="Times New Roman" w:cs="Times New Roman"/>
          <w:b/>
          <w:bCs/>
          <w:i/>
          <w:noProof/>
          <w:sz w:val="24"/>
          <w:szCs w:val="20"/>
        </w:rPr>
      </w:pPr>
    </w:p>
    <w:p w:rsidR="00211065" w:rsidRPr="003E628F" w:rsidRDefault="00131C8A" w:rsidP="00131C8A">
      <w:pPr>
        <w:tabs>
          <w:tab w:val="left" w:pos="369"/>
        </w:tabs>
        <w:jc w:val="both"/>
        <w:rPr>
          <w:rFonts w:ascii="Times New Roman" w:hAnsi="Times New Roman"/>
          <w:b/>
          <w:noProof/>
          <w:sz w:val="24"/>
        </w:rPr>
      </w:pPr>
      <w:r>
        <w:rPr>
          <w:rFonts w:ascii="Times New Roman" w:hAnsi="Times New Roman"/>
          <w:b/>
          <w:noProof/>
          <w:sz w:val="24"/>
        </w:rPr>
        <w:t>a) Reģistros</w:t>
      </w:r>
    </w:p>
    <w:p w:rsidR="00211065" w:rsidRPr="003E628F" w:rsidRDefault="00211065" w:rsidP="003E628F">
      <w:pPr>
        <w:jc w:val="both"/>
        <w:rPr>
          <w:rFonts w:ascii="Times New Roman" w:eastAsia="Times New Roman" w:hAnsi="Times New Roman" w:cs="Times New Roman"/>
          <w:b/>
          <w:bCs/>
          <w:noProof/>
          <w:sz w:val="24"/>
          <w:szCs w:val="20"/>
        </w:rPr>
      </w:pPr>
    </w:p>
    <w:p w:rsidR="00211065" w:rsidRPr="003E628F" w:rsidRDefault="00211065" w:rsidP="003E628F">
      <w:pPr>
        <w:pStyle w:val="Pamatteksts"/>
        <w:ind w:left="0"/>
        <w:jc w:val="both"/>
        <w:rPr>
          <w:noProof/>
        </w:rPr>
      </w:pPr>
      <w:r>
        <w:t>Darbību norāda, izmantojot iekšējo dokumenta numuru, piemēram, pavadzīmes numuru, faktūrrēķina numuru u. c.</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Dati, kas jāievada deklarētāja reģistros, ir tie, kas iekļauti vienkāršotajā deklarācijā (minimālā datu kopa), kā noteikts ĪA 234. panta 1. punkta b) apakšpunktā un DA B pielikuma 1. punktā.</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Neobligātie dati parasti netiek pieprasīti brīdī, kad tiek veikts ieraksts deklarētāja reģistros. Vajadzības gadījumā tos var iesniegt ar papildu deklarāciju.</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Ja vienkāršotā deklarācija tiek ievadīta deklarētāja reģistros, pavaddokumenti, izņemot tos, kas noteikti SMK 163. panta 2. punktā, var nebūt pieejami preču izlaišanas brīdī.</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jc w:val="both"/>
        <w:rPr>
          <w:rFonts w:ascii="Times New Roman" w:hAnsi="Times New Roman"/>
          <w:i/>
          <w:noProof/>
          <w:color w:val="49442A"/>
          <w:sz w:val="24"/>
        </w:rPr>
      </w:pPr>
      <w:r>
        <w:rPr>
          <w:rFonts w:ascii="Times New Roman" w:hAnsi="Times New Roman"/>
          <w:i/>
          <w:noProof/>
          <w:color w:val="49442A"/>
          <w:sz w:val="24"/>
          <w:u w:val="single" w:color="49442A"/>
        </w:rPr>
        <w:t>Jāņem vērā!</w:t>
      </w:r>
      <w:r>
        <w:t xml:space="preserve"> </w:t>
      </w:r>
      <w:r>
        <w:rPr>
          <w:rFonts w:ascii="Times New Roman" w:hAnsi="Times New Roman"/>
          <w:i/>
          <w:noProof/>
          <w:color w:val="49442A"/>
          <w:sz w:val="24"/>
        </w:rPr>
        <w:t>Uzraudzības muitas iestāde var pieņemt izlaišanu, ja tiek nodrošināts nodokļa maksājums; tāpat kā eksporta gadījumā, attiecībā uz atsevišķiem produktiem var izmantot vidējo neto svaru, ja tam piekrīt citi dienesti, kas iekļauti procesā (piemēram, statistikas birojs).</w:t>
      </w:r>
    </w:p>
    <w:p w:rsidR="00211065" w:rsidRPr="003E628F" w:rsidRDefault="00211065" w:rsidP="003E628F">
      <w:pPr>
        <w:jc w:val="both"/>
        <w:rPr>
          <w:rFonts w:ascii="Times New Roman" w:hAnsi="Times New Roman"/>
          <w:i/>
          <w:noProof/>
          <w:color w:val="49442A"/>
          <w:sz w:val="24"/>
        </w:rPr>
      </w:pPr>
    </w:p>
    <w:p w:rsidR="00211065" w:rsidRPr="003E628F" w:rsidRDefault="00211065" w:rsidP="003E628F">
      <w:pPr>
        <w:pStyle w:val="Pamatteksts"/>
        <w:ind w:left="0"/>
        <w:jc w:val="both"/>
        <w:rPr>
          <w:noProof/>
        </w:rPr>
      </w:pPr>
      <w:r>
        <w:lastRenderedPageBreak/>
        <w:t>Ieraksta datu struktūra un forma nav noteikta; tas nozīmē, ka nav noteikta standarta versija, piemēram, tas, kādam ir jābūt ieraksta garumam. Tomēr ieteicams ņemt vērā uzrādīšanas paziņojuma un (papildu) deklarācijas datu elementus, kam pēc pārejas posma beigām ir jāatbilst ĪA B pielikuma prasībām.</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Dati var tikt glabāti dažādās vietās un/vai arī dažādās IT sistēmās, taču tiem jābūt pieejamiem muitai un jāļauj noskaidrot auditācijas pierakstu katrai darbībai.</w:t>
      </w:r>
    </w:p>
    <w:p w:rsidR="00211065" w:rsidRPr="003E628F" w:rsidRDefault="00211065" w:rsidP="003E628F">
      <w:pPr>
        <w:jc w:val="both"/>
        <w:rPr>
          <w:rFonts w:ascii="Times New Roman" w:eastAsia="Times New Roman" w:hAnsi="Times New Roman" w:cs="Times New Roman"/>
          <w:noProof/>
          <w:sz w:val="24"/>
          <w:szCs w:val="21"/>
        </w:rPr>
      </w:pPr>
    </w:p>
    <w:p w:rsidR="00211065" w:rsidRPr="003E628F" w:rsidRDefault="00131C8A" w:rsidP="00131C8A">
      <w:pPr>
        <w:pStyle w:val="Virsraksts1"/>
        <w:tabs>
          <w:tab w:val="left" w:pos="384"/>
        </w:tabs>
        <w:jc w:val="both"/>
        <w:rPr>
          <w:noProof/>
        </w:rPr>
      </w:pPr>
      <w:bookmarkStart w:id="89" w:name="_Toc490734281"/>
      <w:r>
        <w:t>b) Uzrādīšanas paziņojumā</w:t>
      </w:r>
      <w:bookmarkEnd w:id="89"/>
    </w:p>
    <w:p w:rsidR="00211065" w:rsidRPr="003E628F" w:rsidRDefault="00211065" w:rsidP="003E628F">
      <w:pPr>
        <w:jc w:val="both"/>
        <w:rPr>
          <w:rFonts w:ascii="Times New Roman" w:eastAsia="Times New Roman" w:hAnsi="Times New Roman" w:cs="Times New Roman"/>
          <w:b/>
          <w:bCs/>
          <w:noProof/>
          <w:sz w:val="24"/>
          <w:szCs w:val="20"/>
        </w:rPr>
      </w:pPr>
    </w:p>
    <w:p w:rsidR="00211065" w:rsidRPr="003E628F" w:rsidRDefault="00211065" w:rsidP="003E628F">
      <w:pPr>
        <w:pStyle w:val="Pamatteksts"/>
        <w:ind w:left="0"/>
        <w:jc w:val="both"/>
        <w:rPr>
          <w:noProof/>
        </w:rPr>
      </w:pPr>
      <w:r>
        <w:t>Kas attiecas uz uzrādīšanas paziņojumu, datu prasības ir noteiktas DA/ĪA B pielikumā (C2–I2 ailē).</w:t>
      </w:r>
    </w:p>
    <w:p w:rsidR="00211065" w:rsidRPr="003E628F" w:rsidRDefault="00211065" w:rsidP="003E628F">
      <w:pPr>
        <w:jc w:val="both"/>
        <w:rPr>
          <w:rFonts w:ascii="Times New Roman" w:eastAsia="Times New Roman" w:hAnsi="Times New Roman" w:cs="Times New Roman"/>
          <w:noProof/>
          <w:sz w:val="24"/>
          <w:szCs w:val="21"/>
        </w:rPr>
      </w:pPr>
    </w:p>
    <w:p w:rsidR="00211065" w:rsidRPr="009F0223" w:rsidRDefault="00131C8A" w:rsidP="009F0223">
      <w:pPr>
        <w:pStyle w:val="Virsraksts2"/>
        <w:rPr>
          <w:b/>
        </w:rPr>
      </w:pPr>
      <w:bookmarkStart w:id="90" w:name="_Toc490734282"/>
      <w:r w:rsidRPr="009F0223">
        <w:rPr>
          <w:b/>
        </w:rPr>
        <w:t>2.3.7. Iepriekšējās procedūras vai pagaidu uzglabāšanas noslēgšana</w:t>
      </w:r>
      <w:bookmarkStart w:id="91" w:name="_bookmark31"/>
      <w:bookmarkEnd w:id="91"/>
      <w:bookmarkEnd w:id="90"/>
    </w:p>
    <w:p w:rsidR="00211065" w:rsidRPr="003E628F" w:rsidRDefault="00211065" w:rsidP="003E628F">
      <w:pPr>
        <w:jc w:val="both"/>
        <w:rPr>
          <w:rFonts w:ascii="Times New Roman" w:eastAsia="Times New Roman" w:hAnsi="Times New Roman" w:cs="Times New Roman"/>
          <w:b/>
          <w:bCs/>
          <w:i/>
          <w:noProof/>
          <w:sz w:val="24"/>
          <w:szCs w:val="20"/>
        </w:rPr>
      </w:pPr>
    </w:p>
    <w:p w:rsidR="00211065" w:rsidRPr="003E628F" w:rsidRDefault="00211065" w:rsidP="003E628F">
      <w:pPr>
        <w:pStyle w:val="Pamatteksts"/>
        <w:ind w:left="0"/>
        <w:jc w:val="both"/>
        <w:rPr>
          <w:noProof/>
        </w:rPr>
      </w:pPr>
      <w:r>
        <w:t>Iepriekšējā procedūra vai pagaidu uzglabāšana tiek noslēgta, piemērojot precēm nākamo procedūru. Ja tiek piešķirts atbrīvojums no pienākuma nosūtīt paziņojumu vai iesniegt papildu deklarāciju, muitas dienesti var pieprasīt atļaujā tā procesa aprakstu, kas saistīts ar iepriekšējās procedūras vai pagaidu uzglabāšanas noslēgšanu.</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jc w:val="both"/>
        <w:rPr>
          <w:rFonts w:ascii="Times New Roman" w:eastAsia="Times New Roman" w:hAnsi="Times New Roman" w:cs="Times New Roman"/>
          <w:i/>
          <w:noProof/>
          <w:sz w:val="24"/>
          <w:szCs w:val="24"/>
        </w:rPr>
      </w:pPr>
      <w:r>
        <w:rPr>
          <w:rFonts w:ascii="Times New Roman" w:hAnsi="Times New Roman"/>
          <w:i/>
          <w:noProof/>
          <w:sz w:val="24"/>
        </w:rPr>
        <w:t>Papildu informācija sniegta “vadlīnijās” par īpašajām procedūrām un pagaidu uzglabāšanu.</w:t>
      </w:r>
    </w:p>
    <w:p w:rsidR="00211065" w:rsidRPr="003E628F" w:rsidRDefault="00211065" w:rsidP="003E628F">
      <w:pPr>
        <w:jc w:val="both"/>
        <w:rPr>
          <w:rFonts w:ascii="Times New Roman" w:eastAsia="Times New Roman" w:hAnsi="Times New Roman" w:cs="Times New Roman"/>
          <w:i/>
          <w:noProof/>
          <w:sz w:val="24"/>
          <w:szCs w:val="21"/>
        </w:rPr>
      </w:pPr>
    </w:p>
    <w:p w:rsidR="00211065" w:rsidRPr="009F0223" w:rsidRDefault="00131C8A" w:rsidP="009F0223">
      <w:pPr>
        <w:pStyle w:val="Virsraksts2"/>
        <w:rPr>
          <w:b/>
        </w:rPr>
      </w:pPr>
      <w:bookmarkStart w:id="92" w:name="_Toc490734283"/>
      <w:r w:rsidRPr="009F0223">
        <w:rPr>
          <w:b/>
        </w:rPr>
        <w:t>2.3.8. Papildu deklarācija</w:t>
      </w:r>
      <w:bookmarkStart w:id="93" w:name="_bookmark32"/>
      <w:bookmarkEnd w:id="93"/>
      <w:bookmarkEnd w:id="92"/>
    </w:p>
    <w:p w:rsidR="00211065" w:rsidRPr="003E628F" w:rsidRDefault="00211065" w:rsidP="003E628F">
      <w:pPr>
        <w:jc w:val="both"/>
        <w:rPr>
          <w:rFonts w:ascii="Times New Roman" w:eastAsia="Times New Roman" w:hAnsi="Times New Roman" w:cs="Times New Roman"/>
          <w:b/>
          <w:bCs/>
          <w:i/>
          <w:noProof/>
          <w:sz w:val="24"/>
          <w:szCs w:val="20"/>
        </w:rPr>
      </w:pPr>
    </w:p>
    <w:p w:rsidR="00211065" w:rsidRPr="003E628F" w:rsidRDefault="00211065" w:rsidP="003E628F">
      <w:pPr>
        <w:pStyle w:val="Pamatteksts"/>
        <w:ind w:left="0"/>
        <w:jc w:val="both"/>
        <w:rPr>
          <w:noProof/>
        </w:rPr>
      </w:pPr>
      <w:r>
        <w:t>Tiesību aktos nav skaidras norādes uz saskaņošanu. Nepieciešamība veikt saskaņošanu netieši noteikta SMK 167. panta 4. punktā.</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Deklarācija, kas ierakstīta deklarētāja reģistros, un papildu deklarācija ir uzskatāma par vienotu, nedalāmu dokumentu, kas stājas spēkā dienā, kad preces tiek ievadītas deklarētāja reģistros.</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Reģistrācija deklarētāja reģistros ir līdzvērtīga vienkāršotajai deklarācijai vai standarta deklarācijai. No reģistrācijas jābūt izsekojamībai līdz pavaddokumentiem (piemēram, izmantojot atsauces numuru). Piemēram, izsekojamība var būt nodrošināta no pirkšanas pasūtījuma līdz brīdim, kad tiek iesniegta papildu deklarācija un samaksāts muitas nodoklis, un otrādi.</w:t>
      </w:r>
    </w:p>
    <w:p w:rsidR="00211065" w:rsidRPr="003E628F" w:rsidRDefault="00211065" w:rsidP="003E628F">
      <w:pPr>
        <w:jc w:val="both"/>
        <w:rPr>
          <w:rFonts w:ascii="Times New Roman" w:eastAsia="Times New Roman" w:hAnsi="Times New Roman" w:cs="Times New Roman"/>
          <w:noProof/>
          <w:sz w:val="24"/>
          <w:szCs w:val="21"/>
        </w:rPr>
      </w:pPr>
    </w:p>
    <w:p w:rsidR="00211065" w:rsidRPr="003E628F" w:rsidRDefault="00211065" w:rsidP="003E628F">
      <w:pPr>
        <w:pStyle w:val="Virsraksts1"/>
        <w:jc w:val="both"/>
        <w:rPr>
          <w:noProof/>
        </w:rPr>
      </w:pPr>
      <w:bookmarkStart w:id="94" w:name="_Toc490734284"/>
      <w:r>
        <w:rPr>
          <w:i/>
        </w:rPr>
        <w:t>EIDR</w:t>
      </w:r>
      <w:r>
        <w:t xml:space="preserve"> datums ir datums, kad pieņemta muitas deklarācija.</w:t>
      </w:r>
      <w:bookmarkEnd w:id="94"/>
    </w:p>
    <w:p w:rsidR="00211065" w:rsidRPr="003E628F" w:rsidRDefault="00211065" w:rsidP="003E628F">
      <w:pPr>
        <w:jc w:val="both"/>
        <w:rPr>
          <w:rFonts w:ascii="Times New Roman" w:eastAsia="Times New Roman" w:hAnsi="Times New Roman" w:cs="Times New Roman"/>
          <w:b/>
          <w:bCs/>
          <w:noProof/>
          <w:sz w:val="24"/>
          <w:szCs w:val="20"/>
        </w:rPr>
      </w:pPr>
    </w:p>
    <w:p w:rsidR="00211065" w:rsidRPr="003E628F" w:rsidRDefault="00211065" w:rsidP="003E628F">
      <w:pPr>
        <w:pStyle w:val="Pamatteksts"/>
        <w:ind w:left="0"/>
        <w:jc w:val="both"/>
        <w:rPr>
          <w:noProof/>
        </w:rPr>
      </w:pPr>
      <w:r>
        <w:t xml:space="preserve">Kas attiecas uz atbrīvojumu no pienākuma iesniegt papildu deklarāciju saistībā ar </w:t>
      </w:r>
      <w:r>
        <w:rPr>
          <w:i/>
        </w:rPr>
        <w:t>EIDR</w:t>
      </w:r>
      <w:r>
        <w:t>, iespējami tikai divi gadījumi, kas noteikti SMK 167. panta 2. punktā:</w:t>
      </w:r>
    </w:p>
    <w:p w:rsidR="00211065" w:rsidRPr="003E628F" w:rsidRDefault="00211065" w:rsidP="003E628F">
      <w:pPr>
        <w:jc w:val="both"/>
        <w:rPr>
          <w:rFonts w:ascii="Times New Roman" w:eastAsia="Times New Roman" w:hAnsi="Times New Roman" w:cs="Times New Roman"/>
          <w:noProof/>
          <w:sz w:val="24"/>
          <w:szCs w:val="21"/>
        </w:rPr>
      </w:pPr>
    </w:p>
    <w:p w:rsidR="00211065" w:rsidRPr="003E628F" w:rsidRDefault="00211065" w:rsidP="00131C8A">
      <w:pPr>
        <w:pStyle w:val="Pamatteksts"/>
        <w:numPr>
          <w:ilvl w:val="1"/>
          <w:numId w:val="43"/>
        </w:numPr>
        <w:tabs>
          <w:tab w:val="left" w:pos="1134"/>
        </w:tabs>
        <w:ind w:left="1134" w:hanging="425"/>
        <w:jc w:val="both"/>
        <w:rPr>
          <w:noProof/>
        </w:rPr>
      </w:pPr>
      <w:r>
        <w:t>ja precēm ir piemērota muitas noliktavas procedūra;</w:t>
      </w:r>
    </w:p>
    <w:p w:rsidR="00211065" w:rsidRPr="003E628F" w:rsidRDefault="00211065" w:rsidP="00131C8A">
      <w:pPr>
        <w:pStyle w:val="Pamatteksts"/>
        <w:numPr>
          <w:ilvl w:val="1"/>
          <w:numId w:val="43"/>
        </w:numPr>
        <w:tabs>
          <w:tab w:val="left" w:pos="1134"/>
        </w:tabs>
        <w:ind w:left="1134" w:hanging="425"/>
        <w:jc w:val="both"/>
        <w:rPr>
          <w:noProof/>
        </w:rPr>
      </w:pPr>
      <w:r>
        <w:t>DA 183. pantā noteiktajā gadījumā, ja precēm ir piemērota otra īpašā procedūra, veicot ierakstu deklarētāja reģistros (kas ir noteikts SMK 167. panta 2. punkta b) apakšpunktā).</w:t>
      </w:r>
    </w:p>
    <w:p w:rsidR="009F0223" w:rsidRDefault="009F0223">
      <w:pPr>
        <w:rPr>
          <w:rFonts w:ascii="Times New Roman" w:eastAsia="Times New Roman" w:hAnsi="Times New Roman"/>
          <w:bCs/>
          <w:i/>
          <w:noProof/>
          <w:sz w:val="24"/>
          <w:szCs w:val="24"/>
        </w:rPr>
      </w:pPr>
      <w:r>
        <w:rPr>
          <w:noProof/>
        </w:rPr>
        <w:br w:type="page"/>
      </w:r>
    </w:p>
    <w:p w:rsidR="00131C8A" w:rsidRDefault="00131C8A" w:rsidP="00131C8A">
      <w:pPr>
        <w:pStyle w:val="Virsraksts2"/>
        <w:tabs>
          <w:tab w:val="left" w:pos="818"/>
        </w:tabs>
        <w:jc w:val="both"/>
        <w:rPr>
          <w:noProof/>
        </w:rPr>
      </w:pPr>
    </w:p>
    <w:p w:rsidR="00211065" w:rsidRPr="009F0223" w:rsidRDefault="00131C8A" w:rsidP="009F0223">
      <w:pPr>
        <w:pStyle w:val="Virsraksts2"/>
        <w:rPr>
          <w:b/>
        </w:rPr>
      </w:pPr>
      <w:bookmarkStart w:id="95" w:name="_Toc490734285"/>
      <w:r w:rsidRPr="009F0223">
        <w:rPr>
          <w:b/>
        </w:rPr>
        <w:t>2.3.9. TDA aspekti</w:t>
      </w:r>
      <w:bookmarkStart w:id="96" w:name="_bookmark33"/>
      <w:bookmarkEnd w:id="96"/>
      <w:bookmarkEnd w:id="95"/>
    </w:p>
    <w:p w:rsidR="00211065" w:rsidRPr="003E628F" w:rsidRDefault="00211065" w:rsidP="003E628F">
      <w:pPr>
        <w:jc w:val="both"/>
        <w:rPr>
          <w:rFonts w:ascii="Times New Roman" w:eastAsia="Times New Roman" w:hAnsi="Times New Roman" w:cs="Times New Roman"/>
          <w:b/>
          <w:bCs/>
          <w:i/>
          <w:noProof/>
          <w:sz w:val="24"/>
          <w:szCs w:val="20"/>
        </w:rPr>
      </w:pPr>
    </w:p>
    <w:p w:rsidR="00211065" w:rsidRPr="003E628F" w:rsidRDefault="00131C8A" w:rsidP="00131C8A">
      <w:pPr>
        <w:tabs>
          <w:tab w:val="left" w:pos="369"/>
        </w:tabs>
        <w:jc w:val="both"/>
        <w:rPr>
          <w:rFonts w:ascii="Times New Roman" w:hAnsi="Times New Roman"/>
          <w:b/>
          <w:noProof/>
          <w:sz w:val="24"/>
        </w:rPr>
      </w:pPr>
      <w:r>
        <w:rPr>
          <w:rFonts w:ascii="Times New Roman" w:hAnsi="Times New Roman"/>
          <w:b/>
          <w:noProof/>
          <w:sz w:val="24"/>
        </w:rPr>
        <w:t>a) Uzrādīšanas paziņojums</w:t>
      </w:r>
    </w:p>
    <w:p w:rsidR="00211065" w:rsidRPr="003E628F" w:rsidRDefault="00211065" w:rsidP="003E628F">
      <w:pPr>
        <w:jc w:val="both"/>
        <w:rPr>
          <w:rFonts w:ascii="Times New Roman" w:eastAsia="Times New Roman" w:hAnsi="Times New Roman" w:cs="Times New Roman"/>
          <w:b/>
          <w:bCs/>
          <w:noProof/>
          <w:sz w:val="24"/>
          <w:szCs w:val="20"/>
        </w:rPr>
      </w:pPr>
    </w:p>
    <w:p w:rsidR="00211065" w:rsidRPr="003E628F" w:rsidRDefault="00211065" w:rsidP="003E628F">
      <w:pPr>
        <w:pStyle w:val="Pamatteksts"/>
        <w:ind w:left="0"/>
        <w:jc w:val="both"/>
        <w:rPr>
          <w:noProof/>
        </w:rPr>
      </w:pPr>
      <w:r>
        <w:rPr>
          <w:i/>
        </w:rPr>
        <w:t>TDA</w:t>
      </w:r>
      <w:r>
        <w:t xml:space="preserve"> nav noteiktas konkrētas datu prasības attiecībā uz paziņojumu. Tā kā datu prasības attiecībā uz paziņojumu nav noteiktas arī KMK īstenošanas noteikumos, dalībvalstis ir izstrādājušas valsts noteikumus attiecībā uz šīm datu prasībām.</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 xml:space="preserve">Līdz ar to dalībvalstis var turpināt piemērot savu praksi, kas bija spēkā pirms 2016. gada 1. maija, saskaņā ar </w:t>
      </w:r>
      <w:r>
        <w:rPr>
          <w:i/>
        </w:rPr>
        <w:t>TDA</w:t>
      </w:r>
      <w:r>
        <w:t xml:space="preserve"> 21. panta 1. punktu.</w:t>
      </w:r>
    </w:p>
    <w:p w:rsidR="00211065" w:rsidRPr="003E628F" w:rsidRDefault="00211065" w:rsidP="003E628F">
      <w:pPr>
        <w:jc w:val="both"/>
        <w:rPr>
          <w:rFonts w:ascii="Times New Roman" w:eastAsia="Times New Roman" w:hAnsi="Times New Roman" w:cs="Times New Roman"/>
          <w:noProof/>
          <w:sz w:val="24"/>
          <w:szCs w:val="21"/>
        </w:rPr>
      </w:pPr>
    </w:p>
    <w:p w:rsidR="00211065" w:rsidRPr="003E628F" w:rsidRDefault="00131C8A" w:rsidP="00131C8A">
      <w:pPr>
        <w:pStyle w:val="Virsraksts1"/>
        <w:tabs>
          <w:tab w:val="left" w:pos="383"/>
        </w:tabs>
        <w:jc w:val="both"/>
        <w:rPr>
          <w:noProof/>
        </w:rPr>
      </w:pPr>
      <w:bookmarkStart w:id="97" w:name="_Toc490734286"/>
      <w:r>
        <w:t>b) Eksports/reeksports</w:t>
      </w:r>
      <w:bookmarkEnd w:id="97"/>
    </w:p>
    <w:p w:rsidR="00211065" w:rsidRPr="003E628F" w:rsidRDefault="00211065" w:rsidP="003E628F">
      <w:pPr>
        <w:jc w:val="both"/>
        <w:rPr>
          <w:rFonts w:ascii="Times New Roman" w:eastAsia="Times New Roman" w:hAnsi="Times New Roman" w:cs="Times New Roman"/>
          <w:b/>
          <w:bCs/>
          <w:noProof/>
          <w:sz w:val="24"/>
          <w:szCs w:val="20"/>
        </w:rPr>
      </w:pPr>
    </w:p>
    <w:p w:rsidR="00211065" w:rsidRPr="003E628F" w:rsidRDefault="00211065" w:rsidP="003E628F">
      <w:pPr>
        <w:pStyle w:val="Pamatteksts"/>
        <w:ind w:left="0"/>
        <w:jc w:val="both"/>
        <w:rPr>
          <w:noProof/>
        </w:rPr>
      </w:pPr>
      <w:r>
        <w:t>Eksporta procedūrā vai reeksporta gadījumā muitas dienesti arī turpmāk varēs pieņemt muitas deklarāciju, tostarp vienkāršoto deklarāciju, uzrādīšanas paziņojuma vietā.</w:t>
      </w:r>
    </w:p>
    <w:p w:rsidR="00211065" w:rsidRPr="003E628F" w:rsidRDefault="00211065" w:rsidP="003E628F">
      <w:pPr>
        <w:jc w:val="both"/>
        <w:rPr>
          <w:rFonts w:ascii="Times New Roman" w:eastAsia="Times New Roman" w:hAnsi="Times New Roman" w:cs="Times New Roman"/>
          <w:noProof/>
          <w:sz w:val="24"/>
          <w:szCs w:val="21"/>
        </w:rPr>
      </w:pPr>
    </w:p>
    <w:p w:rsidR="00211065" w:rsidRPr="003E628F" w:rsidRDefault="00131C8A" w:rsidP="00131C8A">
      <w:pPr>
        <w:pStyle w:val="Virsraksts1"/>
        <w:tabs>
          <w:tab w:val="left" w:pos="355"/>
        </w:tabs>
        <w:jc w:val="both"/>
        <w:rPr>
          <w:noProof/>
        </w:rPr>
      </w:pPr>
      <w:bookmarkStart w:id="98" w:name="_Toc490734287"/>
      <w:r>
        <w:t>c) E tipa muitas noliktavas procedūras noslēgšana</w:t>
      </w:r>
      <w:bookmarkEnd w:id="98"/>
    </w:p>
    <w:p w:rsidR="00211065" w:rsidRPr="003E628F" w:rsidRDefault="00211065" w:rsidP="003E628F">
      <w:pPr>
        <w:jc w:val="both"/>
        <w:rPr>
          <w:rFonts w:ascii="Times New Roman" w:eastAsia="Times New Roman" w:hAnsi="Times New Roman" w:cs="Times New Roman"/>
          <w:b/>
          <w:bCs/>
          <w:noProof/>
          <w:sz w:val="24"/>
          <w:szCs w:val="20"/>
        </w:rPr>
      </w:pPr>
    </w:p>
    <w:p w:rsidR="00211065" w:rsidRPr="003E628F" w:rsidRDefault="00211065" w:rsidP="003E628F">
      <w:pPr>
        <w:pStyle w:val="Pamatteksts"/>
        <w:ind w:left="0"/>
        <w:jc w:val="both"/>
        <w:rPr>
          <w:noProof/>
        </w:rPr>
      </w:pPr>
      <w:r>
        <w:t>Pārejas noteikumus muitas procedūru noslēgšanai attiecībā uz precēm, kam piemērota D vai E tipa muitas noliktavas procedūra pirms 2016. gada 1. maija, piemēro šādi:</w:t>
      </w:r>
    </w:p>
    <w:p w:rsidR="00211065" w:rsidRPr="003E628F" w:rsidRDefault="00211065" w:rsidP="003E628F">
      <w:pPr>
        <w:jc w:val="both"/>
        <w:rPr>
          <w:rFonts w:ascii="Times New Roman" w:eastAsia="Times New Roman" w:hAnsi="Times New Roman" w:cs="Times New Roman"/>
          <w:noProof/>
          <w:sz w:val="24"/>
          <w:szCs w:val="21"/>
        </w:rPr>
      </w:pPr>
    </w:p>
    <w:p w:rsidR="00211065" w:rsidRPr="003E628F" w:rsidRDefault="00211065" w:rsidP="00131C8A">
      <w:pPr>
        <w:pStyle w:val="Pamatteksts"/>
        <w:numPr>
          <w:ilvl w:val="0"/>
          <w:numId w:val="41"/>
        </w:numPr>
        <w:tabs>
          <w:tab w:val="left" w:pos="537"/>
        </w:tabs>
        <w:ind w:left="567" w:hanging="567"/>
        <w:jc w:val="both"/>
        <w:rPr>
          <w:noProof/>
        </w:rPr>
      </w:pPr>
      <w:r>
        <w:t>E tipa muitas noliktavas procedūru noslēdz saskaņā ar attiecīgajiem SMK, DA un ĪA noteikumiem;</w:t>
      </w:r>
    </w:p>
    <w:p w:rsidR="00211065" w:rsidRPr="003E628F" w:rsidRDefault="00211065" w:rsidP="00131C8A">
      <w:pPr>
        <w:pStyle w:val="Pamatteksts"/>
        <w:numPr>
          <w:ilvl w:val="0"/>
          <w:numId w:val="41"/>
        </w:numPr>
        <w:tabs>
          <w:tab w:val="left" w:pos="537"/>
        </w:tabs>
        <w:ind w:left="567" w:hanging="567"/>
        <w:jc w:val="both"/>
        <w:rPr>
          <w:noProof/>
        </w:rPr>
      </w:pPr>
      <w:r>
        <w:t>līdz 2018. gada 31. decembrim D tipa muitas noliktavas procedūru noslēdz saskaņā ar attiecīgajiem KMK noteikumiem un KMK īstenošanas noteikumiem (ĪA 349. panta 2. punkts).</w:t>
      </w:r>
    </w:p>
    <w:p w:rsidR="00211065" w:rsidRPr="003E628F" w:rsidRDefault="00211065" w:rsidP="003E628F">
      <w:pPr>
        <w:jc w:val="both"/>
        <w:rPr>
          <w:rFonts w:ascii="Times New Roman" w:eastAsia="Times New Roman" w:hAnsi="Times New Roman" w:cs="Times New Roman"/>
          <w:noProof/>
          <w:sz w:val="24"/>
          <w:szCs w:val="18"/>
        </w:rPr>
      </w:pPr>
    </w:p>
    <w:p w:rsidR="00211065" w:rsidRPr="003E628F" w:rsidRDefault="00211065" w:rsidP="003E628F">
      <w:pPr>
        <w:jc w:val="both"/>
        <w:rPr>
          <w:rFonts w:ascii="Times New Roman" w:eastAsia="Times New Roman" w:hAnsi="Times New Roman" w:cs="Times New Roman"/>
          <w:noProof/>
          <w:sz w:val="24"/>
          <w:szCs w:val="24"/>
        </w:rPr>
      </w:pPr>
      <w:r>
        <w:rPr>
          <w:rFonts w:ascii="Times New Roman" w:hAnsi="Times New Roman"/>
          <w:i/>
          <w:noProof/>
          <w:color w:val="49442A"/>
          <w:sz w:val="24"/>
          <w:u w:val="single" w:color="49442A"/>
        </w:rPr>
        <w:t>Jāņem vērā!</w:t>
      </w:r>
      <w:r>
        <w:t xml:space="preserve"> </w:t>
      </w:r>
      <w:r>
        <w:rPr>
          <w:rFonts w:ascii="Times New Roman" w:hAnsi="Times New Roman"/>
          <w:i/>
          <w:noProof/>
          <w:color w:val="49442A"/>
          <w:sz w:val="24"/>
        </w:rPr>
        <w:t>Laišanai brīvā apgrozībā pastāv integrēta atļauja D un/vai E tipa muitas noliktavas procedūrai kopā ar EIDR.</w:t>
      </w:r>
    </w:p>
    <w:p w:rsidR="00211065" w:rsidRPr="003E628F" w:rsidRDefault="00211065" w:rsidP="003E628F">
      <w:pPr>
        <w:jc w:val="both"/>
        <w:rPr>
          <w:rFonts w:ascii="Times New Roman" w:eastAsia="Times New Roman" w:hAnsi="Times New Roman" w:cs="Times New Roman"/>
          <w:i/>
          <w:noProof/>
          <w:sz w:val="24"/>
          <w:szCs w:val="20"/>
        </w:rPr>
      </w:pPr>
    </w:p>
    <w:p w:rsidR="00211065" w:rsidRPr="003E628F" w:rsidRDefault="00211065" w:rsidP="003E628F">
      <w:pPr>
        <w:pStyle w:val="Pamatteksts"/>
        <w:ind w:left="0"/>
        <w:jc w:val="both"/>
        <w:rPr>
          <w:noProof/>
        </w:rPr>
      </w:pPr>
      <w:r>
        <w:t xml:space="preserve">Šādā gadījumā attiecībā uz </w:t>
      </w:r>
      <w:r>
        <w:rPr>
          <w:i/>
        </w:rPr>
        <w:t>EIDR</w:t>
      </w:r>
      <w:r>
        <w:t xml:space="preserve"> piemēro tos pašus noteikumus par procedūrām vai jebkuru atbrīvojumu no paziņošanas pienākuma, kas piešķirts pirms 2016. gada 1. maija, līdz brīdim, kad tiek veikta atļaujas atkārtota novērtēšana saskaņā ar DA 250. panta 1. punktu.</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 xml:space="preserve">Attiecīgā gadījumā ne vēlāk kā pēc abu atļauju (uzglabāšana muitas noliktavā un </w:t>
      </w:r>
      <w:r>
        <w:rPr>
          <w:i/>
        </w:rPr>
        <w:t>EIDR</w:t>
      </w:r>
      <w:r>
        <w:t xml:space="preserve">) atkārtotas novērtēšanas izsniedz divas atsevišķas atļaujas – vienu uzglabāšanai muitas noliktavā un otru attiecībā uz </w:t>
      </w:r>
      <w:r>
        <w:rPr>
          <w:i/>
        </w:rPr>
        <w:t>EIDR</w:t>
      </w:r>
      <w:r>
        <w:t>.</w:t>
      </w:r>
    </w:p>
    <w:p w:rsidR="00211065" w:rsidRPr="003E628F" w:rsidRDefault="00211065" w:rsidP="003E628F">
      <w:pPr>
        <w:jc w:val="both"/>
        <w:rPr>
          <w:rFonts w:ascii="Times New Roman" w:eastAsia="Times New Roman" w:hAnsi="Times New Roman" w:cs="Times New Roman"/>
          <w:noProof/>
          <w:sz w:val="24"/>
          <w:szCs w:val="24"/>
        </w:rPr>
      </w:pPr>
    </w:p>
    <w:p w:rsidR="00211065" w:rsidRPr="003E628F" w:rsidRDefault="00211065" w:rsidP="003E628F">
      <w:pPr>
        <w:jc w:val="both"/>
        <w:rPr>
          <w:rFonts w:ascii="Times New Roman" w:eastAsia="Times New Roman" w:hAnsi="Times New Roman" w:cs="Times New Roman"/>
          <w:noProof/>
          <w:sz w:val="24"/>
          <w:szCs w:val="24"/>
        </w:rPr>
      </w:pPr>
    </w:p>
    <w:p w:rsidR="00211065" w:rsidRPr="00CB05A7" w:rsidRDefault="00131C8A" w:rsidP="00CB05A7">
      <w:pPr>
        <w:pStyle w:val="Virsraksts2"/>
        <w:rPr>
          <w:b/>
        </w:rPr>
      </w:pPr>
      <w:bookmarkStart w:id="99" w:name="_Toc490734288"/>
      <w:r w:rsidRPr="00CB05A7">
        <w:rPr>
          <w:b/>
        </w:rPr>
        <w:t>2.4. Jauni pieteikumi centralizētai muitošanai</w:t>
      </w:r>
      <w:bookmarkStart w:id="100" w:name="_bookmark34"/>
      <w:bookmarkEnd w:id="100"/>
      <w:bookmarkEnd w:id="99"/>
    </w:p>
    <w:p w:rsidR="00211065" w:rsidRPr="003E628F" w:rsidRDefault="00211065" w:rsidP="003E628F">
      <w:pPr>
        <w:jc w:val="both"/>
        <w:rPr>
          <w:rFonts w:ascii="Times New Roman" w:eastAsia="Times New Roman" w:hAnsi="Times New Roman" w:cs="Times New Roman"/>
          <w:b/>
          <w:bCs/>
          <w:i/>
          <w:noProof/>
          <w:sz w:val="24"/>
          <w:szCs w:val="20"/>
        </w:rPr>
      </w:pPr>
    </w:p>
    <w:p w:rsidR="00211065" w:rsidRPr="00F26C85" w:rsidRDefault="00131C8A" w:rsidP="00F26C85">
      <w:pPr>
        <w:pStyle w:val="Virsraksts2"/>
        <w:rPr>
          <w:b/>
          <w:noProof/>
        </w:rPr>
      </w:pPr>
      <w:bookmarkStart w:id="101" w:name="_Toc490734289"/>
      <w:r w:rsidRPr="00F26C85">
        <w:rPr>
          <w:b/>
          <w:noProof/>
        </w:rPr>
        <w:t>2.4.1. Definīcijas</w:t>
      </w:r>
      <w:bookmarkStart w:id="102" w:name="_bookmark35"/>
      <w:bookmarkEnd w:id="102"/>
      <w:bookmarkEnd w:id="101"/>
    </w:p>
    <w:p w:rsidR="00211065" w:rsidRPr="003E628F" w:rsidRDefault="00211065" w:rsidP="003E628F">
      <w:pPr>
        <w:jc w:val="both"/>
        <w:rPr>
          <w:rFonts w:ascii="Times New Roman" w:eastAsia="Times New Roman" w:hAnsi="Times New Roman" w:cs="Times New Roman"/>
          <w:b/>
          <w:bCs/>
          <w:i/>
          <w:noProof/>
          <w:sz w:val="24"/>
          <w:szCs w:val="20"/>
        </w:rPr>
      </w:pPr>
    </w:p>
    <w:p w:rsidR="00211065" w:rsidRPr="003E628F" w:rsidRDefault="00131C8A" w:rsidP="00131C8A">
      <w:pPr>
        <w:tabs>
          <w:tab w:val="left" w:pos="284"/>
        </w:tabs>
        <w:jc w:val="both"/>
        <w:rPr>
          <w:rFonts w:ascii="Times New Roman" w:eastAsia="Times New Roman" w:hAnsi="Times New Roman" w:cs="Times New Roman"/>
          <w:noProof/>
          <w:sz w:val="24"/>
          <w:szCs w:val="24"/>
        </w:rPr>
      </w:pPr>
      <w:r>
        <w:rPr>
          <w:rFonts w:ascii="Times New Roman" w:hAnsi="Times New Roman"/>
          <w:b/>
          <w:noProof/>
          <w:sz w:val="24"/>
        </w:rPr>
        <w:t>- Centralizēta muitošana (</w:t>
      </w:r>
      <w:r>
        <w:rPr>
          <w:rFonts w:ascii="Times New Roman" w:hAnsi="Times New Roman"/>
          <w:b/>
          <w:i/>
          <w:noProof/>
          <w:sz w:val="24"/>
        </w:rPr>
        <w:t>CC</w:t>
      </w:r>
      <w:r>
        <w:rPr>
          <w:rFonts w:ascii="Times New Roman" w:hAnsi="Times New Roman"/>
          <w:b/>
          <w:noProof/>
          <w:sz w:val="24"/>
        </w:rPr>
        <w:t xml:space="preserve">) (SMK 179. pants, DA 149. pants un ĪA 229.–232. pants): </w:t>
      </w:r>
      <w:r>
        <w:rPr>
          <w:rFonts w:ascii="Times New Roman" w:hAnsi="Times New Roman"/>
          <w:noProof/>
          <w:sz w:val="24"/>
        </w:rPr>
        <w:t>ļauj turētājam iesniegt vai darīt pieejamu muitas iestādē, kurā tas ir reģistrēts, muitas deklarāciju par precēm, kas uzrādītas muitai citā muitas iestādē Savienības muitas teritorijā.</w:t>
      </w:r>
    </w:p>
    <w:p w:rsidR="00211065" w:rsidRPr="003E628F" w:rsidRDefault="00211065" w:rsidP="003E628F">
      <w:pPr>
        <w:jc w:val="both"/>
        <w:rPr>
          <w:rFonts w:ascii="Times New Roman" w:eastAsia="Times New Roman" w:hAnsi="Times New Roman" w:cs="Times New Roman"/>
          <w:noProof/>
          <w:sz w:val="24"/>
          <w:szCs w:val="21"/>
        </w:rPr>
      </w:pPr>
    </w:p>
    <w:p w:rsidR="00211065" w:rsidRPr="003E628F" w:rsidRDefault="00131C8A" w:rsidP="00131C8A">
      <w:pPr>
        <w:pStyle w:val="Virsraksts1"/>
        <w:tabs>
          <w:tab w:val="left" w:pos="249"/>
        </w:tabs>
        <w:jc w:val="both"/>
        <w:rPr>
          <w:noProof/>
        </w:rPr>
      </w:pPr>
      <w:bookmarkStart w:id="103" w:name="_Toc490734290"/>
      <w:r>
        <w:t>- Atļaujas sniedzēja dalībvalsts (</w:t>
      </w:r>
      <w:r>
        <w:rPr>
          <w:i/>
        </w:rPr>
        <w:t>AMS</w:t>
      </w:r>
      <w:r>
        <w:t>)</w:t>
      </w:r>
      <w:bookmarkEnd w:id="103"/>
    </w:p>
    <w:p w:rsidR="00211065" w:rsidRPr="003E628F" w:rsidRDefault="00211065" w:rsidP="003E628F">
      <w:pPr>
        <w:jc w:val="both"/>
        <w:rPr>
          <w:rFonts w:ascii="Times New Roman" w:eastAsia="Times New Roman" w:hAnsi="Times New Roman" w:cs="Times New Roman"/>
          <w:b/>
          <w:bCs/>
          <w:noProof/>
          <w:sz w:val="24"/>
          <w:szCs w:val="20"/>
        </w:rPr>
      </w:pPr>
    </w:p>
    <w:p w:rsidR="00211065" w:rsidRPr="003E628F" w:rsidRDefault="00211065" w:rsidP="003E628F">
      <w:pPr>
        <w:pStyle w:val="Pamatteksts"/>
        <w:ind w:left="0" w:firstLine="240"/>
        <w:jc w:val="both"/>
        <w:rPr>
          <w:noProof/>
        </w:rPr>
      </w:pPr>
      <w:r>
        <w:t xml:space="preserve">Atļaujas sniedzēja dalībvalsts uzņemas galveno funkciju. Šī dalībvalsts ir galvenais </w:t>
      </w:r>
      <w:r>
        <w:lastRenderedPageBreak/>
        <w:t>pieteikuma iesniedzēja / atļaujas turētāja kontaktpunkts. Tā ir atbildīga par atļaujas piešķiršanas procesu, atļaujas izsniegšanu un atļaujas pārraudzību.</w:t>
      </w:r>
    </w:p>
    <w:p w:rsidR="00211065" w:rsidRPr="003E628F" w:rsidRDefault="00211065" w:rsidP="003E628F">
      <w:pPr>
        <w:jc w:val="both"/>
        <w:rPr>
          <w:rFonts w:ascii="Times New Roman" w:eastAsia="Times New Roman" w:hAnsi="Times New Roman" w:cs="Times New Roman"/>
          <w:noProof/>
          <w:sz w:val="24"/>
          <w:szCs w:val="21"/>
        </w:rPr>
      </w:pPr>
    </w:p>
    <w:p w:rsidR="00211065" w:rsidRPr="003E628F" w:rsidRDefault="00131C8A" w:rsidP="00131C8A">
      <w:pPr>
        <w:pStyle w:val="Virsraksts1"/>
        <w:tabs>
          <w:tab w:val="left" w:pos="249"/>
        </w:tabs>
        <w:jc w:val="both"/>
        <w:rPr>
          <w:noProof/>
        </w:rPr>
      </w:pPr>
      <w:bookmarkStart w:id="104" w:name="_Toc490734291"/>
      <w:r>
        <w:t>- Iesaistītā(-ās) dalībvalsts(-is) (</w:t>
      </w:r>
      <w:r>
        <w:rPr>
          <w:i/>
        </w:rPr>
        <w:t>PMS</w:t>
      </w:r>
      <w:r>
        <w:t>)</w:t>
      </w:r>
      <w:bookmarkEnd w:id="104"/>
    </w:p>
    <w:p w:rsidR="00211065" w:rsidRPr="003E628F" w:rsidRDefault="00211065" w:rsidP="003E628F">
      <w:pPr>
        <w:jc w:val="both"/>
        <w:rPr>
          <w:rFonts w:ascii="Times New Roman" w:eastAsia="Times New Roman" w:hAnsi="Times New Roman" w:cs="Times New Roman"/>
          <w:b/>
          <w:bCs/>
          <w:noProof/>
          <w:sz w:val="24"/>
          <w:szCs w:val="20"/>
        </w:rPr>
      </w:pPr>
    </w:p>
    <w:p w:rsidR="00211065" w:rsidRPr="003E628F" w:rsidRDefault="00211065" w:rsidP="003E628F">
      <w:pPr>
        <w:ind w:firstLine="288"/>
        <w:jc w:val="both"/>
        <w:rPr>
          <w:rFonts w:ascii="Times New Roman" w:hAnsi="Times New Roman"/>
          <w:noProof/>
          <w:sz w:val="24"/>
        </w:rPr>
      </w:pPr>
      <w:r>
        <w:rPr>
          <w:rFonts w:ascii="Times New Roman" w:hAnsi="Times New Roman"/>
          <w:noProof/>
          <w:sz w:val="24"/>
        </w:rPr>
        <w:t>Iesaistītās dalībvalstis ir visas citas dalībvalstis, kas iesaistītas atļaujas piešķiršanā. Tās ir iesaistītas atļaujas piešķiršanas procesā atbilstīgi apspriešanās procedūras noteikumiem. Tās pēc pieprasījuma sniegs atbalstu atļaujas sniedzējai dalībvalstij audita procesā un arī sniegs šai dalībvalstij informāciju, kas tai varētu palīdzēt veikt atļaujas pārraudzību. Iesaistītajai dalībvalstij ir arī pienākums nodrošināt to, ka atļaujas turētājs izpilda valsts fiskālās un statistikas prasības.</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jc w:val="both"/>
        <w:rPr>
          <w:rFonts w:ascii="Times New Roman" w:hAnsi="Times New Roman"/>
          <w:noProof/>
          <w:sz w:val="24"/>
        </w:rPr>
      </w:pPr>
      <w:r>
        <w:rPr>
          <w:rFonts w:ascii="Times New Roman" w:hAnsi="Times New Roman"/>
          <w:noProof/>
          <w:sz w:val="24"/>
        </w:rPr>
        <w:t>Eksporta gadījumā iesaistītā dalībvalsts ir tā dalībvalsts, kur atrodas preces, kad tās tiek deklarētas eksportam.</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Virsraksts1"/>
        <w:jc w:val="both"/>
        <w:rPr>
          <w:b w:val="0"/>
          <w:bCs w:val="0"/>
          <w:noProof/>
        </w:rPr>
      </w:pPr>
      <w:bookmarkStart w:id="105" w:name="_Toc490734292"/>
      <w:r>
        <w:rPr>
          <w:b w:val="0"/>
          <w:noProof/>
        </w:rPr>
        <w:t xml:space="preserve">- </w:t>
      </w:r>
      <w:r>
        <w:t>Uzraudzības muitas iestāde (</w:t>
      </w:r>
      <w:r>
        <w:rPr>
          <w:i/>
        </w:rPr>
        <w:t>SCO</w:t>
      </w:r>
      <w:r>
        <w:t>)</w:t>
      </w:r>
      <w:bookmarkEnd w:id="105"/>
    </w:p>
    <w:p w:rsidR="00211065" w:rsidRPr="003E628F" w:rsidRDefault="00211065" w:rsidP="003E628F">
      <w:pPr>
        <w:jc w:val="both"/>
        <w:rPr>
          <w:rFonts w:ascii="Times New Roman" w:eastAsia="Times New Roman" w:hAnsi="Times New Roman" w:cs="Times New Roman"/>
          <w:b/>
          <w:bCs/>
          <w:noProof/>
          <w:sz w:val="24"/>
          <w:szCs w:val="20"/>
        </w:rPr>
      </w:pPr>
    </w:p>
    <w:p w:rsidR="00211065" w:rsidRPr="003E628F" w:rsidRDefault="00211065" w:rsidP="003E628F">
      <w:pPr>
        <w:pStyle w:val="Pamatteksts"/>
        <w:ind w:left="0" w:firstLine="240"/>
        <w:jc w:val="both"/>
        <w:rPr>
          <w:noProof/>
        </w:rPr>
      </w:pPr>
      <w:r>
        <w:t>Šai muitas iestādei ir pienākums uzraudzīt muitas procedūras piemērošanu precēm. Tā ir arī muitas iestāde, kur saskaņā ar SMK 179. pantu tiek iesniegtas muitas deklarācijas un kas uzrauga atļaujas turētāja darbības.</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firstLine="302"/>
        <w:jc w:val="both"/>
        <w:rPr>
          <w:noProof/>
        </w:rPr>
      </w:pPr>
      <w:r>
        <w:t>Gadījumā, ja notikusi apvienošana ar īpašajām procedūrām, ieteicams, ka uzraudzības muitas iestāde vienlaikus ir arī īpašās procedūras kontroles muitas iestāde.</w:t>
      </w:r>
    </w:p>
    <w:p w:rsidR="00211065" w:rsidRPr="003E628F" w:rsidRDefault="00211065" w:rsidP="003E628F">
      <w:pPr>
        <w:jc w:val="both"/>
        <w:rPr>
          <w:rFonts w:ascii="Times New Roman" w:eastAsia="Times New Roman" w:hAnsi="Times New Roman" w:cs="Times New Roman"/>
          <w:noProof/>
          <w:sz w:val="24"/>
          <w:szCs w:val="21"/>
        </w:rPr>
      </w:pPr>
    </w:p>
    <w:p w:rsidR="00211065" w:rsidRPr="003E628F" w:rsidRDefault="00211065" w:rsidP="003E628F">
      <w:pPr>
        <w:pStyle w:val="Virsraksts1"/>
        <w:jc w:val="both"/>
        <w:rPr>
          <w:noProof/>
        </w:rPr>
      </w:pPr>
      <w:bookmarkStart w:id="106" w:name="_Toc490734293"/>
      <w:r>
        <w:t>- Uzrādīšanas muitas iestāde (</w:t>
      </w:r>
      <w:r>
        <w:rPr>
          <w:i/>
        </w:rPr>
        <w:t>PCO</w:t>
      </w:r>
      <w:r>
        <w:t>)</w:t>
      </w:r>
      <w:bookmarkEnd w:id="106"/>
    </w:p>
    <w:p w:rsidR="00E030BE" w:rsidRDefault="00E030BE" w:rsidP="003E628F">
      <w:pPr>
        <w:ind w:firstLine="288"/>
        <w:jc w:val="both"/>
        <w:rPr>
          <w:rFonts w:ascii="Times New Roman" w:hAnsi="Times New Roman"/>
          <w:noProof/>
          <w:sz w:val="24"/>
        </w:rPr>
      </w:pPr>
    </w:p>
    <w:p w:rsidR="00211065" w:rsidRPr="003E628F" w:rsidRDefault="00211065" w:rsidP="003E628F">
      <w:pPr>
        <w:ind w:firstLine="288"/>
        <w:jc w:val="both"/>
        <w:rPr>
          <w:rFonts w:ascii="Times New Roman" w:hAnsi="Times New Roman"/>
          <w:noProof/>
          <w:sz w:val="24"/>
        </w:rPr>
      </w:pPr>
      <w:r>
        <w:rPr>
          <w:rFonts w:ascii="Times New Roman" w:hAnsi="Times New Roman"/>
          <w:noProof/>
          <w:sz w:val="24"/>
        </w:rPr>
        <w:t>Uzrādīšanas muitas iestāde ir muitas iestāde, kas atbildīga par vietu, kur preces fiziski atrodas. Kopā ar uzraudzības muitas iestādi tā ir atbildīga arī par darbību uzraudzību un preču izlaišanu/kontroli.</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ind w:firstLine="288"/>
        <w:jc w:val="both"/>
        <w:rPr>
          <w:rFonts w:ascii="Times New Roman" w:hAnsi="Times New Roman"/>
          <w:noProof/>
          <w:sz w:val="24"/>
        </w:rPr>
      </w:pPr>
      <w:r>
        <w:rPr>
          <w:rFonts w:ascii="Times New Roman" w:hAnsi="Times New Roman"/>
          <w:noProof/>
          <w:sz w:val="24"/>
        </w:rPr>
        <w:t>Eksporta gadījumā uzrādīšanas iestāde ir tā iestāde, kur atrodas preces, kad tās tiek deklarētas.</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jc w:val="both"/>
        <w:rPr>
          <w:rFonts w:ascii="Times New Roman" w:hAnsi="Times New Roman"/>
          <w:noProof/>
          <w:sz w:val="24"/>
        </w:rPr>
      </w:pPr>
      <w:r>
        <w:rPr>
          <w:rFonts w:ascii="Times New Roman" w:hAnsi="Times New Roman"/>
          <w:noProof/>
          <w:sz w:val="24"/>
        </w:rPr>
        <w:t>Izvešanas muitas iestāde var nebūt tā pati eksporta muitas iestāde. Šādā gadījumā izvešanas muitas iestāde nav ar atļauju saistītā uzrādīšanas muitas iestāde.</w:t>
      </w:r>
    </w:p>
    <w:p w:rsidR="00211065" w:rsidRPr="003E628F" w:rsidRDefault="00211065" w:rsidP="003E628F">
      <w:pPr>
        <w:jc w:val="both"/>
        <w:rPr>
          <w:rFonts w:ascii="Times New Roman" w:eastAsia="Times New Roman" w:hAnsi="Times New Roman" w:cs="Times New Roman"/>
          <w:noProof/>
          <w:sz w:val="24"/>
          <w:szCs w:val="21"/>
        </w:rPr>
      </w:pPr>
    </w:p>
    <w:p w:rsidR="00211065" w:rsidRPr="00E030BE" w:rsidRDefault="00131C8A" w:rsidP="00E030BE">
      <w:pPr>
        <w:pStyle w:val="Virsraksts2"/>
        <w:rPr>
          <w:b/>
        </w:rPr>
      </w:pPr>
      <w:bookmarkStart w:id="107" w:name="_Toc490734294"/>
      <w:r w:rsidRPr="00E030BE">
        <w:rPr>
          <w:b/>
        </w:rPr>
        <w:t>2.4.2. Nosacījumi un kritēriji atļaujas izsniegšanai un iepriekšējā auditā pārbaudāmie jautājumi</w:t>
      </w:r>
      <w:bookmarkStart w:id="108" w:name="_bookmark36"/>
      <w:bookmarkEnd w:id="108"/>
      <w:bookmarkEnd w:id="107"/>
    </w:p>
    <w:p w:rsidR="00211065" w:rsidRPr="003E628F" w:rsidRDefault="00211065" w:rsidP="003E628F">
      <w:pPr>
        <w:jc w:val="both"/>
        <w:rPr>
          <w:rFonts w:ascii="Times New Roman" w:eastAsia="Times New Roman" w:hAnsi="Times New Roman" w:cs="Times New Roman"/>
          <w:b/>
          <w:bCs/>
          <w:i/>
          <w:noProof/>
          <w:sz w:val="24"/>
          <w:szCs w:val="20"/>
        </w:rPr>
      </w:pPr>
    </w:p>
    <w:p w:rsidR="00211065" w:rsidRPr="003E628F" w:rsidRDefault="00211065" w:rsidP="003E628F">
      <w:pPr>
        <w:pStyle w:val="Pamatteksts"/>
        <w:ind w:left="0"/>
        <w:jc w:val="both"/>
        <w:rPr>
          <w:noProof/>
        </w:rPr>
      </w:pPr>
      <w:r>
        <w:t>Ja centralizētajā muitošanā ir iesaistītas vairākas dalībvalstis, ir nepieciešama atļauja.</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Tas nozīmē, ka jāiesniedz oficiāls pieteikums (sk. 2.4.3. punktu) un jāveic iepriekšējs audits, kas ļauj pārbaudīt nosacījumus un arī konkrētus ar centralizēto muitošanu saistītus jautājumus.</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 xml:space="preserve">Pieteikuma iesniedzējam brīdī, kad tas iesniedz centralizētas muitošanas pieteikumu, jābūt </w:t>
      </w:r>
      <w:r>
        <w:rPr>
          <w:i/>
        </w:rPr>
        <w:t>AEO</w:t>
      </w:r>
      <w:r>
        <w:t xml:space="preserve"> atļaujai muitas vienkāršojumiem (Kodeksa 179. panta 2. punkts).</w:t>
      </w:r>
    </w:p>
    <w:p w:rsidR="00E030BE" w:rsidRDefault="00E030BE">
      <w:pPr>
        <w:rPr>
          <w:rFonts w:ascii="Times New Roman" w:eastAsia="Times New Roman" w:hAnsi="Times New Roman" w:cs="Times New Roman"/>
          <w:noProof/>
          <w:sz w:val="24"/>
          <w:szCs w:val="21"/>
        </w:rPr>
      </w:pPr>
      <w:r>
        <w:rPr>
          <w:rFonts w:ascii="Times New Roman" w:eastAsia="Times New Roman" w:hAnsi="Times New Roman" w:cs="Times New Roman"/>
          <w:noProof/>
          <w:sz w:val="24"/>
          <w:szCs w:val="21"/>
        </w:rPr>
        <w:br w:type="page"/>
      </w:r>
    </w:p>
    <w:p w:rsidR="00211065" w:rsidRPr="003E628F" w:rsidRDefault="00211065" w:rsidP="003E628F">
      <w:pPr>
        <w:jc w:val="both"/>
        <w:rPr>
          <w:rFonts w:ascii="Times New Roman" w:eastAsia="Times New Roman" w:hAnsi="Times New Roman" w:cs="Times New Roman"/>
          <w:noProof/>
          <w:sz w:val="24"/>
          <w:szCs w:val="21"/>
        </w:rPr>
      </w:pPr>
    </w:p>
    <w:p w:rsidR="00211065" w:rsidRPr="00E030BE" w:rsidRDefault="00131C8A" w:rsidP="00E030BE">
      <w:pPr>
        <w:pStyle w:val="Virsraksts2"/>
        <w:rPr>
          <w:b/>
        </w:rPr>
      </w:pPr>
      <w:bookmarkStart w:id="109" w:name="_Toc490734295"/>
      <w:r w:rsidRPr="00E030BE">
        <w:rPr>
          <w:b/>
        </w:rPr>
        <w:t>2.4.3. Pārbaudāmā papildu informācija</w:t>
      </w:r>
      <w:bookmarkStart w:id="110" w:name="_bookmark37"/>
      <w:bookmarkEnd w:id="110"/>
      <w:bookmarkEnd w:id="109"/>
    </w:p>
    <w:p w:rsidR="00211065" w:rsidRPr="003E628F" w:rsidRDefault="00211065" w:rsidP="003E628F">
      <w:pPr>
        <w:jc w:val="both"/>
        <w:rPr>
          <w:rFonts w:ascii="Times New Roman" w:eastAsia="Times New Roman" w:hAnsi="Times New Roman" w:cs="Times New Roman"/>
          <w:b/>
          <w:bCs/>
          <w:i/>
          <w:noProof/>
          <w:sz w:val="24"/>
          <w:szCs w:val="21"/>
        </w:rPr>
      </w:pPr>
    </w:p>
    <w:tbl>
      <w:tblPr>
        <w:tblW w:w="5000" w:type="pct"/>
        <w:tblCellMar>
          <w:left w:w="0" w:type="dxa"/>
          <w:right w:w="0" w:type="dxa"/>
        </w:tblCellMar>
        <w:tblLook w:val="01E0" w:firstRow="1" w:lastRow="1" w:firstColumn="1" w:lastColumn="1" w:noHBand="0" w:noVBand="0"/>
      </w:tblPr>
      <w:tblGrid>
        <w:gridCol w:w="9087"/>
      </w:tblGrid>
      <w:tr w:rsidR="00211065" w:rsidRPr="003E628F" w:rsidTr="00131C8A">
        <w:trPr>
          <w:trHeight w:hRule="exact" w:val="487"/>
        </w:trPr>
        <w:tc>
          <w:tcPr>
            <w:tcW w:w="5000" w:type="pct"/>
            <w:tcBorders>
              <w:top w:val="single" w:sz="5" w:space="0" w:color="000000"/>
              <w:left w:val="single" w:sz="5" w:space="0" w:color="000000"/>
              <w:bottom w:val="single" w:sz="5" w:space="0" w:color="000000"/>
              <w:right w:val="single" w:sz="5" w:space="0" w:color="000000"/>
            </w:tcBorders>
            <w:shd w:val="clear" w:color="auto" w:fill="E4DFEB"/>
          </w:tcPr>
          <w:p w:rsidR="00211065" w:rsidRPr="003E628F" w:rsidRDefault="00211065" w:rsidP="003E628F">
            <w:pPr>
              <w:pStyle w:val="TableParagraph"/>
              <w:tabs>
                <w:tab w:val="left" w:pos="534"/>
              </w:tabs>
              <w:jc w:val="both"/>
              <w:rPr>
                <w:rFonts w:ascii="Times New Roman" w:eastAsia="Times New Roman" w:hAnsi="Times New Roman" w:cs="Times New Roman"/>
                <w:noProof/>
                <w:sz w:val="24"/>
                <w:szCs w:val="24"/>
              </w:rPr>
            </w:pPr>
            <w:r>
              <w:rPr>
                <w:rFonts w:ascii="Times New Roman" w:hAnsi="Times New Roman"/>
                <w:noProof/>
                <w:sz w:val="24"/>
              </w:rPr>
              <w:t>-</w:t>
            </w:r>
            <w:r>
              <w:tab/>
            </w:r>
            <w:r>
              <w:rPr>
                <w:rFonts w:ascii="Times New Roman" w:hAnsi="Times New Roman"/>
                <w:noProof/>
                <w:sz w:val="24"/>
              </w:rPr>
              <w:t>Uzrādīšanas muitas iestādes</w:t>
            </w:r>
          </w:p>
        </w:tc>
      </w:tr>
      <w:tr w:rsidR="00211065" w:rsidRPr="003E628F" w:rsidTr="00131C8A">
        <w:trPr>
          <w:trHeight w:hRule="exact" w:val="490"/>
        </w:trPr>
        <w:tc>
          <w:tcPr>
            <w:tcW w:w="5000" w:type="pct"/>
            <w:tcBorders>
              <w:top w:val="single" w:sz="5" w:space="0" w:color="000000"/>
              <w:left w:val="single" w:sz="5" w:space="0" w:color="000000"/>
              <w:bottom w:val="single" w:sz="5" w:space="0" w:color="000000"/>
              <w:right w:val="single" w:sz="5" w:space="0" w:color="000000"/>
            </w:tcBorders>
            <w:shd w:val="clear" w:color="auto" w:fill="E4DFEB"/>
          </w:tcPr>
          <w:p w:rsidR="00211065" w:rsidRPr="003E628F" w:rsidRDefault="00211065" w:rsidP="003E628F">
            <w:pPr>
              <w:pStyle w:val="TableParagraph"/>
              <w:tabs>
                <w:tab w:val="left" w:pos="534"/>
              </w:tabs>
              <w:jc w:val="both"/>
              <w:rPr>
                <w:rFonts w:ascii="Times New Roman" w:eastAsia="Times New Roman" w:hAnsi="Times New Roman" w:cs="Times New Roman"/>
                <w:noProof/>
                <w:sz w:val="24"/>
                <w:szCs w:val="24"/>
              </w:rPr>
            </w:pPr>
            <w:r>
              <w:rPr>
                <w:rFonts w:ascii="Times New Roman" w:hAnsi="Times New Roman"/>
                <w:noProof/>
                <w:sz w:val="24"/>
              </w:rPr>
              <w:t>-</w:t>
            </w:r>
            <w:r>
              <w:tab/>
            </w:r>
            <w:r>
              <w:rPr>
                <w:rFonts w:ascii="Times New Roman" w:hAnsi="Times New Roman"/>
                <w:noProof/>
                <w:sz w:val="24"/>
              </w:rPr>
              <w:t>Dažādas personas, uz kurām atļauja attiecas</w:t>
            </w:r>
          </w:p>
        </w:tc>
      </w:tr>
      <w:tr w:rsidR="00211065" w:rsidRPr="003E628F" w:rsidTr="00131C8A">
        <w:trPr>
          <w:trHeight w:hRule="exact" w:val="806"/>
        </w:trPr>
        <w:tc>
          <w:tcPr>
            <w:tcW w:w="5000" w:type="pct"/>
            <w:tcBorders>
              <w:top w:val="single" w:sz="5" w:space="0" w:color="000000"/>
              <w:left w:val="single" w:sz="5" w:space="0" w:color="000000"/>
              <w:bottom w:val="single" w:sz="5" w:space="0" w:color="000000"/>
              <w:right w:val="single" w:sz="5" w:space="0" w:color="000000"/>
            </w:tcBorders>
            <w:shd w:val="clear" w:color="auto" w:fill="E4DFEB"/>
          </w:tcPr>
          <w:p w:rsidR="00211065" w:rsidRPr="003E628F" w:rsidRDefault="00211065" w:rsidP="00E030BE">
            <w:pPr>
              <w:pStyle w:val="TableParagraph"/>
              <w:tabs>
                <w:tab w:val="left" w:pos="534"/>
              </w:tabs>
              <w:jc w:val="both"/>
              <w:rPr>
                <w:rFonts w:ascii="Times New Roman" w:eastAsia="Times New Roman" w:hAnsi="Times New Roman" w:cs="Times New Roman"/>
                <w:noProof/>
                <w:sz w:val="24"/>
                <w:szCs w:val="24"/>
              </w:rPr>
            </w:pPr>
            <w:r>
              <w:rPr>
                <w:rFonts w:ascii="Times New Roman" w:hAnsi="Times New Roman"/>
                <w:noProof/>
                <w:sz w:val="24"/>
              </w:rPr>
              <w:t>-</w:t>
            </w:r>
            <w:r>
              <w:tab/>
            </w:r>
            <w:r>
              <w:rPr>
                <w:rFonts w:ascii="Times New Roman" w:hAnsi="Times New Roman"/>
                <w:noProof/>
                <w:sz w:val="24"/>
              </w:rPr>
              <w:t>Deklarācijas iesniegšana (savā vārdā, tiešs vai netiešs pārstāvis)</w:t>
            </w:r>
          </w:p>
        </w:tc>
      </w:tr>
      <w:tr w:rsidR="00211065" w:rsidRPr="003E628F" w:rsidTr="00131C8A">
        <w:trPr>
          <w:trHeight w:hRule="exact" w:val="684"/>
        </w:trPr>
        <w:tc>
          <w:tcPr>
            <w:tcW w:w="5000" w:type="pct"/>
            <w:tcBorders>
              <w:top w:val="single" w:sz="5" w:space="0" w:color="000000"/>
              <w:left w:val="single" w:sz="5" w:space="0" w:color="000000"/>
              <w:bottom w:val="single" w:sz="6" w:space="0" w:color="000000"/>
              <w:right w:val="single" w:sz="5" w:space="0" w:color="000000"/>
            </w:tcBorders>
            <w:shd w:val="clear" w:color="auto" w:fill="E4DFEB"/>
          </w:tcPr>
          <w:p w:rsidR="00211065" w:rsidRPr="003E628F" w:rsidRDefault="00211065" w:rsidP="00E030BE">
            <w:pPr>
              <w:pStyle w:val="TableParagraph"/>
              <w:tabs>
                <w:tab w:val="left" w:pos="534"/>
              </w:tabs>
              <w:ind w:left="567" w:hanging="567"/>
              <w:jc w:val="both"/>
              <w:rPr>
                <w:rFonts w:ascii="Times New Roman" w:eastAsia="Times New Roman" w:hAnsi="Times New Roman" w:cs="Times New Roman"/>
                <w:noProof/>
                <w:sz w:val="24"/>
                <w:szCs w:val="24"/>
              </w:rPr>
            </w:pPr>
            <w:r>
              <w:rPr>
                <w:rFonts w:ascii="Times New Roman" w:hAnsi="Times New Roman"/>
                <w:noProof/>
                <w:sz w:val="24"/>
              </w:rPr>
              <w:t>-</w:t>
            </w:r>
            <w:r>
              <w:tab/>
            </w:r>
            <w:r>
              <w:rPr>
                <w:rFonts w:ascii="Times New Roman" w:hAnsi="Times New Roman"/>
                <w:noProof/>
                <w:sz w:val="24"/>
              </w:rPr>
              <w:t>To īpašo procedūru atļaujām, kam tiks izmantota centralizētā muitošana, jābūt piešķirtām iepriekš vai vienlaikus</w:t>
            </w:r>
          </w:p>
        </w:tc>
      </w:tr>
      <w:tr w:rsidR="00131C8A" w:rsidRPr="003E628F" w:rsidTr="00131C8A">
        <w:trPr>
          <w:trHeight w:hRule="exact" w:val="222"/>
        </w:trPr>
        <w:tc>
          <w:tcPr>
            <w:tcW w:w="5000" w:type="pct"/>
            <w:tcBorders>
              <w:top w:val="single" w:sz="6" w:space="0" w:color="000000"/>
              <w:bottom w:val="single" w:sz="6" w:space="0" w:color="000000"/>
            </w:tcBorders>
            <w:shd w:val="clear" w:color="auto" w:fill="auto"/>
          </w:tcPr>
          <w:p w:rsidR="00131C8A" w:rsidRPr="003E628F" w:rsidRDefault="00131C8A" w:rsidP="003E628F">
            <w:pPr>
              <w:pStyle w:val="TableParagraph"/>
              <w:tabs>
                <w:tab w:val="left" w:pos="534"/>
              </w:tabs>
              <w:ind w:hanging="428"/>
              <w:jc w:val="both"/>
              <w:rPr>
                <w:rFonts w:ascii="Times New Roman" w:hAnsi="Times New Roman"/>
                <w:noProof/>
                <w:sz w:val="24"/>
              </w:rPr>
            </w:pPr>
          </w:p>
        </w:tc>
      </w:tr>
      <w:tr w:rsidR="00131C8A" w:rsidRPr="003E628F" w:rsidTr="00131C8A">
        <w:trPr>
          <w:trHeight w:hRule="exact" w:val="684"/>
        </w:trPr>
        <w:tc>
          <w:tcPr>
            <w:tcW w:w="5000" w:type="pct"/>
            <w:tcBorders>
              <w:top w:val="single" w:sz="6" w:space="0" w:color="000000"/>
              <w:left w:val="single" w:sz="5" w:space="0" w:color="000000"/>
              <w:bottom w:val="single" w:sz="5" w:space="0" w:color="000000"/>
              <w:right w:val="single" w:sz="5" w:space="0" w:color="000000"/>
            </w:tcBorders>
            <w:shd w:val="clear" w:color="auto" w:fill="E4DFEB"/>
          </w:tcPr>
          <w:p w:rsidR="00131C8A" w:rsidRPr="003E628F" w:rsidRDefault="00131C8A" w:rsidP="00E030BE">
            <w:pPr>
              <w:pStyle w:val="TableParagraph"/>
              <w:numPr>
                <w:ilvl w:val="0"/>
                <w:numId w:val="44"/>
              </w:numPr>
              <w:tabs>
                <w:tab w:val="left" w:pos="534"/>
              </w:tabs>
              <w:ind w:hanging="512"/>
              <w:jc w:val="both"/>
              <w:rPr>
                <w:rFonts w:ascii="Times New Roman" w:hAnsi="Times New Roman"/>
                <w:noProof/>
                <w:sz w:val="24"/>
              </w:rPr>
            </w:pPr>
            <w:r>
              <w:rPr>
                <w:rFonts w:ascii="Times New Roman" w:hAnsi="Times New Roman"/>
                <w:noProof/>
                <w:sz w:val="24"/>
              </w:rPr>
              <w:t>Apvienošanas citu vienkāršojumu (</w:t>
            </w:r>
            <w:r>
              <w:rPr>
                <w:rFonts w:ascii="Times New Roman" w:hAnsi="Times New Roman"/>
                <w:i/>
                <w:noProof/>
                <w:sz w:val="24"/>
              </w:rPr>
              <w:t>EIDR</w:t>
            </w:r>
            <w:r>
              <w:rPr>
                <w:rFonts w:ascii="Times New Roman" w:hAnsi="Times New Roman"/>
                <w:noProof/>
                <w:sz w:val="24"/>
              </w:rPr>
              <w:t>, vienkāršotā deklarācija, pašnovērtējums) gadījumā atļaujām jābūt piešķirtām iepriekš vai vienlaikus</w:t>
            </w:r>
          </w:p>
        </w:tc>
      </w:tr>
      <w:tr w:rsidR="00131C8A" w:rsidRPr="003E628F" w:rsidTr="00131C8A">
        <w:trPr>
          <w:trHeight w:hRule="exact" w:val="684"/>
        </w:trPr>
        <w:tc>
          <w:tcPr>
            <w:tcW w:w="5000" w:type="pct"/>
            <w:tcBorders>
              <w:top w:val="single" w:sz="5" w:space="0" w:color="000000"/>
              <w:left w:val="single" w:sz="5" w:space="0" w:color="000000"/>
              <w:bottom w:val="single" w:sz="5" w:space="0" w:color="000000"/>
              <w:right w:val="single" w:sz="5" w:space="0" w:color="000000"/>
            </w:tcBorders>
            <w:shd w:val="clear" w:color="auto" w:fill="E4DFEB"/>
          </w:tcPr>
          <w:p w:rsidR="00131C8A" w:rsidRPr="003E628F" w:rsidRDefault="00131C8A" w:rsidP="00E030BE">
            <w:pPr>
              <w:pStyle w:val="TableParagraph"/>
              <w:numPr>
                <w:ilvl w:val="0"/>
                <w:numId w:val="44"/>
              </w:numPr>
              <w:tabs>
                <w:tab w:val="left" w:pos="534"/>
              </w:tabs>
              <w:ind w:hanging="512"/>
              <w:jc w:val="both"/>
              <w:rPr>
                <w:rFonts w:ascii="Times New Roman" w:hAnsi="Times New Roman"/>
                <w:noProof/>
                <w:sz w:val="24"/>
              </w:rPr>
            </w:pPr>
            <w:r>
              <w:rPr>
                <w:rFonts w:ascii="Times New Roman" w:hAnsi="Times New Roman"/>
                <w:noProof/>
                <w:sz w:val="24"/>
              </w:rPr>
              <w:t>Atlikts maksājums vai atlikta uzskaite ar vispārēju galvojumu, kas ietver PVN (SMK 89. pants un 95. panta 2. punkts)</w:t>
            </w:r>
          </w:p>
        </w:tc>
      </w:tr>
    </w:tbl>
    <w:p w:rsidR="00131C8A" w:rsidRPr="003E628F" w:rsidRDefault="00131C8A" w:rsidP="003E628F">
      <w:pPr>
        <w:jc w:val="both"/>
        <w:rPr>
          <w:rFonts w:ascii="Times New Roman" w:eastAsia="Times New Roman" w:hAnsi="Times New Roman" w:cs="Times New Roman"/>
          <w:noProof/>
          <w:sz w:val="24"/>
          <w:szCs w:val="20"/>
        </w:rPr>
      </w:pPr>
    </w:p>
    <w:p w:rsidR="00211065" w:rsidRPr="003E628F" w:rsidRDefault="00211065" w:rsidP="003E628F">
      <w:pPr>
        <w:jc w:val="both"/>
        <w:rPr>
          <w:rFonts w:ascii="Times New Roman" w:eastAsia="Times New Roman" w:hAnsi="Times New Roman" w:cs="Times New Roman"/>
          <w:noProof/>
          <w:sz w:val="24"/>
          <w:szCs w:val="23"/>
        </w:rPr>
      </w:pPr>
      <w:r>
        <w:rPr>
          <w:rFonts w:ascii="Times New Roman" w:hAnsi="Times New Roman"/>
          <w:i/>
          <w:noProof/>
          <w:color w:val="49442A"/>
          <w:sz w:val="24"/>
          <w:u w:val="single" w:color="49442A"/>
        </w:rPr>
        <w:t>Jāņem vērā!</w:t>
      </w:r>
      <w:r>
        <w:t xml:space="preserve"> </w:t>
      </w:r>
      <w:r>
        <w:rPr>
          <w:rFonts w:ascii="Times New Roman" w:hAnsi="Times New Roman"/>
          <w:i/>
          <w:noProof/>
          <w:color w:val="49442A"/>
          <w:sz w:val="24"/>
        </w:rPr>
        <w:t>Tādas īpašās procedūras atļauju, kurā iesaistītas vairākas dalībvalstis, var izmantot, apvienotu vai neapvienotu ar centralizētas muitošanas atļauju.</w:t>
      </w:r>
    </w:p>
    <w:p w:rsidR="00211065" w:rsidRPr="003E628F" w:rsidRDefault="00211065" w:rsidP="003E628F">
      <w:pPr>
        <w:jc w:val="both"/>
        <w:rPr>
          <w:rFonts w:ascii="Times New Roman" w:eastAsia="Times New Roman" w:hAnsi="Times New Roman" w:cs="Times New Roman"/>
          <w:i/>
          <w:noProof/>
          <w:sz w:val="24"/>
          <w:szCs w:val="20"/>
        </w:rPr>
      </w:pPr>
    </w:p>
    <w:p w:rsidR="00211065" w:rsidRPr="003E628F" w:rsidRDefault="00211065" w:rsidP="00131C8A">
      <w:pPr>
        <w:numPr>
          <w:ilvl w:val="0"/>
          <w:numId w:val="37"/>
        </w:numPr>
        <w:tabs>
          <w:tab w:val="left" w:pos="426"/>
        </w:tabs>
        <w:ind w:left="0" w:firstLine="0"/>
        <w:jc w:val="both"/>
        <w:rPr>
          <w:rFonts w:ascii="Times New Roman" w:hAnsi="Times New Roman"/>
          <w:i/>
          <w:noProof/>
          <w:color w:val="49442A"/>
          <w:sz w:val="24"/>
        </w:rPr>
      </w:pPr>
      <w:r>
        <w:rPr>
          <w:rFonts w:ascii="Times New Roman" w:hAnsi="Times New Roman"/>
          <w:i/>
          <w:noProof/>
          <w:color w:val="49442A"/>
          <w:sz w:val="24"/>
        </w:rPr>
        <w:t>Preču pārvietošana var notikt īpašā procedūrā bez nepieciešamības iesniegt jaunu muitas deklarāciju, tāpēc tā neietilpst centralizētās muitošanas darbības jomā.</w:t>
      </w:r>
    </w:p>
    <w:p w:rsidR="00211065" w:rsidRPr="003E628F" w:rsidRDefault="00211065" w:rsidP="003E628F">
      <w:pPr>
        <w:jc w:val="both"/>
        <w:rPr>
          <w:rFonts w:ascii="Times New Roman" w:eastAsia="Times New Roman" w:hAnsi="Times New Roman" w:cs="Times New Roman"/>
          <w:i/>
          <w:noProof/>
          <w:sz w:val="24"/>
          <w:szCs w:val="20"/>
        </w:rPr>
      </w:pPr>
    </w:p>
    <w:p w:rsidR="00211065" w:rsidRPr="003E628F" w:rsidRDefault="00211065" w:rsidP="003E628F">
      <w:pPr>
        <w:numPr>
          <w:ilvl w:val="0"/>
          <w:numId w:val="37"/>
        </w:numPr>
        <w:tabs>
          <w:tab w:val="left" w:pos="411"/>
        </w:tabs>
        <w:ind w:left="0" w:firstLine="0"/>
        <w:jc w:val="both"/>
        <w:rPr>
          <w:rFonts w:ascii="Times New Roman" w:hAnsi="Times New Roman"/>
          <w:i/>
          <w:noProof/>
          <w:color w:val="49442A"/>
          <w:sz w:val="24"/>
        </w:rPr>
      </w:pPr>
      <w:r>
        <w:rPr>
          <w:rFonts w:ascii="Times New Roman" w:hAnsi="Times New Roman"/>
          <w:i/>
          <w:noProof/>
          <w:color w:val="49442A"/>
          <w:sz w:val="24"/>
        </w:rPr>
        <w:t>Taču, ja pēc nosūtīšanas uz otru dalībvalsti preces tiek muitotas citā muitas procedūrā, muitas deklarāciju var iesniegt pirmajā dalībvalstī, precēm atrodoties otrā dalībvalstī; šādā gadījumā ir nepieciešama centralizētās muitošanas atļauja.</w:t>
      </w:r>
    </w:p>
    <w:p w:rsidR="00211065" w:rsidRPr="003E628F" w:rsidRDefault="00211065" w:rsidP="003E628F">
      <w:pPr>
        <w:jc w:val="both"/>
        <w:rPr>
          <w:rFonts w:ascii="Times New Roman" w:eastAsia="Times New Roman" w:hAnsi="Times New Roman" w:cs="Times New Roman"/>
          <w:i/>
          <w:noProof/>
          <w:sz w:val="24"/>
          <w:szCs w:val="20"/>
        </w:rPr>
      </w:pPr>
    </w:p>
    <w:p w:rsidR="00211065" w:rsidRPr="003E628F" w:rsidRDefault="00211065" w:rsidP="003E628F">
      <w:pPr>
        <w:pStyle w:val="Pamatteksts"/>
        <w:ind w:left="0" w:firstLine="180"/>
        <w:jc w:val="both"/>
        <w:rPr>
          <w:noProof/>
        </w:rPr>
      </w:pPr>
      <w:r>
        <w:t>No prasības pēc centralizētās muitošanas atļaujas var atbrīvot arī tad, ja muitas deklarācija ir iesniegta un preces uzrādītas muitas iestādēs, par kurām ir atbildīgs viens muitas dienests (Kodeksa 179. panta 1. punkts).</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firstLine="242"/>
        <w:jc w:val="both"/>
        <w:rPr>
          <w:noProof/>
        </w:rPr>
      </w:pPr>
      <w:r>
        <w:t xml:space="preserve">Ja tomēr atļauja ir nepieciešama valsts līmenī, pieteikuma iesniedzējam ir jābūt </w:t>
      </w:r>
      <w:r>
        <w:rPr>
          <w:i/>
        </w:rPr>
        <w:t>AEOC</w:t>
      </w:r>
      <w:r>
        <w:t xml:space="preserve"> (SMK 179. panta 2. punkts).</w:t>
      </w:r>
    </w:p>
    <w:p w:rsidR="00211065" w:rsidRPr="003E628F" w:rsidRDefault="00211065" w:rsidP="003E628F">
      <w:pPr>
        <w:pStyle w:val="Pamatteksts"/>
        <w:ind w:left="0"/>
        <w:jc w:val="both"/>
        <w:rPr>
          <w:noProof/>
        </w:rPr>
      </w:pPr>
      <w:r>
        <w:t xml:space="preserve">Ja atļauja nav nepieciešama valsts līmenī, </w:t>
      </w:r>
      <w:r>
        <w:rPr>
          <w:i/>
        </w:rPr>
        <w:t>AEOC</w:t>
      </w:r>
      <w:r>
        <w:t xml:space="preserve"> statuss nav obligāts.</w:t>
      </w:r>
    </w:p>
    <w:p w:rsidR="00211065" w:rsidRPr="003E628F" w:rsidRDefault="00211065" w:rsidP="003E628F">
      <w:pPr>
        <w:jc w:val="both"/>
        <w:rPr>
          <w:rFonts w:ascii="Times New Roman" w:eastAsia="Times New Roman" w:hAnsi="Times New Roman" w:cs="Times New Roman"/>
          <w:noProof/>
          <w:sz w:val="24"/>
          <w:szCs w:val="21"/>
        </w:rPr>
      </w:pPr>
    </w:p>
    <w:p w:rsidR="00211065" w:rsidRPr="00E030BE" w:rsidRDefault="00131C8A" w:rsidP="00E030BE">
      <w:pPr>
        <w:pStyle w:val="Virsraksts2"/>
        <w:rPr>
          <w:b/>
        </w:rPr>
      </w:pPr>
      <w:bookmarkStart w:id="111" w:name="_Toc490734296"/>
      <w:r w:rsidRPr="00E030BE">
        <w:rPr>
          <w:b/>
        </w:rPr>
        <w:t>2.4.4. Kas var iesniegt pieteikumu, attiecībā uz kurām precēm un kurām procedūrām</w:t>
      </w:r>
      <w:bookmarkStart w:id="112" w:name="_bookmark38"/>
      <w:bookmarkEnd w:id="112"/>
      <w:bookmarkEnd w:id="111"/>
    </w:p>
    <w:p w:rsidR="00211065" w:rsidRPr="003E628F" w:rsidRDefault="00211065" w:rsidP="003E628F">
      <w:pPr>
        <w:jc w:val="both"/>
        <w:rPr>
          <w:rFonts w:ascii="Times New Roman" w:eastAsia="Times New Roman" w:hAnsi="Times New Roman" w:cs="Times New Roman"/>
          <w:b/>
          <w:bCs/>
          <w:i/>
          <w:noProof/>
          <w:sz w:val="24"/>
          <w:szCs w:val="20"/>
        </w:rPr>
      </w:pPr>
    </w:p>
    <w:p w:rsidR="00211065" w:rsidRPr="003E628F" w:rsidRDefault="00131C8A" w:rsidP="00131C8A">
      <w:pPr>
        <w:tabs>
          <w:tab w:val="left" w:pos="249"/>
        </w:tabs>
        <w:jc w:val="both"/>
        <w:rPr>
          <w:rFonts w:ascii="Times New Roman" w:eastAsia="Times New Roman" w:hAnsi="Times New Roman" w:cs="Times New Roman"/>
          <w:noProof/>
          <w:sz w:val="24"/>
          <w:szCs w:val="24"/>
        </w:rPr>
      </w:pPr>
      <w:r>
        <w:rPr>
          <w:rFonts w:ascii="Times New Roman" w:hAnsi="Times New Roman"/>
          <w:noProof/>
          <w:sz w:val="24"/>
        </w:rPr>
        <w:t xml:space="preserve">- Informāciju par to, </w:t>
      </w:r>
      <w:r>
        <w:rPr>
          <w:rFonts w:ascii="Times New Roman" w:hAnsi="Times New Roman"/>
          <w:i/>
          <w:noProof/>
          <w:sz w:val="24"/>
        </w:rPr>
        <w:t>kas var iesniegt pieteikumu</w:t>
      </w:r>
      <w:r>
        <w:rPr>
          <w:rFonts w:ascii="Times New Roman" w:hAnsi="Times New Roman"/>
          <w:noProof/>
          <w:sz w:val="24"/>
        </w:rPr>
        <w:t>, sk. vispārīgajā 2.1.1. punktā.</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131C8A" w:rsidP="00131C8A">
      <w:pPr>
        <w:tabs>
          <w:tab w:val="left" w:pos="254"/>
        </w:tabs>
        <w:jc w:val="both"/>
        <w:rPr>
          <w:rFonts w:ascii="Times New Roman" w:hAnsi="Times New Roman"/>
          <w:noProof/>
          <w:sz w:val="24"/>
        </w:rPr>
      </w:pPr>
      <w:r>
        <w:rPr>
          <w:rFonts w:ascii="Times New Roman" w:hAnsi="Times New Roman"/>
          <w:noProof/>
          <w:sz w:val="24"/>
        </w:rPr>
        <w:t xml:space="preserve">- Informācija par to, </w:t>
      </w:r>
      <w:r>
        <w:rPr>
          <w:rFonts w:ascii="Times New Roman" w:hAnsi="Times New Roman"/>
          <w:i/>
          <w:noProof/>
          <w:sz w:val="24"/>
        </w:rPr>
        <w:t>attiecībā uz kurām precēm un kurām procedūrām</w:t>
      </w:r>
      <w:r>
        <w:rPr>
          <w:rFonts w:ascii="Times New Roman" w:hAnsi="Times New Roman"/>
          <w:noProof/>
          <w:sz w:val="24"/>
        </w:rPr>
        <w:t xml:space="preserve"> var iesniegt pieteikumu: </w:t>
      </w:r>
      <w:r>
        <w:rPr>
          <w:rFonts w:ascii="Times New Roman" w:hAnsi="Times New Roman"/>
          <w:i/>
          <w:noProof/>
          <w:sz w:val="24"/>
        </w:rPr>
        <w:t>DA 149. panta 1. punktā</w:t>
      </w:r>
      <w:r>
        <w:rPr>
          <w:rFonts w:ascii="Times New Roman" w:hAnsi="Times New Roman"/>
          <w:noProof/>
          <w:sz w:val="24"/>
        </w:rPr>
        <w:t xml:space="preserve"> izslēgts tranzīts un pagaidu uzglabāšana. Ja notiek apvienošana ar citiem vienkāršojumiem vai īpašām procedūrām, ir piemērojami visi ar šādiem vienkāršojumiem un procedūrām saistītie ierobežojumi.</w:t>
      </w:r>
    </w:p>
    <w:p w:rsidR="00211065" w:rsidRPr="003E628F" w:rsidRDefault="00211065" w:rsidP="003E628F">
      <w:pPr>
        <w:jc w:val="both"/>
        <w:rPr>
          <w:rFonts w:ascii="Times New Roman" w:hAnsi="Times New Roman"/>
          <w:noProof/>
          <w:sz w:val="24"/>
        </w:rPr>
      </w:pPr>
    </w:p>
    <w:p w:rsidR="00211065" w:rsidRPr="003E628F" w:rsidRDefault="00131C8A" w:rsidP="00131C8A">
      <w:pPr>
        <w:pStyle w:val="Pamatteksts"/>
        <w:tabs>
          <w:tab w:val="left" w:pos="256"/>
        </w:tabs>
        <w:ind w:left="0"/>
        <w:jc w:val="both"/>
        <w:rPr>
          <w:noProof/>
        </w:rPr>
      </w:pPr>
      <w:r>
        <w:t xml:space="preserve">- Saskaņā ar DA 149. panta 2. punktu gadījumā, kad centralizētā muitošana tiek apvienota ar </w:t>
      </w:r>
      <w:r>
        <w:rPr>
          <w:i/>
        </w:rPr>
        <w:t>EIDR</w:t>
      </w:r>
      <w:r>
        <w:t>, ir piemērojami DA 150. panta ierobežojumi.</w:t>
      </w:r>
    </w:p>
    <w:p w:rsidR="00E030BE" w:rsidRDefault="00E030BE">
      <w:pPr>
        <w:rPr>
          <w:rFonts w:ascii="Times New Roman" w:eastAsia="Times New Roman" w:hAnsi="Times New Roman" w:cs="Times New Roman"/>
          <w:noProof/>
          <w:sz w:val="24"/>
          <w:szCs w:val="21"/>
        </w:rPr>
      </w:pPr>
      <w:r>
        <w:rPr>
          <w:rFonts w:ascii="Times New Roman" w:eastAsia="Times New Roman" w:hAnsi="Times New Roman" w:cs="Times New Roman"/>
          <w:noProof/>
          <w:sz w:val="24"/>
          <w:szCs w:val="21"/>
        </w:rPr>
        <w:br w:type="page"/>
      </w:r>
    </w:p>
    <w:p w:rsidR="00211065" w:rsidRPr="003E628F" w:rsidRDefault="00211065" w:rsidP="003E628F">
      <w:pPr>
        <w:jc w:val="both"/>
        <w:rPr>
          <w:rFonts w:ascii="Times New Roman" w:eastAsia="Times New Roman" w:hAnsi="Times New Roman" w:cs="Times New Roman"/>
          <w:noProof/>
          <w:sz w:val="24"/>
          <w:szCs w:val="21"/>
        </w:rPr>
      </w:pPr>
    </w:p>
    <w:p w:rsidR="00211065" w:rsidRPr="00E030BE" w:rsidRDefault="00131C8A" w:rsidP="00E030BE">
      <w:pPr>
        <w:pStyle w:val="Virsraksts2"/>
        <w:rPr>
          <w:b/>
        </w:rPr>
      </w:pPr>
      <w:bookmarkStart w:id="113" w:name="_Toc490734297"/>
      <w:r w:rsidRPr="00E030BE">
        <w:rPr>
          <w:b/>
        </w:rPr>
        <w:t>2.4.5. Pieteikuma iesniegšanas, apspriešanās un atļaujas piešķiršanas procedūra</w:t>
      </w:r>
      <w:bookmarkStart w:id="114" w:name="_bookmark39"/>
      <w:bookmarkEnd w:id="114"/>
      <w:bookmarkEnd w:id="113"/>
    </w:p>
    <w:p w:rsidR="00211065" w:rsidRPr="003E628F" w:rsidRDefault="00211065" w:rsidP="003E628F">
      <w:pPr>
        <w:jc w:val="both"/>
        <w:rPr>
          <w:rFonts w:ascii="Times New Roman" w:eastAsia="Times New Roman" w:hAnsi="Times New Roman" w:cs="Times New Roman"/>
          <w:b/>
          <w:bCs/>
          <w:i/>
          <w:noProof/>
          <w:sz w:val="24"/>
          <w:szCs w:val="20"/>
        </w:rPr>
      </w:pPr>
    </w:p>
    <w:p w:rsidR="00211065" w:rsidRPr="003E628F" w:rsidRDefault="00211065" w:rsidP="003E628F">
      <w:pPr>
        <w:pStyle w:val="Pamatteksts"/>
        <w:ind w:left="0"/>
        <w:jc w:val="both"/>
        <w:rPr>
          <w:noProof/>
        </w:rPr>
      </w:pPr>
      <w:r>
        <w:t>Attiecībā uz pieteikuma un atļaujas datu prasībām sk. DA/ĪA A pielikumā norādītos datus.</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rFonts w:cs="Times New Roman"/>
          <w:noProof/>
        </w:rPr>
      </w:pPr>
      <w:r>
        <w:rPr>
          <w:noProof/>
          <w:u w:val="single" w:color="000000"/>
        </w:rPr>
        <w:t>Kamēr nav pabeigta muitas lēmumu sistēma</w:t>
      </w:r>
      <w:r>
        <w:t xml:space="preserve">, A pielikuma piemērošana nav obligāta. Tāpēc tā vietā jāizmanto </w:t>
      </w:r>
      <w:r>
        <w:rPr>
          <w:i/>
        </w:rPr>
        <w:t>TDA</w:t>
      </w:r>
      <w:r>
        <w:t xml:space="preserve"> 12. pielikuma formāts un saturs (attiecībā uz centralizēto muitošanu vienkāršotās deklarācijas un </w:t>
      </w:r>
      <w:r>
        <w:rPr>
          <w:i/>
        </w:rPr>
        <w:t>EIDR</w:t>
      </w:r>
      <w:r>
        <w:t xml:space="preserve"> veidlapās jāizmanto īpašs kods)</w:t>
      </w:r>
      <w:r>
        <w:rPr>
          <w:i/>
          <w:noProof/>
        </w:rPr>
        <w:t>.</w:t>
      </w:r>
    </w:p>
    <w:p w:rsidR="00211065" w:rsidRPr="003E628F" w:rsidRDefault="00211065" w:rsidP="003E628F">
      <w:pPr>
        <w:jc w:val="both"/>
        <w:rPr>
          <w:rFonts w:ascii="Times New Roman" w:eastAsia="Times New Roman" w:hAnsi="Times New Roman" w:cs="Times New Roman"/>
          <w:i/>
          <w:noProof/>
          <w:sz w:val="24"/>
          <w:szCs w:val="20"/>
        </w:rPr>
      </w:pPr>
    </w:p>
    <w:p w:rsidR="00211065" w:rsidRPr="003E628F" w:rsidRDefault="00211065" w:rsidP="003E628F">
      <w:pPr>
        <w:pStyle w:val="Virsraksts1"/>
        <w:jc w:val="both"/>
        <w:rPr>
          <w:rFonts w:cs="Times New Roman"/>
          <w:b w:val="0"/>
          <w:bCs w:val="0"/>
          <w:noProof/>
        </w:rPr>
      </w:pPr>
      <w:bookmarkStart w:id="115" w:name="_Toc490734298"/>
      <w:r>
        <w:t>Centralizētas muitošanas gadījumā starp dalībvalstīm notiek īpaša apspriešanās procedūra</w:t>
      </w:r>
      <w:r>
        <w:rPr>
          <w:b w:val="0"/>
          <w:noProof/>
        </w:rPr>
        <w:t xml:space="preserve"> (ĪA 229. pants).</w:t>
      </w:r>
      <w:bookmarkEnd w:id="115"/>
    </w:p>
    <w:p w:rsidR="00211065" w:rsidRPr="003E628F" w:rsidRDefault="00211065" w:rsidP="003E628F">
      <w:pPr>
        <w:jc w:val="both"/>
        <w:rPr>
          <w:rFonts w:ascii="Times New Roman" w:eastAsia="Times New Roman" w:hAnsi="Times New Roman" w:cs="Times New Roman"/>
          <w:noProof/>
          <w:sz w:val="24"/>
          <w:szCs w:val="21"/>
        </w:rPr>
      </w:pPr>
    </w:p>
    <w:p w:rsidR="00211065" w:rsidRPr="003E628F" w:rsidRDefault="00211065" w:rsidP="00131C8A">
      <w:pPr>
        <w:numPr>
          <w:ilvl w:val="1"/>
          <w:numId w:val="36"/>
        </w:numPr>
        <w:tabs>
          <w:tab w:val="left" w:pos="1134"/>
        </w:tabs>
        <w:ind w:left="1134" w:hanging="425"/>
        <w:jc w:val="both"/>
        <w:rPr>
          <w:rFonts w:ascii="Times New Roman" w:hAnsi="Times New Roman"/>
          <w:b/>
          <w:noProof/>
          <w:sz w:val="24"/>
        </w:rPr>
      </w:pPr>
      <w:r>
        <w:rPr>
          <w:rFonts w:ascii="Times New Roman" w:hAnsi="Times New Roman"/>
          <w:b/>
          <w:noProof/>
          <w:sz w:val="24"/>
        </w:rPr>
        <w:t>Projekta paziņošana iesaistītajai dalībvalstij</w:t>
      </w:r>
    </w:p>
    <w:p w:rsidR="00211065" w:rsidRPr="003E628F" w:rsidRDefault="00211065" w:rsidP="003E628F">
      <w:pPr>
        <w:jc w:val="both"/>
        <w:rPr>
          <w:rFonts w:ascii="Times New Roman" w:eastAsia="Times New Roman" w:hAnsi="Times New Roman" w:cs="Times New Roman"/>
          <w:b/>
          <w:bCs/>
          <w:noProof/>
          <w:sz w:val="24"/>
          <w:szCs w:val="20"/>
        </w:rPr>
      </w:pPr>
    </w:p>
    <w:p w:rsidR="00211065" w:rsidRPr="003E628F" w:rsidRDefault="00211065" w:rsidP="003E628F">
      <w:pPr>
        <w:pStyle w:val="Pamatteksts"/>
        <w:ind w:left="0"/>
        <w:jc w:val="both"/>
        <w:rPr>
          <w:noProof/>
        </w:rPr>
      </w:pPr>
      <w:r>
        <w:t xml:space="preserve">Pieteikumu, atļaujas projektu, attiecīgā gadījumā, kontroles plānu un papildu informāciju atļaujas sniedzējs muitas dienests dara pieejamu iesaistītajām dalībvalstīm ne vēlāk kā </w:t>
      </w:r>
      <w:r>
        <w:rPr>
          <w:b/>
          <w:noProof/>
        </w:rPr>
        <w:t>60 dienas</w:t>
      </w:r>
      <w:r>
        <w:t xml:space="preserve"> pēc pieteikuma pieņemšanas datuma. Šis laika posms tiks samazināts līdz 45 dienām, kad būs ieviesta importa centralizētās muitošanas un automatizētā eksporta kontroles sistēma.</w:t>
      </w:r>
    </w:p>
    <w:p w:rsidR="00211065" w:rsidRPr="003E628F" w:rsidRDefault="00211065" w:rsidP="003E628F">
      <w:pPr>
        <w:jc w:val="both"/>
        <w:rPr>
          <w:rFonts w:ascii="Times New Roman" w:hAnsi="Times New Roman"/>
          <w:noProof/>
          <w:sz w:val="24"/>
        </w:rPr>
      </w:pPr>
    </w:p>
    <w:p w:rsidR="00211065" w:rsidRPr="003E628F" w:rsidRDefault="00211065" w:rsidP="00131C8A">
      <w:pPr>
        <w:pStyle w:val="Virsraksts1"/>
        <w:numPr>
          <w:ilvl w:val="1"/>
          <w:numId w:val="36"/>
        </w:numPr>
        <w:tabs>
          <w:tab w:val="left" w:pos="1134"/>
        </w:tabs>
        <w:ind w:left="1134" w:hanging="425"/>
        <w:jc w:val="both"/>
        <w:rPr>
          <w:noProof/>
        </w:rPr>
      </w:pPr>
      <w:bookmarkStart w:id="116" w:name="_Toc490734299"/>
      <w:r>
        <w:t>Iesaistītās dalībvalsts iebildumi vai piekrišana</w:t>
      </w:r>
      <w:bookmarkEnd w:id="116"/>
    </w:p>
    <w:p w:rsidR="00211065" w:rsidRPr="003E628F" w:rsidRDefault="00211065" w:rsidP="003E628F">
      <w:pPr>
        <w:jc w:val="both"/>
        <w:rPr>
          <w:rFonts w:ascii="Times New Roman" w:eastAsia="Times New Roman" w:hAnsi="Times New Roman" w:cs="Times New Roman"/>
          <w:b/>
          <w:bCs/>
          <w:noProof/>
          <w:sz w:val="24"/>
          <w:szCs w:val="20"/>
        </w:rPr>
      </w:pPr>
    </w:p>
    <w:p w:rsidR="00211065" w:rsidRPr="003E628F" w:rsidRDefault="00211065" w:rsidP="003E628F">
      <w:pPr>
        <w:pStyle w:val="Pamatteksts"/>
        <w:ind w:left="0"/>
        <w:jc w:val="both"/>
        <w:rPr>
          <w:noProof/>
        </w:rPr>
      </w:pPr>
      <w:r>
        <w:t xml:space="preserve">Iesaistītā dalībvalsts darīs zināmu piekrišanu vai iebildumus </w:t>
      </w:r>
      <w:r>
        <w:rPr>
          <w:b/>
          <w:noProof/>
        </w:rPr>
        <w:t>60 dienu</w:t>
      </w:r>
      <w:r>
        <w:t xml:space="preserve"> laikā pēc atļaujas projekta saņemšanas dienas. Šis laika posms tiks samazināts līdz 45 dienām, kad būs ieviesta importa centralizētās muitošanas un automatizētā eksporta kontroles sistēma.</w:t>
      </w:r>
    </w:p>
    <w:p w:rsidR="00211065" w:rsidRPr="003E628F" w:rsidRDefault="00211065" w:rsidP="003E628F">
      <w:pPr>
        <w:jc w:val="both"/>
        <w:rPr>
          <w:rFonts w:ascii="Times New Roman" w:hAnsi="Times New Roman"/>
          <w:noProof/>
          <w:sz w:val="24"/>
        </w:rPr>
      </w:pPr>
    </w:p>
    <w:p w:rsidR="00211065" w:rsidRPr="003E628F" w:rsidRDefault="00211065" w:rsidP="003E628F">
      <w:pPr>
        <w:jc w:val="both"/>
        <w:rPr>
          <w:rFonts w:ascii="Times New Roman" w:hAnsi="Times New Roman"/>
          <w:b/>
          <w:noProof/>
          <w:sz w:val="24"/>
        </w:rPr>
      </w:pPr>
      <w:r>
        <w:rPr>
          <w:rFonts w:ascii="Times New Roman" w:hAnsi="Times New Roman"/>
          <w:noProof/>
          <w:sz w:val="24"/>
        </w:rPr>
        <w:t xml:space="preserve">Ja ir darīti zināmi iebildumi un vienošanās nav panākta 90 dienu laikā no atļaujas projekta paziņošanas dienas, </w:t>
      </w:r>
      <w:r>
        <w:rPr>
          <w:rFonts w:ascii="Times New Roman" w:hAnsi="Times New Roman"/>
          <w:b/>
          <w:noProof/>
          <w:sz w:val="24"/>
        </w:rPr>
        <w:t>atļauju neizsniedz attiecībā uz tām daļām, par kurām saņemti iebildumi. Drīkst piešķirt 30 dienu pagarinājumu.</w:t>
      </w:r>
    </w:p>
    <w:p w:rsidR="00211065" w:rsidRPr="003E628F" w:rsidRDefault="00211065" w:rsidP="003E628F">
      <w:pPr>
        <w:jc w:val="both"/>
        <w:rPr>
          <w:rFonts w:ascii="Times New Roman" w:hAnsi="Times New Roman"/>
          <w:b/>
          <w:noProof/>
          <w:sz w:val="24"/>
        </w:rPr>
      </w:pPr>
    </w:p>
    <w:p w:rsidR="00211065" w:rsidRPr="003E628F" w:rsidRDefault="00211065" w:rsidP="003E628F">
      <w:pPr>
        <w:jc w:val="both"/>
        <w:rPr>
          <w:rFonts w:ascii="Times New Roman" w:hAnsi="Times New Roman"/>
          <w:i/>
          <w:noProof/>
          <w:color w:val="17365D"/>
          <w:sz w:val="24"/>
        </w:rPr>
      </w:pPr>
      <w:r>
        <w:rPr>
          <w:rFonts w:ascii="Times New Roman" w:hAnsi="Times New Roman"/>
          <w:i/>
          <w:noProof/>
          <w:color w:val="17365D"/>
          <w:sz w:val="24"/>
        </w:rPr>
        <w:t>Piemēri. Viena muitas procedūra var tikt noraidīta vai atsevišķas paaugstināta riska preces nevar tikt importētas vienā no iesaistītajām dalībvalstīm. Šādos gadījumos var nolemt neattiecināt atļauju uz šo muitas procedūru vai uz šīm paaugstināta riska precēm.</w:t>
      </w:r>
    </w:p>
    <w:p w:rsidR="00211065" w:rsidRPr="003E628F" w:rsidRDefault="00211065" w:rsidP="003E628F">
      <w:pPr>
        <w:jc w:val="both"/>
        <w:rPr>
          <w:rFonts w:ascii="Times New Roman" w:eastAsia="Times New Roman" w:hAnsi="Times New Roman" w:cs="Times New Roman"/>
          <w:i/>
          <w:noProof/>
          <w:sz w:val="24"/>
          <w:szCs w:val="20"/>
        </w:rPr>
      </w:pPr>
    </w:p>
    <w:p w:rsidR="00211065" w:rsidRPr="003E628F" w:rsidRDefault="00211065" w:rsidP="003E628F">
      <w:pPr>
        <w:jc w:val="both"/>
        <w:rPr>
          <w:rFonts w:ascii="Times New Roman" w:hAnsi="Times New Roman"/>
          <w:i/>
          <w:noProof/>
          <w:sz w:val="24"/>
        </w:rPr>
      </w:pPr>
      <w:r>
        <w:rPr>
          <w:rFonts w:ascii="Times New Roman" w:hAnsi="Times New Roman"/>
          <w:i/>
          <w:noProof/>
          <w:sz w:val="24"/>
        </w:rPr>
        <w:t>Atļaujas sniedzējai dalībvalstij ir jānovērtē, vai atļauju ir iespējams pienācīgi izmantot bez iesaistītās dalībvalsts pilnīgas piekrišanas.</w:t>
      </w:r>
    </w:p>
    <w:p w:rsidR="00211065" w:rsidRPr="003E628F" w:rsidRDefault="00211065" w:rsidP="003E628F">
      <w:pPr>
        <w:jc w:val="both"/>
        <w:rPr>
          <w:rFonts w:ascii="Times New Roman" w:eastAsia="Times New Roman" w:hAnsi="Times New Roman" w:cs="Times New Roman"/>
          <w:i/>
          <w:noProof/>
          <w:sz w:val="24"/>
          <w:szCs w:val="20"/>
        </w:rPr>
      </w:pPr>
    </w:p>
    <w:p w:rsidR="00211065" w:rsidRPr="003E628F" w:rsidRDefault="00211065" w:rsidP="003E628F">
      <w:pPr>
        <w:jc w:val="both"/>
        <w:rPr>
          <w:rFonts w:ascii="Times New Roman" w:hAnsi="Times New Roman"/>
          <w:i/>
          <w:noProof/>
          <w:sz w:val="24"/>
        </w:rPr>
      </w:pPr>
      <w:r>
        <w:rPr>
          <w:rFonts w:ascii="Times New Roman" w:hAnsi="Times New Roman"/>
          <w:i/>
          <w:noProof/>
          <w:sz w:val="24"/>
        </w:rPr>
        <w:t>Ja tas nav iespējams, atļaujas sniedzēja dalībvalsts var noraidīt pieteikumu, sniedzot pienācīgu pamatojumu.</w:t>
      </w:r>
    </w:p>
    <w:p w:rsidR="00211065" w:rsidRPr="003E628F" w:rsidRDefault="00211065" w:rsidP="003E628F">
      <w:pPr>
        <w:pStyle w:val="Pamatteksts"/>
        <w:ind w:left="0"/>
        <w:jc w:val="both"/>
        <w:rPr>
          <w:noProof/>
        </w:rPr>
      </w:pPr>
      <w:r>
        <w:t>Ja tiek pieņemts nelabvēlīgs lēmums, pieteikuma iesniedzējs var izmantot tiesības tikt uzklausītam un arī pārsūdzēt šo lēmumu dalībvalstī, kur tas tika pieņemts (Kodeksa 44. pants).</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jc w:val="both"/>
        <w:rPr>
          <w:rFonts w:ascii="Times New Roman" w:eastAsia="Times New Roman" w:hAnsi="Times New Roman" w:cs="Times New Roman"/>
          <w:noProof/>
          <w:sz w:val="24"/>
          <w:szCs w:val="24"/>
        </w:rPr>
      </w:pPr>
      <w:r>
        <w:rPr>
          <w:rFonts w:ascii="Times New Roman" w:hAnsi="Times New Roman"/>
          <w:i/>
          <w:noProof/>
          <w:color w:val="49442A"/>
          <w:sz w:val="24"/>
          <w:u w:val="single" w:color="49442A"/>
        </w:rPr>
        <w:t>Jāņem vērā!</w:t>
      </w:r>
      <w:r>
        <w:rPr>
          <w:rFonts w:ascii="Times New Roman" w:hAnsi="Times New Roman"/>
          <w:i/>
          <w:noProof/>
          <w:color w:val="49442A"/>
          <w:sz w:val="24"/>
        </w:rPr>
        <w:t xml:space="preserve"> Saskaņā ar ĪA 229. panta c) punktu atļaujas projekts, ko atļaujas sniedzēja dalībvalsts nosūta citai dalībvalstij, tiek papildināts ar citiem dokumentiem par statistikas un PVN jautājumiem (sk. I–IV pielikumu).</w:t>
      </w:r>
    </w:p>
    <w:p w:rsidR="00211065" w:rsidRPr="003E628F" w:rsidRDefault="00211065" w:rsidP="003E628F">
      <w:pPr>
        <w:jc w:val="both"/>
        <w:rPr>
          <w:rFonts w:ascii="Times New Roman" w:eastAsia="Times New Roman" w:hAnsi="Times New Roman" w:cs="Times New Roman"/>
          <w:i/>
          <w:noProof/>
          <w:sz w:val="24"/>
          <w:szCs w:val="21"/>
        </w:rPr>
      </w:pPr>
    </w:p>
    <w:p w:rsidR="00211065" w:rsidRPr="00E030BE" w:rsidRDefault="00426ED5" w:rsidP="00E030BE">
      <w:pPr>
        <w:pStyle w:val="Virsraksts2"/>
        <w:rPr>
          <w:b/>
        </w:rPr>
      </w:pPr>
      <w:bookmarkStart w:id="117" w:name="_Toc490734300"/>
      <w:r w:rsidRPr="00E030BE">
        <w:rPr>
          <w:b/>
        </w:rPr>
        <w:t>2.4.6. Iekasēšanas izmaksu sadale, administratīvās vienošanās un konvencija (sk. 1. pielikumu)</w:t>
      </w:r>
      <w:bookmarkStart w:id="118" w:name="_bookmark40"/>
      <w:bookmarkEnd w:id="118"/>
      <w:bookmarkEnd w:id="117"/>
    </w:p>
    <w:p w:rsidR="00211065" w:rsidRPr="003E628F" w:rsidRDefault="00211065" w:rsidP="003E628F">
      <w:pPr>
        <w:jc w:val="both"/>
        <w:rPr>
          <w:rFonts w:ascii="Times New Roman" w:eastAsia="Times New Roman" w:hAnsi="Times New Roman" w:cs="Times New Roman"/>
          <w:b/>
          <w:bCs/>
          <w:i/>
          <w:noProof/>
          <w:sz w:val="24"/>
          <w:szCs w:val="20"/>
        </w:rPr>
      </w:pPr>
    </w:p>
    <w:p w:rsidR="00211065" w:rsidRPr="003E628F" w:rsidRDefault="00211065" w:rsidP="003E628F">
      <w:pPr>
        <w:jc w:val="both"/>
        <w:rPr>
          <w:rFonts w:ascii="Times New Roman" w:hAnsi="Times New Roman"/>
          <w:b/>
          <w:noProof/>
          <w:sz w:val="24"/>
        </w:rPr>
      </w:pPr>
      <w:r>
        <w:rPr>
          <w:rFonts w:ascii="Times New Roman" w:hAnsi="Times New Roman"/>
          <w:b/>
          <w:noProof/>
          <w:sz w:val="24"/>
        </w:rPr>
        <w:t xml:space="preserve">Ja tiek piešķirta atļauja preču laišanai brīvā apgrozībā, iesaistītajām dalībvalstīm ir </w:t>
      </w:r>
      <w:r>
        <w:rPr>
          <w:rFonts w:ascii="Times New Roman" w:hAnsi="Times New Roman"/>
          <w:b/>
          <w:noProof/>
          <w:sz w:val="24"/>
        </w:rPr>
        <w:lastRenderedPageBreak/>
        <w:t>jāvienojas par valsts iekasēšanas izmaksu sadali.</w:t>
      </w:r>
    </w:p>
    <w:p w:rsidR="00211065" w:rsidRPr="003E628F" w:rsidRDefault="00211065" w:rsidP="003E628F">
      <w:pPr>
        <w:jc w:val="both"/>
        <w:rPr>
          <w:rFonts w:ascii="Times New Roman" w:eastAsia="Times New Roman" w:hAnsi="Times New Roman" w:cs="Times New Roman"/>
          <w:b/>
          <w:bCs/>
          <w:noProof/>
          <w:sz w:val="24"/>
          <w:szCs w:val="20"/>
        </w:rPr>
      </w:pPr>
    </w:p>
    <w:p w:rsidR="00211065" w:rsidRPr="003E628F" w:rsidRDefault="00426ED5" w:rsidP="00426ED5">
      <w:pPr>
        <w:pStyle w:val="Pamatteksts"/>
        <w:tabs>
          <w:tab w:val="left" w:pos="359"/>
        </w:tabs>
        <w:ind w:left="0"/>
        <w:jc w:val="both"/>
        <w:rPr>
          <w:noProof/>
        </w:rPr>
      </w:pPr>
      <w:r>
        <w:t xml:space="preserve">a) </w:t>
      </w:r>
      <w:r>
        <w:rPr>
          <w:b/>
          <w:noProof/>
        </w:rPr>
        <w:t>Administratīvā vienošanās</w:t>
      </w:r>
      <w:r>
        <w:t xml:space="preserve"> par tādu valsts iekasēšanas izmaksu sadali, ko patur, kad tradicionālie pašu resursi tiek nodoti ES budžetā, tika pieņemta Muitas kodeksa komitejas vispārējo muitas noteikumu nodaļas (KMK-</w:t>
      </w:r>
      <w:r>
        <w:rPr>
          <w:i/>
        </w:rPr>
        <w:t>GCR</w:t>
      </w:r>
      <w:r>
        <w:t>) sanāksmē 2008. gada 29.–30. aprīlī. Šī vienošanās ir piemērojama no 2009. gada 1. janvāra attiecībā uz dalībniekiem, kas to parakstīja līdz šim datumam, un no parakstīšanas datuma attiecībā uz tiem dalībniekiem, kas to paraksta vēlāk.</w:t>
      </w:r>
    </w:p>
    <w:p w:rsidR="00211065" w:rsidRPr="003E628F" w:rsidRDefault="00211065" w:rsidP="003E628F">
      <w:pPr>
        <w:jc w:val="both"/>
        <w:rPr>
          <w:rFonts w:ascii="Times New Roman" w:hAnsi="Times New Roman"/>
          <w:noProof/>
          <w:sz w:val="24"/>
        </w:rPr>
      </w:pPr>
    </w:p>
    <w:p w:rsidR="00211065" w:rsidRPr="003E628F" w:rsidRDefault="00211065" w:rsidP="003E628F">
      <w:pPr>
        <w:jc w:val="both"/>
        <w:rPr>
          <w:rFonts w:ascii="Times New Roman" w:eastAsia="Times New Roman" w:hAnsi="Times New Roman" w:cs="Times New Roman"/>
          <w:noProof/>
          <w:sz w:val="24"/>
          <w:szCs w:val="24"/>
        </w:rPr>
      </w:pPr>
      <w:r>
        <w:rPr>
          <w:rFonts w:ascii="Times New Roman" w:hAnsi="Times New Roman"/>
          <w:i/>
          <w:noProof/>
          <w:sz w:val="24"/>
        </w:rPr>
        <w:t>Administratīvās vienošanās kopija ir pieejama TAXUD tīmekļa vietnē</w:t>
      </w:r>
      <w:r>
        <w:rPr>
          <w:rFonts w:ascii="Times New Roman" w:hAnsi="Times New Roman"/>
          <w:noProof/>
          <w:sz w:val="24"/>
        </w:rPr>
        <w:t xml:space="preserve">: </w:t>
      </w:r>
      <w:r>
        <w:rPr>
          <w:rFonts w:ascii="Times New Roman" w:hAnsi="Times New Roman"/>
          <w:noProof/>
          <w:color w:val="0000FF"/>
          <w:sz w:val="24"/>
          <w:u w:val="single" w:color="0000FF"/>
        </w:rPr>
        <w:t>http://ec.europa.eu/taxation_customs/customs/procedural_aspects/general/centralised_clearance/index_en.htm</w:t>
      </w:r>
    </w:p>
    <w:p w:rsidR="00211065" w:rsidRPr="003E628F" w:rsidRDefault="00211065" w:rsidP="003E628F">
      <w:pPr>
        <w:jc w:val="both"/>
        <w:rPr>
          <w:rFonts w:ascii="Times New Roman" w:eastAsia="Times New Roman" w:hAnsi="Times New Roman" w:cs="Times New Roman"/>
          <w:noProof/>
          <w:sz w:val="24"/>
          <w:szCs w:val="14"/>
        </w:rPr>
      </w:pPr>
    </w:p>
    <w:p w:rsidR="00211065" w:rsidRPr="003E628F" w:rsidRDefault="00426ED5" w:rsidP="00426ED5">
      <w:pPr>
        <w:pStyle w:val="Pamatteksts"/>
        <w:tabs>
          <w:tab w:val="left" w:pos="376"/>
        </w:tabs>
        <w:ind w:left="0"/>
        <w:jc w:val="both"/>
        <w:rPr>
          <w:noProof/>
        </w:rPr>
      </w:pPr>
      <w:r>
        <w:t xml:space="preserve">b) </w:t>
      </w:r>
      <w:r>
        <w:rPr>
          <w:b/>
          <w:noProof/>
        </w:rPr>
        <w:t>Konvenciju</w:t>
      </w:r>
      <w:r>
        <w:t xml:space="preserve"> par centralizētu muitošanu attiecībā uz tādu valsts iekasēšanas izmaksu sadalījumu, ko patur, nododot tradicionālos pašu resursus ES budžetā, dalībvalstu pārstāvji parakstīja 2009. gada 10. martā. Šī konvencija ir piemērojama arī attiecībā uz vienotajām atļaujām preču laišanai brīvā apgrozībā, kas noteiktas Komisijas Regulas (EEK) Nr. 2454/93, grozītas ar Regulu Nr. 1192/2008 (2008. gada 17. novembris), 1. panta 13. punktā.</w:t>
      </w:r>
    </w:p>
    <w:p w:rsidR="00211065" w:rsidRPr="003E628F" w:rsidRDefault="00211065" w:rsidP="003E628F">
      <w:pPr>
        <w:jc w:val="both"/>
        <w:rPr>
          <w:rFonts w:ascii="Times New Roman" w:hAnsi="Times New Roman"/>
          <w:noProof/>
          <w:sz w:val="24"/>
        </w:rPr>
      </w:pPr>
    </w:p>
    <w:p w:rsidR="00211065" w:rsidRPr="003E628F" w:rsidRDefault="00211065" w:rsidP="003E628F">
      <w:pPr>
        <w:pStyle w:val="Pamatteksts"/>
        <w:ind w:left="0"/>
        <w:jc w:val="both"/>
        <w:rPr>
          <w:noProof/>
        </w:rPr>
      </w:pPr>
      <w:r>
        <w:t>Konvencija stāsies spēkā pēc tam, kad to būs ratificējušas visas dalībvalstis, taču to var piemērot arī pirms tam starp dalībvalstīm, kas ir pabeigušas nepieciešamās procedūras un paziņojušas, ka vēlas sākt konvencijas piemērošanu. Attiecībā uz šīm dalībvalstīm minētā administratīvā vienošanās tad vairs nebūs piemērojama. Šī administratīvā vienošanās nebūs piemērojama pēc tam, kad visas dalībvalstis būs ratificējušas konvenciju.</w:t>
      </w:r>
    </w:p>
    <w:p w:rsidR="00211065" w:rsidRPr="003E628F" w:rsidRDefault="00211065" w:rsidP="003E628F">
      <w:pPr>
        <w:jc w:val="both"/>
        <w:rPr>
          <w:rFonts w:ascii="Times New Roman" w:eastAsia="Times New Roman" w:hAnsi="Times New Roman" w:cs="Times New Roman"/>
          <w:noProof/>
          <w:sz w:val="24"/>
          <w:szCs w:val="21"/>
        </w:rPr>
      </w:pPr>
    </w:p>
    <w:p w:rsidR="00211065" w:rsidRPr="003E628F" w:rsidRDefault="00211065" w:rsidP="003E628F">
      <w:pPr>
        <w:pStyle w:val="Virsraksts2"/>
        <w:jc w:val="both"/>
        <w:rPr>
          <w:noProof/>
        </w:rPr>
      </w:pPr>
      <w:bookmarkStart w:id="119" w:name="_Toc490734301"/>
      <w:r>
        <w:t>c) Stāvoklis 2016. gada 1. maijā</w:t>
      </w:r>
      <w:bookmarkEnd w:id="119"/>
    </w:p>
    <w:p w:rsidR="00211065" w:rsidRPr="003E628F" w:rsidRDefault="00211065" w:rsidP="003E628F">
      <w:pPr>
        <w:jc w:val="both"/>
        <w:rPr>
          <w:rFonts w:ascii="Times New Roman" w:eastAsia="Times New Roman" w:hAnsi="Times New Roman" w:cs="Times New Roman"/>
          <w:b/>
          <w:bCs/>
          <w:i/>
          <w:noProof/>
          <w:sz w:val="24"/>
          <w:szCs w:val="20"/>
        </w:rPr>
      </w:pPr>
    </w:p>
    <w:p w:rsidR="00211065" w:rsidRPr="003E628F" w:rsidRDefault="00211065" w:rsidP="003E628F">
      <w:pPr>
        <w:pStyle w:val="Pamatteksts"/>
        <w:ind w:left="0"/>
        <w:jc w:val="both"/>
        <w:rPr>
          <w:noProof/>
        </w:rPr>
      </w:pPr>
      <w:r>
        <w:t>Konvenciju par centralizētu muitošanu ir ratificējusi lielākā daļa dalībvalstu, taču process vēl nav pabeigts. Līdz ar to ir maz ticams, ka konvencija stāsies spēkā 2016. gada 1. maijā, jo atbilstīgi tās 7. panta 3. punktam pēdējai parakstītājai dalībvalstij ir jāpaziņo visu iekšējo procedūru pabeigšana 90 dienas pirms šā datuma.</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Tāpēc līdz konvencijas spēkā stāšanās brīdim jebkura dalībvalsts var paziņot, ka tā piemēros konvenciju attiecībās ar tām dalībvalstīm, kas ir sniegušas tādu pašu paziņojumu.</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Vai arī līdz konvencijas spēkā stāšanās brīdim ir ieteicams pagarināt administratīvās vienošanās. Šādā gadījumā ir jāatjaunina administratīvās vienošanās veidlapa, lai norādītu ar SMK/Komisiju saistītos aktus un varētu to izmantot centralizētas muitošanas atļaujām pēc 2016. gada 1. maija.</w:t>
      </w:r>
    </w:p>
    <w:p w:rsidR="00426ED5" w:rsidRDefault="00426ED5" w:rsidP="00426ED5">
      <w:pPr>
        <w:pStyle w:val="Virsraksts2"/>
        <w:tabs>
          <w:tab w:val="left" w:pos="818"/>
        </w:tabs>
        <w:jc w:val="both"/>
        <w:rPr>
          <w:noProof/>
        </w:rPr>
      </w:pPr>
    </w:p>
    <w:p w:rsidR="00211065" w:rsidRPr="00E030BE" w:rsidRDefault="00426ED5" w:rsidP="00E030BE">
      <w:pPr>
        <w:pStyle w:val="Virsraksts2"/>
        <w:rPr>
          <w:b/>
        </w:rPr>
      </w:pPr>
      <w:bookmarkStart w:id="120" w:name="_Toc490734302"/>
      <w:r w:rsidRPr="00E030BE">
        <w:rPr>
          <w:b/>
        </w:rPr>
        <w:t>2.4.7. Apvienošana ar standarta deklarāciju vai vienkāršoto deklarāciju</w:t>
      </w:r>
      <w:bookmarkStart w:id="121" w:name="_bookmark41"/>
      <w:bookmarkEnd w:id="121"/>
      <w:bookmarkEnd w:id="120"/>
    </w:p>
    <w:p w:rsidR="00211065" w:rsidRPr="003E628F" w:rsidRDefault="00211065" w:rsidP="003E628F">
      <w:pPr>
        <w:jc w:val="both"/>
        <w:rPr>
          <w:rFonts w:ascii="Times New Roman" w:eastAsia="Times New Roman" w:hAnsi="Times New Roman" w:cs="Times New Roman"/>
          <w:b/>
          <w:bCs/>
          <w:i/>
          <w:noProof/>
          <w:sz w:val="24"/>
          <w:szCs w:val="20"/>
        </w:rPr>
      </w:pPr>
    </w:p>
    <w:p w:rsidR="00211065" w:rsidRPr="003E628F" w:rsidRDefault="00211065" w:rsidP="003E628F">
      <w:pPr>
        <w:pStyle w:val="Pamatteksts"/>
        <w:ind w:left="0"/>
        <w:jc w:val="both"/>
        <w:rPr>
          <w:noProof/>
        </w:rPr>
      </w:pPr>
      <w:r>
        <w:t>Saskaņā ar ĪA 231. pantu centralizētu muitošanu var izmantot kopā ar standarta deklarācijas iesniegšanu uzraudzības muitas iestādē. Tā var būt arī vienkāršotā deklarācija neatkarīgi no tā, vai tā tiek vai netiek regulāri izmantota.</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ind w:firstLine="240"/>
        <w:jc w:val="both"/>
        <w:rPr>
          <w:rFonts w:ascii="Times New Roman" w:hAnsi="Times New Roman"/>
          <w:i/>
          <w:noProof/>
          <w:color w:val="17365D"/>
          <w:sz w:val="24"/>
        </w:rPr>
      </w:pPr>
      <w:r>
        <w:rPr>
          <w:rFonts w:ascii="Times New Roman" w:hAnsi="Times New Roman"/>
          <w:i/>
          <w:noProof/>
          <w:color w:val="17365D"/>
          <w:sz w:val="24"/>
        </w:rPr>
        <w:t>Piemērs. Centralizēta muitošana ir atļauta ar standarta deklarāciju, taču reizi mēnesī tās vietā tiek iesniegta vienkāršotā deklarācija bez atļaujas, jo tā netiek iesniegta regulāri.</w:t>
      </w:r>
    </w:p>
    <w:p w:rsidR="00211065" w:rsidRPr="003E628F" w:rsidRDefault="00211065" w:rsidP="003E628F">
      <w:pPr>
        <w:jc w:val="both"/>
        <w:rPr>
          <w:rFonts w:ascii="Times New Roman" w:eastAsia="Times New Roman" w:hAnsi="Times New Roman" w:cs="Times New Roman"/>
          <w:i/>
          <w:noProof/>
          <w:sz w:val="24"/>
          <w:szCs w:val="20"/>
        </w:rPr>
      </w:pPr>
    </w:p>
    <w:p w:rsidR="00211065" w:rsidRPr="003E628F" w:rsidRDefault="00211065" w:rsidP="003E628F">
      <w:pPr>
        <w:pStyle w:val="Pamatteksts"/>
        <w:ind w:left="0"/>
        <w:jc w:val="both"/>
        <w:rPr>
          <w:noProof/>
        </w:rPr>
      </w:pPr>
      <w:r>
        <w:t xml:space="preserve">ĪA 231. pantā izklāstīti dažādi ziņojumu apmaiņas paņēmieni, kas tiek izmantoti starp uzraudzības muitas iestādi un uzrādīšanas muitas iestādi, lai nodrošinātu preču kontroli un/vai </w:t>
      </w:r>
      <w:r>
        <w:lastRenderedPageBreak/>
        <w:t>izlaišanu (papildu informācija sniegta 2.4.7. punktā).</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Fiskālu un ar statistiku saistītu iemeslu dēļ un saskaņā ar ĪA 231. un 232. pantu uzraudzības muitas iestāde nosūta standarta vai vienkāršoto deklarāciju uzrādīšanas muitas iestādei un vēlāk, pēc preču izlaišanas, informē uzrādīšanas muitas iestādi par visiem muitas deklarācijas grozījumiem vai deklarācijas atzīšanu par nederīgu.</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jc w:val="both"/>
        <w:rPr>
          <w:rFonts w:ascii="Times New Roman" w:eastAsia="Times New Roman" w:hAnsi="Times New Roman" w:cs="Times New Roman"/>
          <w:noProof/>
          <w:sz w:val="24"/>
          <w:szCs w:val="24"/>
        </w:rPr>
      </w:pPr>
      <w:r>
        <w:rPr>
          <w:rFonts w:ascii="Times New Roman" w:hAnsi="Times New Roman"/>
          <w:i/>
          <w:noProof/>
          <w:color w:val="49442A"/>
          <w:sz w:val="24"/>
          <w:u w:val="single" w:color="49442A"/>
        </w:rPr>
        <w:t>Jāņem vērā!</w:t>
      </w:r>
      <w:r>
        <w:t xml:space="preserve"> </w:t>
      </w:r>
      <w:r>
        <w:rPr>
          <w:rFonts w:ascii="Times New Roman" w:hAnsi="Times New Roman"/>
          <w:i/>
          <w:noProof/>
          <w:color w:val="49442A"/>
          <w:sz w:val="24"/>
        </w:rPr>
        <w:t>Vienkāršotās deklarācijas (vai ieraksta deklarētāja reģistros) gadījumā uzrādīšanas muitas iestādei jādara pieejama arī papildu deklarācija (un visi grozījumi vai atzīšana par nederīgu).</w:t>
      </w:r>
    </w:p>
    <w:p w:rsidR="00211065" w:rsidRPr="003E628F" w:rsidRDefault="00211065" w:rsidP="003E628F">
      <w:pPr>
        <w:jc w:val="both"/>
        <w:rPr>
          <w:rFonts w:ascii="Times New Roman" w:eastAsia="Times New Roman" w:hAnsi="Times New Roman" w:cs="Times New Roman"/>
          <w:i/>
          <w:noProof/>
          <w:sz w:val="24"/>
          <w:szCs w:val="21"/>
        </w:rPr>
      </w:pPr>
    </w:p>
    <w:p w:rsidR="00211065" w:rsidRPr="00E030BE" w:rsidRDefault="00426ED5" w:rsidP="00E030BE">
      <w:pPr>
        <w:pStyle w:val="Virsraksts2"/>
        <w:rPr>
          <w:b/>
        </w:rPr>
      </w:pPr>
      <w:bookmarkStart w:id="122" w:name="_Toc490734303"/>
      <w:r w:rsidRPr="00E030BE">
        <w:rPr>
          <w:b/>
        </w:rPr>
        <w:t>2.4.8. Centralizētas muitošanas apvienošana ar EIDR kopā ar uzrādīšanas paziņojumu un bez uzrādīšanas paziņojuma</w:t>
      </w:r>
      <w:bookmarkStart w:id="123" w:name="_bookmark42"/>
      <w:bookmarkEnd w:id="123"/>
      <w:bookmarkEnd w:id="122"/>
    </w:p>
    <w:p w:rsidR="00211065" w:rsidRPr="003E628F" w:rsidRDefault="00211065" w:rsidP="003E628F">
      <w:pPr>
        <w:jc w:val="both"/>
        <w:rPr>
          <w:rFonts w:ascii="Times New Roman" w:eastAsia="Times New Roman" w:hAnsi="Times New Roman" w:cs="Times New Roman"/>
          <w:b/>
          <w:bCs/>
          <w:i/>
          <w:noProof/>
          <w:sz w:val="24"/>
          <w:szCs w:val="20"/>
        </w:rPr>
      </w:pPr>
    </w:p>
    <w:p w:rsidR="00211065" w:rsidRPr="003E628F" w:rsidRDefault="00211065" w:rsidP="003E628F">
      <w:pPr>
        <w:pStyle w:val="Pamatteksts"/>
        <w:ind w:left="0"/>
        <w:jc w:val="both"/>
        <w:rPr>
          <w:noProof/>
        </w:rPr>
      </w:pPr>
      <w:r>
        <w:t xml:space="preserve">Ja centralizēta muitošana tiek apvienota ar </w:t>
      </w:r>
      <w:r>
        <w:rPr>
          <w:i/>
        </w:rPr>
        <w:t>EIDR</w:t>
      </w:r>
      <w:r>
        <w:t xml:space="preserve"> atļauju un uzrādīšanas paziņojumu, piemēro ĪA 234., 235. un 236. pantu.</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rPr>
          <w:noProof/>
          <w:u w:val="single" w:color="000000"/>
        </w:rPr>
        <w:t>Papildus šiem pantiem un gadījumā, ja saskaņā ar SMK 182. panta 3. punktu piešķirts uzrādīšanas atbrīvojums</w:t>
      </w:r>
      <w:r>
        <w:t>, atļaujas turētājam ir jāizpilda ĪA 234. panta 1. punkta f) apakšpunktā noteiktie pienākumi.</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firstLine="60"/>
        <w:jc w:val="both"/>
        <w:rPr>
          <w:noProof/>
        </w:rPr>
      </w:pPr>
      <w:r>
        <w:t>Atļaujas turētājs nodrošina, ka pagaidu uzglabāšanas vietu atļaujas turētājam ir nepieciešamā informācija, lai pierādītu pagaidu uzglabāšanas noslēgšanu.</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firstLine="62"/>
        <w:jc w:val="both"/>
        <w:rPr>
          <w:noProof/>
        </w:rPr>
      </w:pPr>
      <w:r>
        <w:t>Līdz ar to no vienošanās starp atļauju turētājiem atkarīgs tas, lai pagaidu uzglabāšanas vietu atļaujas turētājs varētu slēgt pagaidu uzglabāšanu iesaistītās dalībvalsts sistēmā (sk. 2.3.7. punktu). Šāda vienošanās nav nepieciešama tajās dalībvalstīs, kurās tiek izmantotas elektroniska izlaišanas paziņojuma priekšrocības.</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rPr>
          <w:noProof/>
          <w:u w:val="single" w:color="000000"/>
        </w:rPr>
        <w:t xml:space="preserve">Ja centralizēta muitošana ir apvienota ar </w:t>
      </w:r>
      <w:r>
        <w:rPr>
          <w:i/>
          <w:noProof/>
          <w:u w:val="single" w:color="000000"/>
        </w:rPr>
        <w:t>EIDR</w:t>
      </w:r>
      <w:r>
        <w:rPr>
          <w:noProof/>
          <w:u w:val="single" w:color="000000"/>
        </w:rPr>
        <w:t xml:space="preserve"> un pašnovērtējumu (trīs atļaujas)</w:t>
      </w:r>
      <w:r>
        <w:t xml:space="preserve"> un muitai ir pieejama papildu deklarācija tirgotāja IT sistēmā, uzraudzības muitas iestādes pienākums ir nosūtīt šīs deklarācijas datus uzrādīšanas muitas iestādei (ĪA 232. panta 2. punkts) uzraudzības, PVN un statistikas vajadzībām.</w:t>
      </w:r>
    </w:p>
    <w:p w:rsidR="00211065" w:rsidRPr="003E628F" w:rsidRDefault="00211065" w:rsidP="003E628F">
      <w:pPr>
        <w:jc w:val="both"/>
        <w:rPr>
          <w:rFonts w:ascii="Times New Roman" w:eastAsia="Times New Roman" w:hAnsi="Times New Roman" w:cs="Times New Roman"/>
          <w:noProof/>
          <w:sz w:val="24"/>
          <w:szCs w:val="21"/>
        </w:rPr>
      </w:pPr>
    </w:p>
    <w:p w:rsidR="00211065" w:rsidRPr="00E030BE" w:rsidRDefault="00426ED5" w:rsidP="00E030BE">
      <w:pPr>
        <w:pStyle w:val="Virsraksts2"/>
        <w:rPr>
          <w:b/>
        </w:rPr>
      </w:pPr>
      <w:bookmarkStart w:id="124" w:name="_Toc490734304"/>
      <w:r w:rsidRPr="00E030BE">
        <w:rPr>
          <w:b/>
        </w:rPr>
        <w:t>2.4.9. Ārējie jautājumi nav saskaņoti</w:t>
      </w:r>
      <w:bookmarkStart w:id="125" w:name="_bookmark43"/>
      <w:bookmarkEnd w:id="125"/>
      <w:bookmarkEnd w:id="124"/>
    </w:p>
    <w:p w:rsidR="00211065" w:rsidRPr="003E628F" w:rsidRDefault="00211065" w:rsidP="003E628F">
      <w:pPr>
        <w:jc w:val="both"/>
        <w:rPr>
          <w:rFonts w:ascii="Times New Roman" w:eastAsia="Times New Roman" w:hAnsi="Times New Roman" w:cs="Times New Roman"/>
          <w:b/>
          <w:bCs/>
          <w:i/>
          <w:noProof/>
          <w:sz w:val="24"/>
          <w:szCs w:val="20"/>
        </w:rPr>
      </w:pPr>
    </w:p>
    <w:p w:rsidR="00211065" w:rsidRPr="003E628F" w:rsidRDefault="00426ED5" w:rsidP="00426ED5">
      <w:pPr>
        <w:tabs>
          <w:tab w:val="left" w:pos="369"/>
        </w:tabs>
        <w:jc w:val="both"/>
        <w:rPr>
          <w:rFonts w:ascii="Times New Roman" w:hAnsi="Times New Roman"/>
          <w:b/>
          <w:noProof/>
          <w:sz w:val="24"/>
        </w:rPr>
      </w:pPr>
      <w:r>
        <w:rPr>
          <w:rFonts w:ascii="Times New Roman" w:hAnsi="Times New Roman"/>
          <w:b/>
          <w:noProof/>
          <w:sz w:val="24"/>
        </w:rPr>
        <w:t>a) Statistika</w:t>
      </w:r>
    </w:p>
    <w:p w:rsidR="00211065" w:rsidRPr="003E628F" w:rsidRDefault="00211065" w:rsidP="003E628F">
      <w:pPr>
        <w:jc w:val="both"/>
        <w:rPr>
          <w:rFonts w:ascii="Times New Roman" w:eastAsia="Times New Roman" w:hAnsi="Times New Roman" w:cs="Times New Roman"/>
          <w:b/>
          <w:bCs/>
          <w:noProof/>
          <w:sz w:val="24"/>
          <w:szCs w:val="20"/>
        </w:rPr>
      </w:pPr>
    </w:p>
    <w:p w:rsidR="00211065" w:rsidRPr="003E628F" w:rsidRDefault="00211065" w:rsidP="003E628F">
      <w:pPr>
        <w:pStyle w:val="Pamatteksts"/>
        <w:ind w:left="0"/>
        <w:jc w:val="both"/>
        <w:rPr>
          <w:noProof/>
        </w:rPr>
      </w:pPr>
      <w:r>
        <w:rPr>
          <w:i/>
          <w:noProof/>
        </w:rPr>
        <w:t>Extrastat tiesību aktos (Extrastat regulas Nr. 471/2009 7. panta 2. punktā)</w:t>
      </w:r>
      <w:r>
        <w:t xml:space="preserve"> noteikts, ka, sākot “īstenot mehānismu datu savstarpējai apmaiņai, izmantojot elektroniskus līdzekļus”, atļaujas sniedzējai dalībvalstij ir jānosūta muitas deklarāciju dati statistikas vajadzībām citu dalībvalstu muitas dienestiem (kam pēc tam jāpārsūta šie dati savas valsts statistikas birojam). Statistikas birojs šos datus izmantos ES ārējās tirdzniecības statistikas (un valsts statistikas) sagatavošanai.</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 xml:space="preserve">Uzlabojums salīdzinājumā ar </w:t>
      </w:r>
      <w:r>
        <w:rPr>
          <w:i/>
        </w:rPr>
        <w:t>SASP</w:t>
      </w:r>
      <w:r>
        <w:t xml:space="preserve"> prasībām, ieviešot plānoto importa centralizētās muitošanas un automatizēto eksporta kontroles sistēmu, ir tas, ka atļaujas turētājam vairs nebūs jāsazinās ar iesaistītās dalībvalsts statistikas iestādēm.</w:t>
      </w:r>
    </w:p>
    <w:p w:rsidR="00E030BE" w:rsidRDefault="00E030BE">
      <w:pPr>
        <w:rPr>
          <w:rFonts w:ascii="Times New Roman" w:eastAsia="Times New Roman" w:hAnsi="Times New Roman" w:cs="Times New Roman"/>
          <w:noProof/>
          <w:sz w:val="24"/>
          <w:szCs w:val="21"/>
        </w:rPr>
      </w:pPr>
      <w:r>
        <w:rPr>
          <w:rFonts w:ascii="Times New Roman" w:eastAsia="Times New Roman" w:hAnsi="Times New Roman" w:cs="Times New Roman"/>
          <w:noProof/>
          <w:sz w:val="24"/>
          <w:szCs w:val="21"/>
        </w:rPr>
        <w:br w:type="page"/>
      </w:r>
    </w:p>
    <w:p w:rsidR="00211065" w:rsidRPr="003E628F" w:rsidRDefault="00211065" w:rsidP="003E628F">
      <w:pPr>
        <w:jc w:val="both"/>
        <w:rPr>
          <w:rFonts w:ascii="Times New Roman" w:eastAsia="Times New Roman" w:hAnsi="Times New Roman" w:cs="Times New Roman"/>
          <w:noProof/>
          <w:sz w:val="24"/>
          <w:szCs w:val="21"/>
        </w:rPr>
      </w:pPr>
    </w:p>
    <w:p w:rsidR="00211065" w:rsidRPr="003E628F" w:rsidRDefault="00426ED5" w:rsidP="00426ED5">
      <w:pPr>
        <w:pStyle w:val="Virsraksts1"/>
        <w:tabs>
          <w:tab w:val="left" w:pos="384"/>
        </w:tabs>
        <w:jc w:val="both"/>
        <w:rPr>
          <w:noProof/>
        </w:rPr>
      </w:pPr>
      <w:bookmarkStart w:id="126" w:name="_Toc490734305"/>
      <w:r>
        <w:t>b) Prasības attiecībā uz importa PVN</w:t>
      </w:r>
      <w:bookmarkEnd w:id="126"/>
    </w:p>
    <w:p w:rsidR="00211065" w:rsidRPr="003E628F" w:rsidRDefault="00211065" w:rsidP="003E628F">
      <w:pPr>
        <w:jc w:val="both"/>
        <w:rPr>
          <w:rFonts w:ascii="Times New Roman" w:eastAsia="Times New Roman" w:hAnsi="Times New Roman" w:cs="Times New Roman"/>
          <w:b/>
          <w:bCs/>
          <w:noProof/>
          <w:sz w:val="24"/>
          <w:szCs w:val="20"/>
        </w:rPr>
      </w:pPr>
    </w:p>
    <w:p w:rsidR="00211065" w:rsidRPr="003E628F" w:rsidRDefault="00211065" w:rsidP="003E628F">
      <w:pPr>
        <w:pStyle w:val="Pamatteksts"/>
        <w:ind w:left="0"/>
        <w:jc w:val="both"/>
        <w:rPr>
          <w:noProof/>
        </w:rPr>
      </w:pPr>
      <w:r>
        <w:t>Atļaujas turētājs nodrošina, ka maksājums tiek pienācīgi veikts attiecīgajā dalībvalstī.</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Iesaistīto dalībvalstu prasības attiecībā uz importa PVN datu iesniegšanu jāiekļauj atļaujā vai kā atļaujas pielikums.</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PVN prasības ir jānoskaidro atļaujas sniedzējas dalībvalsts un iesaistītās dalībvalsts apspriešanās procedūrā. Apspriešanās procedūrā jānoskaidro arī atļaujas turētāja pienākums saņemt PVN maksātāja numuru vai iecelt fiskālo pārstāvi iesaistītajā dalībvalstī, lai pieteikuma iesniedzējs varētu izpildīt šo prasību pirms atļaujas izsniegšanas.</w:t>
      </w:r>
    </w:p>
    <w:p w:rsidR="00211065" w:rsidRPr="003E628F" w:rsidRDefault="00211065" w:rsidP="003E628F">
      <w:pPr>
        <w:jc w:val="both"/>
        <w:rPr>
          <w:rFonts w:ascii="Times New Roman" w:eastAsia="Times New Roman" w:hAnsi="Times New Roman" w:cs="Times New Roman"/>
          <w:noProof/>
          <w:sz w:val="24"/>
          <w:szCs w:val="21"/>
        </w:rPr>
      </w:pPr>
    </w:p>
    <w:p w:rsidR="00211065" w:rsidRPr="003E628F" w:rsidRDefault="00426ED5" w:rsidP="00426ED5">
      <w:pPr>
        <w:pStyle w:val="Virsraksts1"/>
        <w:tabs>
          <w:tab w:val="left" w:pos="355"/>
        </w:tabs>
        <w:jc w:val="both"/>
        <w:rPr>
          <w:noProof/>
        </w:rPr>
      </w:pPr>
      <w:bookmarkStart w:id="127" w:name="_Toc490734306"/>
      <w:r>
        <w:t>c) Akcīzes preces</w:t>
      </w:r>
      <w:bookmarkEnd w:id="127"/>
    </w:p>
    <w:p w:rsidR="00211065" w:rsidRPr="003E628F" w:rsidRDefault="00211065" w:rsidP="003E628F">
      <w:pPr>
        <w:jc w:val="both"/>
        <w:rPr>
          <w:rFonts w:ascii="Times New Roman" w:eastAsia="Times New Roman" w:hAnsi="Times New Roman" w:cs="Times New Roman"/>
          <w:b/>
          <w:bCs/>
          <w:noProof/>
          <w:sz w:val="24"/>
          <w:szCs w:val="20"/>
        </w:rPr>
      </w:pPr>
    </w:p>
    <w:p w:rsidR="00211065" w:rsidRPr="003E628F" w:rsidRDefault="00211065" w:rsidP="003E628F">
      <w:pPr>
        <w:pStyle w:val="Pamatteksts"/>
        <w:ind w:left="0"/>
        <w:jc w:val="both"/>
        <w:rPr>
          <w:noProof/>
        </w:rPr>
      </w:pPr>
      <w:r>
        <w:t>Saistībā ar akcīzes preču importu centralizēta muitošana attiecas vienīgi uz to muitas formalitāšu centralizēšanu, kas saistītas ar akcīzes preču laišanu brīvā apgrozībā. Preču laišana brīvā apgrozībā fiziski notiek uzrādīšanas dalībvalstī, tāpēc uzraudzības dalībvalstij ir jāsniedz akcīzes dienestiem uzrādīšanas dalībvalstī nepieciešamā informācija, lai varētu noteikt importētājam vai tā pārstāvim uzrādīšanas dalībvalstī akcīzes parādu vai pārliecinātos, ka reģistrēta nosūtītāja iesniegtais elektroniskā administratīvā dokumenta (</w:t>
      </w:r>
      <w:r>
        <w:rPr>
          <w:i/>
        </w:rPr>
        <w:t>e-AD</w:t>
      </w:r>
      <w:r>
        <w:t>) projekts atbilst importa deklarācijas saturam, ja ir plānots laist preces brīvā apgrozībā akcīzes preču noliktavā, vai lai sāktu pārvietošanu nodokļa atlikšanas režīmā akcīzes preču pārvietošanas un kontroles sistēmā (</w:t>
      </w:r>
      <w:r>
        <w:rPr>
          <w:i/>
        </w:rPr>
        <w:t>EMCS</w:t>
      </w:r>
      <w:r>
        <w:t>).</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 xml:space="preserve">Reģistrētais saņēmējs var iesniegt </w:t>
      </w:r>
      <w:r>
        <w:rPr>
          <w:i/>
        </w:rPr>
        <w:t>e-AD</w:t>
      </w:r>
      <w:r>
        <w:t xml:space="preserve"> projektu uzrādīšanas dalībvalstī, un akcīzes dienests saņem nepieciešamos datus no uzrādīšanas muitas iestādes, lai varētu veikt šķērspārbaudi. Arī tad, ja preces tiek izlaistas patēriņam, akcīzes dienestiem būtu nepieciešami dati no importa deklarācijas, lai aprēķinātu maksājamo akcīzes nodokli. Tām var arī nākties informēt uzrādīšanas muitas iestādi par to, ka tās neiebilst, ka uzņēmums maksā parādu atlikšanas kontā, lai to varētu nodot atpakaļ uzraudzības muitas iestādei.</w:t>
      </w:r>
    </w:p>
    <w:p w:rsidR="00211065" w:rsidRPr="003E628F" w:rsidRDefault="00211065" w:rsidP="003E628F">
      <w:pPr>
        <w:jc w:val="both"/>
        <w:rPr>
          <w:rFonts w:ascii="Times New Roman" w:eastAsia="Times New Roman" w:hAnsi="Times New Roman" w:cs="Times New Roman"/>
          <w:noProof/>
          <w:sz w:val="24"/>
          <w:szCs w:val="21"/>
        </w:rPr>
      </w:pPr>
    </w:p>
    <w:p w:rsidR="00211065" w:rsidRPr="00E030BE" w:rsidRDefault="00426ED5" w:rsidP="00E030BE">
      <w:pPr>
        <w:pStyle w:val="Virsraksts2"/>
        <w:rPr>
          <w:b/>
        </w:rPr>
      </w:pPr>
      <w:bookmarkStart w:id="128" w:name="_Toc490734307"/>
      <w:r w:rsidRPr="00E030BE">
        <w:rPr>
          <w:b/>
        </w:rPr>
        <w:t>2.4.10. Kontroles plāna sagatavošana attiecīgajā gadījumā</w:t>
      </w:r>
      <w:bookmarkStart w:id="129" w:name="_bookmark44"/>
      <w:bookmarkEnd w:id="129"/>
      <w:bookmarkEnd w:id="128"/>
    </w:p>
    <w:p w:rsidR="00211065" w:rsidRPr="003E628F" w:rsidRDefault="00211065" w:rsidP="003E628F">
      <w:pPr>
        <w:jc w:val="both"/>
        <w:rPr>
          <w:rFonts w:ascii="Times New Roman" w:eastAsia="Times New Roman" w:hAnsi="Times New Roman" w:cs="Times New Roman"/>
          <w:b/>
          <w:bCs/>
          <w:i/>
          <w:noProof/>
          <w:sz w:val="24"/>
          <w:szCs w:val="20"/>
        </w:rPr>
      </w:pPr>
    </w:p>
    <w:p w:rsidR="00211065" w:rsidRPr="003E628F" w:rsidRDefault="00211065" w:rsidP="003E628F">
      <w:pPr>
        <w:pStyle w:val="Pamatteksts"/>
        <w:ind w:left="0"/>
        <w:jc w:val="both"/>
        <w:rPr>
          <w:noProof/>
        </w:rPr>
      </w:pPr>
      <w:r>
        <w:t xml:space="preserve">Saskaņā ar ĪA 233. panta 1. un 4. punktu kontroles plāns ir obligāts, ja centralizēta muitošana tiek apvienota ar </w:t>
      </w:r>
      <w:r>
        <w:rPr>
          <w:i/>
        </w:rPr>
        <w:t>EIDR</w:t>
      </w:r>
      <w:r>
        <w:t xml:space="preserve"> atļauju. Šajā gadījumā kontroles plānā noteikta pienākumu sadale starp atļaujas sniedzēju dalībvalsti un iesaistīto dalībvalsti, kā arī starp uzraudzības muitas iestādi un uzrādīšanas muitas iestādi atbilstīgi tam, kā noteikts ĪA 233. panta 4. punktā. Kontroles plāns attiecībā uz </w:t>
      </w:r>
      <w:r>
        <w:rPr>
          <w:i/>
        </w:rPr>
        <w:t>EIDR</w:t>
      </w:r>
      <w:r>
        <w:t xml:space="preserve"> ar centralizētās muitošanas specifiku vienmēr ir jāsagatavo atļaujas sniedzējai dalībvalstij un jādara zināms iesaistītajai dalībvalstij.</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jc w:val="both"/>
        <w:rPr>
          <w:rFonts w:ascii="Times New Roman" w:eastAsia="Times New Roman" w:hAnsi="Times New Roman" w:cs="Times New Roman"/>
          <w:noProof/>
          <w:sz w:val="24"/>
          <w:szCs w:val="24"/>
        </w:rPr>
      </w:pPr>
      <w:r>
        <w:rPr>
          <w:rFonts w:ascii="Times New Roman" w:hAnsi="Times New Roman"/>
          <w:noProof/>
          <w:sz w:val="24"/>
        </w:rPr>
        <w:t xml:space="preserve">Tajā jāņem vērā arī aizliegumi un ierobežojumi, kas piemērojami vietā, kur atrodas uzrādīšanas muitas iestāde </w:t>
      </w:r>
      <w:r>
        <w:rPr>
          <w:rFonts w:ascii="Times New Roman" w:hAnsi="Times New Roman"/>
          <w:i/>
          <w:noProof/>
          <w:sz w:val="24"/>
        </w:rPr>
        <w:t>(sk. pielikumu “Kopīgas kontroles plāns”).</w:t>
      </w:r>
    </w:p>
    <w:p w:rsidR="00426ED5" w:rsidRDefault="00426ED5" w:rsidP="003E628F">
      <w:pPr>
        <w:pStyle w:val="Pamatteksts"/>
        <w:ind w:left="0"/>
        <w:jc w:val="both"/>
        <w:rPr>
          <w:noProof/>
        </w:rPr>
      </w:pPr>
    </w:p>
    <w:p w:rsidR="00211065" w:rsidRPr="003E628F" w:rsidRDefault="00211065" w:rsidP="003E628F">
      <w:pPr>
        <w:pStyle w:val="Pamatteksts"/>
        <w:ind w:left="0"/>
        <w:jc w:val="both"/>
        <w:rPr>
          <w:noProof/>
        </w:rPr>
      </w:pPr>
      <w:r>
        <w:t xml:space="preserve">Papildus kontroles plānam attiecībā uz </w:t>
      </w:r>
      <w:r>
        <w:rPr>
          <w:i/>
        </w:rPr>
        <w:t>EIDR</w:t>
      </w:r>
      <w:r>
        <w:t xml:space="preserve"> ir pievienotas dažas īpašas tabulas / informācija par pienākumu sadali starp dalībvalstīm, kas paskaidro, kā rīkoties, piemēram, paziņošanas atbrīvojuma gadījumā.</w:t>
      </w:r>
    </w:p>
    <w:p w:rsidR="00E030BE" w:rsidRDefault="00E030BE">
      <w:pPr>
        <w:rPr>
          <w:rFonts w:ascii="Times New Roman" w:eastAsia="Times New Roman" w:hAnsi="Times New Roman" w:cs="Times New Roman"/>
          <w:noProof/>
          <w:sz w:val="24"/>
          <w:szCs w:val="21"/>
        </w:rPr>
      </w:pPr>
      <w:r>
        <w:rPr>
          <w:rFonts w:ascii="Times New Roman" w:eastAsia="Times New Roman" w:hAnsi="Times New Roman" w:cs="Times New Roman"/>
          <w:noProof/>
          <w:sz w:val="24"/>
          <w:szCs w:val="21"/>
        </w:rPr>
        <w:br w:type="page"/>
      </w:r>
    </w:p>
    <w:p w:rsidR="00211065" w:rsidRPr="003E628F" w:rsidRDefault="00211065" w:rsidP="003E628F">
      <w:pPr>
        <w:jc w:val="both"/>
        <w:rPr>
          <w:rFonts w:ascii="Times New Roman" w:eastAsia="Times New Roman" w:hAnsi="Times New Roman" w:cs="Times New Roman"/>
          <w:noProof/>
          <w:sz w:val="24"/>
          <w:szCs w:val="21"/>
        </w:rPr>
      </w:pPr>
    </w:p>
    <w:p w:rsidR="00211065" w:rsidRPr="00E030BE" w:rsidRDefault="00426ED5" w:rsidP="00E030BE">
      <w:pPr>
        <w:pStyle w:val="Virsraksts2"/>
        <w:rPr>
          <w:b/>
        </w:rPr>
      </w:pPr>
      <w:bookmarkStart w:id="130" w:name="_Toc490734308"/>
      <w:r w:rsidRPr="00E030BE">
        <w:rPr>
          <w:b/>
        </w:rPr>
        <w:t>2.4.11. Procesuāli noteikumi. Informācijas apmaiņa (kad ir gatavas visas ar konkrēto atļauju saistīto dalībvalstu IT sistēmas)</w:t>
      </w:r>
      <w:bookmarkStart w:id="131" w:name="_bookmark45"/>
      <w:bookmarkEnd w:id="131"/>
      <w:bookmarkEnd w:id="130"/>
    </w:p>
    <w:p w:rsidR="00211065" w:rsidRPr="003E628F" w:rsidRDefault="00211065" w:rsidP="003E628F">
      <w:pPr>
        <w:jc w:val="both"/>
        <w:rPr>
          <w:rFonts w:ascii="Times New Roman" w:eastAsia="Times New Roman" w:hAnsi="Times New Roman" w:cs="Times New Roman"/>
          <w:b/>
          <w:bCs/>
          <w:i/>
          <w:noProof/>
          <w:sz w:val="24"/>
          <w:szCs w:val="20"/>
        </w:rPr>
      </w:pPr>
    </w:p>
    <w:p w:rsidR="00211065" w:rsidRPr="003E628F" w:rsidRDefault="00426ED5" w:rsidP="00426ED5">
      <w:pPr>
        <w:tabs>
          <w:tab w:val="left" w:pos="374"/>
        </w:tabs>
        <w:jc w:val="both"/>
        <w:rPr>
          <w:rFonts w:ascii="Times New Roman" w:eastAsia="Times New Roman" w:hAnsi="Times New Roman" w:cs="Times New Roman"/>
          <w:noProof/>
          <w:sz w:val="24"/>
          <w:szCs w:val="24"/>
        </w:rPr>
      </w:pPr>
      <w:r>
        <w:rPr>
          <w:rFonts w:ascii="Times New Roman" w:hAnsi="Times New Roman"/>
          <w:b/>
          <w:noProof/>
          <w:sz w:val="24"/>
        </w:rPr>
        <w:t>a) Standarta deklarāciju un vienkāršotu deklarāciju gadījumā</w:t>
      </w:r>
      <w:r>
        <w:t xml:space="preserve"> </w:t>
      </w:r>
      <w:r>
        <w:rPr>
          <w:rFonts w:ascii="Times New Roman" w:hAnsi="Times New Roman"/>
          <w:noProof/>
          <w:sz w:val="24"/>
        </w:rPr>
        <w:t>uzraudzības muitas iestāde veiks automatizētu riska analīzi un pienācīgu kontroli saskaņā ar SMK 179. panta 3. punktu, pamatojoties uz muitas deklarāciju.</w:t>
      </w:r>
    </w:p>
    <w:p w:rsidR="00211065" w:rsidRPr="003E628F" w:rsidRDefault="00211065" w:rsidP="003E628F">
      <w:pPr>
        <w:jc w:val="both"/>
        <w:rPr>
          <w:rFonts w:ascii="Times New Roman" w:eastAsia="Times New Roman" w:hAnsi="Times New Roman" w:cs="Times New Roman"/>
          <w:noProof/>
          <w:sz w:val="24"/>
          <w:szCs w:val="21"/>
        </w:rPr>
      </w:pPr>
    </w:p>
    <w:p w:rsidR="00211065" w:rsidRPr="003E628F" w:rsidRDefault="00211065" w:rsidP="00426ED5">
      <w:pPr>
        <w:pStyle w:val="Pamatteksts"/>
        <w:numPr>
          <w:ilvl w:val="1"/>
          <w:numId w:val="33"/>
        </w:numPr>
        <w:tabs>
          <w:tab w:val="left" w:pos="1134"/>
        </w:tabs>
        <w:ind w:left="1134" w:hanging="425"/>
        <w:jc w:val="both"/>
        <w:rPr>
          <w:noProof/>
        </w:rPr>
      </w:pPr>
      <w:r>
        <w:t>Standarta vai vienkāršotā deklarācija tiek nosūtīta uzrādīšanas muitas iestādei kopā ar saistītās riska analīzes rezultātiem.</w:t>
      </w:r>
    </w:p>
    <w:p w:rsidR="00211065" w:rsidRPr="003E628F" w:rsidRDefault="00211065" w:rsidP="00426ED5">
      <w:pPr>
        <w:pStyle w:val="Pamatteksts"/>
        <w:numPr>
          <w:ilvl w:val="1"/>
          <w:numId w:val="33"/>
        </w:numPr>
        <w:tabs>
          <w:tab w:val="left" w:pos="1134"/>
        </w:tabs>
        <w:ind w:left="1134" w:hanging="425"/>
        <w:jc w:val="both"/>
        <w:rPr>
          <w:noProof/>
        </w:rPr>
      </w:pPr>
      <w:r>
        <w:t>Tā informē uzrādīšanas muitas iestādi par to, ka preces var izlaist vai ka nepieciešama muitas kontrole.</w:t>
      </w:r>
    </w:p>
    <w:p w:rsidR="00211065" w:rsidRPr="003E628F" w:rsidRDefault="00211065" w:rsidP="00426ED5">
      <w:pPr>
        <w:pStyle w:val="Pamatteksts"/>
        <w:numPr>
          <w:ilvl w:val="1"/>
          <w:numId w:val="33"/>
        </w:numPr>
        <w:tabs>
          <w:tab w:val="left" w:pos="1134"/>
        </w:tabs>
        <w:ind w:left="1134" w:hanging="425"/>
        <w:jc w:val="both"/>
        <w:rPr>
          <w:noProof/>
        </w:rPr>
      </w:pPr>
      <w:r>
        <w:t>Uzrādīšanas muitas iestāde pati veiks riska analīzi saskaņā ar valsts tiesību aktiem muitas jomā un citiem ar muitu nesaistītiem tiesību aktiem, lai noteiktu, vai tai ir jāveic kontrole. Ja šāda kontrole ir jāveic, tā informēs uzraudzības muitas iestādi par to, ka ir jāveic kontrole un ka tādēļ preces nevar izlaist nekavējoties (ĪA 231. panta 5. punkts).</w:t>
      </w:r>
    </w:p>
    <w:p w:rsidR="00211065" w:rsidRPr="003E628F" w:rsidRDefault="00211065" w:rsidP="00426ED5">
      <w:pPr>
        <w:pStyle w:val="Pamatteksts"/>
        <w:numPr>
          <w:ilvl w:val="1"/>
          <w:numId w:val="33"/>
        </w:numPr>
        <w:tabs>
          <w:tab w:val="left" w:pos="1134"/>
        </w:tabs>
        <w:ind w:left="1134" w:hanging="425"/>
        <w:jc w:val="both"/>
        <w:rPr>
          <w:noProof/>
        </w:rPr>
      </w:pPr>
      <w:r>
        <w:t>Ja šāda kontrole nav jāveic, tai ir jāapliecina jebkurš kontroles pieprasījums, kas saņemts no uzraudzības muitas iestādes (ĪA 231. panta 6. punkts).</w:t>
      </w:r>
    </w:p>
    <w:p w:rsidR="00211065" w:rsidRPr="003E628F" w:rsidRDefault="00211065" w:rsidP="00426ED5">
      <w:pPr>
        <w:pStyle w:val="Pamatteksts"/>
        <w:numPr>
          <w:ilvl w:val="1"/>
          <w:numId w:val="33"/>
        </w:numPr>
        <w:tabs>
          <w:tab w:val="left" w:pos="1134"/>
        </w:tabs>
        <w:ind w:left="1134" w:hanging="425"/>
        <w:jc w:val="both"/>
        <w:rPr>
          <w:noProof/>
        </w:rPr>
      </w:pPr>
      <w:r>
        <w:t>Tā veiks uzraudzības muitas iestādes pieprasīto kontroli un/vai savu kontroli un pēc tās pabeigšanas nosūtīs rezultātus uzraudzības muitas iestādei (SMK 179. panta 5. punkts).</w:t>
      </w:r>
    </w:p>
    <w:p w:rsidR="00211065" w:rsidRPr="003E628F" w:rsidRDefault="00211065" w:rsidP="00426ED5">
      <w:pPr>
        <w:pStyle w:val="Pamatteksts"/>
        <w:numPr>
          <w:ilvl w:val="1"/>
          <w:numId w:val="33"/>
        </w:numPr>
        <w:tabs>
          <w:tab w:val="left" w:pos="1134"/>
        </w:tabs>
        <w:ind w:left="1134" w:hanging="425"/>
        <w:jc w:val="both"/>
        <w:rPr>
          <w:noProof/>
        </w:rPr>
      </w:pPr>
      <w:r>
        <w:t>Saskaņā ar SMK 179. panta 6. punktu tikai uzraudzības muitas iestāde var pieņemt lēmumu par formālu preču izlaišanu, ņemot vērā iespējamās kontroles rezultātus, ko veikusi pati uzraudzības muitas iestāde vai uzrādīšanas muitas iestāde.</w:t>
      </w:r>
    </w:p>
    <w:p w:rsidR="00211065" w:rsidRPr="003E628F" w:rsidRDefault="00211065" w:rsidP="00426ED5">
      <w:pPr>
        <w:pStyle w:val="Pamatteksts"/>
        <w:numPr>
          <w:ilvl w:val="1"/>
          <w:numId w:val="33"/>
        </w:numPr>
        <w:tabs>
          <w:tab w:val="left" w:pos="1134"/>
        </w:tabs>
        <w:ind w:left="1134" w:hanging="425"/>
        <w:jc w:val="both"/>
        <w:rPr>
          <w:noProof/>
        </w:rPr>
      </w:pPr>
      <w:r>
        <w:t>Tai nekavējoties jāinformē uzrādīšanas muitas iestāde par preču izlaišanu saskaņā ar ĪA 231. panta 7. punktu.</w:t>
      </w:r>
    </w:p>
    <w:p w:rsidR="00211065" w:rsidRPr="003E628F" w:rsidRDefault="00211065" w:rsidP="00426ED5">
      <w:pPr>
        <w:pStyle w:val="Pamatteksts"/>
        <w:numPr>
          <w:ilvl w:val="1"/>
          <w:numId w:val="33"/>
        </w:numPr>
        <w:tabs>
          <w:tab w:val="left" w:pos="1134"/>
        </w:tabs>
        <w:ind w:left="1134" w:hanging="425"/>
        <w:jc w:val="both"/>
        <w:rPr>
          <w:noProof/>
        </w:rPr>
      </w:pPr>
      <w:r>
        <w:t>ĪA 232. panta 1. punkta b) apakšpunkts attiecas uz papildu deklarācijas iesniegšanu vienkāršotās deklarācijas gadījumā fiskālām vai ar statistiku saistītām vajadzībām.</w:t>
      </w:r>
    </w:p>
    <w:p w:rsidR="00211065" w:rsidRPr="003E628F" w:rsidRDefault="00211065" w:rsidP="00426ED5">
      <w:pPr>
        <w:pStyle w:val="Pamatteksts"/>
        <w:numPr>
          <w:ilvl w:val="1"/>
          <w:numId w:val="33"/>
        </w:numPr>
        <w:tabs>
          <w:tab w:val="left" w:pos="1134"/>
        </w:tabs>
        <w:ind w:left="1134" w:hanging="425"/>
        <w:jc w:val="both"/>
        <w:rPr>
          <w:noProof/>
        </w:rPr>
      </w:pPr>
      <w:r>
        <w:t>Grozījumi vai atzīšana par nederīgu jāpaziņo uzrādīšanas muitas iestādei saskaņā ar ĪA 232. pantu.</w:t>
      </w:r>
    </w:p>
    <w:p w:rsidR="00426ED5" w:rsidRDefault="00426ED5" w:rsidP="003E628F">
      <w:pPr>
        <w:pStyle w:val="Pamatteksts"/>
        <w:ind w:left="0"/>
        <w:jc w:val="both"/>
        <w:rPr>
          <w:noProof/>
        </w:rPr>
      </w:pPr>
    </w:p>
    <w:p w:rsidR="00211065" w:rsidRPr="003E628F" w:rsidRDefault="00211065" w:rsidP="003E628F">
      <w:pPr>
        <w:pStyle w:val="Pamatteksts"/>
        <w:ind w:left="0"/>
        <w:jc w:val="both"/>
        <w:rPr>
          <w:noProof/>
        </w:rPr>
      </w:pPr>
      <w:r>
        <w:t>Eksporta gadījumā ĪA 179. panta 7. pu</w:t>
      </w:r>
      <w:bookmarkStart w:id="132" w:name="_GoBack"/>
      <w:bookmarkEnd w:id="132"/>
      <w:r>
        <w:t>nkts [pants nav pareizs, tas nevarētu būt arī no SMK] nosaka, ka uzraudzības muitas iestādei ir jāapstrādā arī eksporta kontroles sistēmas ziņojumi, ar kuriem notikusi apmaiņa ar deklarēto izvešanas muitas iestādi.</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Tāpēc uzraudzības muitas iestādes ziņā atbilstīgi ĪA 334. pantam ir apliecināt deklarētājam preču izvešanu.</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426ED5" w:rsidP="00426ED5">
      <w:pPr>
        <w:pStyle w:val="Pamatteksts"/>
        <w:tabs>
          <w:tab w:val="left" w:pos="426"/>
        </w:tabs>
        <w:ind w:left="0"/>
        <w:jc w:val="both"/>
        <w:rPr>
          <w:noProof/>
        </w:rPr>
      </w:pPr>
      <w:r>
        <w:rPr>
          <w:b/>
          <w:noProof/>
        </w:rPr>
        <w:t xml:space="preserve">b) </w:t>
      </w:r>
      <w:r>
        <w:rPr>
          <w:b/>
          <w:i/>
          <w:noProof/>
        </w:rPr>
        <w:t>EIDR</w:t>
      </w:r>
      <w:r>
        <w:rPr>
          <w:b/>
          <w:noProof/>
        </w:rPr>
        <w:t xml:space="preserve"> gadījumā</w:t>
      </w:r>
      <w:r>
        <w:t xml:space="preserve"> uzrādīšanas paziņojums tiek iesniegts uzraudzības muitas iestādē, kas, pamatojoties uz saņemto informāciju, lems, vai nepieciešams veikt kontroli papildus kontroles plānā paredzētajiem pasākumiem.</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Tā pārsūtīs uzrādīšanas paziņojumu ar iespējamo kontroles pieprasījumu uzrādīšanas muitas iestādei.</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Piemēro ĪA 231. panta 5.–7. punktu, vienīgi ne uzraudzības muitas iestāde, ne uzrādīšanas muitas iestāde var nespēt nodrošināt uz darījumu balstītu, automatizētu riska analīzi.</w:t>
      </w:r>
    </w:p>
    <w:p w:rsidR="00211065" w:rsidRPr="003E628F" w:rsidRDefault="00211065" w:rsidP="003E628F">
      <w:pPr>
        <w:jc w:val="both"/>
        <w:rPr>
          <w:rFonts w:ascii="Times New Roman" w:hAnsi="Times New Roman"/>
          <w:i/>
          <w:noProof/>
          <w:sz w:val="24"/>
        </w:rPr>
      </w:pPr>
      <w:r>
        <w:rPr>
          <w:rFonts w:ascii="Times New Roman" w:hAnsi="Times New Roman"/>
          <w:i/>
          <w:noProof/>
          <w:sz w:val="24"/>
        </w:rPr>
        <w:t xml:space="preserve">Attiecībā uz standarta deklarācijas vai vienkāršotās deklarācijas 2.–8. punktu piemēro </w:t>
      </w:r>
      <w:r>
        <w:rPr>
          <w:rFonts w:ascii="Times New Roman" w:hAnsi="Times New Roman"/>
          <w:i/>
          <w:noProof/>
          <w:sz w:val="24"/>
        </w:rPr>
        <w:lastRenderedPageBreak/>
        <w:t>mutatis mutandis.</w:t>
      </w:r>
    </w:p>
    <w:p w:rsidR="00211065" w:rsidRPr="003E628F" w:rsidRDefault="00211065" w:rsidP="003E628F">
      <w:pPr>
        <w:jc w:val="both"/>
        <w:rPr>
          <w:rFonts w:ascii="Times New Roman" w:eastAsia="Times New Roman" w:hAnsi="Times New Roman" w:cs="Times New Roman"/>
          <w:i/>
          <w:noProof/>
          <w:sz w:val="24"/>
          <w:szCs w:val="20"/>
        </w:rPr>
      </w:pPr>
    </w:p>
    <w:p w:rsidR="00211065" w:rsidRPr="003E628F" w:rsidRDefault="00211065" w:rsidP="003E628F">
      <w:pPr>
        <w:pStyle w:val="Pamatteksts"/>
        <w:ind w:left="0"/>
        <w:jc w:val="both"/>
        <w:rPr>
          <w:noProof/>
        </w:rPr>
      </w:pPr>
      <w:r>
        <w:rPr>
          <w:b/>
          <w:noProof/>
        </w:rPr>
        <w:t>Eksporta gadījumā</w:t>
      </w:r>
      <w:r>
        <w:t xml:space="preserve"> piemēro DA 150. panta 4. punktā noteiktos </w:t>
      </w:r>
      <w:r>
        <w:rPr>
          <w:i/>
        </w:rPr>
        <w:t>EIDR</w:t>
      </w:r>
      <w:r>
        <w:t xml:space="preserve"> nosacījumus, ņemot vērā, ka saskaņā ar ĪA 1. panta 16. punktu centralizētas muitošanas gadījumā eksporta muitas iestāde ir uzraudzības muitas iestāde.</w:t>
      </w:r>
    </w:p>
    <w:p w:rsidR="00211065" w:rsidRPr="003E628F" w:rsidRDefault="00211065" w:rsidP="003E628F">
      <w:pPr>
        <w:jc w:val="both"/>
        <w:rPr>
          <w:rFonts w:ascii="Times New Roman" w:eastAsia="Times New Roman" w:hAnsi="Times New Roman" w:cs="Times New Roman"/>
          <w:noProof/>
          <w:sz w:val="24"/>
          <w:szCs w:val="21"/>
        </w:rPr>
      </w:pPr>
    </w:p>
    <w:p w:rsidR="00211065" w:rsidRPr="00E030BE" w:rsidRDefault="00426ED5" w:rsidP="00E030BE">
      <w:pPr>
        <w:pStyle w:val="Virsraksts2"/>
        <w:rPr>
          <w:b/>
        </w:rPr>
      </w:pPr>
      <w:bookmarkStart w:id="133" w:name="_Toc490734309"/>
      <w:r w:rsidRPr="00E030BE">
        <w:rPr>
          <w:b/>
        </w:rPr>
        <w:t>2.4.12. TDA aspekti, kas piemērojami līdz IT sistēmu atjaunināšanai</w:t>
      </w:r>
      <w:bookmarkStart w:id="134" w:name="_bookmark46"/>
      <w:bookmarkEnd w:id="134"/>
      <w:bookmarkEnd w:id="133"/>
    </w:p>
    <w:p w:rsidR="00211065" w:rsidRPr="003E628F" w:rsidRDefault="00211065" w:rsidP="003E628F">
      <w:pPr>
        <w:jc w:val="both"/>
        <w:rPr>
          <w:rFonts w:ascii="Times New Roman" w:eastAsia="Times New Roman" w:hAnsi="Times New Roman" w:cs="Times New Roman"/>
          <w:b/>
          <w:bCs/>
          <w:i/>
          <w:noProof/>
          <w:sz w:val="24"/>
          <w:szCs w:val="20"/>
        </w:rPr>
      </w:pPr>
    </w:p>
    <w:p w:rsidR="00211065" w:rsidRPr="003E628F" w:rsidRDefault="00426ED5" w:rsidP="00426ED5">
      <w:pPr>
        <w:tabs>
          <w:tab w:val="left" w:pos="489"/>
        </w:tabs>
        <w:jc w:val="both"/>
        <w:rPr>
          <w:rFonts w:ascii="Times New Roman" w:hAnsi="Times New Roman"/>
          <w:b/>
          <w:noProof/>
          <w:sz w:val="24"/>
        </w:rPr>
      </w:pPr>
      <w:r>
        <w:rPr>
          <w:rFonts w:ascii="Times New Roman" w:hAnsi="Times New Roman"/>
          <w:b/>
          <w:noProof/>
          <w:sz w:val="24"/>
        </w:rPr>
        <w:t>a) Izsniegšanas procedūra</w:t>
      </w:r>
    </w:p>
    <w:p w:rsidR="00426ED5" w:rsidRDefault="00426ED5" w:rsidP="00426ED5">
      <w:pPr>
        <w:spacing w:before="12"/>
        <w:rPr>
          <w:rFonts w:ascii="Times New Roman"/>
          <w:noProof/>
          <w:sz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131"/>
      </w:tblGrid>
      <w:tr w:rsidR="00426ED5" w:rsidTr="00E030BE">
        <w:tc>
          <w:tcPr>
            <w:tcW w:w="5000" w:type="pct"/>
            <w:shd w:val="clear" w:color="auto" w:fill="E4DFEB"/>
          </w:tcPr>
          <w:p w:rsidR="00426ED5" w:rsidRPr="00211065" w:rsidRDefault="00426ED5" w:rsidP="00426ED5">
            <w:pPr>
              <w:spacing w:before="12"/>
              <w:rPr>
                <w:rFonts w:ascii="Times New Roman"/>
                <w:noProof/>
                <w:sz w:val="24"/>
              </w:rPr>
            </w:pPr>
            <w:r>
              <w:rPr>
                <w:rFonts w:ascii="Times New Roman"/>
                <w:noProof/>
                <w:sz w:val="24"/>
              </w:rPr>
              <w:t>Ī</w:t>
            </w:r>
            <w:r>
              <w:rPr>
                <w:rFonts w:ascii="Times New Roman"/>
                <w:noProof/>
                <w:sz w:val="24"/>
              </w:rPr>
              <w:t>A 229.</w:t>
            </w:r>
            <w:r>
              <w:rPr>
                <w:rFonts w:ascii="Times New Roman"/>
                <w:noProof/>
                <w:sz w:val="24"/>
              </w:rPr>
              <w:t> </w:t>
            </w:r>
            <w:r>
              <w:rPr>
                <w:rFonts w:ascii="Times New Roman"/>
                <w:noProof/>
                <w:sz w:val="24"/>
              </w:rPr>
              <w:t>panta 4.</w:t>
            </w:r>
            <w:r>
              <w:rPr>
                <w:rFonts w:ascii="Times New Roman"/>
                <w:noProof/>
                <w:sz w:val="24"/>
              </w:rPr>
              <w:t> </w:t>
            </w:r>
            <w:r>
              <w:rPr>
                <w:rFonts w:ascii="Times New Roman"/>
                <w:noProof/>
                <w:sz w:val="24"/>
              </w:rPr>
              <w:t>punkt</w:t>
            </w:r>
            <w:r>
              <w:rPr>
                <w:rFonts w:ascii="Times New Roman"/>
                <w:noProof/>
                <w:sz w:val="24"/>
              </w:rPr>
              <w:t>ā</w:t>
            </w:r>
            <w:r>
              <w:rPr>
                <w:rFonts w:ascii="Times New Roman"/>
                <w:noProof/>
                <w:sz w:val="24"/>
              </w:rPr>
              <w:t xml:space="preserve"> noteikts apsprie</w:t>
            </w:r>
            <w:r>
              <w:rPr>
                <w:rFonts w:ascii="Times New Roman"/>
                <w:noProof/>
                <w:sz w:val="24"/>
              </w:rPr>
              <w:t>š</w:t>
            </w:r>
            <w:r>
              <w:rPr>
                <w:rFonts w:ascii="Times New Roman"/>
                <w:noProof/>
                <w:sz w:val="24"/>
              </w:rPr>
              <w:t>an</w:t>
            </w:r>
            <w:r>
              <w:rPr>
                <w:rFonts w:ascii="Times New Roman"/>
                <w:noProof/>
                <w:sz w:val="24"/>
              </w:rPr>
              <w:t>ā</w:t>
            </w:r>
            <w:r>
              <w:rPr>
                <w:rFonts w:ascii="Times New Roman"/>
                <w:noProof/>
                <w:sz w:val="24"/>
              </w:rPr>
              <w:t>s perioda pagarin</w:t>
            </w:r>
            <w:r>
              <w:rPr>
                <w:rFonts w:ascii="Times New Roman"/>
                <w:noProof/>
                <w:sz w:val="24"/>
              </w:rPr>
              <w:t>ā</w:t>
            </w:r>
            <w:r>
              <w:rPr>
                <w:rFonts w:ascii="Times New Roman"/>
                <w:noProof/>
                <w:sz w:val="24"/>
              </w:rPr>
              <w:t>jums:</w:t>
            </w:r>
          </w:p>
          <w:p w:rsidR="00426ED5" w:rsidRPr="00211065" w:rsidRDefault="00426ED5" w:rsidP="00426ED5">
            <w:pPr>
              <w:spacing w:before="10"/>
              <w:rPr>
                <w:rFonts w:ascii="Times New Roman" w:eastAsia="Times New Roman" w:hAnsi="Times New Roman" w:cs="Times New Roman"/>
                <w:b/>
                <w:bCs/>
                <w:noProof/>
                <w:sz w:val="20"/>
                <w:szCs w:val="20"/>
              </w:rPr>
            </w:pPr>
          </w:p>
          <w:p w:rsidR="00426ED5" w:rsidRPr="00211065" w:rsidRDefault="00426ED5" w:rsidP="00426ED5">
            <w:pPr>
              <w:ind w:right="113"/>
              <w:rPr>
                <w:rFonts w:ascii="Times New Roman"/>
                <w:noProof/>
                <w:sz w:val="24"/>
              </w:rPr>
            </w:pPr>
            <w:r>
              <w:rPr>
                <w:rFonts w:ascii="Times New Roman"/>
                <w:noProof/>
                <w:sz w:val="24"/>
              </w:rPr>
              <w:t>- par 15</w:t>
            </w:r>
            <w:r>
              <w:rPr>
                <w:rFonts w:ascii="Times New Roman"/>
                <w:noProof/>
                <w:sz w:val="24"/>
              </w:rPr>
              <w:t> </w:t>
            </w:r>
            <w:r>
              <w:rPr>
                <w:rFonts w:ascii="Times New Roman"/>
                <w:noProof/>
                <w:sz w:val="24"/>
              </w:rPr>
              <w:t>dien</w:t>
            </w:r>
            <w:r>
              <w:rPr>
                <w:rFonts w:ascii="Times New Roman"/>
                <w:noProof/>
                <w:sz w:val="24"/>
              </w:rPr>
              <w:t>ā</w:t>
            </w:r>
            <w:r>
              <w:rPr>
                <w:rFonts w:ascii="Times New Roman"/>
                <w:noProof/>
                <w:sz w:val="24"/>
              </w:rPr>
              <w:t>m, lai at</w:t>
            </w:r>
            <w:r>
              <w:rPr>
                <w:rFonts w:ascii="Times New Roman"/>
                <w:noProof/>
                <w:sz w:val="24"/>
              </w:rPr>
              <w:t>ļ</w:t>
            </w:r>
            <w:r>
              <w:rPr>
                <w:rFonts w:ascii="Times New Roman"/>
                <w:noProof/>
                <w:sz w:val="24"/>
              </w:rPr>
              <w:t>aujas sniedz</w:t>
            </w:r>
            <w:r>
              <w:rPr>
                <w:rFonts w:ascii="Times New Roman"/>
                <w:noProof/>
                <w:sz w:val="24"/>
              </w:rPr>
              <w:t>ē</w:t>
            </w:r>
            <w:r>
              <w:rPr>
                <w:rFonts w:ascii="Times New Roman"/>
                <w:noProof/>
                <w:sz w:val="24"/>
              </w:rPr>
              <w:t>ja dal</w:t>
            </w:r>
            <w:r>
              <w:rPr>
                <w:rFonts w:ascii="Times New Roman"/>
                <w:noProof/>
                <w:sz w:val="24"/>
              </w:rPr>
              <w:t>ī</w:t>
            </w:r>
            <w:r>
              <w:rPr>
                <w:rFonts w:ascii="Times New Roman"/>
                <w:noProof/>
                <w:sz w:val="24"/>
              </w:rPr>
              <w:t>bvalsts var</w:t>
            </w:r>
            <w:r>
              <w:rPr>
                <w:rFonts w:ascii="Times New Roman"/>
                <w:noProof/>
                <w:sz w:val="24"/>
              </w:rPr>
              <w:t>ē</w:t>
            </w:r>
            <w:r>
              <w:rPr>
                <w:rFonts w:ascii="Times New Roman"/>
                <w:noProof/>
                <w:sz w:val="24"/>
              </w:rPr>
              <w:t>tu pazi</w:t>
            </w:r>
            <w:r>
              <w:rPr>
                <w:rFonts w:ascii="Times New Roman"/>
                <w:noProof/>
                <w:sz w:val="24"/>
              </w:rPr>
              <w:t>ņ</w:t>
            </w:r>
            <w:r>
              <w:rPr>
                <w:rFonts w:ascii="Times New Roman"/>
                <w:noProof/>
                <w:sz w:val="24"/>
              </w:rPr>
              <w:t>ot par pieteikumu iesaist</w:t>
            </w:r>
            <w:r>
              <w:rPr>
                <w:rFonts w:ascii="Times New Roman"/>
                <w:noProof/>
                <w:sz w:val="24"/>
              </w:rPr>
              <w:t>ī</w:t>
            </w:r>
            <w:r>
              <w:rPr>
                <w:rFonts w:ascii="Times New Roman"/>
                <w:noProof/>
                <w:sz w:val="24"/>
              </w:rPr>
              <w:t>tajai dal</w:t>
            </w:r>
            <w:r>
              <w:rPr>
                <w:rFonts w:ascii="Times New Roman"/>
                <w:noProof/>
                <w:sz w:val="24"/>
              </w:rPr>
              <w:t>ī</w:t>
            </w:r>
            <w:r>
              <w:rPr>
                <w:rFonts w:ascii="Times New Roman"/>
                <w:noProof/>
                <w:sz w:val="24"/>
              </w:rPr>
              <w:t>bvalstij, un par 15</w:t>
            </w:r>
            <w:r>
              <w:rPr>
                <w:rFonts w:ascii="Times New Roman"/>
                <w:noProof/>
                <w:sz w:val="24"/>
              </w:rPr>
              <w:t> </w:t>
            </w:r>
            <w:r>
              <w:rPr>
                <w:rFonts w:ascii="Times New Roman"/>
                <w:noProof/>
                <w:sz w:val="24"/>
              </w:rPr>
              <w:t>dien</w:t>
            </w:r>
            <w:r>
              <w:rPr>
                <w:rFonts w:ascii="Times New Roman"/>
                <w:noProof/>
                <w:sz w:val="24"/>
              </w:rPr>
              <w:t>ā</w:t>
            </w:r>
            <w:r>
              <w:rPr>
                <w:rFonts w:ascii="Times New Roman"/>
                <w:noProof/>
                <w:sz w:val="24"/>
              </w:rPr>
              <w:t>m, lai iesaist</w:t>
            </w:r>
            <w:r>
              <w:rPr>
                <w:rFonts w:ascii="Times New Roman"/>
                <w:noProof/>
                <w:sz w:val="24"/>
              </w:rPr>
              <w:t>ī</w:t>
            </w:r>
            <w:r>
              <w:rPr>
                <w:rFonts w:ascii="Times New Roman"/>
                <w:noProof/>
                <w:sz w:val="24"/>
              </w:rPr>
              <w:t>t</w:t>
            </w:r>
            <w:r>
              <w:rPr>
                <w:rFonts w:ascii="Times New Roman"/>
                <w:noProof/>
                <w:sz w:val="24"/>
              </w:rPr>
              <w:t>ā</w:t>
            </w:r>
            <w:r>
              <w:rPr>
                <w:rFonts w:ascii="Times New Roman"/>
                <w:noProof/>
                <w:sz w:val="24"/>
              </w:rPr>
              <w:t xml:space="preserve"> dal</w:t>
            </w:r>
            <w:r>
              <w:rPr>
                <w:rFonts w:ascii="Times New Roman"/>
                <w:noProof/>
                <w:sz w:val="24"/>
              </w:rPr>
              <w:t>ī</w:t>
            </w:r>
            <w:r>
              <w:rPr>
                <w:rFonts w:ascii="Times New Roman"/>
                <w:noProof/>
                <w:sz w:val="24"/>
              </w:rPr>
              <w:t>bvalsts var</w:t>
            </w:r>
            <w:r>
              <w:rPr>
                <w:rFonts w:ascii="Times New Roman"/>
                <w:noProof/>
                <w:sz w:val="24"/>
              </w:rPr>
              <w:t>ē</w:t>
            </w:r>
            <w:r>
              <w:rPr>
                <w:rFonts w:ascii="Times New Roman"/>
                <w:noProof/>
                <w:sz w:val="24"/>
              </w:rPr>
              <w:t>tu dar</w:t>
            </w:r>
            <w:r>
              <w:rPr>
                <w:rFonts w:ascii="Times New Roman"/>
                <w:noProof/>
                <w:sz w:val="24"/>
              </w:rPr>
              <w:t>ī</w:t>
            </w:r>
            <w:r>
              <w:rPr>
                <w:rFonts w:ascii="Times New Roman"/>
                <w:noProof/>
                <w:sz w:val="24"/>
              </w:rPr>
              <w:t>t zin</w:t>
            </w:r>
            <w:r>
              <w:rPr>
                <w:rFonts w:ascii="Times New Roman"/>
                <w:noProof/>
                <w:sz w:val="24"/>
              </w:rPr>
              <w:t>ā</w:t>
            </w:r>
            <w:r>
              <w:rPr>
                <w:rFonts w:ascii="Times New Roman"/>
                <w:noProof/>
                <w:sz w:val="24"/>
              </w:rPr>
              <w:t>mu savu piekri</w:t>
            </w:r>
            <w:r>
              <w:rPr>
                <w:rFonts w:ascii="Times New Roman"/>
                <w:noProof/>
                <w:sz w:val="24"/>
              </w:rPr>
              <w:t>š</w:t>
            </w:r>
            <w:r>
              <w:rPr>
                <w:rFonts w:ascii="Times New Roman"/>
                <w:noProof/>
                <w:sz w:val="24"/>
              </w:rPr>
              <w:t>anu vai iebildumus;</w:t>
            </w:r>
          </w:p>
          <w:p w:rsidR="00426ED5" w:rsidRPr="00211065" w:rsidRDefault="00426ED5" w:rsidP="00426ED5">
            <w:pPr>
              <w:spacing w:before="1"/>
              <w:rPr>
                <w:rFonts w:ascii="Times New Roman" w:eastAsia="Times New Roman" w:hAnsi="Times New Roman" w:cs="Times New Roman"/>
                <w:b/>
                <w:bCs/>
                <w:noProof/>
                <w:sz w:val="21"/>
                <w:szCs w:val="21"/>
              </w:rPr>
            </w:pPr>
          </w:p>
          <w:p w:rsidR="00426ED5" w:rsidRDefault="00426ED5" w:rsidP="00426ED5">
            <w:pPr>
              <w:rPr>
                <w:rFonts w:ascii="Times New Roman"/>
                <w:noProof/>
                <w:sz w:val="24"/>
              </w:rPr>
            </w:pPr>
            <w:r>
              <w:rPr>
                <w:rFonts w:ascii="Times New Roman"/>
                <w:noProof/>
                <w:sz w:val="24"/>
              </w:rPr>
              <w:t>- par 30</w:t>
            </w:r>
            <w:r>
              <w:rPr>
                <w:rFonts w:ascii="Times New Roman"/>
                <w:noProof/>
                <w:sz w:val="24"/>
              </w:rPr>
              <w:t> </w:t>
            </w:r>
            <w:r>
              <w:rPr>
                <w:rFonts w:ascii="Times New Roman"/>
                <w:noProof/>
                <w:sz w:val="24"/>
              </w:rPr>
              <w:t>dien</w:t>
            </w:r>
            <w:r>
              <w:rPr>
                <w:rFonts w:ascii="Times New Roman"/>
                <w:noProof/>
                <w:sz w:val="24"/>
              </w:rPr>
              <w:t>ā</w:t>
            </w:r>
            <w:r>
              <w:rPr>
                <w:rFonts w:ascii="Times New Roman"/>
                <w:noProof/>
                <w:sz w:val="24"/>
              </w:rPr>
              <w:t>m l</w:t>
            </w:r>
            <w:r>
              <w:rPr>
                <w:rFonts w:ascii="Times New Roman"/>
                <w:noProof/>
                <w:sz w:val="24"/>
              </w:rPr>
              <w:t>ē</w:t>
            </w:r>
            <w:r>
              <w:rPr>
                <w:rFonts w:ascii="Times New Roman"/>
                <w:noProof/>
                <w:sz w:val="24"/>
              </w:rPr>
              <w:t>muma pie</w:t>
            </w:r>
            <w:r>
              <w:rPr>
                <w:rFonts w:ascii="Times New Roman"/>
                <w:noProof/>
                <w:sz w:val="24"/>
              </w:rPr>
              <w:t>ņ</w:t>
            </w:r>
            <w:r>
              <w:rPr>
                <w:rFonts w:ascii="Times New Roman"/>
                <w:noProof/>
                <w:sz w:val="24"/>
              </w:rPr>
              <w:t>em</w:t>
            </w:r>
            <w:r>
              <w:rPr>
                <w:rFonts w:ascii="Times New Roman"/>
                <w:noProof/>
                <w:sz w:val="24"/>
              </w:rPr>
              <w:t>š</w:t>
            </w:r>
            <w:r>
              <w:rPr>
                <w:rFonts w:ascii="Times New Roman"/>
                <w:noProof/>
                <w:sz w:val="24"/>
              </w:rPr>
              <w:t>anai gad</w:t>
            </w:r>
            <w:r>
              <w:rPr>
                <w:rFonts w:ascii="Times New Roman"/>
                <w:noProof/>
                <w:sz w:val="24"/>
              </w:rPr>
              <w:t>ī</w:t>
            </w:r>
            <w:r>
              <w:rPr>
                <w:rFonts w:ascii="Times New Roman"/>
                <w:noProof/>
                <w:sz w:val="24"/>
              </w:rPr>
              <w:t>jum</w:t>
            </w:r>
            <w:r>
              <w:rPr>
                <w:rFonts w:ascii="Times New Roman"/>
                <w:noProof/>
                <w:sz w:val="24"/>
              </w:rPr>
              <w:t>ā</w:t>
            </w:r>
            <w:r>
              <w:rPr>
                <w:rFonts w:ascii="Times New Roman"/>
                <w:noProof/>
                <w:sz w:val="24"/>
              </w:rPr>
              <w:t>, ja vieno</w:t>
            </w:r>
            <w:r>
              <w:rPr>
                <w:rFonts w:ascii="Times New Roman"/>
                <w:noProof/>
                <w:sz w:val="24"/>
              </w:rPr>
              <w:t>š</w:t>
            </w:r>
            <w:r>
              <w:rPr>
                <w:rFonts w:ascii="Times New Roman"/>
                <w:noProof/>
                <w:sz w:val="24"/>
              </w:rPr>
              <w:t>an</w:t>
            </w:r>
            <w:r>
              <w:rPr>
                <w:rFonts w:ascii="Times New Roman"/>
                <w:noProof/>
                <w:sz w:val="24"/>
              </w:rPr>
              <w:t>ā</w:t>
            </w:r>
            <w:r>
              <w:rPr>
                <w:rFonts w:ascii="Times New Roman"/>
                <w:noProof/>
                <w:sz w:val="24"/>
              </w:rPr>
              <w:t>s nav pan</w:t>
            </w:r>
            <w:r>
              <w:rPr>
                <w:rFonts w:ascii="Times New Roman"/>
                <w:noProof/>
                <w:sz w:val="24"/>
              </w:rPr>
              <w:t>ā</w:t>
            </w:r>
            <w:r>
              <w:rPr>
                <w:rFonts w:ascii="Times New Roman"/>
                <w:noProof/>
                <w:sz w:val="24"/>
              </w:rPr>
              <w:t>kta 90</w:t>
            </w:r>
            <w:r>
              <w:rPr>
                <w:rFonts w:ascii="Times New Roman"/>
                <w:noProof/>
                <w:sz w:val="24"/>
              </w:rPr>
              <w:t> </w:t>
            </w:r>
            <w:r>
              <w:rPr>
                <w:rFonts w:ascii="Times New Roman"/>
                <w:noProof/>
                <w:sz w:val="24"/>
              </w:rPr>
              <w:t>dienu laik</w:t>
            </w:r>
            <w:r>
              <w:rPr>
                <w:rFonts w:ascii="Times New Roman"/>
                <w:noProof/>
                <w:sz w:val="24"/>
              </w:rPr>
              <w:t>ā</w:t>
            </w:r>
            <w:r>
              <w:rPr>
                <w:rFonts w:ascii="Times New Roman"/>
                <w:noProof/>
                <w:sz w:val="24"/>
              </w:rPr>
              <w:t>.</w:t>
            </w:r>
          </w:p>
        </w:tc>
      </w:tr>
    </w:tbl>
    <w:p w:rsidR="00211065" w:rsidRPr="003E628F" w:rsidRDefault="00211065" w:rsidP="003E628F">
      <w:pPr>
        <w:jc w:val="both"/>
        <w:rPr>
          <w:rFonts w:ascii="Times New Roman" w:eastAsia="Times New Roman" w:hAnsi="Times New Roman" w:cs="Times New Roman"/>
          <w:b/>
          <w:bCs/>
          <w:noProof/>
          <w:sz w:val="24"/>
          <w:szCs w:val="14"/>
        </w:rPr>
      </w:pPr>
    </w:p>
    <w:p w:rsidR="00211065" w:rsidRPr="003E628F" w:rsidRDefault="00211065" w:rsidP="003E628F">
      <w:pPr>
        <w:pStyle w:val="Pamatteksts"/>
        <w:ind w:left="0" w:firstLine="240"/>
        <w:jc w:val="both"/>
        <w:rPr>
          <w:noProof/>
        </w:rPr>
      </w:pPr>
      <w:r>
        <w:rPr>
          <w:i/>
        </w:rPr>
        <w:t>TDA</w:t>
      </w:r>
      <w:r>
        <w:t xml:space="preserve"> 19. pantā noteikts, ka līdz Muitas lēmumu sistēmas ieviešanai dalībvalstis sniedz pieteikumu un atļauju sarakstu Komisijai, kas glabā publisko informāciju </w:t>
      </w:r>
      <w:r>
        <w:rPr>
          <w:i/>
        </w:rPr>
        <w:t>CIRCABC</w:t>
      </w:r>
      <w:r>
        <w:t xml:space="preserve"> (Komunikācijas un informācijas resursu centrs pārvaldes iestādēm, uzņēmumiem un iedzīvotājiem) (var izsniegt vienīgi nekonfidenciālus datus).</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firstLine="240"/>
        <w:jc w:val="both"/>
        <w:rPr>
          <w:noProof/>
        </w:rPr>
      </w:pPr>
      <w:r>
        <w:rPr>
          <w:i/>
        </w:rPr>
        <w:t>TDA</w:t>
      </w:r>
      <w:r>
        <w:t xml:space="preserve"> 20. pantā noteikts, ka atļaujas sniedzēja dalībvalsts pieteikumu joprojām var noraidīt nesamērīgas administratīvās slodzes dēļ, kā tas bija paredzēts KMK īstenošanas noteikumu 253.h panta 5. punktā.</w:t>
      </w:r>
    </w:p>
    <w:p w:rsidR="00211065" w:rsidRPr="003E628F" w:rsidRDefault="00211065" w:rsidP="003E628F">
      <w:pPr>
        <w:jc w:val="both"/>
        <w:rPr>
          <w:rFonts w:ascii="Times New Roman" w:eastAsia="Times New Roman" w:hAnsi="Times New Roman" w:cs="Times New Roman"/>
          <w:noProof/>
          <w:sz w:val="24"/>
          <w:szCs w:val="21"/>
        </w:rPr>
      </w:pPr>
    </w:p>
    <w:p w:rsidR="00211065" w:rsidRPr="003E628F" w:rsidRDefault="00426ED5" w:rsidP="00426ED5">
      <w:pPr>
        <w:pStyle w:val="Virsraksts1"/>
        <w:tabs>
          <w:tab w:val="left" w:pos="504"/>
        </w:tabs>
        <w:jc w:val="both"/>
        <w:rPr>
          <w:noProof/>
        </w:rPr>
      </w:pPr>
      <w:bookmarkStart w:id="135" w:name="_Toc490734310"/>
      <w:r>
        <w:t>b) Kontroles plāns un ārējie jautājumi</w:t>
      </w:r>
      <w:bookmarkEnd w:id="135"/>
    </w:p>
    <w:p w:rsidR="00211065" w:rsidRPr="003E628F" w:rsidRDefault="00211065" w:rsidP="003E628F">
      <w:pPr>
        <w:jc w:val="both"/>
        <w:rPr>
          <w:rFonts w:ascii="Times New Roman" w:eastAsia="Times New Roman" w:hAnsi="Times New Roman" w:cs="Times New Roman"/>
          <w:b/>
          <w:bCs/>
          <w:noProof/>
          <w:sz w:val="24"/>
          <w:szCs w:val="20"/>
        </w:rPr>
      </w:pPr>
    </w:p>
    <w:p w:rsidR="00211065" w:rsidRPr="003E628F" w:rsidRDefault="00211065" w:rsidP="003E628F">
      <w:pPr>
        <w:pStyle w:val="Pamatteksts"/>
        <w:ind w:left="0"/>
        <w:jc w:val="both"/>
        <w:rPr>
          <w:noProof/>
        </w:rPr>
      </w:pPr>
      <w:r>
        <w:t>Saskaņā ar ĪA 229. panta 5. punktu pārejas periodā kontroles plāns ar centralizētās muitošanas specifiku (sk. 2.4.5. punktu) ir vienmēr jāsagatavo un jāpaziņo iesaistītajai dalībvalstij neatkarīgi izmantotās muitas deklarācijas veida.</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Atļaujas turētājam katrai iesaistītajai dalībvalstij jāsniedz PVN un statistikas aspekti. Katra iesaistītā dalībvalsts apkopos informāciju iekšējām vajadzībām.</w:t>
      </w:r>
    </w:p>
    <w:p w:rsidR="00211065" w:rsidRPr="003E628F" w:rsidRDefault="00211065" w:rsidP="003E628F">
      <w:pPr>
        <w:pStyle w:val="Pamatteksts"/>
        <w:ind w:left="0"/>
        <w:jc w:val="both"/>
        <w:rPr>
          <w:noProof/>
        </w:rPr>
      </w:pPr>
      <w:r>
        <w:t xml:space="preserve">Par statistikas informāciju, kas jāsniedz </w:t>
      </w:r>
      <w:r>
        <w:rPr>
          <w:i/>
        </w:rPr>
        <w:t>EUROSTAT</w:t>
      </w:r>
      <w:r>
        <w:t>, ir atbildīga atļaujas sniedzēja dalībvalsts, kurai jānosūta atbilstīga informācija savam statistikas birojam.</w:t>
      </w:r>
    </w:p>
    <w:p w:rsidR="00211065" w:rsidRPr="003E628F" w:rsidRDefault="00211065" w:rsidP="003E628F">
      <w:pPr>
        <w:jc w:val="both"/>
        <w:rPr>
          <w:rFonts w:ascii="Times New Roman" w:eastAsia="Times New Roman" w:hAnsi="Times New Roman" w:cs="Times New Roman"/>
          <w:noProof/>
          <w:sz w:val="24"/>
          <w:szCs w:val="21"/>
        </w:rPr>
      </w:pPr>
    </w:p>
    <w:p w:rsidR="00211065" w:rsidRPr="003E628F" w:rsidRDefault="00426ED5" w:rsidP="00426ED5">
      <w:pPr>
        <w:pStyle w:val="Virsraksts1"/>
        <w:tabs>
          <w:tab w:val="left" w:pos="475"/>
        </w:tabs>
        <w:jc w:val="both"/>
        <w:rPr>
          <w:noProof/>
        </w:rPr>
      </w:pPr>
      <w:bookmarkStart w:id="136" w:name="_Toc490734311"/>
      <w:r>
        <w:t>c) Informācijas apmaiņa starp muitas dienestiem</w:t>
      </w:r>
      <w:bookmarkEnd w:id="136"/>
    </w:p>
    <w:p w:rsidR="00211065" w:rsidRPr="003E628F" w:rsidRDefault="00211065" w:rsidP="003E628F">
      <w:pPr>
        <w:jc w:val="both"/>
        <w:rPr>
          <w:rFonts w:ascii="Times New Roman" w:eastAsia="Times New Roman" w:hAnsi="Times New Roman" w:cs="Times New Roman"/>
          <w:b/>
          <w:bCs/>
          <w:noProof/>
          <w:sz w:val="24"/>
          <w:szCs w:val="20"/>
        </w:rPr>
      </w:pPr>
    </w:p>
    <w:p w:rsidR="00211065" w:rsidRPr="003E628F" w:rsidRDefault="00211065" w:rsidP="003E628F">
      <w:pPr>
        <w:pStyle w:val="Pamatteksts"/>
        <w:ind w:left="0"/>
        <w:jc w:val="both"/>
        <w:rPr>
          <w:noProof/>
        </w:rPr>
      </w:pPr>
      <w:r>
        <w:t xml:space="preserve">Pārejas posmā nepastāv vienota IT sistēma informācijas apmaiņai starp uzraudzības muitas iestādi un uzrādīšanas muitas iestādi. Tāpēc </w:t>
      </w:r>
      <w:r>
        <w:rPr>
          <w:i/>
        </w:rPr>
        <w:t>TDA</w:t>
      </w:r>
      <w:r>
        <w:t xml:space="preserve"> 18. panta 2. punktā noteikts, ka pastāvošos informācijas apmaiņas līdzekļus, kas izmantoti </w:t>
      </w:r>
      <w:r>
        <w:rPr>
          <w:i/>
        </w:rPr>
        <w:t>SASP</w:t>
      </w:r>
      <w:r>
        <w:t>, var izmantot, ja tiek nodrošināta atbilstība SMK 179. pantam.</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rPr>
          <w:i/>
        </w:rPr>
        <w:t>TDA</w:t>
      </w:r>
      <w:r>
        <w:t xml:space="preserve"> 18. panta 1. punktā noteikts, ka ar atļauju saistītajiem muitas dienestiem ir jāizstrādā kārtība, kā tiek nodrošināta nepieciešamā informācijas apmaiņa preču kontroles un/vai izlaišanas vajadzībām.</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 xml:space="preserve">Tas nenozīmē informācijas apmaiņu par ikvienu darbību pirms preču izlaišanas, bet gan </w:t>
      </w:r>
      <w:r>
        <w:lastRenderedPageBreak/>
        <w:t>vienošanos par to, kā risināt ar preču izlaišanu saistītus jautājumus, ņemot vērā uzraudzības muitas iestādes un uzrādīšanas muitas iestādes prasības.</w:t>
      </w:r>
    </w:p>
    <w:p w:rsidR="00211065" w:rsidRPr="003E628F" w:rsidRDefault="00211065" w:rsidP="003E628F">
      <w:pPr>
        <w:jc w:val="both"/>
        <w:rPr>
          <w:rFonts w:ascii="Times New Roman" w:eastAsia="Times New Roman" w:hAnsi="Times New Roman" w:cs="Times New Roman"/>
          <w:noProof/>
          <w:sz w:val="24"/>
          <w:szCs w:val="21"/>
        </w:rPr>
      </w:pPr>
    </w:p>
    <w:p w:rsidR="00211065" w:rsidRDefault="00211065" w:rsidP="003E628F">
      <w:pPr>
        <w:pStyle w:val="Virsraksts1"/>
        <w:jc w:val="both"/>
        <w:rPr>
          <w:noProof/>
        </w:rPr>
      </w:pPr>
      <w:bookmarkStart w:id="137" w:name="_Toc490734312"/>
      <w:r>
        <w:t xml:space="preserve">Eksporta gadījumā muitas deklarāciju var iesniegt kā </w:t>
      </w:r>
      <w:r>
        <w:rPr>
          <w:i/>
        </w:rPr>
        <w:t>EIDR</w:t>
      </w:r>
      <w:r>
        <w:t xml:space="preserve"> līdz brīdim, kad tiek atbilstīgi atjaunināta automatizētā eksporta kontroles sistēma.</w:t>
      </w:r>
      <w:bookmarkEnd w:id="137"/>
    </w:p>
    <w:p w:rsidR="00426ED5" w:rsidRPr="003E628F" w:rsidRDefault="00426ED5" w:rsidP="003E628F">
      <w:pPr>
        <w:pStyle w:val="Virsraksts1"/>
        <w:jc w:val="both"/>
        <w:rPr>
          <w:noProof/>
        </w:rPr>
      </w:pPr>
    </w:p>
    <w:p w:rsidR="00211065" w:rsidRPr="00E030BE" w:rsidRDefault="00426ED5" w:rsidP="00E030BE">
      <w:pPr>
        <w:pStyle w:val="Virsraksts2"/>
        <w:rPr>
          <w:b/>
        </w:rPr>
      </w:pPr>
      <w:bookmarkStart w:id="138" w:name="_Toc490734313"/>
      <w:r w:rsidRPr="00E030BE">
        <w:rPr>
          <w:b/>
        </w:rPr>
        <w:t>2.4.13. Atļaujas pārraudzība</w:t>
      </w:r>
      <w:bookmarkStart w:id="139" w:name="_bookmark47"/>
      <w:bookmarkEnd w:id="139"/>
      <w:bookmarkEnd w:id="138"/>
    </w:p>
    <w:p w:rsidR="00211065" w:rsidRPr="003E628F" w:rsidRDefault="00211065" w:rsidP="003E628F">
      <w:pPr>
        <w:jc w:val="both"/>
        <w:rPr>
          <w:rFonts w:ascii="Times New Roman" w:eastAsia="Times New Roman" w:hAnsi="Times New Roman" w:cs="Times New Roman"/>
          <w:b/>
          <w:bCs/>
          <w:i/>
          <w:noProof/>
          <w:sz w:val="24"/>
          <w:szCs w:val="20"/>
        </w:rPr>
      </w:pPr>
    </w:p>
    <w:p w:rsidR="00211065" w:rsidRPr="003E628F" w:rsidRDefault="00211065" w:rsidP="003E628F">
      <w:pPr>
        <w:pStyle w:val="Pamatteksts"/>
        <w:ind w:left="0"/>
        <w:jc w:val="both"/>
        <w:rPr>
          <w:noProof/>
        </w:rPr>
      </w:pPr>
      <w:r>
        <w:t>Saskaņā ar ĪA 230. pantu atļaujas pārraudzība ir jānodrošina atļaujas sniedzējas dalībvalsts muitas dienestam. Taču atļaujas sniedzēja dalībvalsts var šādi rīkoties tikai tad, ja tiek piemērota pieeja, kas balstīta uz sadarbību ar visiem citiem iesaistītajiem muitas dienestiem.</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Katram šādam muitas dienestam jāinformē atļaujas sniedzēja dalībvalsts par jebkurām izmaiņām, kas var ietekmēt atļauju; atļaujas sniedzējai dalībvalstij nekavējoties jādara pieejama citām iesaistītajām dalībvalstīm visa tās rīcībā esošā būtiskā ar atļaujas turētāja darbībām saistītā informācija.</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Pārejas periodā dalībvalsts nosaka to, kā tās apmainās ar informāciju apspriešanās procedūrā.</w:t>
      </w:r>
    </w:p>
    <w:p w:rsidR="00211065" w:rsidRDefault="00211065" w:rsidP="003E628F">
      <w:pPr>
        <w:jc w:val="both"/>
        <w:rPr>
          <w:rFonts w:ascii="Times New Roman" w:eastAsia="Times New Roman" w:hAnsi="Times New Roman" w:cs="Times New Roman"/>
          <w:noProof/>
          <w:sz w:val="24"/>
          <w:szCs w:val="24"/>
        </w:rPr>
      </w:pPr>
    </w:p>
    <w:p w:rsidR="00426ED5" w:rsidRPr="003E628F" w:rsidRDefault="00426ED5" w:rsidP="003E628F">
      <w:pPr>
        <w:jc w:val="both"/>
        <w:rPr>
          <w:rFonts w:ascii="Times New Roman" w:eastAsia="Times New Roman" w:hAnsi="Times New Roman" w:cs="Times New Roman"/>
          <w:noProof/>
          <w:sz w:val="24"/>
          <w:szCs w:val="24"/>
        </w:rPr>
      </w:pPr>
    </w:p>
    <w:p w:rsidR="00211065" w:rsidRPr="00E030BE" w:rsidRDefault="00426ED5" w:rsidP="00E030BE">
      <w:pPr>
        <w:pStyle w:val="Virsraksts2"/>
        <w:rPr>
          <w:b/>
        </w:rPr>
      </w:pPr>
      <w:bookmarkStart w:id="140" w:name="_Toc490734314"/>
      <w:r w:rsidRPr="00E030BE">
        <w:rPr>
          <w:b/>
        </w:rPr>
        <w:t>2.5. Jauni pašnovērtējuma pieteikumi</w:t>
      </w:r>
      <w:bookmarkStart w:id="141" w:name="_bookmark48"/>
      <w:bookmarkEnd w:id="141"/>
      <w:bookmarkEnd w:id="140"/>
    </w:p>
    <w:p w:rsidR="00211065" w:rsidRPr="003E628F" w:rsidRDefault="00211065" w:rsidP="003E628F">
      <w:pPr>
        <w:jc w:val="both"/>
        <w:rPr>
          <w:rFonts w:ascii="Times New Roman" w:eastAsia="Times New Roman" w:hAnsi="Times New Roman" w:cs="Times New Roman"/>
          <w:b/>
          <w:bCs/>
          <w:i/>
          <w:noProof/>
          <w:sz w:val="24"/>
          <w:szCs w:val="20"/>
        </w:rPr>
      </w:pPr>
    </w:p>
    <w:p w:rsidR="00211065" w:rsidRPr="00E030BE" w:rsidRDefault="00426ED5" w:rsidP="00E030BE">
      <w:pPr>
        <w:pStyle w:val="Virsraksts2"/>
        <w:rPr>
          <w:b/>
          <w:noProof/>
        </w:rPr>
      </w:pPr>
      <w:bookmarkStart w:id="142" w:name="_Toc490734315"/>
      <w:r w:rsidRPr="00E030BE">
        <w:rPr>
          <w:b/>
          <w:noProof/>
        </w:rPr>
        <w:t>2.5.1. Definīcijas papildu elementi</w:t>
      </w:r>
      <w:bookmarkStart w:id="143" w:name="_bookmark49"/>
      <w:bookmarkEnd w:id="143"/>
      <w:bookmarkEnd w:id="142"/>
    </w:p>
    <w:p w:rsidR="00211065" w:rsidRPr="003E628F" w:rsidRDefault="00211065" w:rsidP="003E628F">
      <w:pPr>
        <w:jc w:val="both"/>
        <w:rPr>
          <w:rFonts w:ascii="Times New Roman" w:eastAsia="Times New Roman" w:hAnsi="Times New Roman" w:cs="Times New Roman"/>
          <w:b/>
          <w:bCs/>
          <w:i/>
          <w:noProof/>
          <w:sz w:val="24"/>
          <w:szCs w:val="20"/>
        </w:rPr>
      </w:pPr>
    </w:p>
    <w:p w:rsidR="00211065" w:rsidRPr="003E628F" w:rsidRDefault="00211065" w:rsidP="003E628F">
      <w:pPr>
        <w:pStyle w:val="Pamatteksts"/>
        <w:ind w:left="0"/>
        <w:jc w:val="both"/>
        <w:rPr>
          <w:noProof/>
        </w:rPr>
      </w:pPr>
      <w:r>
        <w:t>Pašnovērtējums nav jauns vai papildu muitas deklarācijas veids, bet vienīgi vienkāršojums, kas ļauj noteiktus muitas dienestu pienākumus “deleģēt” uzņēmumam.</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Ja pašnovērtējums tiek izmantots laikā, kad precēm tiek piemērota muitas procedūra vai reeksports, ir nepieciešama muitas deklarācija, kas var būt standarta deklarācija, vienkāršotā deklarācija vai ieraksts deklarētāja reģistros.</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jc w:val="both"/>
        <w:rPr>
          <w:rFonts w:ascii="Times New Roman" w:eastAsia="Times New Roman" w:hAnsi="Times New Roman" w:cs="Times New Roman"/>
          <w:noProof/>
          <w:sz w:val="24"/>
          <w:szCs w:val="24"/>
        </w:rPr>
      </w:pPr>
      <w:r>
        <w:rPr>
          <w:rFonts w:ascii="Times New Roman" w:hAnsi="Times New Roman"/>
          <w:i/>
          <w:noProof/>
          <w:color w:val="49442A"/>
          <w:sz w:val="24"/>
          <w:u w:val="single" w:color="49442A"/>
        </w:rPr>
        <w:t>Jāņem vērā!</w:t>
      </w:r>
      <w:r>
        <w:rPr>
          <w:rFonts w:ascii="Times New Roman" w:hAnsi="Times New Roman"/>
          <w:i/>
          <w:noProof/>
          <w:color w:val="49442A"/>
          <w:sz w:val="24"/>
        </w:rPr>
        <w:t xml:space="preserve"> EIDR ar atbrīvojumu no papildu deklarācijas vai bez tā nav pašnovērtējuma priekšnoteikums.</w:t>
      </w:r>
    </w:p>
    <w:p w:rsidR="00211065" w:rsidRPr="003E628F" w:rsidRDefault="00211065" w:rsidP="003E628F">
      <w:pPr>
        <w:jc w:val="both"/>
        <w:rPr>
          <w:rFonts w:ascii="Times New Roman" w:eastAsia="Times New Roman" w:hAnsi="Times New Roman" w:cs="Times New Roman"/>
          <w:i/>
          <w:noProof/>
          <w:sz w:val="24"/>
          <w:szCs w:val="21"/>
        </w:rPr>
      </w:pPr>
    </w:p>
    <w:p w:rsidR="00211065" w:rsidRPr="00E030BE" w:rsidRDefault="00426ED5" w:rsidP="00E030BE">
      <w:pPr>
        <w:pStyle w:val="Virsraksts2"/>
        <w:rPr>
          <w:b/>
        </w:rPr>
      </w:pPr>
      <w:bookmarkStart w:id="144" w:name="_Toc490734316"/>
      <w:r w:rsidRPr="00E030BE">
        <w:rPr>
          <w:b/>
        </w:rPr>
        <w:t>2.5.2. Nosacījumi un kritēriji atļaujas izsniegšanai un iepriekšējā auditā pārbaudāmie jautājumi</w:t>
      </w:r>
      <w:bookmarkStart w:id="145" w:name="_bookmark50"/>
      <w:bookmarkEnd w:id="145"/>
      <w:bookmarkEnd w:id="144"/>
    </w:p>
    <w:p w:rsidR="00211065" w:rsidRPr="003E628F" w:rsidRDefault="00211065" w:rsidP="003E628F">
      <w:pPr>
        <w:jc w:val="both"/>
        <w:rPr>
          <w:rFonts w:ascii="Times New Roman" w:eastAsia="Times New Roman" w:hAnsi="Times New Roman" w:cs="Times New Roman"/>
          <w:b/>
          <w:bCs/>
          <w:i/>
          <w:noProof/>
          <w:sz w:val="24"/>
          <w:szCs w:val="20"/>
        </w:rPr>
      </w:pPr>
    </w:p>
    <w:p w:rsidR="00211065" w:rsidRPr="003E628F" w:rsidRDefault="00211065" w:rsidP="003E628F">
      <w:pPr>
        <w:pStyle w:val="Pamatteksts"/>
        <w:ind w:left="0"/>
        <w:jc w:val="both"/>
        <w:rPr>
          <w:noProof/>
        </w:rPr>
      </w:pPr>
      <w:r>
        <w:t xml:space="preserve">Saskaņā ar SMK 185. panta 2. punktu pieteikuma iesniedzējam ir jābūt </w:t>
      </w:r>
      <w:r>
        <w:rPr>
          <w:b/>
          <w:i/>
          <w:noProof/>
        </w:rPr>
        <w:t>AEOC</w:t>
      </w:r>
      <w:r>
        <w:t>.</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Konkrēti pārbaudāmie jautājumi ir atkarīgi no pieteikuma iesniedzēja pieprasītā deleģēšanas veida (sk. 2.5.3. punktu).</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Pieteikumos un atļaujās uzņēmējam ir jāatzīmē deleģētais(-ie) pienākums(-i), kam tas vēlas pieteikties.</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jc w:val="both"/>
        <w:rPr>
          <w:rFonts w:ascii="Times New Roman" w:eastAsia="Times New Roman" w:hAnsi="Times New Roman" w:cs="Times New Roman"/>
          <w:noProof/>
          <w:sz w:val="24"/>
          <w:szCs w:val="24"/>
        </w:rPr>
      </w:pPr>
      <w:r>
        <w:rPr>
          <w:rFonts w:ascii="Times New Roman" w:hAnsi="Times New Roman"/>
          <w:i/>
          <w:noProof/>
          <w:color w:val="49442A"/>
          <w:sz w:val="24"/>
          <w:u w:val="single" w:color="49442A"/>
        </w:rPr>
        <w:t>Jāņem vērā!</w:t>
      </w:r>
      <w:r>
        <w:t xml:space="preserve"> </w:t>
      </w:r>
      <w:r>
        <w:rPr>
          <w:rFonts w:ascii="Times New Roman" w:hAnsi="Times New Roman"/>
          <w:i/>
          <w:noProof/>
          <w:color w:val="49442A"/>
          <w:sz w:val="24"/>
        </w:rPr>
        <w:t>Ja pašnovērtējums atļauts attiecībā uz muitas procedūru, kurai jau ir piešķirta atļauja izmantot ierakstu deklarētāju reģistros, tad uzņēmējam ir divas dažādas, bet savstarpēji papildinošas atļaujas – viena pašvērtējumam un otra ierakstam deklarētāja reģistros.</w:t>
      </w:r>
    </w:p>
    <w:p w:rsidR="00E030BE" w:rsidRDefault="00E030BE">
      <w:pPr>
        <w:rPr>
          <w:rFonts w:ascii="Times New Roman" w:eastAsia="Times New Roman" w:hAnsi="Times New Roman" w:cs="Times New Roman"/>
          <w:i/>
          <w:noProof/>
          <w:sz w:val="24"/>
          <w:szCs w:val="20"/>
        </w:rPr>
      </w:pPr>
      <w:r>
        <w:rPr>
          <w:rFonts w:ascii="Times New Roman" w:eastAsia="Times New Roman" w:hAnsi="Times New Roman" w:cs="Times New Roman"/>
          <w:i/>
          <w:noProof/>
          <w:sz w:val="24"/>
          <w:szCs w:val="20"/>
        </w:rPr>
        <w:br w:type="page"/>
      </w:r>
    </w:p>
    <w:p w:rsidR="00211065" w:rsidRPr="003E628F" w:rsidRDefault="00211065" w:rsidP="003E628F">
      <w:pPr>
        <w:jc w:val="both"/>
        <w:rPr>
          <w:rFonts w:ascii="Times New Roman" w:eastAsia="Times New Roman" w:hAnsi="Times New Roman" w:cs="Times New Roman"/>
          <w:i/>
          <w:noProof/>
          <w:sz w:val="24"/>
          <w:szCs w:val="20"/>
        </w:rPr>
      </w:pPr>
    </w:p>
    <w:p w:rsidR="00211065" w:rsidRPr="003E628F" w:rsidRDefault="00211065" w:rsidP="003E628F">
      <w:pPr>
        <w:pStyle w:val="Pamatteksts"/>
        <w:ind w:left="0"/>
        <w:jc w:val="both"/>
        <w:rPr>
          <w:noProof/>
          <w:u w:val="single" w:color="000000"/>
        </w:rPr>
      </w:pPr>
      <w:r>
        <w:rPr>
          <w:noProof/>
          <w:u w:val="single" w:color="000000"/>
        </w:rPr>
        <w:t>Veidlapas</w:t>
      </w:r>
    </w:p>
    <w:p w:rsidR="00211065" w:rsidRPr="003E628F" w:rsidRDefault="00211065" w:rsidP="003E628F">
      <w:pPr>
        <w:jc w:val="both"/>
        <w:rPr>
          <w:rFonts w:ascii="Times New Roman" w:eastAsia="Times New Roman" w:hAnsi="Times New Roman" w:cs="Times New Roman"/>
          <w:noProof/>
          <w:sz w:val="24"/>
          <w:szCs w:val="14"/>
        </w:rPr>
      </w:pPr>
    </w:p>
    <w:p w:rsidR="00211065" w:rsidRPr="003E628F" w:rsidRDefault="00211065" w:rsidP="003E628F">
      <w:pPr>
        <w:pStyle w:val="Pamatteksts"/>
        <w:ind w:left="0"/>
        <w:jc w:val="both"/>
        <w:rPr>
          <w:noProof/>
        </w:rPr>
      </w:pPr>
      <w:r>
        <w:t>Kamēr nav atjauninātas dalībvalstu SMK lēmumu sistēmas, tostarp attiecībā uz jauniem pieteikumiem un atļaujām, DA 2. pantā noteikts, ka muitas dienests var noteikt alternatīvu datu kopu, kas atšķiras no DA A pielikuma, ņemot vērā 6. punkta noteikumus.</w:t>
      </w:r>
    </w:p>
    <w:p w:rsidR="00211065" w:rsidRPr="003E628F" w:rsidRDefault="00211065" w:rsidP="003E628F">
      <w:pPr>
        <w:pStyle w:val="Pamatteksts"/>
        <w:ind w:left="0"/>
        <w:jc w:val="both"/>
        <w:rPr>
          <w:noProof/>
        </w:rPr>
      </w:pPr>
      <w:r>
        <w:t xml:space="preserve">Saskaņā ar </w:t>
      </w:r>
      <w:r>
        <w:rPr>
          <w:i/>
        </w:rPr>
        <w:t>TDA</w:t>
      </w:r>
      <w:r>
        <w:t xml:space="preserve"> 2. pantu līdz SMK muitas lēmumu sistēmu ieviešanai pieteikumus un atļaujas var sagatavot, izmantojot citus līdzekļus, kas nav elektroniska datu apstrāde, tostarp papīra līdzekļus.</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jc w:val="both"/>
        <w:rPr>
          <w:rFonts w:ascii="Times New Roman" w:eastAsia="Times New Roman" w:hAnsi="Times New Roman" w:cs="Times New Roman"/>
          <w:noProof/>
          <w:sz w:val="24"/>
          <w:szCs w:val="24"/>
        </w:rPr>
      </w:pPr>
      <w:r>
        <w:rPr>
          <w:rFonts w:ascii="Times New Roman" w:hAnsi="Times New Roman"/>
          <w:i/>
          <w:noProof/>
          <w:color w:val="49442A"/>
          <w:sz w:val="24"/>
          <w:u w:val="single" w:color="49442A"/>
        </w:rPr>
        <w:t>Jāņem vērā!</w:t>
      </w:r>
      <w:r>
        <w:rPr>
          <w:rFonts w:ascii="Times New Roman" w:hAnsi="Times New Roman"/>
          <w:i/>
          <w:noProof/>
          <w:color w:val="49442A"/>
          <w:sz w:val="24"/>
        </w:rPr>
        <w:t xml:space="preserve"> Tā kā pašnovērtējums ir jauns SMK paredzēts vienkāršojums, mēs neesam saskārušies ar problēmām, kas būtu saistītas ar atkārtotu novērtēšanu.</w:t>
      </w:r>
    </w:p>
    <w:p w:rsidR="00211065" w:rsidRPr="003E628F" w:rsidRDefault="00211065" w:rsidP="003E628F">
      <w:pPr>
        <w:jc w:val="both"/>
        <w:rPr>
          <w:rFonts w:ascii="Times New Roman" w:eastAsia="Times New Roman" w:hAnsi="Times New Roman" w:cs="Times New Roman"/>
          <w:i/>
          <w:noProof/>
          <w:sz w:val="24"/>
          <w:szCs w:val="21"/>
        </w:rPr>
      </w:pPr>
    </w:p>
    <w:p w:rsidR="00211065" w:rsidRPr="00E030BE" w:rsidRDefault="00426ED5" w:rsidP="00E030BE">
      <w:pPr>
        <w:pStyle w:val="Virsraksts2"/>
        <w:rPr>
          <w:b/>
        </w:rPr>
      </w:pPr>
      <w:bookmarkStart w:id="146" w:name="_Toc490734317"/>
      <w:r w:rsidRPr="00E030BE">
        <w:rPr>
          <w:b/>
        </w:rPr>
        <w:t>2.5.3. Kas var iesniegt pieteikumu, attiecībā uz kurām precēm un kurām procedūrām</w:t>
      </w:r>
      <w:bookmarkStart w:id="147" w:name="_bookmark51"/>
      <w:bookmarkEnd w:id="147"/>
      <w:bookmarkEnd w:id="146"/>
    </w:p>
    <w:p w:rsidR="00211065" w:rsidRPr="003E628F" w:rsidRDefault="00211065" w:rsidP="003E628F">
      <w:pPr>
        <w:jc w:val="both"/>
        <w:rPr>
          <w:rFonts w:ascii="Times New Roman" w:eastAsia="Times New Roman" w:hAnsi="Times New Roman" w:cs="Times New Roman"/>
          <w:b/>
          <w:bCs/>
          <w:i/>
          <w:noProof/>
          <w:sz w:val="24"/>
          <w:szCs w:val="20"/>
        </w:rPr>
      </w:pPr>
    </w:p>
    <w:p w:rsidR="00211065" w:rsidRPr="003E628F" w:rsidRDefault="00211065" w:rsidP="003E628F">
      <w:pPr>
        <w:pStyle w:val="Pamatteksts"/>
        <w:ind w:left="0"/>
        <w:jc w:val="both"/>
        <w:rPr>
          <w:noProof/>
        </w:rPr>
      </w:pPr>
      <w:r>
        <w:t xml:space="preserve">Pārstāvji var pieteikties pašnovērtējumam, taču gadījumā, ja pašnovērtējums ir apvienots ar </w:t>
      </w:r>
      <w:r>
        <w:rPr>
          <w:i/>
        </w:rPr>
        <w:t>EIDR</w:t>
      </w:r>
      <w:r>
        <w:t xml:space="preserve">, var piemērot tos pašus </w:t>
      </w:r>
      <w:r>
        <w:rPr>
          <w:i/>
        </w:rPr>
        <w:t>EIDR</w:t>
      </w:r>
      <w:r>
        <w:t xml:space="preserve"> piemērojamos noteikumus.</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 xml:space="preserve">Ietverto muitas procedūru saraksts ir jānorāda pašnovērtējuma atļaujā (ja pašnovērtējums tiek izmantots ar </w:t>
      </w:r>
      <w:r>
        <w:rPr>
          <w:i/>
        </w:rPr>
        <w:t>EIDR</w:t>
      </w:r>
      <w:r>
        <w:t xml:space="preserve"> atļauju, piemēro ar </w:t>
      </w:r>
      <w:r>
        <w:rPr>
          <w:i/>
        </w:rPr>
        <w:t>EIDR</w:t>
      </w:r>
      <w:r>
        <w:t xml:space="preserve"> saistītos izņēmumus).</w:t>
      </w:r>
    </w:p>
    <w:p w:rsidR="00211065" w:rsidRPr="003E628F" w:rsidRDefault="00211065" w:rsidP="003E628F">
      <w:pPr>
        <w:jc w:val="both"/>
        <w:rPr>
          <w:rFonts w:ascii="Times New Roman" w:eastAsia="Times New Roman" w:hAnsi="Times New Roman" w:cs="Times New Roman"/>
          <w:noProof/>
          <w:sz w:val="24"/>
          <w:szCs w:val="21"/>
        </w:rPr>
      </w:pPr>
    </w:p>
    <w:p w:rsidR="00211065" w:rsidRPr="00E030BE" w:rsidRDefault="00426ED5" w:rsidP="00E030BE">
      <w:pPr>
        <w:pStyle w:val="Virsraksts2"/>
        <w:rPr>
          <w:b/>
        </w:rPr>
      </w:pPr>
      <w:bookmarkStart w:id="148" w:name="_Toc490734318"/>
      <w:r w:rsidRPr="00E030BE">
        <w:rPr>
          <w:b/>
        </w:rPr>
        <w:t>2.5.4. Pašnovērtējuma veidi</w:t>
      </w:r>
      <w:bookmarkStart w:id="149" w:name="_bookmark52"/>
      <w:bookmarkEnd w:id="149"/>
      <w:bookmarkEnd w:id="148"/>
    </w:p>
    <w:p w:rsidR="00211065" w:rsidRPr="003E628F" w:rsidRDefault="00211065" w:rsidP="003E628F">
      <w:pPr>
        <w:jc w:val="both"/>
        <w:rPr>
          <w:rFonts w:ascii="Times New Roman" w:eastAsia="Times New Roman" w:hAnsi="Times New Roman" w:cs="Times New Roman"/>
          <w:b/>
          <w:bCs/>
          <w:i/>
          <w:noProof/>
          <w:sz w:val="24"/>
          <w:szCs w:val="20"/>
        </w:rPr>
      </w:pPr>
    </w:p>
    <w:p w:rsidR="00211065" w:rsidRPr="003E628F" w:rsidRDefault="00211065" w:rsidP="003E628F">
      <w:pPr>
        <w:pStyle w:val="Pamatteksts"/>
        <w:ind w:left="0"/>
        <w:jc w:val="both"/>
        <w:rPr>
          <w:noProof/>
        </w:rPr>
      </w:pPr>
      <w:r>
        <w:t>Saskaņā ar SMK 185. panta 1. punktu un DA 152. pantu pašnovērtējums ietver divu veidu deleģēšanu, no kurām viena attiecas uz muitas formalitātēm, bet otra – uz muitas kontroli:</w:t>
      </w:r>
    </w:p>
    <w:p w:rsidR="00211065" w:rsidRDefault="00211065" w:rsidP="003E628F">
      <w:pPr>
        <w:jc w:val="both"/>
        <w:rPr>
          <w:rFonts w:ascii="Times New Roman" w:eastAsia="Times New Roman" w:hAnsi="Times New Roman" w:cs="Times New Roman"/>
          <w:noProof/>
          <w:sz w:val="24"/>
          <w:szCs w:val="21"/>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31"/>
      </w:tblGrid>
      <w:tr w:rsidR="00426ED5" w:rsidTr="00E030BE">
        <w:trPr>
          <w:trHeight w:val="990"/>
        </w:trPr>
        <w:tc>
          <w:tcPr>
            <w:tcW w:w="9291" w:type="dxa"/>
            <w:shd w:val="clear" w:color="auto" w:fill="E4DFEB"/>
          </w:tcPr>
          <w:p w:rsidR="00426ED5" w:rsidRPr="00211065" w:rsidRDefault="00426ED5" w:rsidP="00426ED5">
            <w:pPr>
              <w:tabs>
                <w:tab w:val="left" w:pos="535"/>
              </w:tabs>
              <w:spacing w:before="12"/>
              <w:rPr>
                <w:rFonts w:ascii="Times New Roman"/>
                <w:noProof/>
                <w:sz w:val="24"/>
              </w:rPr>
            </w:pPr>
            <w:r>
              <w:rPr>
                <w:rFonts w:ascii="Times New Roman"/>
                <w:noProof/>
                <w:sz w:val="24"/>
              </w:rPr>
              <w:t>a) lai noteiktu maks</w:t>
            </w:r>
            <w:r>
              <w:rPr>
                <w:rFonts w:ascii="Times New Roman"/>
                <w:noProof/>
                <w:sz w:val="24"/>
              </w:rPr>
              <w:t>ā</w:t>
            </w:r>
            <w:r>
              <w:rPr>
                <w:rFonts w:ascii="Times New Roman"/>
                <w:noProof/>
                <w:sz w:val="24"/>
              </w:rPr>
              <w:t>jam</w:t>
            </w:r>
            <w:r>
              <w:rPr>
                <w:rFonts w:ascii="Times New Roman"/>
                <w:noProof/>
                <w:sz w:val="24"/>
              </w:rPr>
              <w:t>ā</w:t>
            </w:r>
            <w:r>
              <w:rPr>
                <w:rFonts w:ascii="Times New Roman"/>
                <w:noProof/>
                <w:sz w:val="24"/>
              </w:rPr>
              <w:t xml:space="preserve"> importa un eksporta nodok</w:t>
            </w:r>
            <w:r>
              <w:rPr>
                <w:rFonts w:ascii="Times New Roman"/>
                <w:noProof/>
                <w:sz w:val="24"/>
              </w:rPr>
              <w:t>ļ</w:t>
            </w:r>
            <w:r>
              <w:rPr>
                <w:rFonts w:ascii="Times New Roman"/>
                <w:noProof/>
                <w:sz w:val="24"/>
              </w:rPr>
              <w:t>a summu;</w:t>
            </w:r>
          </w:p>
          <w:p w:rsidR="00426ED5" w:rsidRPr="00426ED5" w:rsidRDefault="00426ED5" w:rsidP="00426ED5">
            <w:pPr>
              <w:tabs>
                <w:tab w:val="left" w:pos="535"/>
              </w:tabs>
              <w:spacing w:before="43" w:line="277" w:lineRule="auto"/>
              <w:ind w:right="127"/>
              <w:rPr>
                <w:rFonts w:ascii="Times New Roman"/>
                <w:noProof/>
                <w:sz w:val="24"/>
              </w:rPr>
            </w:pPr>
            <w:r>
              <w:rPr>
                <w:rFonts w:ascii="Times New Roman"/>
                <w:noProof/>
                <w:sz w:val="24"/>
              </w:rPr>
              <w:t>b) lai veiktu noteiktus kontroles pas</w:t>
            </w:r>
            <w:r>
              <w:rPr>
                <w:rFonts w:ascii="Times New Roman"/>
                <w:noProof/>
                <w:sz w:val="24"/>
              </w:rPr>
              <w:t>ā</w:t>
            </w:r>
            <w:r>
              <w:rPr>
                <w:rFonts w:ascii="Times New Roman"/>
                <w:noProof/>
                <w:sz w:val="24"/>
              </w:rPr>
              <w:t>kumus muitas uzraudz</w:t>
            </w:r>
            <w:r>
              <w:rPr>
                <w:rFonts w:ascii="Times New Roman"/>
                <w:noProof/>
                <w:sz w:val="24"/>
              </w:rPr>
              <w:t>ī</w:t>
            </w:r>
            <w:r>
              <w:rPr>
                <w:rFonts w:ascii="Times New Roman"/>
                <w:noProof/>
                <w:sz w:val="24"/>
              </w:rPr>
              <w:t>b</w:t>
            </w:r>
            <w:r>
              <w:rPr>
                <w:rFonts w:ascii="Times New Roman"/>
                <w:noProof/>
                <w:sz w:val="24"/>
              </w:rPr>
              <w:t>ā</w:t>
            </w:r>
            <w:r>
              <w:rPr>
                <w:rFonts w:ascii="Times New Roman"/>
                <w:noProof/>
                <w:sz w:val="24"/>
              </w:rPr>
              <w:t>, piem</w:t>
            </w:r>
            <w:r>
              <w:rPr>
                <w:rFonts w:ascii="Times New Roman"/>
                <w:noProof/>
                <w:sz w:val="24"/>
              </w:rPr>
              <w:t>ē</w:t>
            </w:r>
            <w:r>
              <w:rPr>
                <w:rFonts w:ascii="Times New Roman"/>
                <w:noProof/>
                <w:sz w:val="24"/>
              </w:rPr>
              <w:t>ram, lai noteiktu atbilst</w:t>
            </w:r>
            <w:r>
              <w:rPr>
                <w:rFonts w:ascii="Times New Roman"/>
                <w:noProof/>
                <w:sz w:val="24"/>
              </w:rPr>
              <w:t>ī</w:t>
            </w:r>
            <w:r>
              <w:rPr>
                <w:rFonts w:ascii="Times New Roman"/>
                <w:noProof/>
                <w:sz w:val="24"/>
              </w:rPr>
              <w:t>bu at</w:t>
            </w:r>
            <w:r>
              <w:rPr>
                <w:rFonts w:ascii="Times New Roman"/>
                <w:noProof/>
                <w:sz w:val="24"/>
              </w:rPr>
              <w:t>ļ</w:t>
            </w:r>
            <w:r>
              <w:rPr>
                <w:rFonts w:ascii="Times New Roman"/>
                <w:noProof/>
                <w:sz w:val="24"/>
              </w:rPr>
              <w:t>auj</w:t>
            </w:r>
            <w:r>
              <w:rPr>
                <w:rFonts w:ascii="Times New Roman"/>
                <w:noProof/>
                <w:sz w:val="24"/>
              </w:rPr>
              <w:t>ā</w:t>
            </w:r>
            <w:r>
              <w:rPr>
                <w:rFonts w:ascii="Times New Roman"/>
                <w:noProof/>
                <w:sz w:val="24"/>
              </w:rPr>
              <w:t xml:space="preserve"> nor</w:t>
            </w:r>
            <w:r>
              <w:rPr>
                <w:rFonts w:ascii="Times New Roman"/>
                <w:noProof/>
                <w:sz w:val="24"/>
              </w:rPr>
              <w:t>ā</w:t>
            </w:r>
            <w:r>
              <w:rPr>
                <w:rFonts w:ascii="Times New Roman"/>
                <w:noProof/>
                <w:sz w:val="24"/>
              </w:rPr>
              <w:t>d</w:t>
            </w:r>
            <w:r>
              <w:rPr>
                <w:rFonts w:ascii="Times New Roman"/>
                <w:noProof/>
                <w:sz w:val="24"/>
              </w:rPr>
              <w:t>ī</w:t>
            </w:r>
            <w:r>
              <w:rPr>
                <w:rFonts w:ascii="Times New Roman"/>
                <w:noProof/>
                <w:sz w:val="24"/>
              </w:rPr>
              <w:t>tajiem aizliegumiem un ierobe</w:t>
            </w:r>
            <w:r>
              <w:rPr>
                <w:rFonts w:ascii="Times New Roman"/>
                <w:noProof/>
                <w:sz w:val="24"/>
              </w:rPr>
              <w:t>ž</w:t>
            </w:r>
            <w:r>
              <w:rPr>
                <w:rFonts w:ascii="Times New Roman"/>
                <w:noProof/>
                <w:sz w:val="24"/>
              </w:rPr>
              <w:t>ojumiem.</w:t>
            </w:r>
          </w:p>
        </w:tc>
      </w:tr>
    </w:tbl>
    <w:p w:rsidR="00211065" w:rsidRPr="003E628F" w:rsidRDefault="00211065" w:rsidP="003E628F">
      <w:pPr>
        <w:jc w:val="both"/>
        <w:rPr>
          <w:rFonts w:ascii="Times New Roman" w:eastAsia="Times New Roman" w:hAnsi="Times New Roman" w:cs="Times New Roman"/>
          <w:noProof/>
          <w:sz w:val="24"/>
          <w:szCs w:val="11"/>
        </w:rPr>
      </w:pPr>
    </w:p>
    <w:p w:rsidR="00211065" w:rsidRPr="003E628F" w:rsidRDefault="00211065" w:rsidP="003E628F">
      <w:pPr>
        <w:pStyle w:val="Pamatteksts"/>
        <w:ind w:left="0"/>
        <w:jc w:val="both"/>
        <w:rPr>
          <w:rFonts w:cs="Times New Roman"/>
          <w:noProof/>
        </w:rPr>
      </w:pPr>
      <w:r>
        <w:rPr>
          <w:b/>
          <w:noProof/>
        </w:rPr>
        <w:t>Kas attiecas uz a) apakšpunktu</w:t>
      </w:r>
      <w:r>
        <w:t>, šī deleģēšana šķiet izdevīgāka gadījumā, ja muitai netiek iesniegta papildu deklarācija (proti, ja tiek izmantota vienkāršota deklarācija vai ieraksts deklarētāja reģistros ar papildu deklarācijas atbrīvojumu vai tiešu piekļuvi atļaujas turētāja sistēmai).</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Saskaņā ar ĪA 237. pantu atļaujas turētājam ir jānosaka nodokļa summa, kas jāmaksā par atļaujā noteikto periodu.</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Šīs atļaujas turētājs 10 dienu laikā pēc perioda beigām iesniedz uzraudzības muitas iestādei informāciju par noteikto summu.</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Muitas parādu uzskata par paziņotu šīs iesniegšanas brīdī. Turētājs maksā minēto summu atļaujā noteiktajā laika posmā un ne vēlāk kā Kodeksa 108. panta 1. punktā noteiktajā termiņā (10 dienas pēc muitas parāda pašpaziņošanas).</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rPr>
          <w:b/>
          <w:noProof/>
        </w:rPr>
        <w:t>Kas attiecas uz b) punktu</w:t>
      </w:r>
      <w:r>
        <w:t>, aizliegumu un ierobežojumu ievērošanas kontroles pasākumu deleģēšana būs iespējama vienīgi tad, ja par to ir vienojušies par attiecīgo aizliegumu vai ierobežojumu atbildīgie dienesti (kas nav muitas dienesti).</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jc w:val="both"/>
        <w:rPr>
          <w:rFonts w:ascii="Times New Roman" w:hAnsi="Times New Roman"/>
          <w:i/>
          <w:noProof/>
          <w:color w:val="49442A"/>
          <w:sz w:val="24"/>
        </w:rPr>
      </w:pPr>
      <w:r>
        <w:rPr>
          <w:rFonts w:ascii="Times New Roman" w:hAnsi="Times New Roman"/>
          <w:i/>
          <w:noProof/>
          <w:color w:val="49442A"/>
          <w:sz w:val="24"/>
          <w:u w:val="single" w:color="49442A"/>
        </w:rPr>
        <w:t>Jāņem vērā!</w:t>
      </w:r>
      <w:r>
        <w:t xml:space="preserve"> </w:t>
      </w:r>
      <w:r>
        <w:rPr>
          <w:rFonts w:ascii="Times New Roman" w:hAnsi="Times New Roman"/>
          <w:i/>
          <w:noProof/>
          <w:color w:val="49442A"/>
          <w:sz w:val="24"/>
        </w:rPr>
        <w:t xml:space="preserve">Lai varētu deleģēt muitas kontroles pasākumus uzņēmējam, var būt nepieciešami </w:t>
      </w:r>
      <w:r>
        <w:rPr>
          <w:rFonts w:ascii="Times New Roman" w:hAnsi="Times New Roman"/>
          <w:i/>
          <w:noProof/>
          <w:color w:val="49442A"/>
          <w:sz w:val="24"/>
        </w:rPr>
        <w:lastRenderedPageBreak/>
        <w:t>grozījumi citos ar kontroles veidu saistītajos tiesību aktos, kas nav tiesību akti muitas jomā. Valstu muitas dienestiem ir ieteicams sadarboties ar partneriem citās pārvaldes iestādēs, lai izpētītu konkrētas deleģēšanas iespējas (jānoskaidro ekonomiskā pamatotība).</w:t>
      </w:r>
    </w:p>
    <w:p w:rsidR="00211065" w:rsidRPr="003E628F" w:rsidRDefault="00211065" w:rsidP="003E628F">
      <w:pPr>
        <w:jc w:val="both"/>
        <w:rPr>
          <w:rFonts w:ascii="Times New Roman" w:hAnsi="Times New Roman"/>
          <w:i/>
          <w:noProof/>
          <w:color w:val="49442A"/>
          <w:sz w:val="24"/>
        </w:rPr>
      </w:pPr>
    </w:p>
    <w:p w:rsidR="00211065" w:rsidRPr="00E030BE" w:rsidRDefault="00426ED5" w:rsidP="00E030BE">
      <w:pPr>
        <w:pStyle w:val="Virsraksts2"/>
        <w:rPr>
          <w:b/>
        </w:rPr>
      </w:pPr>
      <w:bookmarkStart w:id="150" w:name="_Toc490734319"/>
      <w:r w:rsidRPr="00E030BE">
        <w:rPr>
          <w:b/>
        </w:rPr>
        <w:t>2.5.5. Pārraudzība un kontrole</w:t>
      </w:r>
      <w:bookmarkStart w:id="151" w:name="_bookmark53"/>
      <w:bookmarkEnd w:id="151"/>
      <w:bookmarkEnd w:id="150"/>
    </w:p>
    <w:p w:rsidR="00211065" w:rsidRPr="003E628F" w:rsidRDefault="00211065" w:rsidP="003E628F">
      <w:pPr>
        <w:jc w:val="both"/>
        <w:rPr>
          <w:rFonts w:ascii="Times New Roman" w:eastAsia="Times New Roman" w:hAnsi="Times New Roman" w:cs="Times New Roman"/>
          <w:b/>
          <w:bCs/>
          <w:i/>
          <w:noProof/>
          <w:sz w:val="24"/>
          <w:szCs w:val="20"/>
        </w:rPr>
      </w:pPr>
    </w:p>
    <w:p w:rsidR="00211065" w:rsidRDefault="00211065" w:rsidP="003E628F">
      <w:pPr>
        <w:pStyle w:val="Pamatteksts"/>
        <w:ind w:left="0"/>
        <w:jc w:val="both"/>
        <w:rPr>
          <w:noProof/>
        </w:rPr>
      </w:pPr>
      <w:r>
        <w:t>Muita pārrauga atļaujas pareizu izmantošanu, veicot iepriekšēju auditu un pēcieviešanas auditu.</w:t>
      </w:r>
    </w:p>
    <w:p w:rsidR="00426ED5" w:rsidRPr="003E628F" w:rsidRDefault="00426ED5" w:rsidP="003E628F">
      <w:pPr>
        <w:pStyle w:val="Pamatteksts"/>
        <w:ind w:left="0"/>
        <w:jc w:val="both"/>
        <w:rPr>
          <w:noProof/>
        </w:rPr>
      </w:pPr>
    </w:p>
    <w:p w:rsidR="00211065" w:rsidRPr="003E628F" w:rsidRDefault="00211065" w:rsidP="003E628F">
      <w:pPr>
        <w:pStyle w:val="Pamatteksts"/>
        <w:ind w:left="0"/>
        <w:jc w:val="both"/>
        <w:rPr>
          <w:noProof/>
        </w:rPr>
      </w:pPr>
      <w:r>
        <w:t>Muita pārrauga atļaujas pareizu izmantošanu iepriekšēja audita un pēcieviešanas audita laikā.</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Tas, ka uzņēmējam deleģēta kontrole un uzņēmējs šo kontroli īsteno, neliedz muitas dienestam kontrolēt to, kā uzņēmējs izpilda tam deleģētos uzdevumus; muita uzrauga šādi deleģētus pienākumus, un var tikt veikti ar attiecīgajiem deleģētajiem pienākumiem saistīti kontroles pasākumi.</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Riska pārvaldība, par kuru joprojām atbild muitas dienests (kam ir konfidenciāla informācija, kura netiks atklāta pašnovērtējuma atļaujas turētājam), ir jānošķir no tirgotāja veiktajiem kontroles pasākumiem.</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jc w:val="both"/>
        <w:rPr>
          <w:rFonts w:ascii="Times New Roman" w:eastAsia="Times New Roman" w:hAnsi="Times New Roman" w:cs="Times New Roman"/>
          <w:noProof/>
          <w:sz w:val="24"/>
          <w:szCs w:val="24"/>
        </w:rPr>
      </w:pPr>
      <w:r>
        <w:rPr>
          <w:rFonts w:ascii="Times New Roman" w:hAnsi="Times New Roman"/>
          <w:i/>
          <w:noProof/>
          <w:color w:val="49442A"/>
          <w:sz w:val="24"/>
          <w:u w:val="single" w:color="49442A"/>
        </w:rPr>
        <w:t>Jāņem vērā!</w:t>
      </w:r>
      <w:r>
        <w:t xml:space="preserve"> </w:t>
      </w:r>
      <w:r>
        <w:rPr>
          <w:rFonts w:ascii="Times New Roman" w:hAnsi="Times New Roman"/>
          <w:i/>
          <w:noProof/>
          <w:color w:val="49442A"/>
          <w:sz w:val="24"/>
        </w:rPr>
        <w:t>Ja tiesību akti nosaka, ka noteikta veida kontrole ir jāīsteno muitai, tad šo pasākumu nav iespējams deleģēt uzņēmējam.</w:t>
      </w:r>
    </w:p>
    <w:p w:rsidR="00211065" w:rsidRPr="003E628F" w:rsidRDefault="00211065" w:rsidP="003E628F">
      <w:pPr>
        <w:jc w:val="both"/>
        <w:rPr>
          <w:rFonts w:ascii="Times New Roman" w:eastAsia="Times New Roman" w:hAnsi="Times New Roman" w:cs="Times New Roman"/>
          <w:i/>
          <w:noProof/>
          <w:sz w:val="24"/>
          <w:szCs w:val="21"/>
        </w:rPr>
      </w:pPr>
    </w:p>
    <w:p w:rsidR="00211065" w:rsidRPr="00E030BE" w:rsidRDefault="00426ED5" w:rsidP="00E030BE">
      <w:pPr>
        <w:pStyle w:val="Virsraksts2"/>
        <w:rPr>
          <w:b/>
        </w:rPr>
      </w:pPr>
      <w:bookmarkStart w:id="152" w:name="_Toc490734320"/>
      <w:r w:rsidRPr="00E030BE">
        <w:rPr>
          <w:b/>
        </w:rPr>
        <w:t>2.5.6. Īpašs gadījums, kad veikta apvienošana ar EIDR</w:t>
      </w:r>
      <w:bookmarkStart w:id="153" w:name="_bookmark54"/>
      <w:bookmarkEnd w:id="153"/>
      <w:bookmarkEnd w:id="152"/>
    </w:p>
    <w:p w:rsidR="00211065" w:rsidRPr="003E628F" w:rsidRDefault="00211065" w:rsidP="003E628F">
      <w:pPr>
        <w:jc w:val="both"/>
        <w:rPr>
          <w:rFonts w:ascii="Times New Roman" w:eastAsia="Times New Roman" w:hAnsi="Times New Roman" w:cs="Times New Roman"/>
          <w:b/>
          <w:bCs/>
          <w:i/>
          <w:noProof/>
          <w:sz w:val="24"/>
          <w:szCs w:val="20"/>
        </w:rPr>
      </w:pPr>
    </w:p>
    <w:p w:rsidR="00211065" w:rsidRPr="003E628F" w:rsidRDefault="00211065" w:rsidP="003E628F">
      <w:pPr>
        <w:pStyle w:val="Pamatteksts"/>
        <w:ind w:left="0"/>
        <w:jc w:val="both"/>
        <w:rPr>
          <w:noProof/>
        </w:rPr>
      </w:pPr>
      <w:r>
        <w:t xml:space="preserve">Saskaņā ar DA 151. pantu pašnovērtējumu apvienojumā ar </w:t>
      </w:r>
      <w:r>
        <w:rPr>
          <w:i/>
        </w:rPr>
        <w:t>EIDR</w:t>
      </w:r>
      <w:r>
        <w:t xml:space="preserve"> atļauj vienīgi tām muitas procedūrām, kas atļautas arī attiecībā uz </w:t>
      </w:r>
      <w:r>
        <w:rPr>
          <w:i/>
        </w:rPr>
        <w:t>EIDR</w:t>
      </w:r>
      <w:r>
        <w:t xml:space="preserve"> (minētas DA 150. panta 2. punktā) un reeksportu.</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 xml:space="preserve">Saskaņā ar ĪA 225. pantu, ja pašnovērtējuma atļauja piešķirta kopā ar </w:t>
      </w:r>
      <w:r>
        <w:rPr>
          <w:i/>
        </w:rPr>
        <w:t>EIDR</w:t>
      </w:r>
      <w:r>
        <w:t>, atļaujas turētājam var atļaut papildu deklarāciju darīt pieejamu, sniedzot tiešu piekļuvi savai sistēmai, nevis iesniedzot papildu deklarāciju. Tādējādi muitas dienesti spēs iegūt nepieciešamos papildu deklarācijas datus statistikas, fiskālām un kontroles vajadzībām (piemēram, uzraudzības (</w:t>
      </w:r>
      <w:r>
        <w:rPr>
          <w:i/>
        </w:rPr>
        <w:t>SURV</w:t>
      </w:r>
      <w:r>
        <w:t>) vajadzībām).</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rPr>
          <w:noProof/>
          <w:u w:val="single" w:color="000000"/>
        </w:rPr>
        <w:t xml:space="preserve">Piemēram: </w:t>
      </w:r>
      <w:r>
        <w:t xml:space="preserve">piekļuvi var nodrošināt, izmantojot valsts standarta risinājumus, kas samazina izmaksas muitai un tirgotājiem (tīmekļa pakalpojums un </w:t>
      </w:r>
      <w:r>
        <w:rPr>
          <w:i/>
        </w:rPr>
        <w:t>XML</w:t>
      </w:r>
      <w:r>
        <w:t xml:space="preserve"> ziņojumi).</w:t>
      </w:r>
    </w:p>
    <w:p w:rsidR="00211065" w:rsidRPr="003E628F" w:rsidRDefault="00211065" w:rsidP="003E628F">
      <w:pPr>
        <w:jc w:val="both"/>
        <w:rPr>
          <w:rFonts w:ascii="Times New Roman" w:eastAsia="Times New Roman" w:hAnsi="Times New Roman" w:cs="Times New Roman"/>
          <w:noProof/>
          <w:sz w:val="24"/>
          <w:szCs w:val="24"/>
        </w:rPr>
      </w:pPr>
    </w:p>
    <w:p w:rsidR="00211065" w:rsidRPr="003E628F" w:rsidRDefault="00211065" w:rsidP="003E628F">
      <w:pPr>
        <w:jc w:val="both"/>
        <w:rPr>
          <w:rFonts w:ascii="Times New Roman" w:eastAsia="Times New Roman" w:hAnsi="Times New Roman" w:cs="Times New Roman"/>
          <w:noProof/>
          <w:sz w:val="24"/>
          <w:szCs w:val="24"/>
        </w:rPr>
      </w:pPr>
    </w:p>
    <w:p w:rsidR="00211065" w:rsidRDefault="00426ED5" w:rsidP="00E030BE">
      <w:pPr>
        <w:pStyle w:val="Virsraksts1"/>
        <w:jc w:val="left"/>
        <w:rPr>
          <w:noProof/>
        </w:rPr>
      </w:pPr>
      <w:bookmarkStart w:id="154" w:name="_Toc490734321"/>
      <w:r>
        <w:rPr>
          <w:noProof/>
        </w:rPr>
        <w:t>3. PIEMĒROJAMIE NOTEIKUMI SPĒKĀ ESOŠĀM ATĻAUJĀM NO 2016. GADA 1. MAIJA. KAD TIKS MAINĪTI PROCESUĀLIE NOTEIKUMI</w:t>
      </w:r>
      <w:bookmarkStart w:id="155" w:name="_bookmark55"/>
      <w:bookmarkEnd w:id="155"/>
      <w:bookmarkEnd w:id="154"/>
    </w:p>
    <w:p w:rsidR="00426ED5" w:rsidRPr="003E628F" w:rsidRDefault="00426ED5" w:rsidP="00426ED5">
      <w:pPr>
        <w:tabs>
          <w:tab w:val="left" w:pos="590"/>
        </w:tabs>
        <w:jc w:val="both"/>
        <w:rPr>
          <w:rFonts w:ascii="Times New Roman" w:eastAsia="Times New Roman" w:hAnsi="Times New Roman" w:cs="Times New Roman"/>
          <w:noProof/>
          <w:sz w:val="24"/>
          <w:szCs w:val="28"/>
        </w:rPr>
      </w:pPr>
    </w:p>
    <w:p w:rsidR="00211065" w:rsidRPr="00E030BE" w:rsidRDefault="00426ED5" w:rsidP="00E030BE">
      <w:pPr>
        <w:pStyle w:val="Virsraksts2"/>
        <w:rPr>
          <w:b/>
        </w:rPr>
      </w:pPr>
      <w:bookmarkStart w:id="156" w:name="_Toc490734322"/>
      <w:r w:rsidRPr="00E030BE">
        <w:rPr>
          <w:b/>
        </w:rPr>
        <w:t>3.1. Visiem vienkāršojumiem kopīgās daļas</w:t>
      </w:r>
      <w:bookmarkStart w:id="157" w:name="_bookmark56"/>
      <w:bookmarkEnd w:id="157"/>
      <w:bookmarkEnd w:id="156"/>
    </w:p>
    <w:p w:rsidR="00211065" w:rsidRPr="003E628F" w:rsidRDefault="00211065" w:rsidP="003E628F">
      <w:pPr>
        <w:jc w:val="both"/>
        <w:rPr>
          <w:rFonts w:ascii="Times New Roman" w:eastAsia="Times New Roman" w:hAnsi="Times New Roman" w:cs="Times New Roman"/>
          <w:b/>
          <w:bCs/>
          <w:i/>
          <w:noProof/>
          <w:sz w:val="24"/>
          <w:szCs w:val="20"/>
        </w:rPr>
      </w:pPr>
    </w:p>
    <w:p w:rsidR="00211065" w:rsidRPr="00E030BE" w:rsidRDefault="00426ED5" w:rsidP="00E030BE">
      <w:pPr>
        <w:pStyle w:val="Virsraksts2"/>
        <w:rPr>
          <w:b/>
          <w:noProof/>
        </w:rPr>
      </w:pPr>
      <w:bookmarkStart w:id="158" w:name="_Toc490734323"/>
      <w:r w:rsidRPr="00E030BE">
        <w:rPr>
          <w:b/>
          <w:noProof/>
        </w:rPr>
        <w:t>3.1.1. Kā interpretēt spēkā esošu atļauju saskaņā ar DA 251. un 254. pantu</w:t>
      </w:r>
      <w:bookmarkStart w:id="159" w:name="_bookmark57"/>
      <w:bookmarkEnd w:id="159"/>
      <w:bookmarkEnd w:id="158"/>
    </w:p>
    <w:p w:rsidR="00211065" w:rsidRPr="003E628F" w:rsidRDefault="00211065" w:rsidP="003E628F">
      <w:pPr>
        <w:jc w:val="both"/>
        <w:rPr>
          <w:rFonts w:ascii="Times New Roman" w:eastAsia="Times New Roman" w:hAnsi="Times New Roman" w:cs="Times New Roman"/>
          <w:b/>
          <w:bCs/>
          <w:i/>
          <w:noProof/>
          <w:sz w:val="24"/>
          <w:szCs w:val="20"/>
        </w:rPr>
      </w:pPr>
    </w:p>
    <w:p w:rsidR="00211065" w:rsidRDefault="00211065" w:rsidP="003E628F">
      <w:pPr>
        <w:pStyle w:val="Pamatteksts"/>
        <w:ind w:left="0"/>
        <w:jc w:val="both"/>
        <w:rPr>
          <w:noProof/>
          <w:u w:val="single" w:color="000000"/>
        </w:rPr>
      </w:pPr>
      <w:r>
        <w:rPr>
          <w:noProof/>
          <w:u w:val="single" w:color="000000"/>
        </w:rPr>
        <w:t>Jānošķir divi elementi: atļaujas derīgums un procesuālie noteikumi, kas jāpiemēro saistībā ar šīs atļaujas izmantošanu.</w:t>
      </w:r>
    </w:p>
    <w:p w:rsidR="00426ED5" w:rsidRPr="003E628F" w:rsidRDefault="00426ED5" w:rsidP="003E628F">
      <w:pPr>
        <w:pStyle w:val="Pamatteksts"/>
        <w:ind w:left="0"/>
        <w:jc w:val="both"/>
        <w:rPr>
          <w:noProof/>
          <w:u w:val="single" w:color="000000"/>
        </w:rPr>
      </w:pPr>
    </w:p>
    <w:p w:rsidR="00211065" w:rsidRPr="003E628F" w:rsidRDefault="00426ED5" w:rsidP="00426ED5">
      <w:pPr>
        <w:pStyle w:val="Pamatteksts"/>
        <w:tabs>
          <w:tab w:val="left" w:pos="393"/>
        </w:tabs>
        <w:ind w:left="0"/>
        <w:jc w:val="both"/>
        <w:rPr>
          <w:noProof/>
        </w:rPr>
      </w:pPr>
      <w:r>
        <w:t xml:space="preserve">a) Atļaujas, kas 2016. gada 1. maijā jau ir spēkā un kam nav ierobežots derīguma termiņš, paliek spēkā līdz to atkārtotai novērtēšanai (DA 251. panta 1. punkta b) apakšpunkts). </w:t>
      </w:r>
      <w:r>
        <w:lastRenderedPageBreak/>
        <w:t xml:space="preserve">Atkārtotu novērtēšanu veic, pamatojoties uz SMK jauno noteikumu nosacījumiem un kritērijiem, un tā jāveic līdz 2019. gada 1. maijam, izņemot attiecībā uz </w:t>
      </w:r>
      <w:r>
        <w:rPr>
          <w:i/>
        </w:rPr>
        <w:t>SASP</w:t>
      </w:r>
      <w:r>
        <w:t xml:space="preserve"> (DA 250. panta 1. punkts lasīts kopā ar ĪA 345. panta 1. punktu).</w:t>
      </w:r>
    </w:p>
    <w:p w:rsidR="00211065" w:rsidRPr="003E628F" w:rsidRDefault="00211065" w:rsidP="003E628F">
      <w:pPr>
        <w:jc w:val="both"/>
        <w:rPr>
          <w:rFonts w:ascii="Times New Roman" w:hAnsi="Times New Roman"/>
          <w:noProof/>
          <w:sz w:val="24"/>
        </w:rPr>
      </w:pPr>
    </w:p>
    <w:p w:rsidR="00211065" w:rsidRPr="003E628F" w:rsidRDefault="00211065" w:rsidP="003E628F">
      <w:pPr>
        <w:pStyle w:val="Pamatteksts"/>
        <w:ind w:left="0"/>
        <w:jc w:val="both"/>
        <w:rPr>
          <w:noProof/>
        </w:rPr>
      </w:pPr>
      <w:r>
        <w:t>Ar lēmumiem, kas tiek pieņemti, pamatojoties uz iepriekš minēto atkārtoto novērtēšanu, atceļ atkārtoti novērtētās atļaujas un attiecīgā gadījumā piešķir jaunas atļaujas. Ja jāpiešķir jauna atļauja, to veic, pamatojoties uz atkārtotu novērtēšanu, un uzņēmējs neiesniedz jaunu pieteikumu.</w:t>
      </w:r>
    </w:p>
    <w:p w:rsidR="00211065" w:rsidRPr="003E628F" w:rsidRDefault="00211065" w:rsidP="003E628F">
      <w:pPr>
        <w:pStyle w:val="Pamatteksts"/>
        <w:ind w:left="0"/>
        <w:jc w:val="both"/>
        <w:rPr>
          <w:noProof/>
        </w:rPr>
      </w:pPr>
      <w:r>
        <w:t>Atļaujas, kas tika izsniegtas, pamatojoties uz KMK / KMK īstenošanas noteikumiem, tiek interpretētas saskaņā ar DA 90. pielikumā iekļauto atbilstības tabulu. Jaunās terminoloģijas izmantošana ir obligāta saskaņā ar jauno Kodeksu.</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jc w:val="both"/>
        <w:rPr>
          <w:rFonts w:ascii="Times New Roman" w:eastAsia="Times New Roman" w:hAnsi="Times New Roman" w:cs="Times New Roman"/>
          <w:noProof/>
          <w:sz w:val="24"/>
          <w:szCs w:val="24"/>
        </w:rPr>
      </w:pPr>
      <w:r>
        <w:rPr>
          <w:rFonts w:ascii="Times New Roman" w:hAnsi="Times New Roman"/>
          <w:i/>
          <w:noProof/>
          <w:color w:val="49442A"/>
          <w:sz w:val="24"/>
          <w:u w:val="single" w:color="49442A"/>
        </w:rPr>
        <w:t>Jāņem vērā!</w:t>
      </w:r>
      <w:r>
        <w:t xml:space="preserve"> </w:t>
      </w:r>
      <w:r>
        <w:rPr>
          <w:rFonts w:ascii="Times New Roman" w:hAnsi="Times New Roman"/>
          <w:i/>
          <w:noProof/>
          <w:color w:val="49442A"/>
          <w:sz w:val="24"/>
        </w:rPr>
        <w:t>Atļaujas turētāji ir jāinformē par terminoloģijas maiņu un attiecīgā gadījumā par atbilstībām, no kurām tie var izvēlēties.</w:t>
      </w:r>
    </w:p>
    <w:p w:rsidR="00211065" w:rsidRPr="003E628F" w:rsidRDefault="00211065" w:rsidP="003E628F">
      <w:pPr>
        <w:jc w:val="both"/>
        <w:rPr>
          <w:rFonts w:ascii="Times New Roman" w:eastAsia="Times New Roman" w:hAnsi="Times New Roman" w:cs="Times New Roman"/>
          <w:i/>
          <w:noProof/>
          <w:sz w:val="24"/>
          <w:szCs w:val="20"/>
        </w:rPr>
      </w:pPr>
    </w:p>
    <w:p w:rsidR="00211065" w:rsidRPr="003E628F" w:rsidRDefault="00426ED5" w:rsidP="00426ED5">
      <w:pPr>
        <w:pStyle w:val="Pamatteksts"/>
        <w:tabs>
          <w:tab w:val="left" w:pos="489"/>
        </w:tabs>
        <w:ind w:left="0"/>
        <w:jc w:val="both"/>
        <w:rPr>
          <w:noProof/>
        </w:rPr>
      </w:pPr>
      <w:r>
        <w:t>b) Saskaņā ar DA 254. pantu nevienu atļauju, kas paliek spēkā 2016. gada 1. maijā, vairs nevar izmantot ar KMK un KMK īstenošanas noteikumu procesuālajiem noteikumiem, un tām ir jāatbilst jaunajiem SMK procesuālajiem noteikumiem. Papildu informācija par to, kas nepieciešams saistībā ar konkrētu atļaujas veidu, sniegta turpmākajos piemēros.</w:t>
      </w:r>
    </w:p>
    <w:p w:rsidR="00211065" w:rsidRPr="003E628F" w:rsidRDefault="00211065" w:rsidP="003E628F">
      <w:pPr>
        <w:jc w:val="both"/>
        <w:rPr>
          <w:rFonts w:ascii="Times New Roman" w:eastAsia="Times New Roman" w:hAnsi="Times New Roman" w:cs="Times New Roman"/>
          <w:noProof/>
          <w:sz w:val="24"/>
          <w:szCs w:val="21"/>
        </w:rPr>
      </w:pPr>
    </w:p>
    <w:p w:rsidR="00211065" w:rsidRPr="00E030BE" w:rsidRDefault="00426ED5" w:rsidP="00E030BE">
      <w:pPr>
        <w:pStyle w:val="Virsraksts2"/>
        <w:rPr>
          <w:b/>
        </w:rPr>
      </w:pPr>
      <w:bookmarkStart w:id="160" w:name="_Toc490734324"/>
      <w:r w:rsidRPr="00E030BE">
        <w:rPr>
          <w:b/>
        </w:rPr>
        <w:t>3.1.2. Atkārtota novērtēšana</w:t>
      </w:r>
      <w:bookmarkStart w:id="161" w:name="_bookmark58"/>
      <w:bookmarkEnd w:id="161"/>
      <w:bookmarkEnd w:id="160"/>
    </w:p>
    <w:p w:rsidR="00211065" w:rsidRDefault="00211065" w:rsidP="003E628F">
      <w:pPr>
        <w:jc w:val="both"/>
        <w:rPr>
          <w:rFonts w:ascii="Times New Roman" w:eastAsia="Times New Roman" w:hAnsi="Times New Roman" w:cs="Times New Roman"/>
          <w:b/>
          <w:bCs/>
          <w:i/>
          <w:noProof/>
          <w:sz w:val="24"/>
          <w:szCs w:val="21"/>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31"/>
      </w:tblGrid>
      <w:tr w:rsidR="00426ED5" w:rsidTr="00E030BE">
        <w:tc>
          <w:tcPr>
            <w:tcW w:w="9291" w:type="dxa"/>
            <w:shd w:val="clear" w:color="auto" w:fill="E4DFEB"/>
          </w:tcPr>
          <w:p w:rsidR="00426ED5" w:rsidRPr="00211065" w:rsidRDefault="00426ED5" w:rsidP="00426ED5">
            <w:pPr>
              <w:spacing w:before="12"/>
              <w:jc w:val="both"/>
              <w:rPr>
                <w:rFonts w:ascii="Times New Roman"/>
                <w:noProof/>
                <w:sz w:val="24"/>
                <w:u w:val="single" w:color="000000"/>
              </w:rPr>
            </w:pPr>
            <w:r>
              <w:rPr>
                <w:rFonts w:ascii="Times New Roman"/>
                <w:noProof/>
                <w:sz w:val="24"/>
                <w:u w:val="single" w:color="000000"/>
              </w:rPr>
              <w:t>Atk</w:t>
            </w:r>
            <w:r>
              <w:rPr>
                <w:rFonts w:ascii="Times New Roman"/>
                <w:noProof/>
                <w:sz w:val="24"/>
                <w:u w:val="single" w:color="000000"/>
              </w:rPr>
              <w:t>ā</w:t>
            </w:r>
            <w:r>
              <w:rPr>
                <w:rFonts w:ascii="Times New Roman"/>
                <w:noProof/>
                <w:sz w:val="24"/>
                <w:u w:val="single" w:color="000000"/>
              </w:rPr>
              <w:t>rtot</w:t>
            </w:r>
            <w:r>
              <w:rPr>
                <w:rFonts w:ascii="Times New Roman"/>
                <w:noProof/>
                <w:sz w:val="24"/>
                <w:u w:val="single" w:color="000000"/>
              </w:rPr>
              <w:t>ā</w:t>
            </w:r>
            <w:r>
              <w:rPr>
                <w:rFonts w:ascii="Times New Roman"/>
                <w:noProof/>
                <w:sz w:val="24"/>
                <w:u w:val="single" w:color="000000"/>
              </w:rPr>
              <w:t xml:space="preserve"> nov</w:t>
            </w:r>
            <w:r>
              <w:rPr>
                <w:rFonts w:ascii="Times New Roman"/>
                <w:noProof/>
                <w:sz w:val="24"/>
                <w:u w:val="single" w:color="000000"/>
              </w:rPr>
              <w:t>ē</w:t>
            </w:r>
            <w:r>
              <w:rPr>
                <w:rFonts w:ascii="Times New Roman"/>
                <w:noProof/>
                <w:sz w:val="24"/>
                <w:u w:val="single" w:color="000000"/>
              </w:rPr>
              <w:t>rt</w:t>
            </w:r>
            <w:r>
              <w:rPr>
                <w:rFonts w:ascii="Times New Roman"/>
                <w:noProof/>
                <w:sz w:val="24"/>
                <w:u w:val="single" w:color="000000"/>
              </w:rPr>
              <w:t>ēš</w:t>
            </w:r>
            <w:r>
              <w:rPr>
                <w:rFonts w:ascii="Times New Roman"/>
                <w:noProof/>
                <w:sz w:val="24"/>
                <w:u w:val="single" w:color="000000"/>
              </w:rPr>
              <w:t>an</w:t>
            </w:r>
            <w:r>
              <w:rPr>
                <w:rFonts w:ascii="Times New Roman"/>
                <w:noProof/>
                <w:sz w:val="24"/>
                <w:u w:val="single" w:color="000000"/>
              </w:rPr>
              <w:t>ā</w:t>
            </w:r>
            <w:r>
              <w:rPr>
                <w:rFonts w:ascii="Times New Roman"/>
                <w:noProof/>
                <w:sz w:val="24"/>
                <w:u w:val="single" w:color="000000"/>
              </w:rPr>
              <w:t xml:space="preserve"> p</w:t>
            </w:r>
            <w:r>
              <w:rPr>
                <w:rFonts w:ascii="Times New Roman"/>
                <w:noProof/>
                <w:sz w:val="24"/>
                <w:u w:val="single" w:color="000000"/>
              </w:rPr>
              <w:t>ā</w:t>
            </w:r>
            <w:r>
              <w:rPr>
                <w:rFonts w:ascii="Times New Roman"/>
                <w:noProof/>
                <w:sz w:val="24"/>
                <w:u w:val="single" w:color="000000"/>
              </w:rPr>
              <w:t>rbaudi var veikt divos da</w:t>
            </w:r>
            <w:r>
              <w:rPr>
                <w:rFonts w:ascii="Times New Roman"/>
                <w:noProof/>
                <w:sz w:val="24"/>
                <w:u w:val="single" w:color="000000"/>
              </w:rPr>
              <w:t>žā</w:t>
            </w:r>
            <w:r>
              <w:rPr>
                <w:rFonts w:ascii="Times New Roman"/>
                <w:noProof/>
                <w:sz w:val="24"/>
                <w:u w:val="single" w:color="000000"/>
              </w:rPr>
              <w:t>dos l</w:t>
            </w:r>
            <w:r>
              <w:rPr>
                <w:rFonts w:ascii="Times New Roman"/>
                <w:noProof/>
                <w:sz w:val="24"/>
                <w:u w:val="single" w:color="000000"/>
              </w:rPr>
              <w:t>ī</w:t>
            </w:r>
            <w:r>
              <w:rPr>
                <w:rFonts w:ascii="Times New Roman"/>
                <w:noProof/>
                <w:sz w:val="24"/>
                <w:u w:val="single" w:color="000000"/>
              </w:rPr>
              <w:t>me</w:t>
            </w:r>
            <w:r>
              <w:rPr>
                <w:rFonts w:ascii="Times New Roman"/>
                <w:noProof/>
                <w:sz w:val="24"/>
                <w:u w:val="single" w:color="000000"/>
              </w:rPr>
              <w:t>ņ</w:t>
            </w:r>
            <w:r>
              <w:rPr>
                <w:rFonts w:ascii="Times New Roman"/>
                <w:noProof/>
                <w:sz w:val="24"/>
                <w:u w:val="single" w:color="000000"/>
              </w:rPr>
              <w:t>os:</w:t>
            </w:r>
          </w:p>
          <w:p w:rsidR="00426ED5" w:rsidRPr="00211065" w:rsidRDefault="00426ED5" w:rsidP="00426ED5">
            <w:pPr>
              <w:spacing w:before="10"/>
              <w:rPr>
                <w:rFonts w:ascii="Times New Roman" w:eastAsia="Times New Roman" w:hAnsi="Times New Roman" w:cs="Times New Roman"/>
                <w:b/>
                <w:bCs/>
                <w:i/>
                <w:noProof/>
                <w:sz w:val="20"/>
                <w:szCs w:val="20"/>
              </w:rPr>
            </w:pPr>
          </w:p>
          <w:p w:rsidR="00426ED5" w:rsidRPr="00211065" w:rsidRDefault="00426ED5" w:rsidP="00426ED5">
            <w:pPr>
              <w:tabs>
                <w:tab w:val="left" w:pos="367"/>
              </w:tabs>
              <w:rPr>
                <w:rFonts w:ascii="Times New Roman"/>
                <w:noProof/>
                <w:sz w:val="24"/>
              </w:rPr>
            </w:pPr>
            <w:r>
              <w:rPr>
                <w:rFonts w:ascii="Times New Roman"/>
                <w:noProof/>
                <w:sz w:val="24"/>
              </w:rPr>
              <w:t>1. jauno SMK krit</w:t>
            </w:r>
            <w:r>
              <w:rPr>
                <w:rFonts w:ascii="Times New Roman"/>
                <w:noProof/>
                <w:sz w:val="24"/>
              </w:rPr>
              <w:t>ē</w:t>
            </w:r>
            <w:r>
              <w:rPr>
                <w:rFonts w:ascii="Times New Roman"/>
                <w:noProof/>
                <w:sz w:val="24"/>
              </w:rPr>
              <w:t>riju nov</w:t>
            </w:r>
            <w:r>
              <w:rPr>
                <w:rFonts w:ascii="Times New Roman"/>
                <w:noProof/>
                <w:sz w:val="24"/>
              </w:rPr>
              <w:t>ē</w:t>
            </w:r>
            <w:r>
              <w:rPr>
                <w:rFonts w:ascii="Times New Roman"/>
                <w:noProof/>
                <w:sz w:val="24"/>
              </w:rPr>
              <w:t>rt</w:t>
            </w:r>
            <w:r>
              <w:rPr>
                <w:rFonts w:ascii="Times New Roman"/>
                <w:noProof/>
                <w:sz w:val="24"/>
              </w:rPr>
              <w:t>ēš</w:t>
            </w:r>
            <w:r>
              <w:rPr>
                <w:rFonts w:ascii="Times New Roman"/>
                <w:noProof/>
                <w:sz w:val="24"/>
              </w:rPr>
              <w:t>ana;</w:t>
            </w:r>
          </w:p>
          <w:p w:rsidR="00426ED5" w:rsidRPr="00211065" w:rsidRDefault="00426ED5" w:rsidP="00426ED5">
            <w:pPr>
              <w:spacing w:before="11"/>
              <w:rPr>
                <w:rFonts w:ascii="Times New Roman" w:eastAsia="Times New Roman" w:hAnsi="Times New Roman" w:cs="Times New Roman"/>
                <w:b/>
                <w:bCs/>
                <w:i/>
                <w:noProof/>
                <w:sz w:val="20"/>
                <w:szCs w:val="20"/>
              </w:rPr>
            </w:pPr>
          </w:p>
          <w:p w:rsidR="00426ED5" w:rsidRPr="00426ED5" w:rsidRDefault="00426ED5" w:rsidP="00426ED5">
            <w:pPr>
              <w:tabs>
                <w:tab w:val="left" w:pos="383"/>
              </w:tabs>
              <w:ind w:right="108"/>
              <w:rPr>
                <w:rFonts w:ascii="Times New Roman"/>
                <w:noProof/>
                <w:sz w:val="24"/>
              </w:rPr>
            </w:pPr>
            <w:r>
              <w:rPr>
                <w:rFonts w:ascii="Times New Roman"/>
                <w:noProof/>
                <w:sz w:val="24"/>
              </w:rPr>
              <w:t>2. to krit</w:t>
            </w:r>
            <w:r>
              <w:rPr>
                <w:rFonts w:ascii="Times New Roman"/>
                <w:noProof/>
                <w:sz w:val="24"/>
              </w:rPr>
              <w:t>ē</w:t>
            </w:r>
            <w:r>
              <w:rPr>
                <w:rFonts w:ascii="Times New Roman"/>
                <w:noProof/>
                <w:sz w:val="24"/>
              </w:rPr>
              <w:t>riju atk</w:t>
            </w:r>
            <w:r>
              <w:rPr>
                <w:rFonts w:ascii="Times New Roman"/>
                <w:noProof/>
                <w:sz w:val="24"/>
              </w:rPr>
              <w:t>ā</w:t>
            </w:r>
            <w:r>
              <w:rPr>
                <w:rFonts w:ascii="Times New Roman"/>
                <w:noProof/>
                <w:sz w:val="24"/>
              </w:rPr>
              <w:t>rtota nov</w:t>
            </w:r>
            <w:r>
              <w:rPr>
                <w:rFonts w:ascii="Times New Roman"/>
                <w:noProof/>
                <w:sz w:val="24"/>
              </w:rPr>
              <w:t>ē</w:t>
            </w:r>
            <w:r>
              <w:rPr>
                <w:rFonts w:ascii="Times New Roman"/>
                <w:noProof/>
                <w:sz w:val="24"/>
              </w:rPr>
              <w:t>rt</w:t>
            </w:r>
            <w:r>
              <w:rPr>
                <w:rFonts w:ascii="Times New Roman"/>
                <w:noProof/>
                <w:sz w:val="24"/>
              </w:rPr>
              <w:t>ēš</w:t>
            </w:r>
            <w:r>
              <w:rPr>
                <w:rFonts w:ascii="Times New Roman"/>
                <w:noProof/>
                <w:sz w:val="24"/>
              </w:rPr>
              <w:t>ana, kas jau tika piem</w:t>
            </w:r>
            <w:r>
              <w:rPr>
                <w:rFonts w:ascii="Times New Roman"/>
                <w:noProof/>
                <w:sz w:val="24"/>
              </w:rPr>
              <w:t>ē</w:t>
            </w:r>
            <w:r>
              <w:rPr>
                <w:rFonts w:ascii="Times New Roman"/>
                <w:noProof/>
                <w:sz w:val="24"/>
              </w:rPr>
              <w:t>roti saska</w:t>
            </w:r>
            <w:r>
              <w:rPr>
                <w:rFonts w:ascii="Times New Roman"/>
                <w:noProof/>
                <w:sz w:val="24"/>
              </w:rPr>
              <w:t>ņā</w:t>
            </w:r>
            <w:r>
              <w:rPr>
                <w:rFonts w:ascii="Times New Roman"/>
                <w:noProof/>
                <w:sz w:val="24"/>
              </w:rPr>
              <w:t xml:space="preserve"> ar KMK / KMK </w:t>
            </w:r>
            <w:r>
              <w:rPr>
                <w:rFonts w:ascii="Times New Roman"/>
                <w:noProof/>
                <w:sz w:val="24"/>
              </w:rPr>
              <w:t>ī</w:t>
            </w:r>
            <w:r>
              <w:rPr>
                <w:rFonts w:ascii="Times New Roman"/>
                <w:noProof/>
                <w:sz w:val="24"/>
              </w:rPr>
              <w:t>steno</w:t>
            </w:r>
            <w:r>
              <w:rPr>
                <w:rFonts w:ascii="Times New Roman"/>
                <w:noProof/>
                <w:sz w:val="24"/>
              </w:rPr>
              <w:t>š</w:t>
            </w:r>
            <w:r>
              <w:rPr>
                <w:rFonts w:ascii="Times New Roman"/>
                <w:noProof/>
                <w:sz w:val="24"/>
              </w:rPr>
              <w:t>anas noteikumiem un kurus at</w:t>
            </w:r>
            <w:r>
              <w:rPr>
                <w:rFonts w:ascii="Times New Roman"/>
                <w:noProof/>
                <w:sz w:val="24"/>
              </w:rPr>
              <w:t>ļ</w:t>
            </w:r>
            <w:r>
              <w:rPr>
                <w:rFonts w:ascii="Times New Roman"/>
                <w:noProof/>
                <w:sz w:val="24"/>
              </w:rPr>
              <w:t>aujas tur</w:t>
            </w:r>
            <w:r>
              <w:rPr>
                <w:rFonts w:ascii="Times New Roman"/>
                <w:noProof/>
                <w:sz w:val="24"/>
              </w:rPr>
              <w:t>ē</w:t>
            </w:r>
            <w:r>
              <w:rPr>
                <w:rFonts w:ascii="Times New Roman"/>
                <w:noProof/>
                <w:sz w:val="24"/>
              </w:rPr>
              <w:t>t</w:t>
            </w:r>
            <w:r>
              <w:rPr>
                <w:rFonts w:ascii="Times New Roman"/>
                <w:noProof/>
                <w:sz w:val="24"/>
              </w:rPr>
              <w:t>ā</w:t>
            </w:r>
            <w:r>
              <w:rPr>
                <w:rFonts w:ascii="Times New Roman"/>
                <w:noProof/>
                <w:sz w:val="24"/>
              </w:rPr>
              <w:t>js izpild</w:t>
            </w:r>
            <w:r>
              <w:rPr>
                <w:rFonts w:ascii="Times New Roman"/>
                <w:noProof/>
                <w:sz w:val="24"/>
              </w:rPr>
              <w:t>ī</w:t>
            </w:r>
            <w:r>
              <w:rPr>
                <w:rFonts w:ascii="Times New Roman"/>
                <w:noProof/>
                <w:sz w:val="24"/>
              </w:rPr>
              <w:t xml:space="preserve">ja, ja </w:t>
            </w:r>
            <w:r>
              <w:rPr>
                <w:rFonts w:ascii="Times New Roman"/>
                <w:noProof/>
                <w:sz w:val="24"/>
              </w:rPr>
              <w:t>š</w:t>
            </w:r>
            <w:r>
              <w:rPr>
                <w:rFonts w:ascii="Times New Roman"/>
                <w:noProof/>
                <w:sz w:val="24"/>
              </w:rPr>
              <w:t>iem krit</w:t>
            </w:r>
            <w:r>
              <w:rPr>
                <w:rFonts w:ascii="Times New Roman"/>
                <w:noProof/>
                <w:sz w:val="24"/>
              </w:rPr>
              <w:t>ē</w:t>
            </w:r>
            <w:r>
              <w:rPr>
                <w:rFonts w:ascii="Times New Roman"/>
                <w:noProof/>
                <w:sz w:val="24"/>
              </w:rPr>
              <w:t>rijiem ir t</w:t>
            </w:r>
            <w:r>
              <w:rPr>
                <w:rFonts w:ascii="Times New Roman"/>
                <w:noProof/>
                <w:sz w:val="24"/>
              </w:rPr>
              <w:t>ā</w:t>
            </w:r>
            <w:r>
              <w:rPr>
                <w:rFonts w:ascii="Times New Roman"/>
                <w:noProof/>
                <w:sz w:val="24"/>
              </w:rPr>
              <w:t>ds pats tv</w:t>
            </w:r>
            <w:r>
              <w:rPr>
                <w:rFonts w:ascii="Times New Roman"/>
                <w:noProof/>
                <w:sz w:val="24"/>
              </w:rPr>
              <w:t>ē</w:t>
            </w:r>
            <w:r>
              <w:rPr>
                <w:rFonts w:ascii="Times New Roman"/>
                <w:noProof/>
                <w:sz w:val="24"/>
              </w:rPr>
              <w:t>rums k</w:t>
            </w:r>
            <w:r>
              <w:rPr>
                <w:rFonts w:ascii="Times New Roman"/>
                <w:noProof/>
                <w:sz w:val="24"/>
              </w:rPr>
              <w:t>ā</w:t>
            </w:r>
            <w:r>
              <w:rPr>
                <w:rFonts w:ascii="Times New Roman"/>
                <w:noProof/>
                <w:sz w:val="24"/>
              </w:rPr>
              <w:t xml:space="preserve"> tiem, kas noteikti SMK un SMK DA/</w:t>
            </w:r>
            <w:r>
              <w:rPr>
                <w:rFonts w:ascii="Times New Roman"/>
                <w:noProof/>
                <w:sz w:val="24"/>
              </w:rPr>
              <w:t>Ī</w:t>
            </w:r>
            <w:r>
              <w:rPr>
                <w:rFonts w:ascii="Times New Roman"/>
                <w:noProof/>
                <w:sz w:val="24"/>
              </w:rPr>
              <w:t>A (sk. turpm</w:t>
            </w:r>
            <w:r>
              <w:rPr>
                <w:rFonts w:ascii="Times New Roman"/>
                <w:noProof/>
                <w:sz w:val="24"/>
              </w:rPr>
              <w:t>ā</w:t>
            </w:r>
            <w:r>
              <w:rPr>
                <w:rFonts w:ascii="Times New Roman"/>
                <w:noProof/>
                <w:sz w:val="24"/>
              </w:rPr>
              <w:t>k</w:t>
            </w:r>
            <w:r>
              <w:rPr>
                <w:rFonts w:ascii="Times New Roman"/>
                <w:noProof/>
                <w:sz w:val="24"/>
              </w:rPr>
              <w:t>ā</w:t>
            </w:r>
            <w:r>
              <w:rPr>
                <w:rFonts w:ascii="Times New Roman"/>
                <w:noProof/>
                <w:sz w:val="24"/>
              </w:rPr>
              <w:t>s tabulas par vienk</w:t>
            </w:r>
            <w:r>
              <w:rPr>
                <w:rFonts w:ascii="Times New Roman"/>
                <w:noProof/>
                <w:sz w:val="24"/>
              </w:rPr>
              <w:t>ā</w:t>
            </w:r>
            <w:r>
              <w:rPr>
                <w:rFonts w:ascii="Times New Roman"/>
                <w:noProof/>
                <w:sz w:val="24"/>
              </w:rPr>
              <w:t>r</w:t>
            </w:r>
            <w:r>
              <w:rPr>
                <w:rFonts w:ascii="Times New Roman"/>
                <w:noProof/>
                <w:sz w:val="24"/>
              </w:rPr>
              <w:t>š</w:t>
            </w:r>
            <w:r>
              <w:rPr>
                <w:rFonts w:ascii="Times New Roman"/>
                <w:noProof/>
                <w:sz w:val="24"/>
              </w:rPr>
              <w:t>oto deklar</w:t>
            </w:r>
            <w:r>
              <w:rPr>
                <w:rFonts w:ascii="Times New Roman"/>
                <w:noProof/>
                <w:sz w:val="24"/>
              </w:rPr>
              <w:t>ā</w:t>
            </w:r>
            <w:r>
              <w:rPr>
                <w:rFonts w:ascii="Times New Roman"/>
                <w:noProof/>
                <w:sz w:val="24"/>
              </w:rPr>
              <w:t>ciju (3.2.2.</w:t>
            </w:r>
            <w:r>
              <w:rPr>
                <w:rFonts w:ascii="Times New Roman"/>
                <w:noProof/>
                <w:sz w:val="24"/>
              </w:rPr>
              <w:t> </w:t>
            </w:r>
            <w:r>
              <w:rPr>
                <w:rFonts w:ascii="Times New Roman"/>
                <w:noProof/>
                <w:sz w:val="24"/>
              </w:rPr>
              <w:t xml:space="preserve">punkts) un par </w:t>
            </w:r>
            <w:r>
              <w:rPr>
                <w:rFonts w:ascii="Times New Roman"/>
                <w:i/>
                <w:noProof/>
                <w:sz w:val="24"/>
              </w:rPr>
              <w:t>EIDR</w:t>
            </w:r>
            <w:r>
              <w:rPr>
                <w:rFonts w:ascii="Times New Roman"/>
                <w:noProof/>
                <w:sz w:val="24"/>
              </w:rPr>
              <w:t xml:space="preserve"> (3.3.2.</w:t>
            </w:r>
            <w:r>
              <w:rPr>
                <w:rFonts w:ascii="Times New Roman"/>
                <w:noProof/>
                <w:sz w:val="24"/>
              </w:rPr>
              <w:t> </w:t>
            </w:r>
            <w:r>
              <w:rPr>
                <w:rFonts w:ascii="Times New Roman"/>
                <w:noProof/>
                <w:sz w:val="24"/>
              </w:rPr>
              <w:t>punkts)).</w:t>
            </w:r>
          </w:p>
        </w:tc>
      </w:tr>
    </w:tbl>
    <w:p w:rsidR="00211065" w:rsidRPr="003E628F" w:rsidRDefault="00211065" w:rsidP="003E628F">
      <w:pPr>
        <w:jc w:val="both"/>
        <w:rPr>
          <w:rFonts w:ascii="Times New Roman" w:eastAsia="Times New Roman" w:hAnsi="Times New Roman" w:cs="Times New Roman"/>
          <w:b/>
          <w:bCs/>
          <w:i/>
          <w:noProof/>
          <w:sz w:val="24"/>
          <w:szCs w:val="14"/>
        </w:rPr>
      </w:pPr>
    </w:p>
    <w:p w:rsidR="00211065" w:rsidRPr="003E628F" w:rsidRDefault="00211065" w:rsidP="003E628F">
      <w:pPr>
        <w:pStyle w:val="Pamatteksts"/>
        <w:ind w:left="0"/>
        <w:jc w:val="both"/>
        <w:rPr>
          <w:noProof/>
        </w:rPr>
      </w:pPr>
      <w:r>
        <w:t>Mērķis ir novērst darba dublēšanu.</w:t>
      </w:r>
    </w:p>
    <w:p w:rsidR="00211065" w:rsidRPr="003E628F" w:rsidRDefault="00211065" w:rsidP="003E628F">
      <w:pPr>
        <w:jc w:val="both"/>
        <w:rPr>
          <w:rFonts w:ascii="Times New Roman" w:eastAsia="Times New Roman" w:hAnsi="Times New Roman" w:cs="Times New Roman"/>
          <w:noProof/>
          <w:sz w:val="24"/>
          <w:szCs w:val="21"/>
        </w:rPr>
      </w:pPr>
    </w:p>
    <w:p w:rsidR="00211065" w:rsidRPr="003E628F" w:rsidRDefault="00426ED5" w:rsidP="00426ED5">
      <w:pPr>
        <w:pStyle w:val="Virsraksts1"/>
        <w:tabs>
          <w:tab w:val="left" w:pos="489"/>
        </w:tabs>
        <w:jc w:val="both"/>
        <w:rPr>
          <w:noProof/>
        </w:rPr>
      </w:pPr>
      <w:bookmarkStart w:id="162" w:name="_Toc490734325"/>
      <w:r>
        <w:t>a) Kā atkārtoti jānovērtē spēkā esošas atļaujas</w:t>
      </w:r>
      <w:bookmarkEnd w:id="162"/>
    </w:p>
    <w:p w:rsidR="00211065" w:rsidRPr="003E628F" w:rsidRDefault="00211065" w:rsidP="003E628F">
      <w:pPr>
        <w:jc w:val="both"/>
        <w:rPr>
          <w:rFonts w:ascii="Times New Roman" w:eastAsia="Times New Roman" w:hAnsi="Times New Roman" w:cs="Times New Roman"/>
          <w:b/>
          <w:bCs/>
          <w:noProof/>
          <w:sz w:val="24"/>
          <w:szCs w:val="20"/>
        </w:rPr>
      </w:pPr>
    </w:p>
    <w:p w:rsidR="00211065" w:rsidRPr="003E628F" w:rsidRDefault="00211065" w:rsidP="003E628F">
      <w:pPr>
        <w:pStyle w:val="Pamatteksts"/>
        <w:ind w:left="0"/>
        <w:jc w:val="both"/>
        <w:rPr>
          <w:noProof/>
        </w:rPr>
      </w:pPr>
      <w:r>
        <w:t xml:space="preserve">ĪA 345. panta 1. punktā noteikts, ka muitas dienesti pēc atkārtotas novērtēšanas atsauc atļaujas, kas minētas DA 250. panta 1. punktā, un attiecīgā gadījumā izsniedz jaunas atļaujas. Tomēr ir svarīgi ņemt vērā, ka atkārtotas novērtēšanas gadījumā </w:t>
      </w:r>
      <w:r>
        <w:rPr>
          <w:b/>
          <w:noProof/>
        </w:rPr>
        <w:t>atļaujas turētājiem nav obligāti jāiesniedz jauns pieteikums</w:t>
      </w:r>
      <w:r>
        <w:t>, lai neradītu tiem administratīvo slogu, pat ja saskaņā ar ĪA 345. pantu ir jāizdod jauna atļauja.</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jc w:val="both"/>
        <w:rPr>
          <w:rFonts w:ascii="Times New Roman" w:hAnsi="Times New Roman"/>
          <w:i/>
          <w:noProof/>
          <w:color w:val="49442A"/>
          <w:sz w:val="24"/>
        </w:rPr>
      </w:pPr>
      <w:r>
        <w:rPr>
          <w:rFonts w:ascii="Times New Roman" w:hAnsi="Times New Roman"/>
          <w:i/>
          <w:noProof/>
          <w:color w:val="49442A"/>
          <w:sz w:val="24"/>
          <w:u w:val="single" w:color="49442A"/>
        </w:rPr>
        <w:t>Jāņem vērā!</w:t>
      </w:r>
      <w:r>
        <w:t xml:space="preserve"> </w:t>
      </w:r>
      <w:r>
        <w:rPr>
          <w:rFonts w:ascii="Times New Roman" w:hAnsi="Times New Roman"/>
          <w:i/>
          <w:noProof/>
          <w:color w:val="49442A"/>
          <w:sz w:val="24"/>
        </w:rPr>
        <w:t>Ja atkārtotas novērtēšanas slēdziens ir nelabvēlīgs, atceltās atļaujas turētājs var nekavējoties pieteikties jaunai atļaujai. Praktisks risinājums ar kompromisu.</w:t>
      </w:r>
    </w:p>
    <w:p w:rsidR="00211065" w:rsidRPr="003E628F" w:rsidRDefault="00211065" w:rsidP="003E628F">
      <w:pPr>
        <w:jc w:val="both"/>
        <w:rPr>
          <w:rFonts w:ascii="Times New Roman" w:hAnsi="Times New Roman"/>
          <w:i/>
          <w:noProof/>
          <w:color w:val="49442A"/>
          <w:sz w:val="24"/>
        </w:rPr>
      </w:pPr>
    </w:p>
    <w:p w:rsidR="00211065" w:rsidRPr="003E628F" w:rsidRDefault="00211065" w:rsidP="003E628F">
      <w:pPr>
        <w:pStyle w:val="Pamatteksts"/>
        <w:ind w:left="0"/>
        <w:jc w:val="both"/>
        <w:rPr>
          <w:noProof/>
        </w:rPr>
      </w:pPr>
      <w:r>
        <w:t>Līdz ar to dalībvalsts ziņā ir iekļaut atļauju muitas lēmumu pārvaldības sistēmā, ja ar atļauju tiek iesaistītas vairākas dalībvalstis. Tomēr augšupielāde muitas lēmumu pārvaldības sistēmā būs iespējama vienīgi pēc šīs sistēmas ieviešanas.</w:t>
      </w:r>
    </w:p>
    <w:p w:rsidR="00E030BE" w:rsidRDefault="00E030BE">
      <w:pPr>
        <w:rPr>
          <w:rFonts w:ascii="Times New Roman" w:eastAsia="Times New Roman" w:hAnsi="Times New Roman" w:cs="Times New Roman"/>
          <w:noProof/>
          <w:sz w:val="24"/>
          <w:szCs w:val="21"/>
        </w:rPr>
      </w:pPr>
      <w:r>
        <w:rPr>
          <w:rFonts w:ascii="Times New Roman" w:eastAsia="Times New Roman" w:hAnsi="Times New Roman" w:cs="Times New Roman"/>
          <w:noProof/>
          <w:sz w:val="24"/>
          <w:szCs w:val="21"/>
        </w:rPr>
        <w:br w:type="page"/>
      </w:r>
    </w:p>
    <w:p w:rsidR="00211065" w:rsidRPr="003E628F" w:rsidRDefault="00211065" w:rsidP="003E628F">
      <w:pPr>
        <w:jc w:val="both"/>
        <w:rPr>
          <w:rFonts w:ascii="Times New Roman" w:eastAsia="Times New Roman" w:hAnsi="Times New Roman" w:cs="Times New Roman"/>
          <w:noProof/>
          <w:sz w:val="24"/>
          <w:szCs w:val="21"/>
        </w:rPr>
      </w:pPr>
    </w:p>
    <w:p w:rsidR="00211065" w:rsidRPr="003E628F" w:rsidRDefault="00426ED5" w:rsidP="00426ED5">
      <w:pPr>
        <w:pStyle w:val="Virsraksts1"/>
        <w:tabs>
          <w:tab w:val="left" w:pos="503"/>
        </w:tabs>
        <w:jc w:val="both"/>
        <w:rPr>
          <w:noProof/>
        </w:rPr>
      </w:pPr>
      <w:bookmarkStart w:id="163" w:name="_Toc490734326"/>
      <w:r>
        <w:t>b) Kad ir jāveic atkārtota novērtēšana</w:t>
      </w:r>
      <w:bookmarkEnd w:id="163"/>
    </w:p>
    <w:p w:rsidR="00211065" w:rsidRPr="003E628F" w:rsidRDefault="00211065" w:rsidP="003E628F">
      <w:pPr>
        <w:jc w:val="both"/>
        <w:rPr>
          <w:rFonts w:ascii="Times New Roman" w:eastAsia="Times New Roman" w:hAnsi="Times New Roman" w:cs="Times New Roman"/>
          <w:b/>
          <w:bCs/>
          <w:noProof/>
          <w:sz w:val="24"/>
          <w:szCs w:val="20"/>
        </w:rPr>
      </w:pPr>
    </w:p>
    <w:p w:rsidR="00211065" w:rsidRPr="003E628F" w:rsidRDefault="00211065" w:rsidP="003E628F">
      <w:pPr>
        <w:pStyle w:val="Pamatteksts"/>
        <w:ind w:left="0"/>
        <w:jc w:val="both"/>
        <w:rPr>
          <w:noProof/>
        </w:rPr>
      </w:pPr>
      <w:r>
        <w:t xml:space="preserve">Vienkāršojumu atkārtota novērtēšana vajadzības gadījumā ir jāsaskaņo ar </w:t>
      </w:r>
      <w:r>
        <w:rPr>
          <w:i/>
        </w:rPr>
        <w:t>AEO</w:t>
      </w:r>
      <w:r>
        <w:t xml:space="preserve"> atkārtotu novērtēšanu un/vai ar citu pārraudzības pasākumu rezultātu atkārtotu izmantošanu, kā arī ar jebkurām citām ar šo vienkāršojumu apvienotām atļaujām.</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Saistībā ar spēkā esošām atļaujām, kurām nav noteikts beigu datums, dalībvalsts var nolemt:</w:t>
      </w:r>
    </w:p>
    <w:p w:rsidR="00211065" w:rsidRPr="003E628F" w:rsidRDefault="00211065" w:rsidP="003E628F">
      <w:pPr>
        <w:jc w:val="both"/>
        <w:rPr>
          <w:rFonts w:ascii="Times New Roman" w:eastAsia="Times New Roman" w:hAnsi="Times New Roman" w:cs="Times New Roman"/>
          <w:noProof/>
          <w:sz w:val="24"/>
          <w:szCs w:val="21"/>
        </w:rPr>
      </w:pPr>
    </w:p>
    <w:p w:rsidR="00211065" w:rsidRPr="003E628F" w:rsidRDefault="00211065" w:rsidP="00426ED5">
      <w:pPr>
        <w:pStyle w:val="Pamatteksts"/>
        <w:numPr>
          <w:ilvl w:val="1"/>
          <w:numId w:val="26"/>
        </w:numPr>
        <w:tabs>
          <w:tab w:val="left" w:pos="1134"/>
        </w:tabs>
        <w:ind w:left="1134" w:hanging="425"/>
        <w:jc w:val="both"/>
        <w:rPr>
          <w:noProof/>
        </w:rPr>
      </w:pPr>
      <w:r>
        <w:t>plānot un īstenot šo atļauju atkārtotu novērtēšanu visā pārejas posmā;</w:t>
      </w:r>
    </w:p>
    <w:p w:rsidR="00211065" w:rsidRPr="003E628F" w:rsidRDefault="00211065" w:rsidP="00426ED5">
      <w:pPr>
        <w:pStyle w:val="Pamatteksts"/>
        <w:numPr>
          <w:ilvl w:val="1"/>
          <w:numId w:val="26"/>
        </w:numPr>
        <w:tabs>
          <w:tab w:val="left" w:pos="1134"/>
        </w:tabs>
        <w:ind w:left="1134" w:hanging="425"/>
        <w:jc w:val="both"/>
        <w:rPr>
          <w:noProof/>
        </w:rPr>
      </w:pPr>
      <w:r>
        <w:t>ļaut šādām atļaujām palikt spēkā līdz 2019. gada 30. aprīlim, un pēc tam atcelt šīs atļaujas;</w:t>
      </w:r>
    </w:p>
    <w:p w:rsidR="00211065" w:rsidRPr="003E628F" w:rsidRDefault="00211065" w:rsidP="00426ED5">
      <w:pPr>
        <w:pStyle w:val="Pamatteksts"/>
        <w:numPr>
          <w:ilvl w:val="0"/>
          <w:numId w:val="25"/>
        </w:numPr>
        <w:tabs>
          <w:tab w:val="left" w:pos="830"/>
          <w:tab w:val="left" w:pos="1134"/>
        </w:tabs>
        <w:ind w:left="1134" w:hanging="425"/>
        <w:jc w:val="both"/>
        <w:rPr>
          <w:noProof/>
        </w:rPr>
      </w:pPr>
      <w:r>
        <w:t>izdot jaunu (SMK) atļauju pēc novērtēšanas, taču noteikt, ka tā stājas spēkā 2019. gada 1. maijā.</w:t>
      </w:r>
    </w:p>
    <w:p w:rsidR="00426ED5" w:rsidRDefault="00426ED5" w:rsidP="003E628F">
      <w:pPr>
        <w:jc w:val="both"/>
        <w:rPr>
          <w:rFonts w:ascii="Times New Roman" w:hAnsi="Times New Roman"/>
          <w:i/>
          <w:noProof/>
          <w:color w:val="17365D"/>
          <w:sz w:val="24"/>
        </w:rPr>
      </w:pPr>
    </w:p>
    <w:p w:rsidR="00211065" w:rsidRPr="003E628F" w:rsidRDefault="00211065" w:rsidP="003E628F">
      <w:pPr>
        <w:jc w:val="both"/>
        <w:rPr>
          <w:rFonts w:ascii="Times New Roman" w:hAnsi="Times New Roman"/>
          <w:i/>
          <w:noProof/>
          <w:color w:val="17365D"/>
          <w:sz w:val="24"/>
        </w:rPr>
      </w:pPr>
      <w:r>
        <w:rPr>
          <w:rFonts w:ascii="Times New Roman" w:hAnsi="Times New Roman"/>
          <w:i/>
          <w:noProof/>
          <w:color w:val="17365D"/>
          <w:sz w:val="24"/>
        </w:rPr>
        <w:t>Piemērs. Atkārtota novērtēšana 2018. gada jūnijā, pašreizējās atļaujas atceļot 2019. gada 1. janvārī.</w:t>
      </w:r>
    </w:p>
    <w:p w:rsidR="00211065" w:rsidRPr="003E628F" w:rsidRDefault="00211065" w:rsidP="003E628F">
      <w:pPr>
        <w:jc w:val="both"/>
        <w:rPr>
          <w:rFonts w:ascii="Times New Roman" w:eastAsia="Times New Roman" w:hAnsi="Times New Roman" w:cs="Times New Roman"/>
          <w:i/>
          <w:noProof/>
          <w:sz w:val="24"/>
          <w:szCs w:val="20"/>
        </w:rPr>
      </w:pPr>
    </w:p>
    <w:p w:rsidR="00211065" w:rsidRPr="003E628F" w:rsidRDefault="00211065" w:rsidP="003E628F">
      <w:pPr>
        <w:pStyle w:val="Pamatteksts"/>
        <w:ind w:left="0"/>
        <w:jc w:val="both"/>
        <w:rPr>
          <w:noProof/>
        </w:rPr>
      </w:pPr>
      <w:r>
        <w:t>Dalībvalstij ir tiesības izvēlēties atkārtotas novērtēšanas datumu.</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Tādējādi dalībvalsts varēs plānot ar spēkā esošo atļauju atkārtotu novērtēšanu saistītā darba apjoma pārvaldību, atkārtotu novērtēšanu veicot mēnešu vai gadu periodā atkarībā no atļauju daudzuma un pieejamajiem līdzekļiem. Vienlaikus šādi netiks nelabvēlīgi ietekmēti spēkā esošo atļauju turētāji, jo tie varēs turpināt izmantot atļauju pastāvošajā režīmā tik ilgi, kamēr tas ir juridiski iespējams.</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Jaunā atļauja ar derīguma termiņu būs jāievada valsts/centrālajā muitas lēmumu sistēmā pirms dienas, kad tā kļūst derīga, lai nodrošinātu, ka, iestājoties attiecīgajai dienai, tā būtu aktivizēta sistēmā.</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jc w:val="both"/>
        <w:rPr>
          <w:rFonts w:ascii="Times New Roman" w:eastAsia="Times New Roman" w:hAnsi="Times New Roman" w:cs="Times New Roman"/>
          <w:noProof/>
          <w:sz w:val="24"/>
          <w:szCs w:val="24"/>
        </w:rPr>
      </w:pPr>
      <w:r>
        <w:rPr>
          <w:rFonts w:ascii="Times New Roman" w:hAnsi="Times New Roman"/>
          <w:i/>
          <w:noProof/>
          <w:color w:val="49442A"/>
          <w:sz w:val="24"/>
          <w:u w:val="single" w:color="49442A"/>
        </w:rPr>
        <w:t>Jāņem vērā!</w:t>
      </w:r>
      <w:r>
        <w:rPr>
          <w:rFonts w:ascii="Times New Roman" w:hAnsi="Times New Roman"/>
          <w:i/>
          <w:noProof/>
          <w:color w:val="49442A"/>
          <w:sz w:val="24"/>
        </w:rPr>
        <w:t xml:space="preserve"> Ieteicams arī saistīt atkārtotu novērtēšanu ar SMK elektronisko sistēmu ieviešanu, kad tas ir iespējams (proti, datumos pirms 2019. gada vidus).</w:t>
      </w:r>
    </w:p>
    <w:p w:rsidR="00211065" w:rsidRPr="003E628F" w:rsidRDefault="00211065" w:rsidP="003E628F">
      <w:pPr>
        <w:jc w:val="both"/>
        <w:rPr>
          <w:rFonts w:ascii="Times New Roman" w:eastAsia="Times New Roman" w:hAnsi="Times New Roman" w:cs="Times New Roman"/>
          <w:i/>
          <w:noProof/>
          <w:sz w:val="24"/>
          <w:szCs w:val="20"/>
        </w:rPr>
      </w:pPr>
    </w:p>
    <w:p w:rsidR="00211065" w:rsidRPr="003E628F" w:rsidRDefault="00211065" w:rsidP="003E628F">
      <w:pPr>
        <w:jc w:val="both"/>
        <w:rPr>
          <w:rFonts w:ascii="Times New Roman" w:hAnsi="Times New Roman"/>
          <w:i/>
          <w:noProof/>
          <w:color w:val="49442A"/>
          <w:sz w:val="24"/>
        </w:rPr>
      </w:pPr>
      <w:r>
        <w:rPr>
          <w:rFonts w:ascii="Times New Roman" w:hAnsi="Times New Roman"/>
          <w:i/>
          <w:noProof/>
          <w:color w:val="49442A"/>
          <w:sz w:val="24"/>
          <w:u w:val="single" w:color="49442A"/>
        </w:rPr>
        <w:t>Jāņem vērā!</w:t>
      </w:r>
      <w:r>
        <w:t xml:space="preserve"> </w:t>
      </w:r>
      <w:r>
        <w:rPr>
          <w:rFonts w:ascii="Times New Roman" w:hAnsi="Times New Roman"/>
          <w:i/>
          <w:noProof/>
          <w:color w:val="49442A"/>
          <w:sz w:val="24"/>
        </w:rPr>
        <w:t>Šis konkrētais pārejas periods beigsies, kad tiks pabeigta automatizētās eksporta kontroles sistēmas ieviešana (vēlākais 2020. gada martā). Tāpēc saistībā ar atkārtoti novērtētajām atļaujām un jaunajām atļaujām ir jāievēro jaunie eksporta izmantošanas nosacījumi, taču atļauju turētāji var izmantot pārejas pasākumus tik ilgi, kamēr nav atjauninātas eksporta sistēmas.</w:t>
      </w:r>
    </w:p>
    <w:p w:rsidR="00211065" w:rsidRPr="003E628F" w:rsidRDefault="00211065" w:rsidP="003E628F">
      <w:pPr>
        <w:jc w:val="both"/>
        <w:rPr>
          <w:rFonts w:ascii="Times New Roman" w:hAnsi="Times New Roman"/>
          <w:i/>
          <w:noProof/>
          <w:color w:val="49442A"/>
          <w:sz w:val="24"/>
        </w:rPr>
      </w:pPr>
    </w:p>
    <w:p w:rsidR="00211065" w:rsidRPr="003E628F" w:rsidRDefault="00211065" w:rsidP="003E628F">
      <w:pPr>
        <w:pStyle w:val="Pamatteksts"/>
        <w:ind w:left="0"/>
        <w:jc w:val="both"/>
        <w:rPr>
          <w:noProof/>
          <w:color w:val="17365D"/>
          <w:u w:val="single" w:color="17365D"/>
        </w:rPr>
      </w:pPr>
      <w:r>
        <w:rPr>
          <w:noProof/>
          <w:color w:val="17365D"/>
          <w:u w:val="single" w:color="17365D"/>
        </w:rPr>
        <w:t>Piemēri</w:t>
      </w:r>
    </w:p>
    <w:p w:rsidR="00211065" w:rsidRPr="003E628F" w:rsidRDefault="00211065" w:rsidP="003E628F">
      <w:pPr>
        <w:jc w:val="both"/>
        <w:rPr>
          <w:rFonts w:ascii="Times New Roman" w:eastAsia="Times New Roman" w:hAnsi="Times New Roman" w:cs="Times New Roman"/>
          <w:noProof/>
          <w:sz w:val="24"/>
          <w:szCs w:val="14"/>
        </w:rPr>
      </w:pPr>
    </w:p>
    <w:p w:rsidR="00211065" w:rsidRPr="003E628F" w:rsidRDefault="00426ED5" w:rsidP="00426ED5">
      <w:pPr>
        <w:pStyle w:val="Pamatteksts"/>
        <w:tabs>
          <w:tab w:val="left" w:pos="475"/>
        </w:tabs>
        <w:ind w:left="0"/>
        <w:jc w:val="both"/>
        <w:rPr>
          <w:noProof/>
          <w:color w:val="17365D"/>
        </w:rPr>
      </w:pPr>
      <w:r>
        <w:rPr>
          <w:noProof/>
          <w:color w:val="17365D"/>
        </w:rPr>
        <w:t>1. Ja atkārtota novērtēšana ir pabeigta 2017. gada 1. februārī un jau ir atjaunināta/pabeigta atbilstoša sistēma, jaunā atļauja būs piemērojama nekavējoties ar jaunajiem procesuālajiem noteikumiem.</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426ED5" w:rsidP="00426ED5">
      <w:pPr>
        <w:pStyle w:val="Pamatteksts"/>
        <w:tabs>
          <w:tab w:val="left" w:pos="424"/>
        </w:tabs>
        <w:ind w:left="0"/>
        <w:jc w:val="both"/>
        <w:rPr>
          <w:noProof/>
          <w:color w:val="17365D"/>
        </w:rPr>
      </w:pPr>
      <w:r>
        <w:rPr>
          <w:noProof/>
          <w:color w:val="17365D"/>
        </w:rPr>
        <w:t>2. Ja atkārtota novērtēšana ir veikta 2017. gada 1. februārī, taču atbilstoša sistēma tiek pabeigta 2017. gada decembrī, tad jaunā atļauja tiks atlikta līdz sistēmas ieviešanai, līdz tam piemērojot IT pārejas pasākumus.</w:t>
      </w:r>
    </w:p>
    <w:p w:rsidR="00E030BE" w:rsidRDefault="00E030BE">
      <w:pP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br w:type="page"/>
      </w:r>
    </w:p>
    <w:p w:rsidR="00211065" w:rsidRPr="003E628F" w:rsidRDefault="00211065" w:rsidP="003E628F">
      <w:pPr>
        <w:jc w:val="both"/>
        <w:rPr>
          <w:rFonts w:ascii="Times New Roman" w:eastAsia="Times New Roman" w:hAnsi="Times New Roman" w:cs="Times New Roman"/>
          <w:noProof/>
          <w:sz w:val="24"/>
          <w:szCs w:val="24"/>
        </w:rPr>
      </w:pPr>
    </w:p>
    <w:p w:rsidR="00211065" w:rsidRPr="00E030BE" w:rsidRDefault="00426ED5" w:rsidP="00E030BE">
      <w:pPr>
        <w:pStyle w:val="Virsraksts2"/>
        <w:rPr>
          <w:b/>
        </w:rPr>
      </w:pPr>
      <w:bookmarkStart w:id="164" w:name="_Toc490734327"/>
      <w:r w:rsidRPr="00E030BE">
        <w:rPr>
          <w:b/>
        </w:rPr>
        <w:t>3.2. Spēkā esošās vienkāršotās deklarācijas atļaujas</w:t>
      </w:r>
      <w:bookmarkStart w:id="165" w:name="_bookmark59"/>
      <w:bookmarkEnd w:id="165"/>
      <w:bookmarkEnd w:id="164"/>
    </w:p>
    <w:p w:rsidR="00211065" w:rsidRPr="003E628F" w:rsidRDefault="00211065" w:rsidP="003E628F">
      <w:pPr>
        <w:jc w:val="both"/>
        <w:rPr>
          <w:rFonts w:ascii="Times New Roman" w:eastAsia="Times New Roman" w:hAnsi="Times New Roman" w:cs="Times New Roman"/>
          <w:b/>
          <w:bCs/>
          <w:i/>
          <w:noProof/>
          <w:sz w:val="24"/>
          <w:szCs w:val="20"/>
        </w:rPr>
      </w:pPr>
    </w:p>
    <w:p w:rsidR="00211065" w:rsidRPr="00E030BE" w:rsidRDefault="00426ED5" w:rsidP="00E030BE">
      <w:pPr>
        <w:pStyle w:val="Virsraksts2"/>
        <w:rPr>
          <w:b/>
          <w:noProof/>
        </w:rPr>
      </w:pPr>
      <w:bookmarkStart w:id="166" w:name="_Toc490734328"/>
      <w:r w:rsidRPr="00E030BE">
        <w:rPr>
          <w:b/>
          <w:noProof/>
        </w:rPr>
        <w:t>3.2.1. Kā interpretēt atļauju 2016. gada 1. maijā</w:t>
      </w:r>
      <w:bookmarkStart w:id="167" w:name="_bookmark60"/>
      <w:bookmarkEnd w:id="167"/>
      <w:bookmarkEnd w:id="166"/>
    </w:p>
    <w:p w:rsidR="00211065" w:rsidRPr="003E628F" w:rsidRDefault="00211065" w:rsidP="003E628F">
      <w:pPr>
        <w:jc w:val="both"/>
        <w:rPr>
          <w:rFonts w:ascii="Times New Roman" w:eastAsia="Times New Roman" w:hAnsi="Times New Roman" w:cs="Times New Roman"/>
          <w:b/>
          <w:bCs/>
          <w:i/>
          <w:noProof/>
          <w:sz w:val="24"/>
          <w:szCs w:val="20"/>
        </w:rPr>
      </w:pPr>
    </w:p>
    <w:p w:rsidR="00211065" w:rsidRPr="003E628F" w:rsidRDefault="00211065" w:rsidP="003E628F">
      <w:pPr>
        <w:pStyle w:val="Pamatteksts"/>
        <w:ind w:left="0"/>
        <w:jc w:val="both"/>
        <w:rPr>
          <w:noProof/>
        </w:rPr>
      </w:pPr>
      <w:r>
        <w:t xml:space="preserve">Saskaņā ar </w:t>
      </w:r>
      <w:r>
        <w:rPr>
          <w:b/>
          <w:noProof/>
        </w:rPr>
        <w:t>DA 90. pielikumu</w:t>
      </w:r>
      <w:r>
        <w:t xml:space="preserve"> (DA 254. pantā minētā atbilstības tabula) šīs atļaujas kļūs par vienkāršotās deklarācijas atļaujām, kā noteikts Kodeksa 166. panta 2. punktā.</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Vienkāršotās deklarācijas atļaujas, kas importa gadījumā ļauj kā deklarāciju izmantot tirdzniecības vai administratīvus dokumentus, ir spēkā līdz valstu importa sistēmu atjaunināšanai (</w:t>
      </w:r>
      <w:r>
        <w:rPr>
          <w:i/>
        </w:rPr>
        <w:t>TDA</w:t>
      </w:r>
      <w:r>
        <w:t xml:space="preserve"> 16. panta 2. punkts).</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jc w:val="both"/>
        <w:rPr>
          <w:rFonts w:ascii="Times New Roman" w:eastAsia="Times New Roman" w:hAnsi="Times New Roman" w:cs="Times New Roman"/>
          <w:noProof/>
          <w:sz w:val="24"/>
          <w:szCs w:val="24"/>
        </w:rPr>
      </w:pPr>
      <w:r>
        <w:rPr>
          <w:rFonts w:ascii="Times New Roman" w:hAnsi="Times New Roman"/>
          <w:i/>
          <w:noProof/>
          <w:color w:val="49442A"/>
          <w:sz w:val="24"/>
          <w:u w:val="single" w:color="49442A"/>
        </w:rPr>
        <w:t>Jāņem vērā!</w:t>
      </w:r>
      <w:r>
        <w:t xml:space="preserve"> </w:t>
      </w:r>
      <w:r>
        <w:rPr>
          <w:rFonts w:ascii="Times New Roman" w:hAnsi="Times New Roman"/>
          <w:i/>
          <w:noProof/>
          <w:color w:val="49442A"/>
          <w:sz w:val="24"/>
        </w:rPr>
        <w:t>Ja importa sistēma nav atjaunināta līdz 2019. gada 1. maijam, ir piemērojami TDA noteikumi, lai tirgotāji varētu joprojām izmantot šos dokumentus pēc 2019. gada 1. maija līdz importa sistēmas ieviešanai.</w:t>
      </w:r>
    </w:p>
    <w:p w:rsidR="00426ED5" w:rsidRDefault="00426ED5" w:rsidP="00426ED5">
      <w:pPr>
        <w:pStyle w:val="Virsraksts2"/>
        <w:tabs>
          <w:tab w:val="left" w:pos="938"/>
        </w:tabs>
        <w:jc w:val="both"/>
        <w:rPr>
          <w:noProof/>
        </w:rPr>
      </w:pPr>
    </w:p>
    <w:p w:rsidR="00211065" w:rsidRPr="00E030BE" w:rsidRDefault="00426ED5" w:rsidP="00E030BE">
      <w:pPr>
        <w:pStyle w:val="Virsraksts2"/>
        <w:rPr>
          <w:b/>
        </w:rPr>
      </w:pPr>
      <w:bookmarkStart w:id="168" w:name="_Toc490734329"/>
      <w:r w:rsidRPr="00E030BE">
        <w:rPr>
          <w:b/>
        </w:rPr>
        <w:t>3.2.2. Atļaujas atkārtota novērtēšana</w:t>
      </w:r>
      <w:bookmarkStart w:id="169" w:name="_bookmark61"/>
      <w:bookmarkEnd w:id="169"/>
      <w:bookmarkEnd w:id="168"/>
    </w:p>
    <w:p w:rsidR="00211065" w:rsidRPr="003E628F" w:rsidRDefault="00211065" w:rsidP="003E628F">
      <w:pPr>
        <w:jc w:val="both"/>
        <w:rPr>
          <w:rFonts w:ascii="Times New Roman" w:eastAsia="Times New Roman" w:hAnsi="Times New Roman" w:cs="Times New Roman"/>
          <w:b/>
          <w:bCs/>
          <w:i/>
          <w:noProof/>
          <w:sz w:val="24"/>
          <w:szCs w:val="20"/>
        </w:rPr>
      </w:pPr>
    </w:p>
    <w:p w:rsidR="00211065" w:rsidRPr="003E628F" w:rsidRDefault="00211065" w:rsidP="003E628F">
      <w:pPr>
        <w:jc w:val="both"/>
        <w:rPr>
          <w:rFonts w:ascii="Times New Roman" w:eastAsia="Times New Roman" w:hAnsi="Times New Roman" w:cs="Times New Roman"/>
          <w:noProof/>
          <w:sz w:val="24"/>
          <w:szCs w:val="24"/>
        </w:rPr>
      </w:pPr>
      <w:r>
        <w:rPr>
          <w:rFonts w:ascii="Times New Roman" w:hAnsi="Times New Roman"/>
          <w:noProof/>
          <w:sz w:val="24"/>
        </w:rPr>
        <w:t xml:space="preserve">Visas vienkāršotās deklarācijas atļaujas atkārtoti novērtē pirms </w:t>
      </w:r>
      <w:r>
        <w:rPr>
          <w:rFonts w:ascii="Times New Roman" w:hAnsi="Times New Roman"/>
          <w:b/>
          <w:noProof/>
          <w:sz w:val="24"/>
        </w:rPr>
        <w:t>2019. gada 1. maija</w:t>
      </w:r>
      <w:r>
        <w:rPr>
          <w:rFonts w:ascii="Times New Roman" w:hAnsi="Times New Roman"/>
          <w:noProof/>
          <w:sz w:val="24"/>
        </w:rPr>
        <w:t>.</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 xml:space="preserve">Vienkāršotas deklarēšanas procedūras atļaujas tika piešķirtas saskaņā ar noteiktiem </w:t>
      </w:r>
      <w:r>
        <w:rPr>
          <w:i/>
        </w:rPr>
        <w:t>AEO</w:t>
      </w:r>
      <w:r>
        <w:t xml:space="preserve"> nosacījumiem un kritērijiem, kas noteikti KMK: 14.h pants (izņemot 1. punkta c) apakšpunktu, 14.i panta d), e) un g) punktu un 14.j pantu (sal. ar KMK īstenošanas noteikumu 253.c pantu)).</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 xml:space="preserve">Jaunais Kodekss paredz dažus </w:t>
      </w:r>
      <w:r>
        <w:rPr>
          <w:i/>
        </w:rPr>
        <w:t>AEO</w:t>
      </w:r>
      <w:r>
        <w:t xml:space="preserve"> kritērijus, kas līdzinās KMK noteiktajiem; vienkāršotas deklarēšanas procedūras atļaujas atkārtota novērtēšana var tikt veikta divos pārbaudes līmeņos:</w:t>
      </w:r>
    </w:p>
    <w:p w:rsidR="00211065" w:rsidRPr="003E628F" w:rsidRDefault="00211065" w:rsidP="003E628F">
      <w:pPr>
        <w:jc w:val="both"/>
        <w:rPr>
          <w:rFonts w:ascii="Times New Roman" w:eastAsia="Times New Roman" w:hAnsi="Times New Roman" w:cs="Times New Roman"/>
          <w:noProof/>
          <w:sz w:val="24"/>
          <w:szCs w:val="21"/>
        </w:rPr>
      </w:pPr>
    </w:p>
    <w:p w:rsidR="00211065" w:rsidRPr="003E628F" w:rsidRDefault="00211065" w:rsidP="00426ED5">
      <w:pPr>
        <w:numPr>
          <w:ilvl w:val="0"/>
          <w:numId w:val="23"/>
        </w:numPr>
        <w:ind w:left="1134" w:hanging="425"/>
        <w:jc w:val="both"/>
        <w:rPr>
          <w:rFonts w:ascii="Times New Roman" w:hAnsi="Times New Roman"/>
          <w:i/>
          <w:noProof/>
          <w:sz w:val="24"/>
        </w:rPr>
      </w:pPr>
      <w:r>
        <w:rPr>
          <w:rFonts w:ascii="Times New Roman" w:hAnsi="Times New Roman"/>
          <w:i/>
          <w:noProof/>
          <w:sz w:val="24"/>
        </w:rPr>
        <w:t>to jauno kritēriju novērtēšana, kas nebija paredzēti KMK;</w:t>
      </w:r>
    </w:p>
    <w:p w:rsidR="00211065" w:rsidRPr="003E628F" w:rsidRDefault="00211065" w:rsidP="00426ED5">
      <w:pPr>
        <w:numPr>
          <w:ilvl w:val="0"/>
          <w:numId w:val="23"/>
        </w:numPr>
        <w:ind w:left="1134" w:hanging="425"/>
        <w:jc w:val="both"/>
        <w:rPr>
          <w:rFonts w:ascii="Times New Roman" w:hAnsi="Times New Roman"/>
          <w:i/>
          <w:noProof/>
          <w:sz w:val="24"/>
        </w:rPr>
      </w:pPr>
      <w:r>
        <w:rPr>
          <w:rFonts w:ascii="Times New Roman" w:hAnsi="Times New Roman"/>
          <w:i/>
          <w:noProof/>
          <w:sz w:val="24"/>
        </w:rPr>
        <w:t>to kritēriju atkārtota novērtēšana, kas bija paredzēti KMK un kurus vienkāršotas deklarēšanas procedūras atļaujas turētājs bija izpildījis.</w:t>
      </w:r>
    </w:p>
    <w:p w:rsidR="00426ED5" w:rsidRDefault="00426ED5" w:rsidP="003E628F">
      <w:pPr>
        <w:pStyle w:val="Pamatteksts"/>
        <w:ind w:left="0"/>
        <w:jc w:val="both"/>
        <w:rPr>
          <w:noProof/>
        </w:rPr>
      </w:pPr>
    </w:p>
    <w:p w:rsidR="00211065" w:rsidRPr="003E628F" w:rsidRDefault="00E31954" w:rsidP="003E628F">
      <w:pPr>
        <w:pStyle w:val="Pamatteksts"/>
        <w:ind w:left="0"/>
        <w:jc w:val="both"/>
        <w:rPr>
          <w:noProof/>
        </w:rPr>
      </w:pPr>
      <w:r>
        <w:t>Turpmākajā tabulā attiecībā uz katru nosacījumu, kas jāizpilda, lai varētu saņemt vienkāršotās deklarācijas atļauju, sniegts salīdzinājums ar spēkā esošajiem nosacījumiem.</w:t>
      </w:r>
    </w:p>
    <w:p w:rsidR="00211065" w:rsidRPr="003E628F" w:rsidRDefault="00211065" w:rsidP="003E628F">
      <w:pPr>
        <w:jc w:val="both"/>
        <w:rPr>
          <w:rFonts w:ascii="Times New Roman" w:eastAsia="Times New Roman" w:hAnsi="Times New Roman" w:cs="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4686"/>
        <w:gridCol w:w="4445"/>
      </w:tblGrid>
      <w:tr w:rsidR="00211065" w:rsidRPr="003E628F" w:rsidTr="00A66097">
        <w:trPr>
          <w:trHeight w:hRule="exact" w:val="769"/>
        </w:trPr>
        <w:tc>
          <w:tcPr>
            <w:tcW w:w="2566" w:type="pct"/>
            <w:tcBorders>
              <w:top w:val="single" w:sz="5" w:space="0" w:color="000009"/>
              <w:left w:val="single" w:sz="5" w:space="0" w:color="000009"/>
              <w:bottom w:val="single" w:sz="5" w:space="0" w:color="000009"/>
              <w:right w:val="single" w:sz="5" w:space="0" w:color="000009"/>
            </w:tcBorders>
            <w:shd w:val="clear" w:color="auto" w:fill="E4DFEB"/>
          </w:tcPr>
          <w:p w:rsidR="00211065" w:rsidRPr="003E628F" w:rsidRDefault="00A66097" w:rsidP="00A66097">
            <w:pPr>
              <w:pStyle w:val="TableParagraph"/>
              <w:tabs>
                <w:tab w:val="left" w:pos="1870"/>
                <w:tab w:val="left" w:pos="2773"/>
                <w:tab w:val="left" w:pos="3719"/>
              </w:tabs>
              <w:jc w:val="both"/>
              <w:rPr>
                <w:rFonts w:ascii="Times New Roman" w:hAnsi="Times New Roman"/>
                <w:noProof/>
                <w:sz w:val="24"/>
              </w:rPr>
            </w:pPr>
            <w:r>
              <w:rPr>
                <w:rFonts w:ascii="Times New Roman" w:hAnsi="Times New Roman"/>
                <w:b/>
                <w:noProof/>
                <w:sz w:val="24"/>
              </w:rPr>
              <w:t>Nosacījumi, kas izpildāmi</w:t>
            </w:r>
            <w:r>
              <w:rPr>
                <w:rFonts w:ascii="Times New Roman" w:hAnsi="Times New Roman"/>
                <w:noProof/>
                <w:sz w:val="24"/>
              </w:rPr>
              <w:t xml:space="preserve"> saskaņā ar DA 145. pantu</w:t>
            </w:r>
          </w:p>
        </w:tc>
        <w:tc>
          <w:tcPr>
            <w:tcW w:w="2434" w:type="pct"/>
            <w:tcBorders>
              <w:top w:val="single" w:sz="5" w:space="0" w:color="000009"/>
              <w:left w:val="single" w:sz="5" w:space="0" w:color="000009"/>
              <w:bottom w:val="single" w:sz="5" w:space="0" w:color="000009"/>
              <w:right w:val="single" w:sz="5" w:space="0" w:color="000009"/>
            </w:tcBorders>
            <w:shd w:val="clear" w:color="auto" w:fill="E4DFEB"/>
          </w:tcPr>
          <w:p w:rsidR="00211065" w:rsidRPr="003E628F" w:rsidRDefault="00211065" w:rsidP="003E628F">
            <w:pPr>
              <w:pStyle w:val="TableParagraph"/>
              <w:jc w:val="both"/>
              <w:rPr>
                <w:rFonts w:ascii="Times New Roman" w:hAnsi="Times New Roman"/>
                <w:b/>
                <w:noProof/>
                <w:sz w:val="24"/>
              </w:rPr>
            </w:pPr>
            <w:r>
              <w:rPr>
                <w:rFonts w:ascii="Times New Roman" w:hAnsi="Times New Roman"/>
                <w:b/>
                <w:noProof/>
                <w:sz w:val="24"/>
              </w:rPr>
              <w:t>Vienkāršotas deklarēšanas procedūras atļauju atkārtota novērtēšana</w:t>
            </w:r>
          </w:p>
        </w:tc>
      </w:tr>
      <w:tr w:rsidR="00211065" w:rsidRPr="003E628F" w:rsidTr="00426ED5">
        <w:trPr>
          <w:trHeight w:hRule="exact" w:val="2182"/>
        </w:trPr>
        <w:tc>
          <w:tcPr>
            <w:tcW w:w="2566" w:type="pct"/>
            <w:tcBorders>
              <w:top w:val="single" w:sz="5" w:space="0" w:color="000009"/>
              <w:left w:val="single" w:sz="5" w:space="0" w:color="000009"/>
              <w:bottom w:val="single" w:sz="5" w:space="0" w:color="000009"/>
              <w:right w:val="single" w:sz="5" w:space="0" w:color="000009"/>
            </w:tcBorders>
            <w:shd w:val="clear" w:color="auto" w:fill="E4DFEB"/>
          </w:tcPr>
          <w:p w:rsidR="00211065" w:rsidRPr="003E628F" w:rsidRDefault="00211065" w:rsidP="003E628F">
            <w:pPr>
              <w:pStyle w:val="TableParagraph"/>
              <w:jc w:val="both"/>
              <w:rPr>
                <w:rFonts w:ascii="Times New Roman" w:eastAsia="Times New Roman" w:hAnsi="Times New Roman" w:cs="Times New Roman"/>
                <w:noProof/>
                <w:sz w:val="24"/>
                <w:szCs w:val="24"/>
              </w:rPr>
            </w:pPr>
            <w:r>
              <w:rPr>
                <w:rFonts w:ascii="Times New Roman" w:hAnsi="Times New Roman"/>
                <w:noProof/>
                <w:sz w:val="24"/>
              </w:rPr>
              <w:t>DA 145. panta 1. punkta a) apakšpunkts, kas tieši atsaucas uz Kodeksa 39. panta a) apakšpunktu un ĪA 24. pantu: nav tiesību aktu muitas jomā un nodokļu noteikumu nopietnu vai atkārtotu pārkāpumu, tostarp nav smagu noziedzīgu nodarījumu, kas saistīti ar pieteikuma iesniedzēja saimniecisko darbību.</w:t>
            </w:r>
          </w:p>
        </w:tc>
        <w:tc>
          <w:tcPr>
            <w:tcW w:w="2434" w:type="pct"/>
            <w:tcBorders>
              <w:top w:val="single" w:sz="5" w:space="0" w:color="000009"/>
              <w:left w:val="single" w:sz="5" w:space="0" w:color="000009"/>
              <w:bottom w:val="single" w:sz="5" w:space="0" w:color="000009"/>
              <w:right w:val="single" w:sz="5" w:space="0" w:color="000009"/>
            </w:tcBorders>
            <w:shd w:val="clear" w:color="auto" w:fill="E4DFEB"/>
          </w:tcPr>
          <w:p w:rsidR="00211065" w:rsidRPr="003E628F" w:rsidRDefault="00211065" w:rsidP="003E628F">
            <w:pPr>
              <w:pStyle w:val="TableParagraph"/>
              <w:jc w:val="both"/>
              <w:rPr>
                <w:rFonts w:ascii="Times New Roman" w:hAnsi="Times New Roman"/>
                <w:noProof/>
                <w:sz w:val="24"/>
              </w:rPr>
            </w:pPr>
            <w:r>
              <w:rPr>
                <w:rFonts w:ascii="Times New Roman" w:hAnsi="Times New Roman"/>
                <w:noProof/>
                <w:sz w:val="24"/>
              </w:rPr>
              <w:t>Nav pilnīgi aptverts KMK īstenošanas noteikumu 14.h pantā.</w:t>
            </w:r>
          </w:p>
        </w:tc>
      </w:tr>
      <w:tr w:rsidR="00211065" w:rsidRPr="003E628F" w:rsidTr="00426ED5">
        <w:trPr>
          <w:trHeight w:hRule="exact" w:val="1906"/>
        </w:trPr>
        <w:tc>
          <w:tcPr>
            <w:tcW w:w="2566" w:type="pct"/>
            <w:tcBorders>
              <w:top w:val="single" w:sz="5" w:space="0" w:color="000009"/>
              <w:left w:val="single" w:sz="5" w:space="0" w:color="000009"/>
              <w:bottom w:val="single" w:sz="5" w:space="0" w:color="000009"/>
              <w:right w:val="single" w:sz="5" w:space="0" w:color="000009"/>
            </w:tcBorders>
            <w:shd w:val="clear" w:color="auto" w:fill="E4DFEB"/>
          </w:tcPr>
          <w:p w:rsidR="00211065" w:rsidRPr="003E628F" w:rsidRDefault="00211065" w:rsidP="003E628F">
            <w:pPr>
              <w:pStyle w:val="TableParagraph"/>
              <w:jc w:val="both"/>
              <w:rPr>
                <w:rFonts w:ascii="Times New Roman" w:eastAsia="Times New Roman" w:hAnsi="Times New Roman" w:cs="Times New Roman"/>
                <w:noProof/>
                <w:sz w:val="24"/>
                <w:szCs w:val="24"/>
              </w:rPr>
            </w:pPr>
            <w:r>
              <w:rPr>
                <w:rFonts w:ascii="Times New Roman" w:hAnsi="Times New Roman"/>
                <w:noProof/>
                <w:sz w:val="24"/>
              </w:rPr>
              <w:lastRenderedPageBreak/>
              <w:t>DA 145. panta 1. punkta b) apakšpunkts: attiecīgā gadījumā pieteikuma iesniedzēja rīcībā ir atbilstošas procedūras tādu licenču un atļauju apstrādei, kas ir piešķirtas saskaņā ar tirdzniecības politikas pasākumiem vai saistībā ar lauksaimniecības produktu tirdzniecību.</w:t>
            </w:r>
          </w:p>
        </w:tc>
        <w:tc>
          <w:tcPr>
            <w:tcW w:w="2434" w:type="pct"/>
            <w:tcBorders>
              <w:top w:val="single" w:sz="5" w:space="0" w:color="000009"/>
              <w:left w:val="single" w:sz="5" w:space="0" w:color="000009"/>
              <w:bottom w:val="single" w:sz="5" w:space="0" w:color="000009"/>
              <w:right w:val="single" w:sz="5" w:space="0" w:color="000009"/>
            </w:tcBorders>
            <w:shd w:val="clear" w:color="auto" w:fill="E4DFEB"/>
          </w:tcPr>
          <w:p w:rsidR="00211065" w:rsidRPr="003E628F" w:rsidRDefault="00211065" w:rsidP="003E628F">
            <w:pPr>
              <w:pStyle w:val="TableParagraph"/>
              <w:jc w:val="both"/>
              <w:rPr>
                <w:rFonts w:ascii="Times New Roman" w:hAnsi="Times New Roman"/>
                <w:noProof/>
                <w:sz w:val="24"/>
              </w:rPr>
            </w:pPr>
            <w:r>
              <w:rPr>
                <w:rFonts w:ascii="Times New Roman" w:hAnsi="Times New Roman"/>
                <w:noProof/>
                <w:sz w:val="24"/>
              </w:rPr>
              <w:t>Tāds pats nosacījums kā KMK īstenošanas noteikumu 14.i panta e) punktā.</w:t>
            </w:r>
          </w:p>
        </w:tc>
      </w:tr>
      <w:tr w:rsidR="00211065" w:rsidRPr="003E628F" w:rsidTr="00E030BE">
        <w:trPr>
          <w:trHeight w:hRule="exact" w:val="2094"/>
        </w:trPr>
        <w:tc>
          <w:tcPr>
            <w:tcW w:w="2566" w:type="pct"/>
            <w:tcBorders>
              <w:top w:val="single" w:sz="5" w:space="0" w:color="000009"/>
              <w:left w:val="single" w:sz="5" w:space="0" w:color="000009"/>
              <w:bottom w:val="single" w:sz="5" w:space="0" w:color="000009"/>
              <w:right w:val="single" w:sz="5" w:space="0" w:color="000009"/>
            </w:tcBorders>
            <w:shd w:val="clear" w:color="auto" w:fill="E4DFEB"/>
          </w:tcPr>
          <w:p w:rsidR="00211065" w:rsidRPr="003E628F" w:rsidRDefault="00211065" w:rsidP="003E628F">
            <w:pPr>
              <w:pStyle w:val="TableParagraph"/>
              <w:jc w:val="both"/>
              <w:rPr>
                <w:rFonts w:ascii="Times New Roman" w:hAnsi="Times New Roman"/>
                <w:noProof/>
                <w:sz w:val="24"/>
              </w:rPr>
            </w:pPr>
            <w:r>
              <w:rPr>
                <w:rFonts w:ascii="Times New Roman" w:hAnsi="Times New Roman"/>
                <w:noProof/>
                <w:sz w:val="24"/>
              </w:rPr>
              <w:t>DA 145. panta 1. punkta c) apakšpunkts: pieteikuma iesniedzējs nodrošina to, ka attiecīgajiem darbiniekiem ir doti norādījumi informēt muitas dienestus neatbilstību konstatēšanas gadījumā, un izstrādā procedūras muitas dienestu informēšanai par šādām neatbilstībām.</w:t>
            </w:r>
          </w:p>
        </w:tc>
        <w:tc>
          <w:tcPr>
            <w:tcW w:w="2434" w:type="pct"/>
            <w:tcBorders>
              <w:top w:val="single" w:sz="5" w:space="0" w:color="000009"/>
              <w:left w:val="single" w:sz="5" w:space="0" w:color="000009"/>
              <w:bottom w:val="single" w:sz="5" w:space="0" w:color="000009"/>
              <w:right w:val="single" w:sz="5" w:space="0" w:color="000009"/>
            </w:tcBorders>
            <w:shd w:val="clear" w:color="auto" w:fill="E4DFEB"/>
          </w:tcPr>
          <w:p w:rsidR="00211065" w:rsidRPr="003E628F" w:rsidRDefault="00211065" w:rsidP="003E628F">
            <w:pPr>
              <w:pStyle w:val="TableParagraph"/>
              <w:jc w:val="both"/>
              <w:rPr>
                <w:rFonts w:ascii="Times New Roman" w:hAnsi="Times New Roman"/>
                <w:noProof/>
                <w:sz w:val="24"/>
              </w:rPr>
            </w:pPr>
            <w:r>
              <w:rPr>
                <w:rFonts w:ascii="Times New Roman" w:hAnsi="Times New Roman"/>
                <w:noProof/>
                <w:sz w:val="24"/>
              </w:rPr>
              <w:t>Tāds pats nosacījums kā KMK īstenošanas noteikumu 14.i panta g) punktā.</w:t>
            </w:r>
          </w:p>
        </w:tc>
      </w:tr>
      <w:tr w:rsidR="00211065" w:rsidRPr="003E628F" w:rsidTr="00A66097">
        <w:trPr>
          <w:trHeight w:hRule="exact" w:val="2564"/>
        </w:trPr>
        <w:tc>
          <w:tcPr>
            <w:tcW w:w="2566" w:type="pct"/>
            <w:tcBorders>
              <w:top w:val="single" w:sz="5" w:space="0" w:color="000009"/>
              <w:left w:val="single" w:sz="5" w:space="0" w:color="000009"/>
              <w:bottom w:val="single" w:sz="5" w:space="0" w:color="000009"/>
              <w:right w:val="single" w:sz="5" w:space="0" w:color="000009"/>
            </w:tcBorders>
            <w:shd w:val="clear" w:color="auto" w:fill="E4DFEB"/>
          </w:tcPr>
          <w:p w:rsidR="00211065" w:rsidRPr="003E628F" w:rsidRDefault="00211065" w:rsidP="003E628F">
            <w:pPr>
              <w:pStyle w:val="TableParagraph"/>
              <w:jc w:val="both"/>
              <w:rPr>
                <w:rFonts w:ascii="Times New Roman" w:hAnsi="Times New Roman"/>
                <w:noProof/>
                <w:sz w:val="24"/>
              </w:rPr>
            </w:pPr>
            <w:r>
              <w:rPr>
                <w:rFonts w:ascii="Times New Roman" w:hAnsi="Times New Roman"/>
                <w:noProof/>
                <w:sz w:val="24"/>
              </w:rPr>
              <w:t>DA 145. panta 1. punkta d) apakšpunkts: attiecīgā gadījumā pieteikuma iesniedzēja rīcībā ir atbilstošas procedūras importa un eksporta licenču apstrādei saistībā ar aizliegumiem un ierobežojumiem, tostarp tādi pasākumi, ar kuriem nodrošina tādu preču, uz kurām attiecas aizliegumi un ierobežojumi, nošķiršanu no citām precēm, un to atbilstību minētajiem aizliegumiem un ierobežojumiem.</w:t>
            </w:r>
          </w:p>
        </w:tc>
        <w:tc>
          <w:tcPr>
            <w:tcW w:w="2434" w:type="pct"/>
            <w:tcBorders>
              <w:top w:val="single" w:sz="5" w:space="0" w:color="000009"/>
              <w:left w:val="single" w:sz="5" w:space="0" w:color="000009"/>
              <w:bottom w:val="single" w:sz="5" w:space="0" w:color="000009"/>
              <w:right w:val="single" w:sz="5" w:space="0" w:color="000009"/>
            </w:tcBorders>
            <w:shd w:val="clear" w:color="auto" w:fill="E4DFEB"/>
          </w:tcPr>
          <w:p w:rsidR="00211065" w:rsidRPr="003E628F" w:rsidRDefault="00211065" w:rsidP="003E628F">
            <w:pPr>
              <w:pStyle w:val="TableParagraph"/>
              <w:jc w:val="both"/>
              <w:rPr>
                <w:rFonts w:ascii="Times New Roman" w:hAnsi="Times New Roman"/>
                <w:noProof/>
                <w:sz w:val="24"/>
              </w:rPr>
            </w:pPr>
            <w:r>
              <w:rPr>
                <w:rFonts w:ascii="Times New Roman" w:hAnsi="Times New Roman"/>
                <w:noProof/>
                <w:sz w:val="24"/>
              </w:rPr>
              <w:t xml:space="preserve">KMK īstenošanas noteikumu 14.k panta d) apakšpunktā paredzētais nosacījums, atbilstību kam pašlaik pārbauda vienīgi </w:t>
            </w:r>
            <w:r>
              <w:rPr>
                <w:rFonts w:ascii="Times New Roman" w:hAnsi="Times New Roman"/>
                <w:i/>
                <w:noProof/>
                <w:sz w:val="24"/>
              </w:rPr>
              <w:t>AEOS</w:t>
            </w:r>
            <w:r>
              <w:rPr>
                <w:rFonts w:ascii="Times New Roman" w:hAnsi="Times New Roman"/>
                <w:noProof/>
                <w:sz w:val="24"/>
              </w:rPr>
              <w:t xml:space="preserve"> (un pilnīga </w:t>
            </w:r>
            <w:r>
              <w:rPr>
                <w:rFonts w:ascii="Times New Roman" w:hAnsi="Times New Roman"/>
                <w:i/>
                <w:noProof/>
                <w:sz w:val="24"/>
              </w:rPr>
              <w:t>AEO</w:t>
            </w:r>
            <w:r>
              <w:rPr>
                <w:rFonts w:ascii="Times New Roman" w:hAnsi="Times New Roman"/>
                <w:noProof/>
                <w:sz w:val="24"/>
              </w:rPr>
              <w:t xml:space="preserve"> statusa) gadījumā.</w:t>
            </w:r>
          </w:p>
          <w:p w:rsidR="00211065" w:rsidRPr="003E628F" w:rsidRDefault="00211065" w:rsidP="003E628F">
            <w:pPr>
              <w:pStyle w:val="TableParagraph"/>
              <w:jc w:val="both"/>
              <w:rPr>
                <w:rFonts w:ascii="Times New Roman" w:eastAsia="Times New Roman" w:hAnsi="Times New Roman" w:cs="Times New Roman"/>
                <w:noProof/>
                <w:sz w:val="24"/>
                <w:szCs w:val="20"/>
              </w:rPr>
            </w:pPr>
          </w:p>
          <w:p w:rsidR="00211065" w:rsidRPr="003E628F" w:rsidRDefault="00211065" w:rsidP="003E628F">
            <w:pPr>
              <w:pStyle w:val="TableParagraph"/>
              <w:jc w:val="both"/>
              <w:rPr>
                <w:rFonts w:ascii="Times New Roman" w:hAnsi="Times New Roman"/>
                <w:noProof/>
                <w:sz w:val="24"/>
              </w:rPr>
            </w:pPr>
            <w:r>
              <w:rPr>
                <w:rFonts w:ascii="Times New Roman" w:hAnsi="Times New Roman"/>
                <w:noProof/>
                <w:sz w:val="24"/>
              </w:rPr>
              <w:t xml:space="preserve">Līdz ar to novērtējums ir nepieciešams, ja pieteikuma iesniedzējam vēl nav piešķirts </w:t>
            </w:r>
            <w:r>
              <w:rPr>
                <w:rFonts w:ascii="Times New Roman" w:hAnsi="Times New Roman"/>
                <w:i/>
                <w:noProof/>
                <w:sz w:val="24"/>
              </w:rPr>
              <w:t>AEOF</w:t>
            </w:r>
            <w:r>
              <w:rPr>
                <w:rFonts w:ascii="Times New Roman" w:hAnsi="Times New Roman"/>
                <w:noProof/>
                <w:sz w:val="24"/>
              </w:rPr>
              <w:t xml:space="preserve"> statuss.</w:t>
            </w:r>
          </w:p>
        </w:tc>
      </w:tr>
    </w:tbl>
    <w:p w:rsidR="00211065" w:rsidRPr="003E628F" w:rsidRDefault="00211065" w:rsidP="003E628F">
      <w:pPr>
        <w:jc w:val="both"/>
        <w:rPr>
          <w:rFonts w:ascii="Times New Roman" w:eastAsia="Times New Roman" w:hAnsi="Times New Roman" w:cs="Times New Roman"/>
          <w:noProof/>
          <w:sz w:val="24"/>
          <w:szCs w:val="7"/>
        </w:rPr>
      </w:pPr>
    </w:p>
    <w:p w:rsidR="00211065" w:rsidRPr="003E628F" w:rsidRDefault="00211065" w:rsidP="003E628F">
      <w:pPr>
        <w:pStyle w:val="Pamatteksts"/>
        <w:ind w:left="0"/>
        <w:jc w:val="both"/>
        <w:rPr>
          <w:noProof/>
        </w:rPr>
      </w:pPr>
      <w:r>
        <w:t xml:space="preserve">Parasti jau </w:t>
      </w:r>
      <w:r>
        <w:rPr>
          <w:i/>
        </w:rPr>
        <w:t>AEO</w:t>
      </w:r>
      <w:r>
        <w:t xml:space="preserve"> atkārtotā novērtēšanā pārbaudītie kritēriji netiks pārbaudīti atkārtoti, ja vien uzņēmējs nav ieviesis izmaiņas, t. i., jaunu IT sistēmu, vai nesāk jaunu procesu, t. i., jaunas procedūras vai darbības. Šādā gadījumā </w:t>
      </w:r>
      <w:r>
        <w:rPr>
          <w:i/>
        </w:rPr>
        <w:t>AEO</w:t>
      </w:r>
      <w:r>
        <w:t xml:space="preserve"> atkārtotu novērtēšanu var veikt vēlreiz.</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jc w:val="both"/>
        <w:rPr>
          <w:rFonts w:ascii="Times New Roman" w:hAnsi="Times New Roman"/>
          <w:i/>
          <w:noProof/>
          <w:color w:val="49442A"/>
          <w:sz w:val="24"/>
        </w:rPr>
      </w:pPr>
      <w:r>
        <w:rPr>
          <w:rFonts w:ascii="Times New Roman" w:hAnsi="Times New Roman"/>
          <w:i/>
          <w:noProof/>
          <w:color w:val="49442A"/>
          <w:sz w:val="24"/>
          <w:u w:val="single" w:color="49442A"/>
        </w:rPr>
        <w:t>Jāņem vērā!</w:t>
      </w:r>
      <w:r>
        <w:t xml:space="preserve"> </w:t>
      </w:r>
      <w:r>
        <w:rPr>
          <w:rFonts w:ascii="Times New Roman" w:hAnsi="Times New Roman"/>
          <w:i/>
          <w:noProof/>
          <w:color w:val="49442A"/>
          <w:sz w:val="24"/>
        </w:rPr>
        <w:t>Ja tāds AEOC, kam atļauja piešķirta saskaņā ar KMK īstenošanas noteikumiem, ir arī tādas vienkāršotas deklarēšanas procedūras atļaujas turētājs, kam atļauja piešķirta saskaņā ar KMK, muitas dienestiem ieteicams saskaņot atkārtotas novērtēšanas pasākumus, lai izvairītos no pārbaužu dubultošanas. Par to attiecīgi jāinformē pieteikuma iesniedzējs. Jebkurā gadījumā gala ziņojumi un paziņojumi pieteikuma iesniedzējam jāsniedz atsevišķi par abiem lēmuma pieņemšanas procesiem.</w:t>
      </w:r>
    </w:p>
    <w:p w:rsidR="00211065" w:rsidRPr="003E628F" w:rsidRDefault="00211065" w:rsidP="003E628F">
      <w:pPr>
        <w:jc w:val="both"/>
        <w:rPr>
          <w:rFonts w:ascii="Times New Roman" w:hAnsi="Times New Roman"/>
          <w:i/>
          <w:noProof/>
          <w:color w:val="49442A"/>
          <w:sz w:val="24"/>
        </w:rPr>
      </w:pPr>
    </w:p>
    <w:p w:rsidR="00211065" w:rsidRPr="00E030BE" w:rsidRDefault="00A66097" w:rsidP="00E030BE">
      <w:pPr>
        <w:pStyle w:val="Virsraksts2"/>
        <w:rPr>
          <w:b/>
        </w:rPr>
      </w:pPr>
      <w:bookmarkStart w:id="170" w:name="_Toc490734330"/>
      <w:r w:rsidRPr="00E030BE">
        <w:rPr>
          <w:b/>
        </w:rPr>
        <w:t>3.2.3. Pārraudzības un kontroles aspekti</w:t>
      </w:r>
      <w:bookmarkStart w:id="171" w:name="_bookmark62"/>
      <w:bookmarkEnd w:id="171"/>
      <w:bookmarkEnd w:id="170"/>
    </w:p>
    <w:p w:rsidR="00211065" w:rsidRPr="003E628F" w:rsidRDefault="00211065" w:rsidP="003E628F">
      <w:pPr>
        <w:jc w:val="both"/>
        <w:rPr>
          <w:rFonts w:ascii="Times New Roman" w:eastAsia="Times New Roman" w:hAnsi="Times New Roman" w:cs="Times New Roman"/>
          <w:b/>
          <w:bCs/>
          <w:i/>
          <w:noProof/>
          <w:sz w:val="24"/>
          <w:szCs w:val="20"/>
        </w:rPr>
      </w:pPr>
    </w:p>
    <w:p w:rsidR="00211065" w:rsidRPr="003E628F" w:rsidRDefault="00211065" w:rsidP="003E628F">
      <w:pPr>
        <w:pStyle w:val="Pamatteksts"/>
        <w:ind w:left="0"/>
        <w:jc w:val="both"/>
        <w:rPr>
          <w:noProof/>
        </w:rPr>
      </w:pPr>
      <w:r>
        <w:t>Pirms atkārtotas novērtēšanas spēkā esošajām atļaujām pārraudzības konteksts nemainās. Kontroles plānu var izmantot, taču tas nav obligāts.</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Pēc atkārtotas novērtēšanas attiecībā uz atkārtoti novērtētajām atļaujām piemēro 2.1.6. punktu.</w:t>
      </w:r>
    </w:p>
    <w:p w:rsidR="00211065" w:rsidRPr="003E628F" w:rsidRDefault="00211065" w:rsidP="003E628F">
      <w:pPr>
        <w:jc w:val="both"/>
        <w:rPr>
          <w:rFonts w:ascii="Times New Roman" w:eastAsia="Times New Roman" w:hAnsi="Times New Roman" w:cs="Times New Roman"/>
          <w:noProof/>
          <w:sz w:val="24"/>
          <w:szCs w:val="24"/>
        </w:rPr>
      </w:pPr>
    </w:p>
    <w:p w:rsidR="00211065" w:rsidRPr="003E628F" w:rsidRDefault="00211065" w:rsidP="003E628F">
      <w:pPr>
        <w:jc w:val="both"/>
        <w:rPr>
          <w:rFonts w:ascii="Times New Roman" w:eastAsia="Times New Roman" w:hAnsi="Times New Roman" w:cs="Times New Roman"/>
          <w:noProof/>
          <w:sz w:val="24"/>
          <w:szCs w:val="24"/>
        </w:rPr>
      </w:pPr>
    </w:p>
    <w:p w:rsidR="00211065" w:rsidRPr="00E030BE" w:rsidRDefault="00A66097" w:rsidP="00E030BE">
      <w:pPr>
        <w:pStyle w:val="Virsraksts2"/>
        <w:rPr>
          <w:b/>
        </w:rPr>
      </w:pPr>
      <w:bookmarkStart w:id="172" w:name="_Toc490734331"/>
      <w:r w:rsidRPr="00E030BE">
        <w:rPr>
          <w:b/>
        </w:rPr>
        <w:t>3.3. Spēkā esošās vietējās muitošanas procedūras atļaujas</w:t>
      </w:r>
      <w:bookmarkStart w:id="173" w:name="_bookmark63"/>
      <w:bookmarkEnd w:id="173"/>
      <w:bookmarkEnd w:id="172"/>
    </w:p>
    <w:p w:rsidR="00211065" w:rsidRPr="003E628F" w:rsidRDefault="00211065" w:rsidP="003E628F">
      <w:pPr>
        <w:jc w:val="both"/>
        <w:rPr>
          <w:rFonts w:ascii="Times New Roman" w:eastAsia="Times New Roman" w:hAnsi="Times New Roman" w:cs="Times New Roman"/>
          <w:b/>
          <w:bCs/>
          <w:i/>
          <w:noProof/>
          <w:sz w:val="24"/>
          <w:szCs w:val="20"/>
        </w:rPr>
      </w:pPr>
    </w:p>
    <w:p w:rsidR="00211065" w:rsidRPr="00E030BE" w:rsidRDefault="00A66097" w:rsidP="00E030BE">
      <w:pPr>
        <w:pStyle w:val="Virsraksts2"/>
        <w:rPr>
          <w:b/>
          <w:noProof/>
        </w:rPr>
      </w:pPr>
      <w:bookmarkStart w:id="174" w:name="_Toc490734332"/>
      <w:r w:rsidRPr="00E030BE">
        <w:rPr>
          <w:b/>
          <w:noProof/>
        </w:rPr>
        <w:t>3.3.1. Kā interpretēt vietējās muitošanas procedūras atļauju 2016. gada 1. maijā</w:t>
      </w:r>
      <w:bookmarkStart w:id="175" w:name="_bookmark64"/>
      <w:bookmarkEnd w:id="175"/>
      <w:bookmarkEnd w:id="174"/>
    </w:p>
    <w:p w:rsidR="00211065" w:rsidRPr="003E628F" w:rsidRDefault="00211065" w:rsidP="003E628F">
      <w:pPr>
        <w:jc w:val="both"/>
        <w:rPr>
          <w:rFonts w:ascii="Times New Roman" w:eastAsia="Times New Roman" w:hAnsi="Times New Roman" w:cs="Times New Roman"/>
          <w:b/>
          <w:bCs/>
          <w:i/>
          <w:noProof/>
          <w:sz w:val="24"/>
          <w:szCs w:val="20"/>
        </w:rPr>
      </w:pPr>
    </w:p>
    <w:p w:rsidR="00211065" w:rsidRPr="003E628F" w:rsidRDefault="00211065" w:rsidP="003E628F">
      <w:pPr>
        <w:pStyle w:val="Pamatteksts"/>
        <w:ind w:left="0"/>
        <w:jc w:val="both"/>
        <w:rPr>
          <w:noProof/>
        </w:rPr>
      </w:pPr>
      <w:r>
        <w:t>Vietējās muitošanas procedūras (</w:t>
      </w:r>
      <w:r>
        <w:rPr>
          <w:i/>
        </w:rPr>
        <w:t>LCP</w:t>
      </w:r>
      <w:r>
        <w:t xml:space="preserve">) atļaujas ir pārskatītas atbilstīgi tam, kā paredzēts DA </w:t>
      </w:r>
      <w:r>
        <w:lastRenderedPageBreak/>
        <w:t>IX sadaļas 250. pantā (sk. DA 90. pielikumu):</w:t>
      </w:r>
    </w:p>
    <w:p w:rsidR="00211065" w:rsidRDefault="00211065" w:rsidP="003E628F">
      <w:pPr>
        <w:jc w:val="both"/>
        <w:rPr>
          <w:rFonts w:ascii="Times New Roman" w:eastAsia="Times New Roman" w:hAnsi="Times New Roman" w:cs="Times New Roman"/>
          <w:noProof/>
          <w:sz w:val="24"/>
          <w:szCs w:val="21"/>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4565"/>
        <w:gridCol w:w="4566"/>
      </w:tblGrid>
      <w:tr w:rsidR="00A66097" w:rsidTr="00E030BE">
        <w:trPr>
          <w:trHeight w:val="2253"/>
        </w:trPr>
        <w:tc>
          <w:tcPr>
            <w:tcW w:w="2500" w:type="pct"/>
          </w:tcPr>
          <w:p w:rsidR="00A66097" w:rsidRDefault="00A66097" w:rsidP="003E628F">
            <w:pPr>
              <w:jc w:val="both"/>
              <w:rPr>
                <w:rFonts w:ascii="Times New Roman" w:eastAsia="Times New Roman" w:hAnsi="Times New Roman" w:cs="Times New Roman"/>
                <w:noProof/>
                <w:sz w:val="24"/>
                <w:szCs w:val="21"/>
              </w:rPr>
            </w:pPr>
            <w:r>
              <w:rPr>
                <w:rFonts w:ascii="Times New Roman" w:hAnsi="Times New Roman"/>
                <w:noProof/>
                <w:sz w:val="24"/>
                <w:u w:val="single"/>
              </w:rPr>
              <w:t>vietējās muitošanas procedūras atļaujas</w:t>
            </w:r>
            <w:r>
              <w:rPr>
                <w:rFonts w:ascii="Times New Roman" w:hAnsi="Times New Roman"/>
                <w:noProof/>
                <w:sz w:val="24"/>
              </w:rPr>
              <w:t xml:space="preserve"> (Regulas (EEK) Nr. 2913/92 76. panta 1. punkta c) apakšpunkts, Regulas (EEK) Nr. 2454/93 253.–253.g, 263.–267., 272.–274., 276.–278., 283.–287. pants)</w:t>
            </w:r>
          </w:p>
        </w:tc>
        <w:tc>
          <w:tcPr>
            <w:tcW w:w="2500" w:type="pct"/>
          </w:tcPr>
          <w:p w:rsidR="00A66097" w:rsidRDefault="00A66097" w:rsidP="003E628F">
            <w:pPr>
              <w:jc w:val="both"/>
              <w:rPr>
                <w:rFonts w:ascii="Times New Roman" w:eastAsia="Times New Roman" w:hAnsi="Times New Roman" w:cs="Times New Roman"/>
                <w:noProof/>
                <w:sz w:val="24"/>
                <w:szCs w:val="21"/>
              </w:rPr>
            </w:pPr>
            <w:r>
              <w:rPr>
                <w:rFonts w:ascii="Times New Roman" w:hAnsi="Times New Roman"/>
                <w:noProof/>
                <w:sz w:val="24"/>
                <w:u w:val="single"/>
              </w:rPr>
              <w:t>ieraksta deklarētāja reģistros atļaujas</w:t>
            </w:r>
            <w:r>
              <w:rPr>
                <w:rFonts w:ascii="Times New Roman" w:hAnsi="Times New Roman"/>
                <w:noProof/>
                <w:sz w:val="24"/>
              </w:rPr>
              <w:t xml:space="preserve"> (Kodeksa 182. pants, Īstenošanas regulas (ES) Nr. 2015/2447 150., 226.–229. pants)</w:t>
            </w:r>
          </w:p>
          <w:p w:rsidR="00A66097" w:rsidRDefault="00A66097" w:rsidP="003E628F">
            <w:pPr>
              <w:jc w:val="both"/>
              <w:rPr>
                <w:rFonts w:ascii="Times New Roman" w:eastAsia="Times New Roman" w:hAnsi="Times New Roman" w:cs="Times New Roman"/>
                <w:noProof/>
                <w:sz w:val="24"/>
                <w:szCs w:val="21"/>
              </w:rPr>
            </w:pPr>
          </w:p>
          <w:p w:rsidR="00A66097" w:rsidRDefault="00A66097" w:rsidP="003E628F">
            <w:pPr>
              <w:jc w:val="both"/>
              <w:rPr>
                <w:rFonts w:ascii="Times New Roman" w:eastAsia="Times New Roman" w:hAnsi="Times New Roman" w:cs="Times New Roman"/>
                <w:noProof/>
                <w:sz w:val="24"/>
                <w:szCs w:val="21"/>
              </w:rPr>
            </w:pPr>
            <w:r>
              <w:rPr>
                <w:rFonts w:ascii="Times New Roman" w:hAnsi="Times New Roman"/>
                <w:noProof/>
                <w:sz w:val="24"/>
              </w:rPr>
              <w:t xml:space="preserve">vai </w:t>
            </w:r>
            <w:r>
              <w:rPr>
                <w:rFonts w:ascii="Times New Roman" w:hAnsi="Times New Roman"/>
                <w:noProof/>
                <w:sz w:val="24"/>
                <w:u w:val="single"/>
              </w:rPr>
              <w:t>vienkāršotās deklarācijas atļauja</w:t>
            </w:r>
          </w:p>
          <w:p w:rsidR="00A66097" w:rsidRDefault="00A66097" w:rsidP="003E628F">
            <w:pPr>
              <w:jc w:val="both"/>
              <w:rPr>
                <w:rFonts w:ascii="Times New Roman" w:eastAsia="Times New Roman" w:hAnsi="Times New Roman" w:cs="Times New Roman"/>
                <w:noProof/>
                <w:sz w:val="24"/>
                <w:szCs w:val="21"/>
              </w:rPr>
            </w:pPr>
          </w:p>
          <w:p w:rsidR="00A66097" w:rsidRDefault="00A66097" w:rsidP="003E628F">
            <w:pPr>
              <w:jc w:val="both"/>
              <w:rPr>
                <w:rFonts w:ascii="Times New Roman" w:eastAsia="Times New Roman" w:hAnsi="Times New Roman" w:cs="Times New Roman"/>
                <w:noProof/>
                <w:sz w:val="24"/>
                <w:szCs w:val="21"/>
              </w:rPr>
            </w:pPr>
            <w:r>
              <w:rPr>
                <w:rFonts w:ascii="Times New Roman" w:hAnsi="Times New Roman"/>
                <w:noProof/>
                <w:sz w:val="24"/>
                <w:u w:val="single"/>
              </w:rPr>
              <w:t>un/vai norādītas vai apstiprinātas vietas</w:t>
            </w:r>
            <w:r>
              <w:rPr>
                <w:rFonts w:ascii="Times New Roman" w:hAnsi="Times New Roman"/>
                <w:noProof/>
                <w:sz w:val="24"/>
              </w:rPr>
              <w:t xml:space="preserve"> (Kodeksa 139. pants).</w:t>
            </w:r>
          </w:p>
        </w:tc>
      </w:tr>
    </w:tbl>
    <w:p w:rsidR="00A66097" w:rsidRDefault="00A66097" w:rsidP="003E628F">
      <w:pPr>
        <w:jc w:val="both"/>
        <w:rPr>
          <w:rFonts w:ascii="Times New Roman" w:eastAsia="Times New Roman" w:hAnsi="Times New Roman" w:cs="Times New Roman"/>
          <w:noProof/>
          <w:sz w:val="24"/>
          <w:szCs w:val="21"/>
        </w:rPr>
      </w:pPr>
    </w:p>
    <w:p w:rsidR="00211065" w:rsidRPr="003E628F" w:rsidRDefault="00211065" w:rsidP="003E628F">
      <w:pPr>
        <w:pStyle w:val="Virsraksts1"/>
        <w:jc w:val="both"/>
        <w:rPr>
          <w:noProof/>
        </w:rPr>
      </w:pPr>
      <w:bookmarkStart w:id="176" w:name="_Toc490734333"/>
      <w:r>
        <w:t>Izvēle ir jāizdara atbilstīgi pašreizējai procedūrai, kas tiek izmantota vietējās muitošanas procedūras atļaujas darbības jomā.</w:t>
      </w:r>
      <w:bookmarkEnd w:id="176"/>
    </w:p>
    <w:p w:rsidR="00211065" w:rsidRPr="003E628F" w:rsidRDefault="00211065" w:rsidP="003E628F">
      <w:pPr>
        <w:jc w:val="both"/>
        <w:rPr>
          <w:rFonts w:ascii="Times New Roman" w:eastAsia="Times New Roman" w:hAnsi="Times New Roman" w:cs="Times New Roman"/>
          <w:b/>
          <w:bCs/>
          <w:noProof/>
          <w:sz w:val="24"/>
          <w:szCs w:val="20"/>
        </w:rPr>
      </w:pPr>
    </w:p>
    <w:p w:rsidR="00211065" w:rsidRPr="003E628F" w:rsidRDefault="00211065" w:rsidP="003E628F">
      <w:pPr>
        <w:jc w:val="both"/>
        <w:rPr>
          <w:rFonts w:ascii="Times New Roman" w:eastAsia="Times New Roman" w:hAnsi="Times New Roman" w:cs="Times New Roman"/>
          <w:noProof/>
          <w:sz w:val="24"/>
          <w:szCs w:val="24"/>
        </w:rPr>
      </w:pPr>
      <w:r>
        <w:rPr>
          <w:rFonts w:ascii="Times New Roman" w:hAnsi="Times New Roman"/>
          <w:i/>
          <w:noProof/>
          <w:color w:val="49442A"/>
          <w:sz w:val="24"/>
          <w:u w:val="single" w:color="49442A"/>
        </w:rPr>
        <w:t>Jāņem vērā!</w:t>
      </w:r>
      <w:r>
        <w:t xml:space="preserve"> </w:t>
      </w:r>
      <w:r>
        <w:rPr>
          <w:rFonts w:ascii="Times New Roman" w:hAnsi="Times New Roman"/>
          <w:i/>
          <w:noProof/>
          <w:color w:val="49442A"/>
          <w:sz w:val="24"/>
        </w:rPr>
        <w:t>EIDR atļauja un vienkāršotās deklarācijas atļauja var būt apvienota vai neapvienota ar apstiprinātām vietām.</w:t>
      </w:r>
    </w:p>
    <w:p w:rsidR="00211065" w:rsidRPr="003E628F" w:rsidRDefault="00211065" w:rsidP="003E628F">
      <w:pPr>
        <w:jc w:val="both"/>
        <w:rPr>
          <w:rFonts w:ascii="Times New Roman" w:eastAsia="Times New Roman" w:hAnsi="Times New Roman" w:cs="Times New Roman"/>
          <w:i/>
          <w:noProof/>
          <w:sz w:val="24"/>
          <w:szCs w:val="20"/>
        </w:rPr>
      </w:pPr>
    </w:p>
    <w:p w:rsidR="00211065" w:rsidRPr="003E628F" w:rsidRDefault="00211065" w:rsidP="003E628F">
      <w:pPr>
        <w:jc w:val="both"/>
        <w:rPr>
          <w:rFonts w:ascii="Times New Roman" w:hAnsi="Times New Roman"/>
          <w:i/>
          <w:noProof/>
          <w:sz w:val="24"/>
        </w:rPr>
      </w:pPr>
      <w:r>
        <w:rPr>
          <w:rFonts w:ascii="Times New Roman" w:hAnsi="Times New Roman"/>
          <w:i/>
          <w:noProof/>
          <w:sz w:val="24"/>
        </w:rPr>
        <w:t>Kā interpretēt turpmāk minētās atļaujas</w:t>
      </w:r>
    </w:p>
    <w:p w:rsidR="00A66097" w:rsidRDefault="00A66097" w:rsidP="00A66097">
      <w:pPr>
        <w:tabs>
          <w:tab w:val="left" w:pos="511"/>
        </w:tabs>
        <w:rPr>
          <w:rFonts w:ascii="Times New Roman" w:hAnsi="Times New Roman"/>
          <w:b/>
          <w:noProof/>
          <w:sz w:val="24"/>
        </w:rPr>
      </w:pPr>
    </w:p>
    <w:p w:rsidR="00211065" w:rsidRPr="003E628F" w:rsidRDefault="00A66097" w:rsidP="00F051B0">
      <w:pPr>
        <w:tabs>
          <w:tab w:val="left" w:pos="511"/>
        </w:tabs>
        <w:jc w:val="both"/>
        <w:rPr>
          <w:rFonts w:ascii="Times New Roman" w:eastAsia="Times New Roman" w:hAnsi="Times New Roman" w:cs="Times New Roman"/>
          <w:noProof/>
          <w:sz w:val="24"/>
          <w:szCs w:val="24"/>
        </w:rPr>
      </w:pPr>
      <w:r>
        <w:rPr>
          <w:rFonts w:ascii="Times New Roman" w:hAnsi="Times New Roman"/>
          <w:b/>
          <w:noProof/>
          <w:sz w:val="24"/>
        </w:rPr>
        <w:t>a) Vietējās muitošanas procedūru importa/eksporta gadījumā ar standarta deklarāciju vai vienkāršoto deklarāciju</w:t>
      </w:r>
      <w:r>
        <w:rPr>
          <w:rFonts w:ascii="Times New Roman" w:hAnsi="Times New Roman"/>
          <w:noProof/>
          <w:sz w:val="24"/>
        </w:rPr>
        <w:t xml:space="preserve">, kas iesniegta preču muitošanas laikā (KMK īstenošanas noteikumu 266. panta 3. punkts), </w:t>
      </w:r>
      <w:r w:rsidR="00FF42EE">
        <w:rPr>
          <w:rFonts w:ascii="Times New Roman" w:hAnsi="Times New Roman"/>
          <w:b/>
          <w:noProof/>
          <w:sz w:val="24"/>
        </w:rPr>
      </w:r>
      <w:r w:rsidR="00FF42EE">
        <w:rPr>
          <w:rFonts w:ascii="Times New Roman" w:hAnsi="Times New Roman"/>
          <w:b/>
          <w:noProof/>
          <w:sz w:val="24"/>
        </w:rPr>
        <w:pict>
          <v:group id="_x0000_s3273" style="width:9.55pt;height:7pt;mso-position-horizontal-relative:char;mso-position-vertical-relative:line" coordorigin="6164,370" coordsize="191,140">
            <v:group id="_x0000_s3274" style="position:absolute;left:6185;top:390;width:150;height:100" coordorigin="6185,390" coordsize="150,100">
              <v:shape id="_x0000_s3275" style="position:absolute;left:6185;top:390;width:150;height:100" coordorigin="6185,390" coordsize="150,100" path="m6188,415r-3,l6185,465r3,l6188,415xe" fillcolor="#4f81bc" stroked="f">
                <v:path arrowok="t"/>
              </v:shape>
              <v:shape id="_x0000_s3276" style="position:absolute;left:6185;top:390;width:150;height:100" coordorigin="6185,390" coordsize="150,100" path="m6198,415r-7,l6191,465r7,l6198,415xe" fillcolor="#4f81bc" stroked="f">
                <v:path arrowok="t"/>
              </v:shape>
              <v:shape id="_x0000_s3277" style="position:absolute;left:6185;top:390;width:150;height:100" coordorigin="6185,390" coordsize="150,100" path="m6285,390r,25l6201,415r,50l6285,465r,25l6335,440r-50,-50xe" fillcolor="#4f81bc" stroked="f">
                <v:path arrowok="t"/>
              </v:shape>
            </v:group>
            <v:group id="_x0000_s3278" style="position:absolute;left:6164;top:395;width:46;height:90" coordorigin="6164,395" coordsize="46,90">
              <v:shape id="_x0000_s3279" style="position:absolute;left:6164;top:395;width:46;height:90" coordorigin="6164,395" coordsize="46,90" path="m6164,485r45,l6209,395r-45,l6164,485xe" fillcolor="#385d89" stroked="f">
                <v:path arrowok="t"/>
              </v:shape>
            </v:group>
            <v:group id="_x0000_s3280" style="position:absolute;left:6170;top:395;width:49;height:90" coordorigin="6170,395" coordsize="49,90">
              <v:shape id="_x0000_s3281" style="position:absolute;left:6170;top:395;width:49;height:90" coordorigin="6170,395" coordsize="49,90" path="m6170,485r49,l6219,395r-49,l6170,485xe" fillcolor="#385d89" stroked="f">
                <v:path arrowok="t"/>
              </v:shape>
            </v:group>
            <v:group id="_x0000_s3282" style="position:absolute;left:6201;top:390;width:135;height:100" coordorigin="6201,390" coordsize="135,100">
              <v:shape id="_x0000_s3283" style="position:absolute;left:6201;top:390;width:135;height:100" coordorigin="6201,390" coordsize="135,100" path="m6201,415r84,l6285,390r50,50l6285,490r,-25l6201,465r,-50xe" filled="f" strokecolor="#385d89" strokeweight="2pt">
                <v:path arrowok="t"/>
              </v:shape>
            </v:group>
            <w10:wrap anchorx="page"/>
            <w10:anchorlock/>
          </v:group>
        </w:pict>
      </w:r>
      <w:r>
        <w:rPr>
          <w:rFonts w:ascii="Times New Roman" w:hAnsi="Times New Roman"/>
          <w:noProof/>
          <w:sz w:val="24"/>
        </w:rPr>
        <w:t xml:space="preserve"> var pielīdzināt standarta procedūrai vai vienkāršotās deklarācijas atļaujai ar preču uzrādīšanu apstiprinātā vietā atbilstīgi SMK 5. panta 33. punktam.</w:t>
      </w:r>
    </w:p>
    <w:p w:rsidR="00A66097" w:rsidRDefault="00A66097" w:rsidP="003E628F">
      <w:pPr>
        <w:jc w:val="both"/>
        <w:rPr>
          <w:rFonts w:ascii="Times New Roman" w:hAnsi="Times New Roman"/>
          <w:i/>
          <w:noProof/>
          <w:color w:val="49442A"/>
          <w:sz w:val="24"/>
          <w:u w:val="single" w:color="49442A"/>
        </w:rPr>
      </w:pPr>
    </w:p>
    <w:p w:rsidR="00211065" w:rsidRPr="003E628F" w:rsidRDefault="00211065" w:rsidP="003E628F">
      <w:pPr>
        <w:jc w:val="both"/>
        <w:rPr>
          <w:rFonts w:ascii="Times New Roman" w:eastAsia="Times New Roman" w:hAnsi="Times New Roman" w:cs="Times New Roman"/>
          <w:noProof/>
          <w:sz w:val="24"/>
          <w:szCs w:val="24"/>
        </w:rPr>
      </w:pPr>
      <w:r>
        <w:rPr>
          <w:rFonts w:ascii="Times New Roman" w:hAnsi="Times New Roman"/>
          <w:i/>
          <w:noProof/>
          <w:color w:val="49442A"/>
          <w:sz w:val="24"/>
          <w:u w:val="single" w:color="49442A"/>
        </w:rPr>
        <w:t>Jāņem vērā!</w:t>
      </w:r>
      <w:r>
        <w:t xml:space="preserve"> </w:t>
      </w:r>
      <w:r>
        <w:rPr>
          <w:rFonts w:ascii="Times New Roman" w:hAnsi="Times New Roman"/>
          <w:i/>
          <w:noProof/>
          <w:color w:val="49442A"/>
          <w:sz w:val="24"/>
        </w:rPr>
        <w:t>Apstiprināta vieta ir atkārtoti jānovērtē pirms 2019. gada 1. maija.</w:t>
      </w:r>
    </w:p>
    <w:p w:rsidR="00211065" w:rsidRPr="003E628F" w:rsidRDefault="00211065" w:rsidP="003E628F">
      <w:pPr>
        <w:jc w:val="both"/>
        <w:rPr>
          <w:rFonts w:ascii="Times New Roman" w:eastAsia="Times New Roman" w:hAnsi="Times New Roman" w:cs="Times New Roman"/>
          <w:i/>
          <w:noProof/>
          <w:sz w:val="24"/>
          <w:szCs w:val="14"/>
        </w:rPr>
      </w:pPr>
    </w:p>
    <w:p w:rsidR="00211065" w:rsidRPr="003E628F" w:rsidRDefault="00211065" w:rsidP="003E628F">
      <w:pPr>
        <w:pStyle w:val="Pamatteksts"/>
        <w:ind w:left="0"/>
        <w:jc w:val="both"/>
        <w:rPr>
          <w:noProof/>
        </w:rPr>
      </w:pPr>
      <w:r>
        <w:t>Tādu vietu apstiprinājums, kas nav muitas iestādes, preču uzrādīšanai paliks neierobežotā spēkā līdz atkārtotai novērtēšanai, kas jāveic līdz 2019. gada 1. maijam.</w:t>
      </w:r>
    </w:p>
    <w:p w:rsidR="00F051B0" w:rsidRPr="003E628F" w:rsidRDefault="00F051B0" w:rsidP="003E628F">
      <w:pPr>
        <w:jc w:val="both"/>
        <w:rPr>
          <w:rFonts w:ascii="Times New Roman" w:eastAsia="Times New Roman" w:hAnsi="Times New Roman" w:cs="Times New Roman"/>
          <w:noProof/>
          <w:sz w:val="24"/>
          <w:szCs w:val="21"/>
        </w:rPr>
      </w:pPr>
    </w:p>
    <w:p w:rsidR="00211065" w:rsidRPr="003E628F" w:rsidRDefault="00F051B0" w:rsidP="00F051B0">
      <w:pPr>
        <w:tabs>
          <w:tab w:val="left" w:pos="393"/>
        </w:tabs>
        <w:jc w:val="both"/>
        <w:rPr>
          <w:rFonts w:ascii="Times New Roman" w:eastAsia="Times New Roman" w:hAnsi="Times New Roman" w:cs="Times New Roman"/>
          <w:noProof/>
          <w:sz w:val="24"/>
          <w:szCs w:val="24"/>
        </w:rPr>
      </w:pPr>
      <w:r>
        <w:rPr>
          <w:rFonts w:ascii="Times New Roman" w:hAnsi="Times New Roman"/>
          <w:b/>
          <w:noProof/>
          <w:sz w:val="24"/>
        </w:rPr>
        <w:t xml:space="preserve">b) Vietējās muitošanas procedūru importa gadījumā ar ierašanās paziņojumu un ierakstu reģistros preču muitošanas laikā (KMK īstenošanas noteikumu 266. panta 1. punkts) </w:t>
      </w:r>
      <w:r w:rsidR="00FF42EE">
        <w:rPr>
          <w:rFonts w:ascii="Times New Roman" w:hAnsi="Times New Roman"/>
          <w:b/>
          <w:noProof/>
          <w:sz w:val="24"/>
        </w:rPr>
      </w:r>
      <w:r w:rsidR="00FF42EE">
        <w:rPr>
          <w:rFonts w:ascii="Times New Roman" w:hAnsi="Times New Roman"/>
          <w:b/>
          <w:noProof/>
          <w:sz w:val="24"/>
        </w:rPr>
        <w:pict>
          <v:group id="_x0000_s3284" style="width:9.55pt;height:7pt;mso-position-horizontal-relative:char;mso-position-vertical-relative:line" coordorigin="6164,370" coordsize="191,140">
            <v:group id="_x0000_s3285" style="position:absolute;left:6185;top:390;width:150;height:100" coordorigin="6185,390" coordsize="150,100">
              <v:shape id="_x0000_s3286" style="position:absolute;left:6185;top:390;width:150;height:100" coordorigin="6185,390" coordsize="150,100" path="m6188,415r-3,l6185,465r3,l6188,415xe" fillcolor="#4f81bc" stroked="f">
                <v:path arrowok="t"/>
              </v:shape>
              <v:shape id="_x0000_s3287" style="position:absolute;left:6185;top:390;width:150;height:100" coordorigin="6185,390" coordsize="150,100" path="m6198,415r-7,l6191,465r7,l6198,415xe" fillcolor="#4f81bc" stroked="f">
                <v:path arrowok="t"/>
              </v:shape>
              <v:shape id="_x0000_s3288" style="position:absolute;left:6185;top:390;width:150;height:100" coordorigin="6185,390" coordsize="150,100" path="m6285,390r,25l6201,415r,50l6285,465r,25l6335,440r-50,-50xe" fillcolor="#4f81bc" stroked="f">
                <v:path arrowok="t"/>
              </v:shape>
            </v:group>
            <v:group id="_x0000_s3289" style="position:absolute;left:6164;top:395;width:46;height:90" coordorigin="6164,395" coordsize="46,90">
              <v:shape id="_x0000_s3290" style="position:absolute;left:6164;top:395;width:46;height:90" coordorigin="6164,395" coordsize="46,90" path="m6164,485r45,l6209,395r-45,l6164,485xe" fillcolor="#385d89" stroked="f">
                <v:path arrowok="t"/>
              </v:shape>
            </v:group>
            <v:group id="_x0000_s3291" style="position:absolute;left:6170;top:395;width:49;height:90" coordorigin="6170,395" coordsize="49,90">
              <v:shape id="_x0000_s3292" style="position:absolute;left:6170;top:395;width:49;height:90" coordorigin="6170,395" coordsize="49,90" path="m6170,485r49,l6219,395r-49,l6170,485xe" fillcolor="#385d89" stroked="f">
                <v:path arrowok="t"/>
              </v:shape>
            </v:group>
            <v:group id="_x0000_s3293" style="position:absolute;left:6201;top:390;width:135;height:100" coordorigin="6201,390" coordsize="135,100">
              <v:shape id="_x0000_s3294" style="position:absolute;left:6201;top:390;width:135;height:100" coordorigin="6201,390" coordsize="135,100" path="m6201,415r84,l6285,390r50,50l6285,490r,-25l6201,465r,-50xe" filled="f" strokecolor="#385d89" strokeweight="2pt">
                <v:path arrowok="t"/>
              </v:shape>
            </v:group>
            <w10:wrap anchorx="page"/>
            <w10:anchorlock/>
          </v:group>
        </w:pict>
      </w:r>
      <w:r>
        <w:rPr>
          <w:rFonts w:ascii="Times New Roman" w:hAnsi="Times New Roman"/>
          <w:b/>
          <w:noProof/>
          <w:sz w:val="24"/>
        </w:rPr>
        <w:t xml:space="preserve"> </w:t>
      </w:r>
      <w:r>
        <w:rPr>
          <w:rFonts w:ascii="Times New Roman" w:hAnsi="Times New Roman"/>
          <w:noProof/>
          <w:sz w:val="24"/>
        </w:rPr>
        <w:t xml:space="preserve">var pielīdzināt </w:t>
      </w:r>
      <w:r>
        <w:rPr>
          <w:rFonts w:ascii="Times New Roman" w:hAnsi="Times New Roman"/>
          <w:i/>
          <w:noProof/>
          <w:sz w:val="24"/>
        </w:rPr>
        <w:t>EIDR</w:t>
      </w:r>
      <w:r>
        <w:rPr>
          <w:rFonts w:ascii="Times New Roman" w:hAnsi="Times New Roman"/>
          <w:noProof/>
          <w:sz w:val="24"/>
        </w:rPr>
        <w:t xml:space="preserve"> apstiprinātā vai norādītā vietā, kas ir daļa no </w:t>
      </w:r>
      <w:r>
        <w:rPr>
          <w:rFonts w:ascii="Times New Roman" w:hAnsi="Times New Roman"/>
          <w:i/>
          <w:noProof/>
          <w:sz w:val="24"/>
        </w:rPr>
        <w:t>EIDR</w:t>
      </w:r>
      <w:r>
        <w:rPr>
          <w:rFonts w:ascii="Times New Roman" w:hAnsi="Times New Roman"/>
          <w:noProof/>
          <w:sz w:val="24"/>
        </w:rPr>
        <w:t xml:space="preserve"> atļaujas ar preču uzrādīšanu.</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jc w:val="both"/>
        <w:rPr>
          <w:rFonts w:ascii="Times New Roman" w:eastAsia="Times New Roman" w:hAnsi="Times New Roman" w:cs="Times New Roman"/>
          <w:noProof/>
          <w:sz w:val="24"/>
          <w:szCs w:val="24"/>
        </w:rPr>
      </w:pPr>
      <w:r>
        <w:rPr>
          <w:rFonts w:ascii="Times New Roman" w:hAnsi="Times New Roman"/>
          <w:i/>
          <w:noProof/>
          <w:color w:val="49442A"/>
          <w:sz w:val="24"/>
          <w:u w:val="single" w:color="49442A"/>
        </w:rPr>
        <w:t>Jāņem vērā!</w:t>
      </w:r>
      <w:r>
        <w:t xml:space="preserve"> </w:t>
      </w:r>
      <w:r>
        <w:rPr>
          <w:rFonts w:ascii="Times New Roman" w:hAnsi="Times New Roman"/>
          <w:i/>
          <w:noProof/>
          <w:color w:val="49442A"/>
          <w:sz w:val="24"/>
        </w:rPr>
        <w:t>atļauja ir atkārtoti jānovērtē pirms 2019. gada 1. maija.</w:t>
      </w:r>
    </w:p>
    <w:p w:rsidR="00211065" w:rsidRPr="003E628F" w:rsidRDefault="00211065" w:rsidP="003E628F">
      <w:pPr>
        <w:jc w:val="both"/>
        <w:rPr>
          <w:rFonts w:ascii="Times New Roman" w:eastAsia="Times New Roman" w:hAnsi="Times New Roman" w:cs="Times New Roman"/>
          <w:i/>
          <w:noProof/>
          <w:sz w:val="24"/>
          <w:szCs w:val="14"/>
        </w:rPr>
      </w:pPr>
    </w:p>
    <w:p w:rsidR="00211065" w:rsidRPr="003E628F" w:rsidRDefault="00F051B0" w:rsidP="00F051B0">
      <w:pPr>
        <w:tabs>
          <w:tab w:val="left" w:pos="376"/>
        </w:tabs>
        <w:jc w:val="both"/>
        <w:rPr>
          <w:rFonts w:ascii="Times New Roman" w:eastAsia="Times New Roman" w:hAnsi="Times New Roman" w:cs="Times New Roman"/>
          <w:noProof/>
          <w:sz w:val="24"/>
          <w:szCs w:val="24"/>
        </w:rPr>
      </w:pPr>
      <w:r>
        <w:rPr>
          <w:rFonts w:ascii="Times New Roman" w:hAnsi="Times New Roman"/>
          <w:b/>
          <w:noProof/>
          <w:sz w:val="24"/>
        </w:rPr>
        <w:t xml:space="preserve">c) Vietējās muitošanas procedūru importa gadījumā ar paziņošanas atbrīvojumu (KMK īstenošanas noteikumu 266. panta 2. punkta b) apakšpunkts) </w:t>
      </w:r>
      <w:r w:rsidR="00FF42EE">
        <w:rPr>
          <w:rFonts w:ascii="Times New Roman" w:hAnsi="Times New Roman"/>
          <w:b/>
          <w:noProof/>
          <w:sz w:val="24"/>
        </w:rPr>
      </w:r>
      <w:r w:rsidR="00FF42EE">
        <w:rPr>
          <w:rFonts w:ascii="Times New Roman" w:hAnsi="Times New Roman"/>
          <w:b/>
          <w:noProof/>
          <w:sz w:val="24"/>
        </w:rPr>
        <w:pict>
          <v:group id="_x0000_s3295" style="width:9.55pt;height:7pt;mso-position-horizontal-relative:char;mso-position-vertical-relative:line" coordorigin="6164,370" coordsize="191,140">
            <v:group id="_x0000_s3296" style="position:absolute;left:6185;top:390;width:150;height:100" coordorigin="6185,390" coordsize="150,100">
              <v:shape id="_x0000_s3297" style="position:absolute;left:6185;top:390;width:150;height:100" coordorigin="6185,390" coordsize="150,100" path="m6188,415r-3,l6185,465r3,l6188,415xe" fillcolor="#4f81bc" stroked="f">
                <v:path arrowok="t"/>
              </v:shape>
              <v:shape id="_x0000_s3298" style="position:absolute;left:6185;top:390;width:150;height:100" coordorigin="6185,390" coordsize="150,100" path="m6198,415r-7,l6191,465r7,l6198,415xe" fillcolor="#4f81bc" stroked="f">
                <v:path arrowok="t"/>
              </v:shape>
              <v:shape id="_x0000_s3299" style="position:absolute;left:6185;top:390;width:150;height:100" coordorigin="6185,390" coordsize="150,100" path="m6285,390r,25l6201,415r,50l6285,465r,25l6335,440r-50,-50xe" fillcolor="#4f81bc" stroked="f">
                <v:path arrowok="t"/>
              </v:shape>
            </v:group>
            <v:group id="_x0000_s3300" style="position:absolute;left:6164;top:395;width:46;height:90" coordorigin="6164,395" coordsize="46,90">
              <v:shape id="_x0000_s3301" style="position:absolute;left:6164;top:395;width:46;height:90" coordorigin="6164,395" coordsize="46,90" path="m6164,485r45,l6209,395r-45,l6164,485xe" fillcolor="#385d89" stroked="f">
                <v:path arrowok="t"/>
              </v:shape>
            </v:group>
            <v:group id="_x0000_s3302" style="position:absolute;left:6170;top:395;width:49;height:90" coordorigin="6170,395" coordsize="49,90">
              <v:shape id="_x0000_s3303" style="position:absolute;left:6170;top:395;width:49;height:90" coordorigin="6170,395" coordsize="49,90" path="m6170,485r49,l6219,395r-49,l6170,485xe" fillcolor="#385d89" stroked="f">
                <v:path arrowok="t"/>
              </v:shape>
            </v:group>
            <v:group id="_x0000_s3304" style="position:absolute;left:6201;top:390;width:135;height:100" coordorigin="6201,390" coordsize="135,100">
              <v:shape id="_x0000_s3305" style="position:absolute;left:6201;top:390;width:135;height:100" coordorigin="6201,390" coordsize="135,100" path="m6201,415r84,l6285,390r50,50l6285,490r,-25l6201,465r,-50xe" filled="f" strokecolor="#385d89" strokeweight="2pt">
                <v:path arrowok="t"/>
              </v:shape>
            </v:group>
            <w10:wrap anchorx="page"/>
            <w10:anchorlock/>
          </v:group>
        </w:pict>
      </w:r>
      <w:r>
        <w:rPr>
          <w:rFonts w:ascii="Times New Roman" w:hAnsi="Times New Roman"/>
          <w:b/>
          <w:noProof/>
          <w:sz w:val="24"/>
        </w:rPr>
        <w:t xml:space="preserve"> </w:t>
      </w:r>
      <w:r>
        <w:rPr>
          <w:rFonts w:ascii="Times New Roman" w:hAnsi="Times New Roman"/>
          <w:noProof/>
          <w:sz w:val="24"/>
        </w:rPr>
        <w:t xml:space="preserve">var pielīdzināt </w:t>
      </w:r>
      <w:r>
        <w:rPr>
          <w:rFonts w:ascii="Times New Roman" w:hAnsi="Times New Roman"/>
          <w:i/>
          <w:noProof/>
          <w:sz w:val="24"/>
        </w:rPr>
        <w:t>EIDR</w:t>
      </w:r>
      <w:r>
        <w:rPr>
          <w:rFonts w:ascii="Times New Roman" w:hAnsi="Times New Roman"/>
          <w:noProof/>
          <w:sz w:val="24"/>
        </w:rPr>
        <w:t xml:space="preserve"> apstiprinātā vai norādītā vietā, kas ir daļa no </w:t>
      </w:r>
      <w:r>
        <w:rPr>
          <w:rFonts w:ascii="Times New Roman" w:hAnsi="Times New Roman"/>
          <w:i/>
          <w:noProof/>
          <w:sz w:val="24"/>
        </w:rPr>
        <w:t>EIDR</w:t>
      </w:r>
      <w:r>
        <w:rPr>
          <w:rFonts w:ascii="Times New Roman" w:hAnsi="Times New Roman"/>
          <w:noProof/>
          <w:sz w:val="24"/>
        </w:rPr>
        <w:t xml:space="preserve"> atļaujas ar uzrādīšanas atbrīvojumu.</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jc w:val="both"/>
        <w:rPr>
          <w:rFonts w:ascii="Times New Roman" w:hAnsi="Times New Roman"/>
          <w:i/>
          <w:noProof/>
          <w:color w:val="49442A"/>
          <w:sz w:val="24"/>
        </w:rPr>
      </w:pPr>
      <w:r>
        <w:rPr>
          <w:rFonts w:ascii="Times New Roman" w:hAnsi="Times New Roman"/>
          <w:i/>
          <w:noProof/>
          <w:color w:val="49442A"/>
          <w:sz w:val="24"/>
          <w:u w:val="single" w:color="49442A"/>
        </w:rPr>
        <w:t>Jāņem vērā!</w:t>
      </w:r>
      <w:r>
        <w:t xml:space="preserve"> </w:t>
      </w:r>
      <w:r>
        <w:rPr>
          <w:rFonts w:ascii="Times New Roman" w:hAnsi="Times New Roman"/>
          <w:i/>
          <w:noProof/>
          <w:color w:val="49442A"/>
          <w:sz w:val="24"/>
        </w:rPr>
        <w:t>Atļaujas un uzrādīšanas atbrīvojuma atkārtota novērtēšana jāveic pirms 2019. gada maija atbilstīgi jaunajiem SMK 182. panta 3. punkta kritērijiem. Atļaujas turētājiem nav jābūt saņēmušiem AEOC statusu pirms atkārtotās novērtēšanas.</w:t>
      </w:r>
    </w:p>
    <w:p w:rsidR="00211065" w:rsidRPr="003E628F" w:rsidRDefault="00211065" w:rsidP="003E628F">
      <w:pPr>
        <w:jc w:val="both"/>
        <w:rPr>
          <w:rFonts w:ascii="Times New Roman" w:hAnsi="Times New Roman"/>
          <w:i/>
          <w:noProof/>
          <w:color w:val="49442A"/>
          <w:sz w:val="24"/>
        </w:rPr>
      </w:pPr>
    </w:p>
    <w:p w:rsidR="00211065" w:rsidRPr="003E628F" w:rsidRDefault="00F051B0" w:rsidP="00F051B0">
      <w:pPr>
        <w:tabs>
          <w:tab w:val="left" w:pos="433"/>
        </w:tabs>
        <w:jc w:val="both"/>
        <w:rPr>
          <w:rFonts w:ascii="Times New Roman" w:hAnsi="Times New Roman"/>
          <w:noProof/>
          <w:sz w:val="24"/>
        </w:rPr>
      </w:pPr>
      <w:r>
        <w:rPr>
          <w:rFonts w:ascii="Times New Roman" w:hAnsi="Times New Roman"/>
          <w:b/>
          <w:noProof/>
          <w:sz w:val="24"/>
        </w:rPr>
        <w:t>d) Vietējās muitošanas procedūru eksporta gadījumā ar standarta deklarāciju vai vienkāršoto deklarāciju</w:t>
      </w:r>
      <w:r>
        <w:rPr>
          <w:rFonts w:ascii="Times New Roman" w:hAnsi="Times New Roman"/>
          <w:noProof/>
          <w:sz w:val="24"/>
        </w:rPr>
        <w:t xml:space="preserve">, kas iesniegta muitošanas laikā (KMK īstenošanas noteikumu 285. pants), </w:t>
      </w:r>
      <w:r w:rsidR="00FF42EE">
        <w:rPr>
          <w:rFonts w:ascii="Times New Roman" w:hAnsi="Times New Roman"/>
          <w:noProof/>
          <w:sz w:val="24"/>
        </w:rPr>
      </w:r>
      <w:r w:rsidR="00FF42EE">
        <w:rPr>
          <w:rFonts w:ascii="Times New Roman" w:hAnsi="Times New Roman"/>
          <w:noProof/>
          <w:sz w:val="24"/>
        </w:rPr>
        <w:pict>
          <v:group id="_x0000_s3306" style="width:9.55pt;height:7pt;mso-position-horizontal-relative:char;mso-position-vertical-relative:line" coordorigin="6164,370" coordsize="191,140">
            <v:group id="_x0000_s3307" style="position:absolute;left:6185;top:390;width:150;height:100" coordorigin="6185,390" coordsize="150,100">
              <v:shape id="_x0000_s3308" style="position:absolute;left:6185;top:390;width:150;height:100" coordorigin="6185,390" coordsize="150,100" path="m6188,415r-3,l6185,465r3,l6188,415xe" fillcolor="#4f81bc" stroked="f">
                <v:path arrowok="t"/>
              </v:shape>
              <v:shape id="_x0000_s3309" style="position:absolute;left:6185;top:390;width:150;height:100" coordorigin="6185,390" coordsize="150,100" path="m6198,415r-7,l6191,465r7,l6198,415xe" fillcolor="#4f81bc" stroked="f">
                <v:path arrowok="t"/>
              </v:shape>
              <v:shape id="_x0000_s3310" style="position:absolute;left:6185;top:390;width:150;height:100" coordorigin="6185,390" coordsize="150,100" path="m6285,390r,25l6201,415r,50l6285,465r,25l6335,440r-50,-50xe" fillcolor="#4f81bc" stroked="f">
                <v:path arrowok="t"/>
              </v:shape>
            </v:group>
            <v:group id="_x0000_s3311" style="position:absolute;left:6164;top:395;width:46;height:90" coordorigin="6164,395" coordsize="46,90">
              <v:shape id="_x0000_s3312" style="position:absolute;left:6164;top:395;width:46;height:90" coordorigin="6164,395" coordsize="46,90" path="m6164,485r45,l6209,395r-45,l6164,485xe" fillcolor="#385d89" stroked="f">
                <v:path arrowok="t"/>
              </v:shape>
            </v:group>
            <v:group id="_x0000_s3313" style="position:absolute;left:6170;top:395;width:49;height:90" coordorigin="6170,395" coordsize="49,90">
              <v:shape id="_x0000_s3314" style="position:absolute;left:6170;top:395;width:49;height:90" coordorigin="6170,395" coordsize="49,90" path="m6170,485r49,l6219,395r-49,l6170,485xe" fillcolor="#385d89" stroked="f">
                <v:path arrowok="t"/>
              </v:shape>
            </v:group>
            <v:group id="_x0000_s3315" style="position:absolute;left:6201;top:390;width:135;height:100" coordorigin="6201,390" coordsize="135,100">
              <v:shape id="_x0000_s3316" style="position:absolute;left:6201;top:390;width:135;height:100" coordorigin="6201,390" coordsize="135,100" path="m6201,415r84,l6285,390r50,50l6285,490r,-25l6201,465r,-50xe" filled="f" strokecolor="#385d89" strokeweight="2pt">
                <v:path arrowok="t"/>
              </v:shape>
            </v:group>
            <w10:wrap anchorx="page"/>
            <w10:anchorlock/>
          </v:group>
        </w:pict>
      </w:r>
      <w:r>
        <w:rPr>
          <w:rFonts w:ascii="Times New Roman" w:hAnsi="Times New Roman"/>
          <w:noProof/>
          <w:sz w:val="24"/>
        </w:rPr>
        <w:t xml:space="preserve"> var pielīdzināt </w:t>
      </w:r>
      <w:r>
        <w:rPr>
          <w:rFonts w:ascii="Times New Roman" w:hAnsi="Times New Roman"/>
          <w:i/>
          <w:noProof/>
          <w:sz w:val="24"/>
        </w:rPr>
        <w:t>EIDR</w:t>
      </w:r>
      <w:r>
        <w:rPr>
          <w:rFonts w:ascii="Times New Roman" w:hAnsi="Times New Roman"/>
          <w:noProof/>
          <w:sz w:val="24"/>
        </w:rPr>
        <w:t xml:space="preserve"> (</w:t>
      </w:r>
      <w:r>
        <w:rPr>
          <w:rFonts w:ascii="Times New Roman" w:hAnsi="Times New Roman"/>
          <w:i/>
          <w:noProof/>
          <w:sz w:val="24"/>
        </w:rPr>
        <w:t>TDA</w:t>
      </w:r>
      <w:r>
        <w:rPr>
          <w:rFonts w:ascii="Times New Roman" w:hAnsi="Times New Roman"/>
          <w:noProof/>
          <w:sz w:val="24"/>
        </w:rPr>
        <w:t xml:space="preserve"> 21. pants) ar standarta/vienkāršoto deklarāciju, ko var izmantot attiecībā uz visiem preču veidiem, uz kuriem attiecināmas vietējās muitošanas procedūras atļaujas ar preču uzrādīšanu apstiprinātā vai norādītā vietā.</w:t>
      </w:r>
    </w:p>
    <w:p w:rsidR="00211065" w:rsidRPr="003E628F" w:rsidRDefault="00211065" w:rsidP="003E628F">
      <w:pPr>
        <w:jc w:val="both"/>
        <w:rPr>
          <w:rFonts w:ascii="Times New Roman" w:hAnsi="Times New Roman"/>
          <w:noProof/>
          <w:sz w:val="24"/>
        </w:rPr>
      </w:pPr>
    </w:p>
    <w:p w:rsidR="00211065" w:rsidRPr="003E628F" w:rsidRDefault="00211065" w:rsidP="003E628F">
      <w:pPr>
        <w:jc w:val="both"/>
        <w:rPr>
          <w:rFonts w:ascii="Times New Roman" w:hAnsi="Times New Roman"/>
          <w:i/>
          <w:noProof/>
          <w:color w:val="49442A"/>
          <w:sz w:val="24"/>
        </w:rPr>
      </w:pPr>
      <w:r>
        <w:rPr>
          <w:rFonts w:ascii="Times New Roman" w:hAnsi="Times New Roman"/>
          <w:i/>
          <w:noProof/>
          <w:color w:val="49442A"/>
          <w:sz w:val="24"/>
          <w:u w:val="single" w:color="49442A"/>
        </w:rPr>
        <w:t>Jāņem vērā!</w:t>
      </w:r>
      <w:r>
        <w:t xml:space="preserve"> </w:t>
      </w:r>
      <w:r>
        <w:rPr>
          <w:rFonts w:ascii="Times New Roman" w:hAnsi="Times New Roman"/>
          <w:i/>
          <w:noProof/>
          <w:color w:val="49442A"/>
          <w:sz w:val="24"/>
        </w:rPr>
        <w:t>DA 150. panta 4. un 5. punkta nosacījumi nav jāizpilda līdz šo atļauju atkārtotai novērtēšanai, jo pastāv reāla apmaiņa ar eksporta kontroles sistēmu (saistīta ar TDA 21. pantā minēto iespēju). Vietējā muitošanas procedūra, kas tiek pielīdzināta EIDR, var palikt ar standarta deklarāciju līdz atkārtotai novērtēšanai.</w:t>
      </w:r>
    </w:p>
    <w:p w:rsidR="00211065" w:rsidRPr="003E628F" w:rsidRDefault="00211065" w:rsidP="003E628F">
      <w:pPr>
        <w:jc w:val="both"/>
        <w:rPr>
          <w:rFonts w:ascii="Times New Roman" w:hAnsi="Times New Roman"/>
          <w:i/>
          <w:noProof/>
          <w:color w:val="49442A"/>
          <w:sz w:val="24"/>
        </w:rPr>
      </w:pPr>
    </w:p>
    <w:p w:rsidR="00211065" w:rsidRPr="003E628F" w:rsidRDefault="00F051B0" w:rsidP="00E030BE">
      <w:pPr>
        <w:pStyle w:val="Virsraksts1"/>
        <w:tabs>
          <w:tab w:val="left" w:pos="0"/>
        </w:tabs>
        <w:jc w:val="both"/>
        <w:rPr>
          <w:noProof/>
        </w:rPr>
      </w:pPr>
      <w:bookmarkStart w:id="177" w:name="_Toc490734334"/>
      <w:r>
        <w:t xml:space="preserve">e) Vietējās muitošanas procedūru eksporta gadījumā ar preču izvešanas paziņojumu (KMK īstenošanas noteikumu 285.a pants) </w:t>
      </w:r>
      <w:r w:rsidR="00FF42EE">
        <w:rPr>
          <w:noProof/>
        </w:rPr>
      </w:r>
      <w:r w:rsidR="00FF42EE">
        <w:rPr>
          <w:noProof/>
        </w:rPr>
        <w:pict>
          <v:group id="_x0000_s3317" style="width:9.55pt;height:7pt;mso-position-horizontal-relative:char;mso-position-vertical-relative:line" coordorigin="6164,370" coordsize="191,140">
            <v:group id="_x0000_s3318" style="position:absolute;left:6185;top:390;width:150;height:100" coordorigin="6185,390" coordsize="150,100">
              <v:shape id="_x0000_s3319" style="position:absolute;left:6185;top:390;width:150;height:100" coordorigin="6185,390" coordsize="150,100" path="m6188,415r-3,l6185,465r3,l6188,415xe" fillcolor="#4f81bc" stroked="f">
                <v:path arrowok="t"/>
              </v:shape>
              <v:shape id="_x0000_s3320" style="position:absolute;left:6185;top:390;width:150;height:100" coordorigin="6185,390" coordsize="150,100" path="m6198,415r-7,l6191,465r7,l6198,415xe" fillcolor="#4f81bc" stroked="f">
                <v:path arrowok="t"/>
              </v:shape>
              <v:shape id="_x0000_s3321" style="position:absolute;left:6185;top:390;width:150;height:100" coordorigin="6185,390" coordsize="150,100" path="m6285,390r,25l6201,415r,50l6285,465r,25l6335,440r-50,-50xe" fillcolor="#4f81bc" stroked="f">
                <v:path arrowok="t"/>
              </v:shape>
            </v:group>
            <v:group id="_x0000_s3322" style="position:absolute;left:6164;top:395;width:46;height:90" coordorigin="6164,395" coordsize="46,90">
              <v:shape id="_x0000_s3323" style="position:absolute;left:6164;top:395;width:46;height:90" coordorigin="6164,395" coordsize="46,90" path="m6164,485r45,l6209,395r-45,l6164,485xe" fillcolor="#385d89" stroked="f">
                <v:path arrowok="t"/>
              </v:shape>
            </v:group>
            <v:group id="_x0000_s3324" style="position:absolute;left:6170;top:395;width:49;height:90" coordorigin="6170,395" coordsize="49,90">
              <v:shape id="_x0000_s3325" style="position:absolute;left:6170;top:395;width:49;height:90" coordorigin="6170,395" coordsize="49,90" path="m6170,485r49,l6219,395r-49,l6170,485xe" fillcolor="#385d89" stroked="f">
                <v:path arrowok="t"/>
              </v:shape>
            </v:group>
            <v:group id="_x0000_s3326" style="position:absolute;left:6201;top:390;width:135;height:100" coordorigin="6201,390" coordsize="135,100">
              <v:shape id="_x0000_s3327" style="position:absolute;left:6201;top:390;width:135;height:100" coordorigin="6201,390" coordsize="135,100" path="m6201,415r84,l6285,390r50,50l6285,490r,-25l6201,465r,-50xe" filled="f" strokecolor="#385d89" strokeweight="2pt">
                <v:path arrowok="t"/>
              </v:shape>
            </v:group>
            <w10:wrap anchorx="page"/>
            <w10:anchorlock/>
          </v:group>
        </w:pict>
      </w:r>
      <w:r>
        <w:t xml:space="preserve"> var pielīdzināt </w:t>
      </w:r>
      <w:r>
        <w:rPr>
          <w:i/>
        </w:rPr>
        <w:t>EIDR</w:t>
      </w:r>
      <w:r>
        <w:t xml:space="preserve"> ar preču uzrādīšanu uzņēmēja telpās.</w:t>
      </w:r>
      <w:bookmarkEnd w:id="177"/>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jc w:val="both"/>
        <w:rPr>
          <w:rFonts w:ascii="Times New Roman" w:hAnsi="Times New Roman"/>
          <w:i/>
          <w:noProof/>
          <w:color w:val="49442A"/>
          <w:sz w:val="24"/>
        </w:rPr>
      </w:pPr>
      <w:r>
        <w:rPr>
          <w:rFonts w:ascii="Times New Roman" w:hAnsi="Times New Roman"/>
          <w:i/>
          <w:noProof/>
          <w:color w:val="49442A"/>
          <w:sz w:val="24"/>
          <w:u w:val="single" w:color="49442A"/>
        </w:rPr>
        <w:t>Jāņem vērā!</w:t>
      </w:r>
      <w:r>
        <w:t xml:space="preserve"> </w:t>
      </w:r>
      <w:r>
        <w:rPr>
          <w:rFonts w:ascii="Times New Roman" w:hAnsi="Times New Roman"/>
          <w:i/>
          <w:noProof/>
          <w:color w:val="49442A"/>
          <w:sz w:val="24"/>
        </w:rPr>
        <w:t>Atļauja ir atkārtoti jānovērtē pirms 2019. gada maija. Paziņojums var būt pilna deklarācija, kā noteikts TDA 21. pantā.</w:t>
      </w:r>
    </w:p>
    <w:p w:rsidR="00211065" w:rsidRPr="003E628F" w:rsidRDefault="00211065" w:rsidP="003E628F">
      <w:pPr>
        <w:jc w:val="both"/>
        <w:rPr>
          <w:rFonts w:ascii="Times New Roman" w:hAnsi="Times New Roman"/>
          <w:i/>
          <w:noProof/>
          <w:color w:val="49442A"/>
          <w:sz w:val="24"/>
        </w:rPr>
      </w:pPr>
    </w:p>
    <w:p w:rsidR="00211065" w:rsidRPr="00E030BE" w:rsidRDefault="00F051B0" w:rsidP="00E030BE">
      <w:pPr>
        <w:pStyle w:val="Virsraksts2"/>
        <w:rPr>
          <w:b/>
        </w:rPr>
      </w:pPr>
      <w:bookmarkStart w:id="178" w:name="_Toc490734335"/>
      <w:r w:rsidRPr="00E030BE">
        <w:rPr>
          <w:b/>
        </w:rPr>
        <w:t>3.3.2. Īpaši gadījumi no 2016. gada 1. maija</w:t>
      </w:r>
      <w:bookmarkStart w:id="179" w:name="_bookmark65"/>
      <w:bookmarkEnd w:id="179"/>
      <w:bookmarkEnd w:id="178"/>
    </w:p>
    <w:p w:rsidR="00211065" w:rsidRPr="003E628F" w:rsidRDefault="00211065" w:rsidP="003E628F">
      <w:pPr>
        <w:jc w:val="both"/>
        <w:rPr>
          <w:rFonts w:ascii="Times New Roman" w:eastAsia="Times New Roman" w:hAnsi="Times New Roman" w:cs="Times New Roman"/>
          <w:b/>
          <w:bCs/>
          <w:i/>
          <w:noProof/>
          <w:sz w:val="24"/>
          <w:szCs w:val="20"/>
        </w:rPr>
      </w:pPr>
    </w:p>
    <w:p w:rsidR="00211065" w:rsidRPr="003E628F" w:rsidRDefault="00F051B0" w:rsidP="00F051B0">
      <w:pPr>
        <w:tabs>
          <w:tab w:val="left" w:pos="369"/>
        </w:tabs>
        <w:rPr>
          <w:rFonts w:ascii="Times New Roman" w:hAnsi="Times New Roman"/>
          <w:b/>
          <w:noProof/>
          <w:sz w:val="24"/>
        </w:rPr>
      </w:pPr>
      <w:r>
        <w:rPr>
          <w:rFonts w:ascii="Times New Roman" w:hAnsi="Times New Roman"/>
          <w:b/>
          <w:noProof/>
          <w:sz w:val="24"/>
        </w:rPr>
        <w:t>a) Kas ir norādītās vietas, kuras izmanto saistībā ar vienkāršojumiem</w:t>
      </w:r>
    </w:p>
    <w:p w:rsidR="00211065" w:rsidRPr="003E628F" w:rsidRDefault="00211065" w:rsidP="003E628F">
      <w:pPr>
        <w:jc w:val="both"/>
        <w:rPr>
          <w:rFonts w:ascii="Times New Roman" w:eastAsia="Times New Roman" w:hAnsi="Times New Roman" w:cs="Times New Roman"/>
          <w:b/>
          <w:bCs/>
          <w:noProof/>
          <w:sz w:val="24"/>
          <w:szCs w:val="20"/>
        </w:rPr>
      </w:pPr>
    </w:p>
    <w:p w:rsidR="00211065" w:rsidRPr="003E628F" w:rsidRDefault="00211065" w:rsidP="003E628F">
      <w:pPr>
        <w:pStyle w:val="Pamatteksts"/>
        <w:ind w:left="0"/>
        <w:jc w:val="both"/>
        <w:rPr>
          <w:noProof/>
        </w:rPr>
      </w:pPr>
      <w:r>
        <w:t>Muitas dienestu norādītās vietas ir vietas, kam muitas dienesti ir piešķīruši šādu statusu pēc saviem ieskatiem.</w:t>
      </w:r>
    </w:p>
    <w:p w:rsidR="00211065" w:rsidRPr="003E628F" w:rsidRDefault="00211065" w:rsidP="003E628F">
      <w:pPr>
        <w:jc w:val="both"/>
        <w:rPr>
          <w:rFonts w:ascii="Times New Roman" w:eastAsia="Times New Roman" w:hAnsi="Times New Roman" w:cs="Times New Roman"/>
          <w:noProof/>
          <w:sz w:val="24"/>
          <w:szCs w:val="21"/>
        </w:rPr>
      </w:pPr>
    </w:p>
    <w:p w:rsidR="00211065" w:rsidRPr="003E628F" w:rsidRDefault="00E030BE" w:rsidP="00E030BE">
      <w:pPr>
        <w:pStyle w:val="Virsraksts1"/>
        <w:tabs>
          <w:tab w:val="left" w:pos="383"/>
        </w:tabs>
        <w:jc w:val="both"/>
        <w:rPr>
          <w:noProof/>
        </w:rPr>
      </w:pPr>
      <w:bookmarkStart w:id="180" w:name="_Toc490734336"/>
      <w:r>
        <w:t>b</w:t>
      </w:r>
      <w:r w:rsidR="00F051B0">
        <w:t>) Kas ir apstiprinātās vietas, kuras izmanto saistībā ar vienkāršojumiem</w:t>
      </w:r>
      <w:bookmarkEnd w:id="180"/>
    </w:p>
    <w:p w:rsidR="00211065" w:rsidRPr="003E628F" w:rsidRDefault="00211065" w:rsidP="003E628F">
      <w:pPr>
        <w:jc w:val="both"/>
        <w:rPr>
          <w:rFonts w:ascii="Times New Roman" w:eastAsia="Times New Roman" w:hAnsi="Times New Roman" w:cs="Times New Roman"/>
          <w:b/>
          <w:bCs/>
          <w:noProof/>
          <w:sz w:val="24"/>
          <w:szCs w:val="20"/>
        </w:rPr>
      </w:pPr>
    </w:p>
    <w:p w:rsidR="00211065" w:rsidRPr="003E628F" w:rsidRDefault="00211065" w:rsidP="003E628F">
      <w:pPr>
        <w:pStyle w:val="Pamatteksts"/>
        <w:ind w:left="0"/>
        <w:jc w:val="both"/>
        <w:rPr>
          <w:noProof/>
        </w:rPr>
      </w:pPr>
      <w:r>
        <w:t>Apstiprinātās vietas var būt pagaidu uzglabāšanas vietas vai jebkuras citas vietas, kas noteiktas valsts līmenī.</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Piesakoties noteiktam vienkāršojumam, uzņēmumam pieteikumā ir jānorāda preču atrašanās vietas brīdī, kad tām piemēro muitas procedūru. Piešķirot vienkāršojumu atļaujas, tiek apstiprinātas arī šīs vietas.</w:t>
      </w:r>
    </w:p>
    <w:p w:rsidR="00211065" w:rsidRPr="003E628F" w:rsidRDefault="00211065" w:rsidP="003E628F">
      <w:pPr>
        <w:jc w:val="both"/>
        <w:rPr>
          <w:rFonts w:ascii="Times New Roman" w:eastAsia="Times New Roman" w:hAnsi="Times New Roman" w:cs="Times New Roman"/>
          <w:noProof/>
          <w:sz w:val="24"/>
          <w:szCs w:val="31"/>
        </w:rPr>
      </w:pPr>
    </w:p>
    <w:p w:rsidR="00211065" w:rsidRPr="003E628F" w:rsidRDefault="00F051B0" w:rsidP="00E030BE">
      <w:pPr>
        <w:pStyle w:val="Virsraksts1"/>
        <w:tabs>
          <w:tab w:val="left" w:pos="364"/>
        </w:tabs>
        <w:jc w:val="both"/>
        <w:rPr>
          <w:noProof/>
        </w:rPr>
      </w:pPr>
      <w:bookmarkStart w:id="181" w:name="_Toc490734337"/>
      <w:r>
        <w:t xml:space="preserve">c) Kā rīkoties </w:t>
      </w:r>
      <w:r>
        <w:rPr>
          <w:i/>
        </w:rPr>
        <w:t>EIDR</w:t>
      </w:r>
      <w:r>
        <w:t xml:space="preserve"> gadījumā, darbojoties ar papīra vai nesaskaņotu ierašanās paziņojumu, kas minēts KMK īstenošanas noteikumu 266. panta 1. punktā</w:t>
      </w:r>
      <w:bookmarkEnd w:id="181"/>
    </w:p>
    <w:p w:rsidR="00F051B0" w:rsidRDefault="00F051B0" w:rsidP="003E628F">
      <w:pPr>
        <w:pStyle w:val="Pamatteksts"/>
        <w:ind w:left="0"/>
        <w:jc w:val="both"/>
        <w:rPr>
          <w:noProof/>
        </w:rPr>
      </w:pPr>
    </w:p>
    <w:p w:rsidR="00211065" w:rsidRPr="003E628F" w:rsidRDefault="00211065" w:rsidP="003E628F">
      <w:pPr>
        <w:pStyle w:val="Pamatteksts"/>
        <w:ind w:left="0"/>
        <w:jc w:val="both"/>
        <w:rPr>
          <w:noProof/>
        </w:rPr>
      </w:pPr>
      <w:r>
        <w:t xml:space="preserve">Jāatzīmē, ka KMK īstenošanas noteikumu 266. panta 1. punkta a) apakšpunktā minētais paziņojums vietējās muitošanas procedūras ietvaros līdzinās uzrādīšanas paziņojumam saistībā ar </w:t>
      </w:r>
      <w:r>
        <w:rPr>
          <w:i/>
        </w:rPr>
        <w:t>EIDR</w:t>
      </w:r>
      <w:r>
        <w:t>, jo pēc tam, kad atļaujas turētājs ir sniedzis šo paziņojumu muitai, preces var izlaist attiecīgajai muitas procedūrai noteiktā termiņā. Turklāt abu veidu paziņojumiem ir līdzīga funkcija attiecībā uz iepriekšējās procedūras un uz darījumiem balstītas riska analīzes noslēgšanu.</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Līdz sistēmas atjaunināšanai 266. panta 1. punktā minēto paziņojumu var pieņemt kā uzrādīšanas paziņojumu.</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Līdz ar to pārejas periodā pašreizējos paziņojumus var izmantot, kamēr nav atbilstīgi atjaunināta valsts importa un automatizētā eksporta kontroles sistēma (</w:t>
      </w:r>
      <w:r>
        <w:rPr>
          <w:i/>
        </w:rPr>
        <w:t>TDA</w:t>
      </w:r>
      <w:r>
        <w:t xml:space="preserve"> 21. panta 1. punkts).</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jc w:val="both"/>
        <w:rPr>
          <w:rFonts w:ascii="Times New Roman" w:eastAsia="Times New Roman" w:hAnsi="Times New Roman" w:cs="Times New Roman"/>
          <w:noProof/>
          <w:sz w:val="24"/>
          <w:szCs w:val="24"/>
        </w:rPr>
      </w:pPr>
      <w:r>
        <w:rPr>
          <w:rFonts w:ascii="Times New Roman" w:hAnsi="Times New Roman"/>
          <w:i/>
          <w:noProof/>
          <w:color w:val="49442A"/>
          <w:sz w:val="24"/>
          <w:u w:val="single" w:color="49442A"/>
        </w:rPr>
        <w:t>Jāņem vērā!</w:t>
      </w:r>
      <w:r>
        <w:t xml:space="preserve"> </w:t>
      </w:r>
      <w:r>
        <w:rPr>
          <w:rFonts w:ascii="Times New Roman" w:hAnsi="Times New Roman"/>
          <w:i/>
          <w:noProof/>
          <w:color w:val="49442A"/>
          <w:sz w:val="24"/>
        </w:rPr>
        <w:t>Tas attiecas arī uz jauniem pieteikumiem, kas apstiprināti pēc 2016. gada 1. maija IT pārejas periodā.</w:t>
      </w:r>
    </w:p>
    <w:p w:rsidR="00211065" w:rsidRPr="003E628F" w:rsidRDefault="00211065" w:rsidP="003E628F">
      <w:pPr>
        <w:jc w:val="both"/>
        <w:rPr>
          <w:rFonts w:ascii="Times New Roman" w:eastAsia="Times New Roman" w:hAnsi="Times New Roman" w:cs="Times New Roman"/>
          <w:i/>
          <w:noProof/>
          <w:sz w:val="24"/>
          <w:szCs w:val="31"/>
        </w:rPr>
      </w:pPr>
    </w:p>
    <w:p w:rsidR="00211065" w:rsidRPr="003E628F" w:rsidRDefault="00F051B0" w:rsidP="00E030BE">
      <w:pPr>
        <w:pStyle w:val="Virsraksts1"/>
        <w:tabs>
          <w:tab w:val="left" w:pos="403"/>
        </w:tabs>
        <w:jc w:val="both"/>
        <w:rPr>
          <w:noProof/>
        </w:rPr>
      </w:pPr>
      <w:bookmarkStart w:id="182" w:name="_Toc490734338"/>
      <w:r>
        <w:t xml:space="preserve">d) Kā rīkoties tādu vietējās muitošanas procedūru atļauju gadījumā, kas piešķirtas </w:t>
      </w:r>
      <w:r>
        <w:lastRenderedPageBreak/>
        <w:t xml:space="preserve">tiešajiem pārstāvjiem, kas nevar būt </w:t>
      </w:r>
      <w:r>
        <w:rPr>
          <w:i/>
        </w:rPr>
        <w:t>EIDR</w:t>
      </w:r>
      <w:r>
        <w:t xml:space="preserve"> atļaujas turētāji</w:t>
      </w:r>
      <w:bookmarkEnd w:id="182"/>
    </w:p>
    <w:p w:rsidR="00F051B0" w:rsidRDefault="00F051B0" w:rsidP="003E628F">
      <w:pPr>
        <w:pStyle w:val="Pamatteksts"/>
        <w:ind w:left="0"/>
        <w:jc w:val="both"/>
        <w:rPr>
          <w:noProof/>
        </w:rPr>
      </w:pPr>
    </w:p>
    <w:p w:rsidR="00211065" w:rsidRPr="003E628F" w:rsidRDefault="00211065" w:rsidP="003E628F">
      <w:pPr>
        <w:pStyle w:val="Pamatteksts"/>
        <w:ind w:left="0"/>
        <w:jc w:val="both"/>
        <w:rPr>
          <w:noProof/>
        </w:rPr>
      </w:pPr>
      <w:r>
        <w:t xml:space="preserve">Spēkā esošās vietējās muitošanas procedūras atļaujas, kas no 2016. gada 1. maija pielīdzināmas </w:t>
      </w:r>
      <w:r>
        <w:rPr>
          <w:i/>
        </w:rPr>
        <w:t>EIDR</w:t>
      </w:r>
      <w:r>
        <w:t xml:space="preserve"> atļaujām, var palikt spēkā līdz to atkārtotai novērtēšanai. Līdz ar to tiešie pārstāvji, kas pašlaik ir vietējās muitošanas procedūras atļaujas turētāji, var turpināt izmantot savas atļaujas līdz to atkārtotai novērtēšanai.</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jc w:val="both"/>
        <w:rPr>
          <w:rFonts w:ascii="Times New Roman" w:eastAsia="Times New Roman" w:hAnsi="Times New Roman" w:cs="Times New Roman"/>
          <w:i/>
          <w:noProof/>
          <w:color w:val="49442A"/>
          <w:sz w:val="24"/>
          <w:szCs w:val="24"/>
        </w:rPr>
      </w:pPr>
      <w:r>
        <w:rPr>
          <w:rFonts w:ascii="Times New Roman" w:hAnsi="Times New Roman"/>
          <w:i/>
          <w:noProof/>
          <w:color w:val="49442A"/>
          <w:sz w:val="24"/>
          <w:u w:val="single" w:color="49442A"/>
        </w:rPr>
        <w:t>Jāņem vērā!</w:t>
      </w:r>
      <w:r>
        <w:t xml:space="preserve"> </w:t>
      </w:r>
      <w:r>
        <w:rPr>
          <w:rFonts w:ascii="Times New Roman" w:hAnsi="Times New Roman"/>
          <w:i/>
          <w:noProof/>
          <w:color w:val="49442A"/>
          <w:sz w:val="24"/>
        </w:rPr>
        <w:t>Tika identificēts viens gadījums, kad uzņēmumam ir filiāle, kas kārto visu filiāļu muitas jautājumus. Filiāle rīkojas kā tiešais pārstāvis, un tai ir kopīgi reģistri ar pārstāvētajām filiālēm vai tieša piekļuve šiem reģistriem. Datiem ir jābūt pieejamiem preču izlaišanas brīdī deklarētāja un deklarētāju pārstāvošā atļaujas turētāja vietā.</w:t>
      </w:r>
    </w:p>
    <w:p w:rsidR="00211065" w:rsidRPr="003E628F" w:rsidRDefault="00211065" w:rsidP="003E628F">
      <w:pPr>
        <w:jc w:val="both"/>
        <w:rPr>
          <w:rFonts w:ascii="Times New Roman" w:eastAsia="Times New Roman" w:hAnsi="Times New Roman" w:cs="Times New Roman"/>
          <w:i/>
          <w:noProof/>
          <w:color w:val="49442A"/>
          <w:sz w:val="24"/>
          <w:szCs w:val="24"/>
        </w:rPr>
      </w:pPr>
    </w:p>
    <w:p w:rsidR="00211065" w:rsidRPr="003E628F" w:rsidRDefault="00F051B0" w:rsidP="00E030BE">
      <w:pPr>
        <w:pStyle w:val="Virsraksts1"/>
        <w:tabs>
          <w:tab w:val="left" w:pos="355"/>
        </w:tabs>
        <w:jc w:val="both"/>
        <w:rPr>
          <w:noProof/>
        </w:rPr>
      </w:pPr>
      <w:bookmarkStart w:id="183" w:name="_Toc490734339"/>
      <w:r>
        <w:t xml:space="preserve">e) Vai katrai </w:t>
      </w:r>
      <w:r>
        <w:rPr>
          <w:i/>
        </w:rPr>
        <w:t>EIDR</w:t>
      </w:r>
      <w:r>
        <w:t xml:space="preserve"> atļaujai ir jāsagatavo atsevišķs kontroles plāns</w:t>
      </w:r>
      <w:bookmarkEnd w:id="183"/>
    </w:p>
    <w:p w:rsidR="00F051B0" w:rsidRDefault="00F051B0" w:rsidP="003E628F">
      <w:pPr>
        <w:pStyle w:val="Pamatteksts"/>
        <w:ind w:left="0"/>
        <w:jc w:val="both"/>
        <w:rPr>
          <w:noProof/>
        </w:rPr>
      </w:pPr>
    </w:p>
    <w:p w:rsidR="00211065" w:rsidRPr="003E628F" w:rsidRDefault="00211065" w:rsidP="003E628F">
      <w:pPr>
        <w:pStyle w:val="Pamatteksts"/>
        <w:ind w:left="0"/>
        <w:jc w:val="both"/>
        <w:rPr>
          <w:noProof/>
        </w:rPr>
      </w:pPr>
      <w:r>
        <w:t xml:space="preserve">Kontroles plāns ir jauna prasība, kas noteikta papildus </w:t>
      </w:r>
      <w:r>
        <w:rPr>
          <w:i/>
        </w:rPr>
        <w:t>EIDR</w:t>
      </w:r>
      <w:r>
        <w:t xml:space="preserve"> nosacījumiem (ĪA 233. pants). Tas vispirms tiek sagatavots iepriekšēja audita laikā, pamatojoties uz veikto riska analīzi, un muita to izmanto piešķirtās atļaujas uzraudzībā un pārraudzībā. Līdz ar to var uzskatīt, ka tas ir praktisks izsniegšanas posma aspekts, un tas jāsagatavo vienīgi attiecībā uz atkārtoti novērtētām atļaujām.</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Tomēr ir būtiski, ka pārejas periodā muitas dienesti var veikt efektīvu muitas kontroli attiecībā uz uzņēmējiem, kas izmanto atkārtoti nenovērtētas atļaujas, un šim nolūkam var noteikt nepieciešamos pasākumus.</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jc w:val="both"/>
        <w:rPr>
          <w:rFonts w:ascii="Times New Roman" w:eastAsia="Times New Roman" w:hAnsi="Times New Roman" w:cs="Times New Roman"/>
          <w:noProof/>
          <w:sz w:val="24"/>
          <w:szCs w:val="24"/>
        </w:rPr>
      </w:pPr>
      <w:r>
        <w:rPr>
          <w:rFonts w:ascii="Times New Roman" w:hAnsi="Times New Roman"/>
          <w:i/>
          <w:noProof/>
          <w:color w:val="49442A"/>
          <w:sz w:val="24"/>
          <w:u w:val="single" w:color="49442A"/>
        </w:rPr>
        <w:t>Jāņem vērā!</w:t>
      </w:r>
      <w:r>
        <w:t xml:space="preserve"> </w:t>
      </w:r>
      <w:r>
        <w:rPr>
          <w:rFonts w:ascii="Times New Roman" w:hAnsi="Times New Roman"/>
          <w:i/>
          <w:noProof/>
          <w:color w:val="49442A"/>
          <w:sz w:val="24"/>
        </w:rPr>
        <w:t>Jaunajām EIDR atļaujām ir nepieciešams kontroles plāns.</w:t>
      </w:r>
    </w:p>
    <w:p w:rsidR="00211065" w:rsidRPr="003E628F" w:rsidRDefault="00211065" w:rsidP="003E628F">
      <w:pPr>
        <w:jc w:val="both"/>
        <w:rPr>
          <w:rFonts w:ascii="Times New Roman" w:eastAsia="Times New Roman" w:hAnsi="Times New Roman" w:cs="Times New Roman"/>
          <w:i/>
          <w:noProof/>
          <w:sz w:val="24"/>
          <w:szCs w:val="25"/>
        </w:rPr>
      </w:pPr>
    </w:p>
    <w:p w:rsidR="00211065" w:rsidRPr="003E628F" w:rsidRDefault="00F051B0" w:rsidP="00E030BE">
      <w:pPr>
        <w:pStyle w:val="Virsraksts1"/>
        <w:tabs>
          <w:tab w:val="left" w:pos="331"/>
        </w:tabs>
        <w:jc w:val="both"/>
        <w:rPr>
          <w:noProof/>
        </w:rPr>
      </w:pPr>
      <w:bookmarkStart w:id="184" w:name="_Toc490734340"/>
      <w:r>
        <w:t>f) Kā rīkoties pašreizējās vietējās muitošanas procedūras gadījumā, kad ir iesniegtas muitas eksporta deklarācijas</w:t>
      </w:r>
      <w:bookmarkEnd w:id="184"/>
    </w:p>
    <w:p w:rsidR="00F051B0" w:rsidRDefault="00F051B0" w:rsidP="003E628F">
      <w:pPr>
        <w:pStyle w:val="Pamatteksts"/>
        <w:ind w:left="0"/>
        <w:jc w:val="both"/>
        <w:rPr>
          <w:noProof/>
        </w:rPr>
      </w:pPr>
    </w:p>
    <w:p w:rsidR="00211065" w:rsidRPr="003E628F" w:rsidRDefault="00211065" w:rsidP="003E628F">
      <w:pPr>
        <w:pStyle w:val="Pamatteksts"/>
        <w:ind w:left="0"/>
        <w:jc w:val="both"/>
        <w:rPr>
          <w:noProof/>
        </w:rPr>
      </w:pPr>
      <w:r>
        <w:t xml:space="preserve">DA 150. panta 4. punkta nosacījumi ir saistīti ar faktu, ka uzrādīšanas paziņojums nevar būt par iemeslu eksporta kontroles sistēmas ziņojumiem. Tie ir jāpārbauda atkārtotā novērtēšanā, nevis 2016. gada 1. maijā. Līdz ar to </w:t>
      </w:r>
      <w:r>
        <w:rPr>
          <w:i/>
        </w:rPr>
        <w:t>EIDR</w:t>
      </w:r>
      <w:r>
        <w:t xml:space="preserve"> var būt izmantots eksporta/reeksporta gadījumā, jo īpaši, ņemot vērā, ka tam ir paredzēts pārejas pasākums.</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 xml:space="preserve">Pārejas periodā muitas dienesti var atļaut deklarētājam iesniegt muitas eksporta deklarāciju, tostarp vienkāršoto deklarāciju (kā iepriekš paredzēts KMK īstenošanas noteikumu 285. panta 2. punktā), uzrādīšanas paziņojuma vietā (sk. </w:t>
      </w:r>
      <w:r>
        <w:rPr>
          <w:i/>
        </w:rPr>
        <w:t>TDA</w:t>
      </w:r>
      <w:r>
        <w:t xml:space="preserve"> 21. panta 2. punktu) </w:t>
      </w:r>
      <w:r>
        <w:rPr>
          <w:i/>
        </w:rPr>
        <w:t>EIDR</w:t>
      </w:r>
      <w:r>
        <w:t xml:space="preserve"> gadījumā līdz eksporta sistēmu atjaunināšanas dienai.</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Tāds pats domu gājiens tiek piemērots attiecībā uz</w:t>
      </w:r>
      <w:r>
        <w:rPr>
          <w:i/>
          <w:noProof/>
        </w:rPr>
        <w:t xml:space="preserve"> akcīzes preču eksportu (DA 150. panta 5. punkts)</w:t>
      </w:r>
      <w:r>
        <w:t>:</w:t>
      </w:r>
      <w:r>
        <w:rPr>
          <w:i/>
          <w:noProof/>
        </w:rPr>
        <w:t xml:space="preserve"> </w:t>
      </w:r>
      <w:r>
        <w:t xml:space="preserve">2016. gada 1. maijā nenotiek ne akcīzes preču izslēgšana, ne izmaiņas, jo </w:t>
      </w:r>
      <w:r>
        <w:rPr>
          <w:i/>
        </w:rPr>
        <w:t>TDA</w:t>
      </w:r>
      <w:r>
        <w:t xml:space="preserve"> paredz, ka līdz automatizētās eksporta kontroles sistēmas ieviešanas brīdim tiks izmantota standarta vai vienkāršotā deklarācija eksportam ar </w:t>
      </w:r>
      <w:r>
        <w:rPr>
          <w:i/>
        </w:rPr>
        <w:t>EIDR</w:t>
      </w:r>
      <w:r>
        <w:t>, aizstājot ar to uzrādīšanas paziņojumu (</w:t>
      </w:r>
      <w:r>
        <w:rPr>
          <w:i/>
        </w:rPr>
        <w:t>TDA</w:t>
      </w:r>
      <w:r>
        <w:t xml:space="preserve"> 21. pants).</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Tomēr šī izslēgšana tiks piemērota attiecībā uz atkārtoti novērtētajām un jaunajām atļaujām uzreiz pēc eksporta sistēmu atjaunināšanas.</w:t>
      </w:r>
    </w:p>
    <w:p w:rsidR="00211065" w:rsidRPr="003E628F" w:rsidRDefault="00211065" w:rsidP="003E628F">
      <w:pPr>
        <w:jc w:val="both"/>
        <w:rPr>
          <w:rFonts w:ascii="Times New Roman" w:eastAsia="Times New Roman" w:hAnsi="Times New Roman" w:cs="Times New Roman"/>
          <w:noProof/>
          <w:sz w:val="24"/>
          <w:szCs w:val="31"/>
        </w:rPr>
      </w:pPr>
    </w:p>
    <w:p w:rsidR="00211065" w:rsidRPr="003E628F" w:rsidRDefault="00F051B0" w:rsidP="00E030BE">
      <w:pPr>
        <w:pStyle w:val="Virsraksts1"/>
        <w:tabs>
          <w:tab w:val="left" w:pos="403"/>
        </w:tabs>
        <w:jc w:val="both"/>
        <w:rPr>
          <w:noProof/>
        </w:rPr>
      </w:pPr>
      <w:bookmarkStart w:id="185" w:name="_Toc490734341"/>
      <w:r>
        <w:t xml:space="preserve">g) Kā rīkoties ar tādām vietējās muitošanas procedūras atļaujām, kas pielīdzināmas </w:t>
      </w:r>
      <w:r>
        <w:rPr>
          <w:i/>
        </w:rPr>
        <w:t>EIDR</w:t>
      </w:r>
      <w:r>
        <w:t xml:space="preserve"> un procedūru kodiem “42” un “63”</w:t>
      </w:r>
      <w:bookmarkEnd w:id="185"/>
    </w:p>
    <w:p w:rsidR="00F051B0" w:rsidRDefault="00F051B0" w:rsidP="003E628F">
      <w:pPr>
        <w:pStyle w:val="Pamatteksts"/>
        <w:ind w:left="0"/>
        <w:jc w:val="both"/>
        <w:rPr>
          <w:noProof/>
        </w:rPr>
      </w:pPr>
    </w:p>
    <w:p w:rsidR="00211065" w:rsidRPr="003E628F" w:rsidRDefault="00211065" w:rsidP="003E628F">
      <w:pPr>
        <w:pStyle w:val="Pamatteksts"/>
        <w:ind w:left="0"/>
        <w:jc w:val="both"/>
        <w:rPr>
          <w:noProof/>
        </w:rPr>
      </w:pPr>
      <w:r>
        <w:lastRenderedPageBreak/>
        <w:t xml:space="preserve">Šīs muitas procedūras ir juridiski izslēgtas no </w:t>
      </w:r>
      <w:r>
        <w:rPr>
          <w:i/>
        </w:rPr>
        <w:t>EIDR</w:t>
      </w:r>
      <w:r>
        <w:t xml:space="preserve"> (DA 150. panta 3. punkts), jo paredz noteiktas specifiskas informācijas sniegšanu muitai pirms preču izlaišanas, kas neietilpst DA/ĪA B pielikumā noteiktā uzrādīšanas paziņojuma datu prasībās.</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 xml:space="preserve">Tomēr </w:t>
      </w:r>
      <w:r>
        <w:rPr>
          <w:i/>
        </w:rPr>
        <w:t>TDA</w:t>
      </w:r>
      <w:r>
        <w:t xml:space="preserve"> 21. panta 1. punkts paredz, ka paziņojuma iesniegšanai var izmantot citus elektroniskus datu apstrādes paņēmienus.</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Tāpēc pārejas posmā no 2016. gada 1. maija līdz valstu importa sistēmu atjaunināšanai dalībvalstu ziņā ir noteikt, vai paziņojumā var būt iekļauti atbilstoši datu elementi šo režīmu piemērošanai precēm. Ja minētā specifiskā informācija netiek sniegta muitai pirms preču izlaišanas ar uzrādīšanas paziņojumu, tās ir jāizslēdz.</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jc w:val="both"/>
        <w:rPr>
          <w:rFonts w:ascii="Times New Roman" w:eastAsia="Times New Roman" w:hAnsi="Times New Roman" w:cs="Times New Roman"/>
          <w:noProof/>
          <w:sz w:val="24"/>
          <w:szCs w:val="24"/>
        </w:rPr>
      </w:pPr>
      <w:r>
        <w:rPr>
          <w:rFonts w:ascii="Times New Roman" w:hAnsi="Times New Roman"/>
          <w:i/>
          <w:noProof/>
          <w:color w:val="49442A"/>
          <w:sz w:val="24"/>
          <w:u w:val="single" w:color="49442A"/>
        </w:rPr>
        <w:t>Jāņem vērā!</w:t>
      </w:r>
      <w:r>
        <w:t xml:space="preserve"> </w:t>
      </w:r>
      <w:r>
        <w:rPr>
          <w:rFonts w:ascii="Times New Roman" w:hAnsi="Times New Roman"/>
          <w:i/>
          <w:noProof/>
          <w:color w:val="49442A"/>
          <w:sz w:val="24"/>
        </w:rPr>
        <w:t>Atkārtoti novērtētajām un jaunajām EIDR atļaujām ir jāizslēdz šie režīmi pēc pārejas perioda beigām.</w:t>
      </w:r>
    </w:p>
    <w:p w:rsidR="00211065" w:rsidRPr="003E628F" w:rsidRDefault="00211065" w:rsidP="003E628F">
      <w:pPr>
        <w:jc w:val="both"/>
        <w:rPr>
          <w:rFonts w:ascii="Times New Roman" w:eastAsia="Times New Roman" w:hAnsi="Times New Roman" w:cs="Times New Roman"/>
          <w:i/>
          <w:noProof/>
          <w:sz w:val="24"/>
          <w:szCs w:val="31"/>
        </w:rPr>
      </w:pPr>
    </w:p>
    <w:p w:rsidR="00211065" w:rsidRPr="003E628F" w:rsidRDefault="00F051B0" w:rsidP="00E030BE">
      <w:pPr>
        <w:pStyle w:val="Virsraksts1"/>
        <w:tabs>
          <w:tab w:val="left" w:pos="383"/>
        </w:tabs>
        <w:jc w:val="both"/>
        <w:rPr>
          <w:noProof/>
        </w:rPr>
      </w:pPr>
      <w:bookmarkStart w:id="186" w:name="_Toc490734342"/>
      <w:r>
        <w:t>h) Kā rīkoties informācijas lapas (</w:t>
      </w:r>
      <w:r>
        <w:rPr>
          <w:i/>
        </w:rPr>
        <w:t>INF</w:t>
      </w:r>
      <w:r>
        <w:t>) izmantošanas gadījumos (150. panta 6. punkts)</w:t>
      </w:r>
      <w:bookmarkEnd w:id="186"/>
    </w:p>
    <w:p w:rsidR="00F051B0" w:rsidRDefault="00F051B0" w:rsidP="003E628F">
      <w:pPr>
        <w:pStyle w:val="Pamatteksts"/>
        <w:ind w:left="0"/>
        <w:jc w:val="both"/>
        <w:rPr>
          <w:noProof/>
        </w:rPr>
      </w:pPr>
    </w:p>
    <w:p w:rsidR="00211065" w:rsidRPr="003E628F" w:rsidRDefault="00211065" w:rsidP="003E628F">
      <w:pPr>
        <w:pStyle w:val="Pamatteksts"/>
        <w:ind w:left="0"/>
        <w:jc w:val="both"/>
        <w:rPr>
          <w:noProof/>
        </w:rPr>
      </w:pPr>
      <w:r>
        <w:t xml:space="preserve">Informācijas lapas izmantošanas gadījumi, kad nepieciešama informācijas apmaiņa starp dažādiem muitas dienestiem dažādās dalībvalstīs, ir izslēgti no </w:t>
      </w:r>
      <w:r>
        <w:rPr>
          <w:i/>
        </w:rPr>
        <w:t>EIDR</w:t>
      </w:r>
      <w:r>
        <w:t>, ja vien muitas dienesti nevienojas par citiem informācijas elektroniskās apmaiņas līdzekļiem (kā noteikts DA 176. panta 1. punkta a) apakšpunktā).</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Turklāt pārejas periodā no 2016. gada 1. maija līdz valstu sistēmu atjaunināšanai muitas dienesti var pieņemt lēmumu par to, vai informācijas lapu var vai nevar pienācīgi izmantot.</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 xml:space="preserve">Piemēram, eksporta gadījumā, kad pārejas periodā tiek iesniegta standarta vai vienkāršotā deklarācija, saistībā ar </w:t>
      </w:r>
      <w:r>
        <w:rPr>
          <w:i/>
        </w:rPr>
        <w:t>EIDR</w:t>
      </w:r>
      <w:r>
        <w:t xml:space="preserve"> šāds jautājums nepastāv. Informācijas lapu var izmantot tāpat kā standarta procedūrā.</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color w:val="17365D"/>
        </w:rPr>
      </w:pPr>
      <w:r>
        <w:rPr>
          <w:noProof/>
          <w:color w:val="17365D"/>
        </w:rPr>
        <w:t xml:space="preserve">Piemērs. Var izslēgt ievešanas pārstrādei piemērošanu precēm, ko veic, izmantojot </w:t>
      </w:r>
      <w:r>
        <w:rPr>
          <w:i/>
          <w:noProof/>
          <w:color w:val="17365D"/>
        </w:rPr>
        <w:t>EIDR</w:t>
      </w:r>
      <w:r>
        <w:rPr>
          <w:noProof/>
          <w:color w:val="17365D"/>
        </w:rPr>
        <w:t>, taču nevar izslēgt izvešanas pārstrādei piemērošanu precēm.</w:t>
      </w:r>
    </w:p>
    <w:p w:rsidR="00211065" w:rsidRPr="003E628F" w:rsidRDefault="00211065" w:rsidP="003E628F">
      <w:pPr>
        <w:jc w:val="both"/>
        <w:rPr>
          <w:rFonts w:ascii="Times New Roman" w:eastAsia="Times New Roman" w:hAnsi="Times New Roman" w:cs="Times New Roman"/>
          <w:noProof/>
          <w:sz w:val="24"/>
          <w:szCs w:val="21"/>
        </w:rPr>
      </w:pPr>
    </w:p>
    <w:p w:rsidR="00211065" w:rsidRPr="00E030BE" w:rsidRDefault="00F051B0" w:rsidP="00E030BE">
      <w:pPr>
        <w:pStyle w:val="Virsraksts2"/>
        <w:rPr>
          <w:b/>
        </w:rPr>
      </w:pPr>
      <w:bookmarkStart w:id="187" w:name="_Toc490734343"/>
      <w:r w:rsidRPr="00E030BE">
        <w:rPr>
          <w:b/>
        </w:rPr>
        <w:t>3.3.3. Atļaujas atkārtota novērtēšana</w:t>
      </w:r>
      <w:bookmarkStart w:id="188" w:name="_bookmark66"/>
      <w:bookmarkEnd w:id="188"/>
      <w:bookmarkEnd w:id="187"/>
    </w:p>
    <w:p w:rsidR="00211065" w:rsidRPr="003E628F" w:rsidRDefault="00211065" w:rsidP="003E628F">
      <w:pPr>
        <w:jc w:val="both"/>
        <w:rPr>
          <w:rFonts w:ascii="Times New Roman" w:eastAsia="Times New Roman" w:hAnsi="Times New Roman" w:cs="Times New Roman"/>
          <w:b/>
          <w:bCs/>
          <w:i/>
          <w:noProof/>
          <w:sz w:val="24"/>
          <w:szCs w:val="20"/>
        </w:rPr>
      </w:pPr>
    </w:p>
    <w:p w:rsidR="00211065" w:rsidRPr="003E628F" w:rsidRDefault="00211065" w:rsidP="003E628F">
      <w:pPr>
        <w:pStyle w:val="Pamatteksts"/>
        <w:ind w:left="0"/>
        <w:jc w:val="both"/>
        <w:rPr>
          <w:noProof/>
        </w:rPr>
      </w:pPr>
      <w:r>
        <w:t xml:space="preserve">Visas vietējās muitošanas procedūras atļaujas, kas kļūs par </w:t>
      </w:r>
      <w:r>
        <w:rPr>
          <w:i/>
        </w:rPr>
        <w:t>EIDR</w:t>
      </w:r>
      <w:r>
        <w:t xml:space="preserve"> atļaujām vai apstiprinātu vietu atļaujām pēc 2016. gada 1. maija, ir atkārtoti jānovērtē </w:t>
      </w:r>
      <w:r>
        <w:rPr>
          <w:b/>
          <w:noProof/>
        </w:rPr>
        <w:t>pirms 2019. gada 1. maija</w:t>
      </w:r>
      <w:r>
        <w:t>.</w:t>
      </w:r>
    </w:p>
    <w:p w:rsidR="00211065" w:rsidRPr="003E628F" w:rsidRDefault="00211065" w:rsidP="003E628F">
      <w:pPr>
        <w:jc w:val="both"/>
        <w:rPr>
          <w:rFonts w:ascii="Times New Roman" w:eastAsia="Times New Roman" w:hAnsi="Times New Roman" w:cs="Times New Roman"/>
          <w:noProof/>
          <w:sz w:val="24"/>
          <w:szCs w:val="20"/>
        </w:rPr>
      </w:pPr>
    </w:p>
    <w:p w:rsidR="00211065" w:rsidRDefault="00211065" w:rsidP="003E628F">
      <w:pPr>
        <w:pStyle w:val="Pamatteksts"/>
        <w:ind w:left="0"/>
        <w:jc w:val="both"/>
        <w:rPr>
          <w:noProof/>
        </w:rPr>
      </w:pPr>
      <w:r>
        <w:t>Atkārtotā novērtēšanā jāpārbauda apstiprināto vietu nosacījumi.</w:t>
      </w:r>
    </w:p>
    <w:p w:rsidR="00F051B0" w:rsidRPr="003E628F" w:rsidRDefault="00F051B0" w:rsidP="003E628F">
      <w:pPr>
        <w:pStyle w:val="Pamatteksts"/>
        <w:ind w:left="0"/>
        <w:jc w:val="both"/>
        <w:rPr>
          <w:noProof/>
        </w:rPr>
      </w:pPr>
    </w:p>
    <w:p w:rsidR="00211065" w:rsidRPr="003E628F" w:rsidRDefault="00211065" w:rsidP="003E628F">
      <w:pPr>
        <w:jc w:val="both"/>
        <w:rPr>
          <w:rFonts w:ascii="Times New Roman" w:hAnsi="Times New Roman"/>
          <w:i/>
          <w:noProof/>
          <w:color w:val="49442A"/>
          <w:sz w:val="24"/>
        </w:rPr>
      </w:pPr>
      <w:r>
        <w:rPr>
          <w:rFonts w:ascii="Times New Roman" w:hAnsi="Times New Roman"/>
          <w:i/>
          <w:noProof/>
          <w:color w:val="49442A"/>
          <w:sz w:val="24"/>
          <w:u w:val="single" w:color="49442A"/>
        </w:rPr>
        <w:t>Jāņem vērā!</w:t>
      </w:r>
      <w:r>
        <w:t xml:space="preserve"> </w:t>
      </w:r>
      <w:r>
        <w:rPr>
          <w:rFonts w:ascii="Times New Roman" w:hAnsi="Times New Roman"/>
          <w:i/>
          <w:noProof/>
          <w:color w:val="49442A"/>
          <w:sz w:val="24"/>
        </w:rPr>
        <w:t>Nosacījumi vietējās muitošanas procedūras (LCP) atļaujai, kas izsniegta saskaņā ar KMK 76. panta 1. punkta c) apakšpunktu: 14.h pants (izņemot 1. punkta c) apakšpunktu), 14.i panta d), e) un g) punkts un 14.j pants (sal. ar KMK īstenošanas noteikumu 253.c pantu).</w:t>
      </w:r>
    </w:p>
    <w:p w:rsidR="00211065" w:rsidRPr="003E628F" w:rsidRDefault="00211065" w:rsidP="003E628F">
      <w:pPr>
        <w:jc w:val="both"/>
        <w:rPr>
          <w:rFonts w:ascii="Times New Roman" w:hAnsi="Times New Roman"/>
          <w:i/>
          <w:noProof/>
          <w:color w:val="49442A"/>
          <w:sz w:val="24"/>
        </w:rPr>
      </w:pPr>
    </w:p>
    <w:p w:rsidR="00211065" w:rsidRPr="003E628F" w:rsidRDefault="00211065" w:rsidP="003E628F">
      <w:pPr>
        <w:pStyle w:val="Pamatteksts"/>
        <w:ind w:left="0"/>
        <w:jc w:val="both"/>
        <w:rPr>
          <w:noProof/>
        </w:rPr>
      </w:pPr>
      <w:r>
        <w:t xml:space="preserve">Jaunais Kodekss paredz dažus </w:t>
      </w:r>
      <w:r>
        <w:rPr>
          <w:i/>
        </w:rPr>
        <w:t>AEO</w:t>
      </w:r>
      <w:r>
        <w:t xml:space="preserve"> kritērijus, kas līdzinās KMK noteiktajiem; vietējās muitošanas procedūras atļaujas atkārtota novērtēšana var tikt veikta divos pārbaudes līmeņos:</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F051B0">
      <w:pPr>
        <w:pStyle w:val="Pamatteksts"/>
        <w:numPr>
          <w:ilvl w:val="0"/>
          <w:numId w:val="20"/>
        </w:numPr>
        <w:tabs>
          <w:tab w:val="left" w:pos="413"/>
        </w:tabs>
        <w:ind w:left="426" w:hanging="426"/>
        <w:jc w:val="both"/>
        <w:rPr>
          <w:noProof/>
        </w:rPr>
      </w:pPr>
      <w:r>
        <w:t>to jauno kritēriju novērtēšana, kas nebija paredzēti KMK;</w:t>
      </w:r>
    </w:p>
    <w:p w:rsidR="00211065" w:rsidRPr="003E628F" w:rsidRDefault="00211065" w:rsidP="00F051B0">
      <w:pPr>
        <w:pStyle w:val="Pamatteksts"/>
        <w:numPr>
          <w:ilvl w:val="0"/>
          <w:numId w:val="20"/>
        </w:numPr>
        <w:tabs>
          <w:tab w:val="left" w:pos="413"/>
        </w:tabs>
        <w:ind w:left="426" w:hanging="426"/>
        <w:jc w:val="both"/>
        <w:rPr>
          <w:noProof/>
        </w:rPr>
      </w:pPr>
      <w:r>
        <w:t>to kritēriju atkārtota novērtēšana, kas bija paredzēti KMK un kurus vienkāršotas deklarēšanas procedūras atļaujas turētājs bija izpildījis.</w:t>
      </w:r>
    </w:p>
    <w:p w:rsidR="00F051B0" w:rsidRDefault="00F051B0" w:rsidP="003E628F">
      <w:pPr>
        <w:pStyle w:val="Virsraksts1"/>
        <w:ind w:hanging="428"/>
        <w:jc w:val="both"/>
        <w:rPr>
          <w:noProof/>
        </w:rPr>
      </w:pPr>
    </w:p>
    <w:p w:rsidR="00211065" w:rsidRPr="003E628F" w:rsidRDefault="00F051B0" w:rsidP="00F051B0">
      <w:pPr>
        <w:pStyle w:val="Virsraksts1"/>
        <w:jc w:val="both"/>
        <w:rPr>
          <w:noProof/>
        </w:rPr>
      </w:pPr>
      <w:bookmarkStart w:id="189" w:name="_Toc490734344"/>
      <w:r>
        <w:lastRenderedPageBreak/>
        <w:t>a) Turpmākajā tabulā attiecībā uz katru izpildāmo nosacījumu noteikta ieteicamā atkārtotas novērtēšanas pakāpe vietējās muitošanas procedūras atļaujas turētājam.</w:t>
      </w:r>
      <w:bookmarkEnd w:id="189"/>
    </w:p>
    <w:p w:rsidR="003E628F" w:rsidRDefault="003E628F" w:rsidP="003E628F">
      <w:pPr>
        <w:jc w:val="both"/>
        <w:rPr>
          <w:rFonts w:ascii="Times New Roman" w:eastAsia="Times New Roman" w:hAnsi="Times New Roman" w:cs="Times New Roman"/>
          <w:b/>
          <w:bCs/>
          <w:noProof/>
          <w:sz w:val="24"/>
          <w:szCs w:val="20"/>
        </w:rPr>
      </w:pPr>
    </w:p>
    <w:tbl>
      <w:tblPr>
        <w:tblStyle w:val="Reatabula"/>
        <w:tblW w:w="5000" w:type="pct"/>
        <w:shd w:val="clear" w:color="auto" w:fill="E4DFEB"/>
        <w:tblCellMar>
          <w:top w:w="28" w:type="dxa"/>
          <w:left w:w="28" w:type="dxa"/>
          <w:bottom w:w="28" w:type="dxa"/>
          <w:right w:w="28" w:type="dxa"/>
        </w:tblCellMar>
        <w:tblLook w:val="04A0" w:firstRow="1" w:lastRow="0" w:firstColumn="1" w:lastColumn="0" w:noHBand="0" w:noVBand="1"/>
      </w:tblPr>
      <w:tblGrid>
        <w:gridCol w:w="2282"/>
        <w:gridCol w:w="2283"/>
        <w:gridCol w:w="2283"/>
        <w:gridCol w:w="2283"/>
      </w:tblGrid>
      <w:tr w:rsidR="00F051B0" w:rsidRPr="00F051B0" w:rsidTr="00E030BE">
        <w:tc>
          <w:tcPr>
            <w:tcW w:w="5000" w:type="pct"/>
            <w:gridSpan w:val="4"/>
            <w:shd w:val="clear" w:color="auto" w:fill="E4DFEB"/>
          </w:tcPr>
          <w:p w:rsidR="00F051B0" w:rsidRPr="00F051B0" w:rsidRDefault="00F051B0" w:rsidP="003E628F">
            <w:pPr>
              <w:jc w:val="both"/>
              <w:rPr>
                <w:rFonts w:ascii="Times New Roman" w:eastAsia="Times New Roman" w:hAnsi="Times New Roman" w:cs="Times New Roman"/>
                <w:b/>
                <w:bCs/>
                <w:noProof/>
                <w:sz w:val="24"/>
                <w:szCs w:val="20"/>
              </w:rPr>
            </w:pPr>
            <w:r>
              <w:rPr>
                <w:rFonts w:ascii="Times New Roman" w:hAnsi="Times New Roman"/>
                <w:b/>
                <w:noProof/>
                <w:sz w:val="24"/>
              </w:rPr>
              <w:t>Vietējās muitošanas procedūras atļauju atkārtota novērtēšana, trīs iespējas:</w:t>
            </w:r>
          </w:p>
        </w:tc>
      </w:tr>
      <w:tr w:rsidR="00F051B0" w:rsidRPr="00F051B0" w:rsidTr="00E030BE">
        <w:tc>
          <w:tcPr>
            <w:tcW w:w="1250" w:type="pct"/>
            <w:vMerge w:val="restart"/>
            <w:shd w:val="clear" w:color="auto" w:fill="E4DFEB"/>
          </w:tcPr>
          <w:p w:rsidR="00F051B0" w:rsidRDefault="00F943E1" w:rsidP="003E628F">
            <w:pPr>
              <w:jc w:val="both"/>
              <w:rPr>
                <w:rFonts w:ascii="Times New Roman" w:eastAsia="Times New Roman" w:hAnsi="Times New Roman" w:cs="Times New Roman"/>
                <w:bCs/>
                <w:noProof/>
                <w:sz w:val="24"/>
                <w:szCs w:val="20"/>
              </w:rPr>
            </w:pPr>
            <w:r>
              <w:rPr>
                <w:rFonts w:ascii="Times New Roman" w:hAnsi="Times New Roman"/>
                <w:noProof/>
                <w:sz w:val="24"/>
              </w:rPr>
              <w:t>1. gadījums</w:t>
            </w:r>
          </w:p>
          <w:p w:rsidR="00F943E1" w:rsidRDefault="00F943E1" w:rsidP="003E628F">
            <w:pPr>
              <w:jc w:val="both"/>
              <w:rPr>
                <w:rFonts w:ascii="Times New Roman" w:eastAsia="Times New Roman" w:hAnsi="Times New Roman" w:cs="Times New Roman"/>
                <w:bCs/>
                <w:noProof/>
                <w:sz w:val="24"/>
                <w:szCs w:val="20"/>
              </w:rPr>
            </w:pPr>
          </w:p>
          <w:p w:rsidR="00F943E1" w:rsidRPr="00F051B0" w:rsidRDefault="00F943E1" w:rsidP="003E628F">
            <w:pPr>
              <w:jc w:val="both"/>
              <w:rPr>
                <w:rFonts w:ascii="Times New Roman" w:eastAsia="Times New Roman" w:hAnsi="Times New Roman" w:cs="Times New Roman"/>
                <w:bCs/>
                <w:noProof/>
                <w:sz w:val="24"/>
                <w:szCs w:val="20"/>
              </w:rPr>
            </w:pPr>
            <w:r>
              <w:rPr>
                <w:rFonts w:ascii="Times New Roman" w:hAnsi="Times New Roman"/>
                <w:noProof/>
                <w:sz w:val="24"/>
              </w:rPr>
              <w:t>Standarta deklarācija ar vietu apstiprinājumu preču uzrādīšanai muitai</w:t>
            </w:r>
          </w:p>
        </w:tc>
        <w:tc>
          <w:tcPr>
            <w:tcW w:w="1250" w:type="pct"/>
            <w:vMerge w:val="restart"/>
            <w:shd w:val="clear" w:color="auto" w:fill="E4DFEB"/>
          </w:tcPr>
          <w:p w:rsidR="00F051B0" w:rsidRDefault="00F943E1" w:rsidP="003E628F">
            <w:pPr>
              <w:jc w:val="both"/>
              <w:rPr>
                <w:rFonts w:ascii="Times New Roman" w:eastAsia="Times New Roman" w:hAnsi="Times New Roman" w:cs="Times New Roman"/>
                <w:bCs/>
                <w:noProof/>
                <w:sz w:val="24"/>
                <w:szCs w:val="20"/>
              </w:rPr>
            </w:pPr>
            <w:r>
              <w:rPr>
                <w:rFonts w:ascii="Times New Roman" w:hAnsi="Times New Roman"/>
                <w:noProof/>
                <w:sz w:val="24"/>
              </w:rPr>
              <w:t>2. gadījums</w:t>
            </w:r>
          </w:p>
          <w:p w:rsidR="00F943E1" w:rsidRDefault="00F943E1" w:rsidP="003E628F">
            <w:pPr>
              <w:jc w:val="both"/>
              <w:rPr>
                <w:rFonts w:ascii="Times New Roman" w:eastAsia="Times New Roman" w:hAnsi="Times New Roman" w:cs="Times New Roman"/>
                <w:bCs/>
                <w:noProof/>
                <w:sz w:val="24"/>
                <w:szCs w:val="20"/>
              </w:rPr>
            </w:pPr>
          </w:p>
          <w:p w:rsidR="00F943E1" w:rsidRPr="00F943E1" w:rsidRDefault="00F943E1" w:rsidP="00FF42EE">
            <w:pPr>
              <w:jc w:val="both"/>
              <w:rPr>
                <w:rFonts w:ascii="Times New Roman" w:eastAsia="Times New Roman" w:hAnsi="Times New Roman" w:cs="Times New Roman"/>
                <w:bCs/>
                <w:noProof/>
                <w:sz w:val="24"/>
                <w:szCs w:val="20"/>
              </w:rPr>
            </w:pPr>
            <w:r>
              <w:rPr>
                <w:rFonts w:ascii="Times New Roman" w:hAnsi="Times New Roman"/>
                <w:noProof/>
                <w:sz w:val="24"/>
              </w:rPr>
              <w:t>Vienkāršotās deklarācijas atļauja</w:t>
            </w:r>
            <w:r w:rsidR="00FF42EE">
              <w:rPr>
                <w:rFonts w:ascii="Times New Roman" w:hAnsi="Times New Roman"/>
                <w:noProof/>
                <w:sz w:val="24"/>
              </w:rPr>
              <w:t xml:space="preserve"> </w:t>
            </w:r>
            <w:r>
              <w:rPr>
                <w:rFonts w:ascii="Times New Roman" w:hAnsi="Times New Roman"/>
                <w:noProof/>
                <w:sz w:val="24"/>
              </w:rPr>
              <w:t>ar vietu apstiprinājumu preču uzrādīšanai muitai</w:t>
            </w:r>
          </w:p>
        </w:tc>
        <w:tc>
          <w:tcPr>
            <w:tcW w:w="2500" w:type="pct"/>
            <w:gridSpan w:val="2"/>
            <w:shd w:val="clear" w:color="auto" w:fill="E4DFEB"/>
          </w:tcPr>
          <w:p w:rsidR="00F051B0" w:rsidRPr="00F051B0" w:rsidRDefault="00F051B0" w:rsidP="003E628F">
            <w:pPr>
              <w:jc w:val="both"/>
              <w:rPr>
                <w:rFonts w:ascii="Times New Roman" w:eastAsia="Times New Roman" w:hAnsi="Times New Roman" w:cs="Times New Roman"/>
                <w:bCs/>
                <w:noProof/>
                <w:sz w:val="24"/>
                <w:szCs w:val="20"/>
              </w:rPr>
            </w:pPr>
            <w:r>
              <w:rPr>
                <w:rFonts w:ascii="Times New Roman" w:hAnsi="Times New Roman"/>
                <w:noProof/>
                <w:sz w:val="24"/>
              </w:rPr>
              <w:t>3. gadījums</w:t>
            </w:r>
          </w:p>
          <w:p w:rsidR="00F051B0" w:rsidRPr="00F051B0" w:rsidRDefault="00F051B0" w:rsidP="003E628F">
            <w:pPr>
              <w:jc w:val="both"/>
              <w:rPr>
                <w:rFonts w:ascii="Times New Roman" w:eastAsia="Times New Roman" w:hAnsi="Times New Roman" w:cs="Times New Roman"/>
                <w:bCs/>
                <w:noProof/>
                <w:sz w:val="24"/>
                <w:szCs w:val="20"/>
              </w:rPr>
            </w:pPr>
          </w:p>
          <w:p w:rsidR="00F051B0" w:rsidRPr="00F051B0" w:rsidRDefault="00F051B0" w:rsidP="003E628F">
            <w:pPr>
              <w:jc w:val="both"/>
              <w:rPr>
                <w:rFonts w:ascii="Times New Roman" w:eastAsia="Times New Roman" w:hAnsi="Times New Roman" w:cs="Times New Roman"/>
                <w:bCs/>
                <w:noProof/>
                <w:sz w:val="24"/>
                <w:szCs w:val="20"/>
              </w:rPr>
            </w:pPr>
            <w:r>
              <w:rPr>
                <w:rFonts w:ascii="Times New Roman" w:hAnsi="Times New Roman"/>
                <w:i/>
                <w:noProof/>
                <w:sz w:val="24"/>
              </w:rPr>
              <w:t>EIDR</w:t>
            </w:r>
            <w:r>
              <w:rPr>
                <w:rFonts w:ascii="Times New Roman" w:hAnsi="Times New Roman"/>
                <w:noProof/>
                <w:sz w:val="24"/>
              </w:rPr>
              <w:t xml:space="preserve"> atļauja ar vietu apstiprinājumu preču uzrādīšanai muitai</w:t>
            </w:r>
          </w:p>
        </w:tc>
      </w:tr>
      <w:tr w:rsidR="00F051B0" w:rsidRPr="00F051B0" w:rsidTr="00E030BE">
        <w:tc>
          <w:tcPr>
            <w:tcW w:w="1250" w:type="pct"/>
            <w:vMerge/>
            <w:shd w:val="clear" w:color="auto" w:fill="E4DFEB"/>
          </w:tcPr>
          <w:p w:rsidR="00F051B0" w:rsidRPr="00F051B0" w:rsidRDefault="00F051B0" w:rsidP="003E628F">
            <w:pPr>
              <w:jc w:val="both"/>
              <w:rPr>
                <w:rFonts w:ascii="Times New Roman" w:eastAsia="Times New Roman" w:hAnsi="Times New Roman" w:cs="Times New Roman"/>
                <w:bCs/>
                <w:noProof/>
                <w:sz w:val="24"/>
                <w:szCs w:val="20"/>
              </w:rPr>
            </w:pPr>
          </w:p>
        </w:tc>
        <w:tc>
          <w:tcPr>
            <w:tcW w:w="1250" w:type="pct"/>
            <w:vMerge/>
            <w:shd w:val="clear" w:color="auto" w:fill="E4DFEB"/>
          </w:tcPr>
          <w:p w:rsidR="00F051B0" w:rsidRPr="00F051B0" w:rsidRDefault="00F051B0" w:rsidP="003E628F">
            <w:pPr>
              <w:jc w:val="both"/>
              <w:rPr>
                <w:rFonts w:ascii="Times New Roman" w:eastAsia="Times New Roman" w:hAnsi="Times New Roman" w:cs="Times New Roman"/>
                <w:bCs/>
                <w:noProof/>
                <w:sz w:val="24"/>
                <w:szCs w:val="20"/>
              </w:rPr>
            </w:pPr>
          </w:p>
        </w:tc>
        <w:tc>
          <w:tcPr>
            <w:tcW w:w="1250" w:type="pct"/>
            <w:shd w:val="clear" w:color="auto" w:fill="E4DFEB"/>
          </w:tcPr>
          <w:p w:rsidR="00F051B0" w:rsidRPr="00F051B0" w:rsidRDefault="00F051B0" w:rsidP="003E628F">
            <w:pPr>
              <w:jc w:val="both"/>
              <w:rPr>
                <w:rFonts w:ascii="Times New Roman" w:eastAsia="Times New Roman" w:hAnsi="Times New Roman" w:cs="Times New Roman"/>
                <w:bCs/>
                <w:noProof/>
                <w:sz w:val="24"/>
                <w:szCs w:val="20"/>
              </w:rPr>
            </w:pPr>
            <w:r>
              <w:rPr>
                <w:rFonts w:ascii="Times New Roman" w:hAnsi="Times New Roman"/>
                <w:noProof/>
                <w:sz w:val="24"/>
              </w:rPr>
              <w:t>Izpildāmie nosacījumi (DA 150. pants)</w:t>
            </w:r>
          </w:p>
        </w:tc>
        <w:tc>
          <w:tcPr>
            <w:tcW w:w="1250" w:type="pct"/>
            <w:shd w:val="clear" w:color="auto" w:fill="E4DFEB"/>
          </w:tcPr>
          <w:p w:rsidR="00F051B0" w:rsidRPr="00F051B0" w:rsidRDefault="00F051B0" w:rsidP="003E628F">
            <w:pPr>
              <w:jc w:val="both"/>
              <w:rPr>
                <w:rFonts w:ascii="Times New Roman" w:eastAsia="Times New Roman" w:hAnsi="Times New Roman" w:cs="Times New Roman"/>
                <w:bCs/>
                <w:noProof/>
                <w:sz w:val="24"/>
                <w:szCs w:val="20"/>
              </w:rPr>
            </w:pPr>
            <w:r>
              <w:rPr>
                <w:rFonts w:ascii="Times New Roman" w:hAnsi="Times New Roman"/>
                <w:noProof/>
                <w:sz w:val="24"/>
              </w:rPr>
              <w:t>Atkārtotas novērtēšanas līmeņi</w:t>
            </w:r>
          </w:p>
        </w:tc>
      </w:tr>
      <w:tr w:rsidR="00F051B0" w:rsidRPr="00F051B0" w:rsidTr="00E030BE">
        <w:tc>
          <w:tcPr>
            <w:tcW w:w="1250" w:type="pct"/>
            <w:vMerge w:val="restart"/>
            <w:shd w:val="clear" w:color="auto" w:fill="E4DFEB"/>
          </w:tcPr>
          <w:p w:rsidR="00F051B0" w:rsidRDefault="00F943E1" w:rsidP="003E628F">
            <w:pPr>
              <w:jc w:val="both"/>
              <w:rPr>
                <w:rFonts w:ascii="Times New Roman" w:eastAsia="Times New Roman" w:hAnsi="Times New Roman" w:cs="Times New Roman"/>
                <w:bCs/>
                <w:noProof/>
                <w:sz w:val="24"/>
                <w:szCs w:val="20"/>
              </w:rPr>
            </w:pPr>
            <w:r>
              <w:rPr>
                <w:rFonts w:ascii="Times New Roman" w:hAnsi="Times New Roman"/>
                <w:noProof/>
                <w:sz w:val="24"/>
              </w:rPr>
              <w:t>- vietējās muitošanas procedūras atļaujas atcelšana (Kodeksa 28. pants un ĪA 345. pants)</w:t>
            </w:r>
          </w:p>
          <w:p w:rsidR="00F943E1" w:rsidRDefault="00F943E1" w:rsidP="003E628F">
            <w:pPr>
              <w:jc w:val="both"/>
              <w:rPr>
                <w:rFonts w:ascii="Times New Roman" w:eastAsia="Times New Roman" w:hAnsi="Times New Roman" w:cs="Times New Roman"/>
                <w:bCs/>
                <w:noProof/>
                <w:sz w:val="24"/>
                <w:szCs w:val="20"/>
              </w:rPr>
            </w:pPr>
          </w:p>
          <w:p w:rsidR="00F943E1" w:rsidRDefault="00F943E1" w:rsidP="003E628F">
            <w:pPr>
              <w:jc w:val="both"/>
              <w:rPr>
                <w:rFonts w:ascii="Times New Roman" w:eastAsia="Times New Roman" w:hAnsi="Times New Roman" w:cs="Times New Roman"/>
                <w:bCs/>
                <w:noProof/>
                <w:sz w:val="24"/>
                <w:szCs w:val="20"/>
              </w:rPr>
            </w:pPr>
            <w:r>
              <w:rPr>
                <w:rFonts w:ascii="Times New Roman" w:hAnsi="Times New Roman"/>
                <w:noProof/>
                <w:sz w:val="24"/>
              </w:rPr>
              <w:t>- Kodeksā nav noteikta prasība saņemt atļauju</w:t>
            </w:r>
          </w:p>
          <w:p w:rsidR="00F943E1" w:rsidRDefault="00F943E1" w:rsidP="003E628F">
            <w:pPr>
              <w:jc w:val="both"/>
              <w:rPr>
                <w:rFonts w:ascii="Times New Roman" w:eastAsia="Times New Roman" w:hAnsi="Times New Roman" w:cs="Times New Roman"/>
                <w:bCs/>
                <w:noProof/>
                <w:sz w:val="24"/>
                <w:szCs w:val="20"/>
              </w:rPr>
            </w:pPr>
          </w:p>
          <w:p w:rsidR="00F943E1" w:rsidRPr="00F051B0" w:rsidRDefault="00F943E1" w:rsidP="003E628F">
            <w:pPr>
              <w:jc w:val="both"/>
              <w:rPr>
                <w:rFonts w:ascii="Times New Roman" w:eastAsia="Times New Roman" w:hAnsi="Times New Roman" w:cs="Times New Roman"/>
                <w:bCs/>
                <w:noProof/>
                <w:sz w:val="24"/>
                <w:szCs w:val="20"/>
              </w:rPr>
            </w:pPr>
            <w:r>
              <w:rPr>
                <w:rFonts w:ascii="Times New Roman" w:hAnsi="Times New Roman"/>
                <w:noProof/>
                <w:sz w:val="24"/>
              </w:rPr>
              <w:t>- Vietu apstiprinājums preču uzrādīšanai muitai</w:t>
            </w:r>
          </w:p>
        </w:tc>
        <w:tc>
          <w:tcPr>
            <w:tcW w:w="1250" w:type="pct"/>
            <w:vMerge w:val="restart"/>
            <w:shd w:val="clear" w:color="auto" w:fill="E4DFEB"/>
          </w:tcPr>
          <w:p w:rsidR="00F051B0" w:rsidRDefault="00F943E1" w:rsidP="003E628F">
            <w:pPr>
              <w:jc w:val="both"/>
              <w:rPr>
                <w:rFonts w:ascii="Times New Roman" w:eastAsia="Times New Roman" w:hAnsi="Times New Roman" w:cs="Times New Roman"/>
                <w:bCs/>
                <w:noProof/>
                <w:sz w:val="24"/>
                <w:szCs w:val="20"/>
              </w:rPr>
            </w:pPr>
            <w:r>
              <w:rPr>
                <w:rFonts w:ascii="Times New Roman" w:hAnsi="Times New Roman"/>
                <w:noProof/>
                <w:sz w:val="24"/>
              </w:rPr>
              <w:t>- vietējās muitošanas procedūras atļaujas atcelšana (Kodeksa 28. un 345. pants)</w:t>
            </w:r>
          </w:p>
          <w:p w:rsidR="00F943E1" w:rsidRDefault="00F943E1" w:rsidP="003E628F">
            <w:pPr>
              <w:jc w:val="both"/>
              <w:rPr>
                <w:rFonts w:ascii="Times New Roman" w:eastAsia="Times New Roman" w:hAnsi="Times New Roman" w:cs="Times New Roman"/>
                <w:bCs/>
                <w:noProof/>
                <w:sz w:val="24"/>
                <w:szCs w:val="20"/>
              </w:rPr>
            </w:pPr>
          </w:p>
          <w:p w:rsidR="00F943E1" w:rsidRDefault="00F943E1" w:rsidP="003E628F">
            <w:pPr>
              <w:jc w:val="both"/>
              <w:rPr>
                <w:rFonts w:ascii="Times New Roman" w:eastAsia="Times New Roman" w:hAnsi="Times New Roman" w:cs="Times New Roman"/>
                <w:bCs/>
                <w:noProof/>
                <w:sz w:val="24"/>
                <w:szCs w:val="20"/>
              </w:rPr>
            </w:pPr>
            <w:r>
              <w:rPr>
                <w:rFonts w:ascii="Times New Roman" w:hAnsi="Times New Roman"/>
                <w:noProof/>
                <w:sz w:val="24"/>
              </w:rPr>
              <w:t>- Jauna vienkāršotās deklarācijas atļauja</w:t>
            </w:r>
          </w:p>
          <w:p w:rsidR="00F943E1" w:rsidRDefault="00F943E1" w:rsidP="003E628F">
            <w:pPr>
              <w:jc w:val="both"/>
              <w:rPr>
                <w:rFonts w:ascii="Times New Roman" w:eastAsia="Times New Roman" w:hAnsi="Times New Roman" w:cs="Times New Roman"/>
                <w:bCs/>
                <w:noProof/>
                <w:sz w:val="24"/>
                <w:szCs w:val="20"/>
              </w:rPr>
            </w:pPr>
          </w:p>
          <w:p w:rsidR="00F943E1" w:rsidRDefault="00F943E1" w:rsidP="003E628F">
            <w:pPr>
              <w:jc w:val="both"/>
              <w:rPr>
                <w:rFonts w:ascii="Times New Roman" w:eastAsia="Times New Roman" w:hAnsi="Times New Roman" w:cs="Times New Roman"/>
                <w:bCs/>
                <w:noProof/>
                <w:sz w:val="24"/>
                <w:szCs w:val="20"/>
              </w:rPr>
            </w:pPr>
            <w:r>
              <w:rPr>
                <w:rFonts w:ascii="Times New Roman" w:hAnsi="Times New Roman"/>
                <w:noProof/>
                <w:sz w:val="24"/>
              </w:rPr>
              <w:t>Sal. ar tabulu par vienkāršoto deklarāciju 3.2. punktā</w:t>
            </w:r>
          </w:p>
          <w:p w:rsidR="00F943E1" w:rsidRDefault="00F943E1" w:rsidP="003E628F">
            <w:pPr>
              <w:jc w:val="both"/>
              <w:rPr>
                <w:rFonts w:ascii="Times New Roman" w:eastAsia="Times New Roman" w:hAnsi="Times New Roman" w:cs="Times New Roman"/>
                <w:bCs/>
                <w:noProof/>
                <w:sz w:val="24"/>
                <w:szCs w:val="20"/>
              </w:rPr>
            </w:pPr>
          </w:p>
          <w:p w:rsidR="00F943E1" w:rsidRPr="00F051B0" w:rsidRDefault="00F943E1" w:rsidP="003E628F">
            <w:pPr>
              <w:jc w:val="both"/>
              <w:rPr>
                <w:rFonts w:ascii="Times New Roman" w:eastAsia="Times New Roman" w:hAnsi="Times New Roman" w:cs="Times New Roman"/>
                <w:bCs/>
                <w:noProof/>
                <w:sz w:val="24"/>
                <w:szCs w:val="20"/>
              </w:rPr>
            </w:pPr>
            <w:r>
              <w:rPr>
                <w:rFonts w:ascii="Times New Roman" w:hAnsi="Times New Roman"/>
                <w:noProof/>
                <w:sz w:val="24"/>
              </w:rPr>
              <w:t>- Vietu apstiprinājums preču uzrādīšanai muitai</w:t>
            </w:r>
          </w:p>
        </w:tc>
        <w:tc>
          <w:tcPr>
            <w:tcW w:w="1250" w:type="pct"/>
            <w:shd w:val="clear" w:color="auto" w:fill="E4DFEB"/>
          </w:tcPr>
          <w:p w:rsidR="00F051B0" w:rsidRDefault="00F943E1" w:rsidP="003E628F">
            <w:pPr>
              <w:jc w:val="both"/>
              <w:rPr>
                <w:rFonts w:ascii="Times New Roman" w:eastAsia="Times New Roman" w:hAnsi="Times New Roman" w:cs="Times New Roman"/>
                <w:bCs/>
                <w:noProof/>
                <w:sz w:val="24"/>
                <w:szCs w:val="20"/>
              </w:rPr>
            </w:pPr>
            <w:r>
              <w:rPr>
                <w:rFonts w:ascii="Times New Roman" w:hAnsi="Times New Roman"/>
                <w:noProof/>
                <w:sz w:val="24"/>
              </w:rPr>
              <w:t>Kodeksa 39. panta a) punkts:</w:t>
            </w:r>
          </w:p>
          <w:p w:rsidR="00F943E1" w:rsidRDefault="00F943E1" w:rsidP="003E628F">
            <w:pPr>
              <w:jc w:val="both"/>
              <w:rPr>
                <w:rFonts w:ascii="Times New Roman" w:eastAsia="Times New Roman" w:hAnsi="Times New Roman" w:cs="Times New Roman"/>
                <w:bCs/>
                <w:noProof/>
                <w:sz w:val="24"/>
                <w:szCs w:val="20"/>
              </w:rPr>
            </w:pPr>
          </w:p>
          <w:p w:rsidR="00F943E1" w:rsidRPr="00F051B0" w:rsidRDefault="00F943E1" w:rsidP="003E628F">
            <w:pPr>
              <w:jc w:val="both"/>
              <w:rPr>
                <w:rFonts w:ascii="Times New Roman" w:eastAsia="Times New Roman" w:hAnsi="Times New Roman" w:cs="Times New Roman"/>
                <w:bCs/>
                <w:noProof/>
                <w:sz w:val="24"/>
                <w:szCs w:val="20"/>
              </w:rPr>
            </w:pPr>
            <w:r>
              <w:rPr>
                <w:rFonts w:ascii="Times New Roman" w:hAnsi="Times New Roman"/>
                <w:noProof/>
                <w:sz w:val="24"/>
              </w:rPr>
              <w:t>nav tiesību aktu muitas jomā un nodokļu noteikumu nopietnu vai atkārtotu pārkāpumu, tostarp nav smagu noziedzīgu nodarījumu, kas saistīti ar pieteikuma iesniedzēja saimniecisko darbību</w:t>
            </w:r>
          </w:p>
        </w:tc>
        <w:tc>
          <w:tcPr>
            <w:tcW w:w="1250" w:type="pct"/>
            <w:shd w:val="clear" w:color="auto" w:fill="E4DFEB"/>
          </w:tcPr>
          <w:p w:rsidR="00F051B0" w:rsidRDefault="00F943E1" w:rsidP="003E628F">
            <w:pPr>
              <w:jc w:val="both"/>
              <w:rPr>
                <w:rFonts w:ascii="Times New Roman" w:eastAsia="Times New Roman" w:hAnsi="Times New Roman" w:cs="Times New Roman"/>
                <w:bCs/>
                <w:noProof/>
                <w:sz w:val="24"/>
                <w:szCs w:val="20"/>
              </w:rPr>
            </w:pPr>
            <w:r>
              <w:rPr>
                <w:rFonts w:ascii="Times New Roman" w:eastAsia="Times New Roman" w:hAnsi="Times New Roman" w:cs="Times New Roman"/>
                <w:bCs/>
                <w:noProof/>
                <w:sz w:val="24"/>
                <w:szCs w:val="20"/>
              </w:rPr>
              <w:sym w:font="Symbol" w:char="F0F0"/>
            </w:r>
          </w:p>
          <w:p w:rsidR="00F943E1" w:rsidRDefault="00F943E1" w:rsidP="003E628F">
            <w:pPr>
              <w:jc w:val="both"/>
              <w:rPr>
                <w:rFonts w:ascii="Times New Roman" w:eastAsia="Times New Roman" w:hAnsi="Times New Roman" w:cs="Times New Roman"/>
                <w:bCs/>
                <w:noProof/>
                <w:sz w:val="24"/>
                <w:szCs w:val="20"/>
              </w:rPr>
            </w:pPr>
          </w:p>
          <w:p w:rsidR="00F943E1" w:rsidRDefault="00F943E1" w:rsidP="003E628F">
            <w:pPr>
              <w:jc w:val="both"/>
              <w:rPr>
                <w:rFonts w:ascii="Times New Roman" w:eastAsia="Times New Roman" w:hAnsi="Times New Roman" w:cs="Times New Roman"/>
                <w:bCs/>
                <w:noProof/>
                <w:sz w:val="24"/>
                <w:szCs w:val="20"/>
              </w:rPr>
            </w:pPr>
            <w:r>
              <w:rPr>
                <w:rFonts w:ascii="Times New Roman" w:hAnsi="Times New Roman"/>
                <w:noProof/>
                <w:sz w:val="24"/>
              </w:rPr>
              <w:t>aspektu novērtēšana:</w:t>
            </w:r>
          </w:p>
          <w:p w:rsidR="00F943E1" w:rsidRDefault="00F943E1" w:rsidP="003E628F">
            <w:pPr>
              <w:jc w:val="both"/>
              <w:rPr>
                <w:rFonts w:ascii="Times New Roman" w:eastAsia="Times New Roman" w:hAnsi="Times New Roman" w:cs="Times New Roman"/>
                <w:bCs/>
                <w:noProof/>
                <w:sz w:val="24"/>
                <w:szCs w:val="20"/>
              </w:rPr>
            </w:pPr>
          </w:p>
          <w:p w:rsidR="00F943E1" w:rsidRPr="00F051B0" w:rsidRDefault="00F943E1" w:rsidP="003E628F">
            <w:pPr>
              <w:jc w:val="both"/>
              <w:rPr>
                <w:rFonts w:ascii="Times New Roman" w:eastAsia="Times New Roman" w:hAnsi="Times New Roman" w:cs="Times New Roman"/>
                <w:bCs/>
                <w:noProof/>
                <w:sz w:val="24"/>
                <w:szCs w:val="20"/>
              </w:rPr>
            </w:pPr>
            <w:r>
              <w:rPr>
                <w:rFonts w:ascii="Times New Roman" w:hAnsi="Times New Roman"/>
                <w:noProof/>
                <w:sz w:val="24"/>
              </w:rPr>
              <w:t>tie nebija pilnīgi noteikti KMK īstenošanas noteikumu 14.h pantā</w:t>
            </w:r>
          </w:p>
        </w:tc>
      </w:tr>
      <w:tr w:rsidR="00F051B0" w:rsidRPr="00F051B0" w:rsidTr="00E030BE">
        <w:tc>
          <w:tcPr>
            <w:tcW w:w="1250" w:type="pct"/>
            <w:vMerge/>
            <w:shd w:val="clear" w:color="auto" w:fill="E4DFEB"/>
          </w:tcPr>
          <w:p w:rsidR="00F051B0" w:rsidRPr="00F051B0" w:rsidRDefault="00F051B0" w:rsidP="003E628F">
            <w:pPr>
              <w:jc w:val="both"/>
              <w:rPr>
                <w:rFonts w:ascii="Times New Roman" w:eastAsia="Times New Roman" w:hAnsi="Times New Roman" w:cs="Times New Roman"/>
                <w:bCs/>
                <w:noProof/>
                <w:sz w:val="24"/>
                <w:szCs w:val="20"/>
              </w:rPr>
            </w:pPr>
          </w:p>
        </w:tc>
        <w:tc>
          <w:tcPr>
            <w:tcW w:w="1250" w:type="pct"/>
            <w:vMerge/>
            <w:shd w:val="clear" w:color="auto" w:fill="E4DFEB"/>
          </w:tcPr>
          <w:p w:rsidR="00F051B0" w:rsidRPr="00F051B0" w:rsidRDefault="00F051B0" w:rsidP="003E628F">
            <w:pPr>
              <w:jc w:val="both"/>
              <w:rPr>
                <w:rFonts w:ascii="Times New Roman" w:eastAsia="Times New Roman" w:hAnsi="Times New Roman" w:cs="Times New Roman"/>
                <w:bCs/>
                <w:noProof/>
                <w:sz w:val="24"/>
                <w:szCs w:val="20"/>
              </w:rPr>
            </w:pPr>
          </w:p>
        </w:tc>
        <w:tc>
          <w:tcPr>
            <w:tcW w:w="1250" w:type="pct"/>
            <w:shd w:val="clear" w:color="auto" w:fill="E4DFEB"/>
          </w:tcPr>
          <w:p w:rsidR="00F051B0" w:rsidRDefault="00F943E1" w:rsidP="003E628F">
            <w:pPr>
              <w:jc w:val="both"/>
              <w:rPr>
                <w:rFonts w:ascii="Times New Roman" w:eastAsia="Times New Roman" w:hAnsi="Times New Roman" w:cs="Times New Roman"/>
                <w:bCs/>
                <w:noProof/>
                <w:sz w:val="24"/>
                <w:szCs w:val="20"/>
              </w:rPr>
            </w:pPr>
            <w:r>
              <w:rPr>
                <w:rFonts w:ascii="Times New Roman" w:hAnsi="Times New Roman"/>
                <w:noProof/>
                <w:sz w:val="24"/>
              </w:rPr>
              <w:t>Kodeksa 39. panta b) punkts:</w:t>
            </w:r>
          </w:p>
          <w:p w:rsidR="00F943E1" w:rsidRDefault="00F943E1" w:rsidP="003E628F">
            <w:pPr>
              <w:jc w:val="both"/>
              <w:rPr>
                <w:rFonts w:ascii="Times New Roman" w:eastAsia="Times New Roman" w:hAnsi="Times New Roman" w:cs="Times New Roman"/>
                <w:bCs/>
                <w:noProof/>
                <w:sz w:val="24"/>
                <w:szCs w:val="20"/>
              </w:rPr>
            </w:pPr>
          </w:p>
          <w:p w:rsidR="00F943E1" w:rsidRPr="00F051B0" w:rsidRDefault="00F943E1" w:rsidP="003E628F">
            <w:pPr>
              <w:jc w:val="both"/>
              <w:rPr>
                <w:rFonts w:ascii="Times New Roman" w:eastAsia="Times New Roman" w:hAnsi="Times New Roman" w:cs="Times New Roman"/>
                <w:bCs/>
                <w:noProof/>
                <w:sz w:val="24"/>
                <w:szCs w:val="20"/>
              </w:rPr>
            </w:pPr>
            <w:r>
              <w:rPr>
                <w:rFonts w:ascii="Times New Roman" w:hAnsi="Times New Roman"/>
                <w:noProof/>
                <w:sz w:val="24"/>
              </w:rPr>
              <w:t>pieteikuma iesniedzējs ir demonstrējis augsta līmeņa kontroli pār savām darbībām un preču plūsmu, izmantojot komerciālās un, attiecīgos gadījumos, pārvadājumu uzskaites pārvaldības sistēmu, kas ļauj veikt pienācīgu muitas kontroli</w:t>
            </w:r>
          </w:p>
        </w:tc>
        <w:tc>
          <w:tcPr>
            <w:tcW w:w="1250" w:type="pct"/>
            <w:shd w:val="clear" w:color="auto" w:fill="E4DFEB"/>
          </w:tcPr>
          <w:p w:rsidR="00F051B0" w:rsidRDefault="00F943E1" w:rsidP="003E628F">
            <w:pPr>
              <w:jc w:val="both"/>
              <w:rPr>
                <w:rFonts w:ascii="Times New Roman" w:eastAsia="Times New Roman" w:hAnsi="Times New Roman" w:cs="Times New Roman"/>
                <w:bCs/>
                <w:noProof/>
                <w:sz w:val="24"/>
                <w:szCs w:val="20"/>
              </w:rPr>
            </w:pPr>
            <w:r>
              <w:rPr>
                <w:rFonts w:ascii="Times New Roman" w:hAnsi="Times New Roman"/>
                <w:noProof/>
                <w:sz w:val="24"/>
              </w:rPr>
              <w:t>atkārtota novērtēšana (tas pats kritērijs, kas paredzēts KMK īstenošanas noteikumu 14.i pantā)</w:t>
            </w:r>
          </w:p>
          <w:p w:rsidR="00F943E1" w:rsidRDefault="00F943E1" w:rsidP="003E628F">
            <w:pPr>
              <w:jc w:val="both"/>
              <w:rPr>
                <w:rFonts w:ascii="Times New Roman" w:eastAsia="Times New Roman" w:hAnsi="Times New Roman" w:cs="Times New Roman"/>
                <w:bCs/>
                <w:noProof/>
                <w:sz w:val="24"/>
                <w:szCs w:val="20"/>
              </w:rPr>
            </w:pPr>
          </w:p>
          <w:p w:rsidR="00F943E1" w:rsidRPr="00F051B0" w:rsidRDefault="00F943E1" w:rsidP="003E628F">
            <w:pPr>
              <w:jc w:val="both"/>
              <w:rPr>
                <w:rFonts w:ascii="Times New Roman" w:eastAsia="Times New Roman" w:hAnsi="Times New Roman" w:cs="Times New Roman"/>
                <w:bCs/>
                <w:noProof/>
                <w:sz w:val="24"/>
                <w:szCs w:val="20"/>
              </w:rPr>
            </w:pPr>
            <w:r>
              <w:rPr>
                <w:rFonts w:ascii="Times New Roman" w:hAnsi="Times New Roman"/>
                <w:noProof/>
                <w:sz w:val="24"/>
              </w:rPr>
              <w:t xml:space="preserve">Pilnīgi jānovērtē tikai atbilstība nosacījumiem, kas paredzēti ĪA 25. panta 1. punkta b) un k) apakšpunktā, ja uz pieteikuma iesniedzēju ir attiecināmi aizliegumus un ierobežojumus reglamentējošie noteikumi un pieteikuma iesniedzējs nav saņēmis </w:t>
            </w:r>
            <w:r>
              <w:rPr>
                <w:rFonts w:ascii="Times New Roman" w:hAnsi="Times New Roman"/>
                <w:i/>
                <w:noProof/>
                <w:sz w:val="24"/>
              </w:rPr>
              <w:t>AEOC</w:t>
            </w:r>
            <w:r>
              <w:rPr>
                <w:rFonts w:ascii="Times New Roman" w:hAnsi="Times New Roman"/>
                <w:noProof/>
                <w:sz w:val="24"/>
              </w:rPr>
              <w:t xml:space="preserve"> statusu saskaņā ar KMK (kritēriji noteikti KMK īstenošanas noteikumu 14.k panta d) punktā).</w:t>
            </w:r>
          </w:p>
        </w:tc>
      </w:tr>
      <w:tr w:rsidR="00F051B0" w:rsidRPr="00F051B0" w:rsidTr="00E030BE">
        <w:tc>
          <w:tcPr>
            <w:tcW w:w="1250" w:type="pct"/>
            <w:vMerge/>
            <w:shd w:val="clear" w:color="auto" w:fill="E4DFEB"/>
          </w:tcPr>
          <w:p w:rsidR="00F051B0" w:rsidRPr="00F051B0" w:rsidRDefault="00F051B0" w:rsidP="003E628F">
            <w:pPr>
              <w:jc w:val="both"/>
              <w:rPr>
                <w:rFonts w:ascii="Times New Roman" w:eastAsia="Times New Roman" w:hAnsi="Times New Roman" w:cs="Times New Roman"/>
                <w:bCs/>
                <w:noProof/>
                <w:sz w:val="24"/>
                <w:szCs w:val="20"/>
              </w:rPr>
            </w:pPr>
          </w:p>
        </w:tc>
        <w:tc>
          <w:tcPr>
            <w:tcW w:w="1250" w:type="pct"/>
            <w:vMerge/>
            <w:shd w:val="clear" w:color="auto" w:fill="E4DFEB"/>
          </w:tcPr>
          <w:p w:rsidR="00F051B0" w:rsidRPr="00F051B0" w:rsidRDefault="00F051B0" w:rsidP="003E628F">
            <w:pPr>
              <w:jc w:val="both"/>
              <w:rPr>
                <w:rFonts w:ascii="Times New Roman" w:eastAsia="Times New Roman" w:hAnsi="Times New Roman" w:cs="Times New Roman"/>
                <w:bCs/>
                <w:noProof/>
                <w:sz w:val="24"/>
                <w:szCs w:val="20"/>
              </w:rPr>
            </w:pPr>
          </w:p>
        </w:tc>
        <w:tc>
          <w:tcPr>
            <w:tcW w:w="1250" w:type="pct"/>
            <w:shd w:val="clear" w:color="auto" w:fill="E4DFEB"/>
          </w:tcPr>
          <w:p w:rsidR="00F051B0" w:rsidRDefault="00F943E1" w:rsidP="003E628F">
            <w:pPr>
              <w:jc w:val="both"/>
              <w:rPr>
                <w:rFonts w:ascii="Times New Roman" w:eastAsia="Times New Roman" w:hAnsi="Times New Roman" w:cs="Times New Roman"/>
                <w:bCs/>
                <w:noProof/>
                <w:sz w:val="24"/>
                <w:szCs w:val="20"/>
              </w:rPr>
            </w:pPr>
            <w:r>
              <w:rPr>
                <w:rFonts w:ascii="Times New Roman" w:hAnsi="Times New Roman"/>
                <w:noProof/>
                <w:sz w:val="24"/>
              </w:rPr>
              <w:t>Kodeksa 39. panta d) punkts:</w:t>
            </w:r>
          </w:p>
          <w:p w:rsidR="00F943E1" w:rsidRDefault="00F943E1" w:rsidP="003E628F">
            <w:pPr>
              <w:jc w:val="both"/>
              <w:rPr>
                <w:rFonts w:ascii="Times New Roman" w:eastAsia="Times New Roman" w:hAnsi="Times New Roman" w:cs="Times New Roman"/>
                <w:bCs/>
                <w:noProof/>
                <w:sz w:val="24"/>
                <w:szCs w:val="20"/>
              </w:rPr>
            </w:pPr>
          </w:p>
          <w:p w:rsidR="00F943E1" w:rsidRPr="00F051B0" w:rsidRDefault="00F943E1" w:rsidP="003E628F">
            <w:pPr>
              <w:jc w:val="both"/>
              <w:rPr>
                <w:rFonts w:ascii="Times New Roman" w:eastAsia="Times New Roman" w:hAnsi="Times New Roman" w:cs="Times New Roman"/>
                <w:bCs/>
                <w:noProof/>
                <w:sz w:val="24"/>
                <w:szCs w:val="20"/>
              </w:rPr>
            </w:pPr>
            <w:r>
              <w:rPr>
                <w:rFonts w:ascii="Times New Roman" w:hAnsi="Times New Roman"/>
                <w:noProof/>
                <w:sz w:val="24"/>
              </w:rPr>
              <w:t>attiecībā uz 38. panta 2. punkta a) apakšpunktā minēto atļauju [</w:t>
            </w:r>
            <w:r>
              <w:rPr>
                <w:rFonts w:ascii="Times New Roman" w:hAnsi="Times New Roman"/>
                <w:i/>
                <w:noProof/>
                <w:sz w:val="24"/>
              </w:rPr>
              <w:t>AEOC</w:t>
            </w:r>
            <w:r>
              <w:rPr>
                <w:rFonts w:ascii="Times New Roman" w:hAnsi="Times New Roman"/>
                <w:noProof/>
                <w:sz w:val="24"/>
              </w:rPr>
              <w:t>] praktiski kompetences vai profesionālās kvalifikācijas standarti, kas tieši saistīti ar veikto darbību</w:t>
            </w:r>
          </w:p>
        </w:tc>
        <w:tc>
          <w:tcPr>
            <w:tcW w:w="1250" w:type="pct"/>
            <w:shd w:val="clear" w:color="auto" w:fill="E4DFEB"/>
          </w:tcPr>
          <w:p w:rsidR="00F051B0" w:rsidRDefault="00F943E1" w:rsidP="003E628F">
            <w:pPr>
              <w:jc w:val="both"/>
              <w:rPr>
                <w:rFonts w:ascii="Times New Roman" w:eastAsia="Times New Roman" w:hAnsi="Times New Roman" w:cs="Times New Roman"/>
                <w:bCs/>
                <w:noProof/>
                <w:sz w:val="24"/>
                <w:szCs w:val="20"/>
              </w:rPr>
            </w:pPr>
            <w:r>
              <w:rPr>
                <w:rFonts w:ascii="Times New Roman" w:hAnsi="Times New Roman"/>
                <w:noProof/>
                <w:sz w:val="24"/>
              </w:rPr>
              <w:t>Novērtēšana:</w:t>
            </w:r>
          </w:p>
          <w:p w:rsidR="00F943E1" w:rsidRDefault="00F943E1" w:rsidP="003E628F">
            <w:pPr>
              <w:jc w:val="both"/>
              <w:rPr>
                <w:rFonts w:ascii="Times New Roman" w:eastAsia="Times New Roman" w:hAnsi="Times New Roman" w:cs="Times New Roman"/>
                <w:bCs/>
                <w:noProof/>
                <w:sz w:val="24"/>
                <w:szCs w:val="20"/>
              </w:rPr>
            </w:pPr>
          </w:p>
          <w:p w:rsidR="00F943E1" w:rsidRPr="00F051B0" w:rsidRDefault="00F943E1" w:rsidP="003E628F">
            <w:pPr>
              <w:jc w:val="both"/>
              <w:rPr>
                <w:rFonts w:ascii="Times New Roman" w:eastAsia="Times New Roman" w:hAnsi="Times New Roman" w:cs="Times New Roman"/>
                <w:bCs/>
                <w:noProof/>
                <w:sz w:val="24"/>
                <w:szCs w:val="20"/>
              </w:rPr>
            </w:pPr>
            <w:r>
              <w:rPr>
                <w:rFonts w:ascii="Times New Roman" w:hAnsi="Times New Roman"/>
                <w:noProof/>
                <w:sz w:val="24"/>
              </w:rPr>
              <w:t>jauns kritērijs</w:t>
            </w:r>
          </w:p>
        </w:tc>
      </w:tr>
    </w:tbl>
    <w:p w:rsidR="00F051B0" w:rsidRPr="003E628F" w:rsidRDefault="00F051B0" w:rsidP="003E628F">
      <w:pPr>
        <w:jc w:val="both"/>
        <w:rPr>
          <w:rFonts w:ascii="Times New Roman" w:eastAsia="Times New Roman" w:hAnsi="Times New Roman" w:cs="Times New Roman"/>
          <w:b/>
          <w:bCs/>
          <w:noProof/>
          <w:sz w:val="24"/>
          <w:szCs w:val="20"/>
        </w:rPr>
      </w:pPr>
    </w:p>
    <w:p w:rsidR="00211065" w:rsidRPr="003E628F" w:rsidRDefault="00211065" w:rsidP="003E628F">
      <w:pPr>
        <w:pStyle w:val="Pamatteksts"/>
        <w:ind w:left="0"/>
        <w:jc w:val="both"/>
        <w:rPr>
          <w:noProof/>
        </w:rPr>
      </w:pPr>
      <w:r>
        <w:t xml:space="preserve">Parasti, ja uzņēmējs jau ir saņēmis </w:t>
      </w:r>
      <w:r>
        <w:rPr>
          <w:i/>
        </w:rPr>
        <w:t>AEOC</w:t>
      </w:r>
      <w:r>
        <w:t xml:space="preserve"> statusu, jau </w:t>
      </w:r>
      <w:r>
        <w:rPr>
          <w:i/>
        </w:rPr>
        <w:t>AEO</w:t>
      </w:r>
      <w:r>
        <w:t xml:space="preserve"> atkārtotā novērtēšanā pārbaudītie kritēriji, nav jāpārbauda atkārtoti, ja vien uzņēmējs nav ieviesis izmaņas, t. i., jaunu IT sistēmu, vai nesāk jaunu procesu, t. i., jaunas procedūras vai darbības.</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jc w:val="both"/>
        <w:rPr>
          <w:rFonts w:ascii="Times New Roman" w:hAnsi="Times New Roman"/>
          <w:i/>
          <w:noProof/>
          <w:color w:val="49442A"/>
          <w:sz w:val="24"/>
        </w:rPr>
      </w:pPr>
      <w:r>
        <w:rPr>
          <w:rFonts w:ascii="Times New Roman" w:hAnsi="Times New Roman"/>
          <w:i/>
          <w:noProof/>
          <w:color w:val="49442A"/>
          <w:sz w:val="24"/>
          <w:u w:val="single" w:color="49442A"/>
        </w:rPr>
        <w:t>Jāņem vērā!</w:t>
      </w:r>
      <w:r>
        <w:t xml:space="preserve"> </w:t>
      </w:r>
      <w:r>
        <w:rPr>
          <w:rFonts w:ascii="Times New Roman" w:hAnsi="Times New Roman"/>
          <w:i/>
          <w:noProof/>
          <w:color w:val="49442A"/>
          <w:sz w:val="24"/>
        </w:rPr>
        <w:t>Muitas dienestiem ieteicams saskaņot atkārtotas novērtēšanas pasākumus, ko tie veic saistībā ar AEO atļaujām un vienkāršojumiem, lai novērstu pārbaužu dublēšanu. Par to attiecīgi jāinformē pieteikuma iesniedzējs. Jebkurā gadījumā gala ziņojumi un paziņojumi pieteikuma iesniedzējam jāsniedz atsevišķi par abiem lēmuma pieņemšanas procesiem.</w:t>
      </w:r>
    </w:p>
    <w:p w:rsidR="00211065" w:rsidRPr="003E628F" w:rsidRDefault="00211065" w:rsidP="003E628F">
      <w:pPr>
        <w:jc w:val="both"/>
        <w:rPr>
          <w:rFonts w:ascii="Times New Roman" w:hAnsi="Times New Roman"/>
          <w:i/>
          <w:noProof/>
          <w:color w:val="49442A"/>
          <w:sz w:val="24"/>
        </w:rPr>
      </w:pPr>
    </w:p>
    <w:p w:rsidR="00211065" w:rsidRPr="003E628F" w:rsidRDefault="00211065" w:rsidP="003E628F">
      <w:pPr>
        <w:pStyle w:val="Pamatteksts"/>
        <w:ind w:left="0"/>
        <w:jc w:val="both"/>
        <w:rPr>
          <w:noProof/>
        </w:rPr>
      </w:pPr>
      <w:r>
        <w:t>Ja jaunā valsts importa sistēma (</w:t>
      </w:r>
      <w:r>
        <w:rPr>
          <w:i/>
        </w:rPr>
        <w:t>NIS</w:t>
      </w:r>
      <w:r>
        <w:t>) tiek atjaunināta pirms 2019. gada maija, ieteicams atkārtoti novērtēt visas vietējās muitošanas procedūras, kas derīgas no valsts importa sistēmas ieviešanas datuma, lai novērstu nepieciešamību administrēt pašlaik spēkā esošās atļaujas jaunajās sistēmās.</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 xml:space="preserve">Ja valsts importa sistēma tiks atjaunināta pēc 2019. gada maija, </w:t>
      </w:r>
      <w:r>
        <w:rPr>
          <w:i/>
        </w:rPr>
        <w:t>TDA</w:t>
      </w:r>
      <w:r>
        <w:t xml:space="preserve"> noteikums ir attiecīgi piemērojams no atkārtotas novērtēšanas datuma līdz valsts importa sistēmas ieviešanai.</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color w:val="17365D"/>
        </w:rPr>
      </w:pPr>
      <w:r>
        <w:rPr>
          <w:noProof/>
          <w:color w:val="17365D"/>
        </w:rPr>
        <w:t xml:space="preserve">Piemērs. Valsts importa sistēma tiks ieviesta 2019. gada 1. februārī, tāpēc vietējās muitošanas procedūra ir atkārtoti jānovērtē 2019. gada janvārī vai pat pirms tam, taču jauno </w:t>
      </w:r>
      <w:r>
        <w:rPr>
          <w:i/>
          <w:noProof/>
          <w:color w:val="17365D"/>
        </w:rPr>
        <w:t>EIDR</w:t>
      </w:r>
      <w:r>
        <w:rPr>
          <w:noProof/>
          <w:color w:val="17365D"/>
        </w:rPr>
        <w:t xml:space="preserve"> atļauju derīguma termiņš sākas 2019. gada 1. februārī.</w:t>
      </w:r>
    </w:p>
    <w:p w:rsidR="00211065" w:rsidRPr="003E628F" w:rsidRDefault="00211065" w:rsidP="003E628F">
      <w:pPr>
        <w:jc w:val="both"/>
        <w:rPr>
          <w:rFonts w:ascii="Times New Roman" w:eastAsia="Times New Roman" w:hAnsi="Times New Roman" w:cs="Times New Roman"/>
          <w:noProof/>
          <w:sz w:val="24"/>
          <w:szCs w:val="31"/>
        </w:rPr>
      </w:pPr>
    </w:p>
    <w:p w:rsidR="00211065" w:rsidRPr="003E628F" w:rsidRDefault="00211065" w:rsidP="003E628F">
      <w:pPr>
        <w:pStyle w:val="Virsraksts1"/>
        <w:jc w:val="both"/>
        <w:rPr>
          <w:noProof/>
        </w:rPr>
      </w:pPr>
      <w:bookmarkStart w:id="190" w:name="_Toc490734345"/>
      <w:r>
        <w:t>a) Papildu informācija, kas vajadzības gadījumā jāatjaunina atkārtotā novērtēšanā</w:t>
      </w:r>
      <w:bookmarkEnd w:id="190"/>
    </w:p>
    <w:p w:rsidR="00F943E1" w:rsidRDefault="00F943E1" w:rsidP="003E628F">
      <w:pPr>
        <w:pStyle w:val="Pamatteksts"/>
        <w:ind w:left="0"/>
        <w:jc w:val="both"/>
        <w:rPr>
          <w:noProof/>
        </w:rPr>
      </w:pPr>
    </w:p>
    <w:p w:rsidR="00211065" w:rsidRPr="003E628F" w:rsidRDefault="00211065" w:rsidP="003E628F">
      <w:pPr>
        <w:pStyle w:val="Pamatteksts"/>
        <w:ind w:left="0"/>
        <w:jc w:val="both"/>
        <w:rPr>
          <w:noProof/>
        </w:rPr>
      </w:pPr>
      <w:r>
        <w:t>Papildus atbilstības iepriekš minētajiem nosacījumiem atkārtotai novērtēšanai ir jāatjaunina cita iepriekš sniegta informācija par uzņēmēju, ievērojot jauno Kodeksu:</w:t>
      </w:r>
    </w:p>
    <w:p w:rsidR="00211065" w:rsidRPr="003E628F" w:rsidRDefault="00211065" w:rsidP="003E628F">
      <w:pPr>
        <w:jc w:val="both"/>
        <w:rPr>
          <w:rFonts w:ascii="Times New Roman" w:eastAsia="Times New Roman" w:hAnsi="Times New Roman" w:cs="Times New Roman"/>
          <w:noProof/>
          <w:sz w:val="24"/>
          <w:szCs w:val="20"/>
        </w:rPr>
      </w:pPr>
    </w:p>
    <w:p w:rsidR="00F943E1" w:rsidRDefault="00211065" w:rsidP="003E628F">
      <w:pPr>
        <w:pStyle w:val="Pamatteksts"/>
        <w:ind w:left="0"/>
        <w:jc w:val="both"/>
        <w:rPr>
          <w:noProof/>
        </w:rPr>
      </w:pPr>
      <w:r>
        <w:t>ja tiek veikta vietējās muitošanas procedūras atļaujas atkārtota novērtēšana atbilstīgi 2. gadījumam, sk. 2.2. punktu;</w:t>
      </w:r>
    </w:p>
    <w:p w:rsidR="00F943E1" w:rsidRDefault="00F943E1" w:rsidP="003E628F">
      <w:pPr>
        <w:pStyle w:val="Pamatteksts"/>
        <w:ind w:left="0"/>
        <w:jc w:val="both"/>
        <w:rPr>
          <w:noProof/>
        </w:rPr>
      </w:pPr>
    </w:p>
    <w:p w:rsidR="00211065" w:rsidRPr="003E628F" w:rsidRDefault="00211065" w:rsidP="003E628F">
      <w:pPr>
        <w:pStyle w:val="Pamatteksts"/>
        <w:ind w:left="0"/>
        <w:jc w:val="both"/>
        <w:rPr>
          <w:noProof/>
        </w:rPr>
      </w:pPr>
      <w:r>
        <w:t>attiecībā uz vienkāršoto deklarāciju b) apakšpunktā standarta kontrolsaraksts (nav pilnīgs) ar iepriekšēju auditu saistītiem apmeklējumiem;</w:t>
      </w:r>
    </w:p>
    <w:p w:rsidR="00F943E1" w:rsidRDefault="00F943E1" w:rsidP="003E628F">
      <w:pPr>
        <w:pStyle w:val="Pamatteksts"/>
        <w:ind w:left="0"/>
        <w:jc w:val="both"/>
        <w:rPr>
          <w:noProof/>
        </w:rPr>
      </w:pPr>
    </w:p>
    <w:p w:rsidR="00F943E1" w:rsidRDefault="00211065" w:rsidP="003E628F">
      <w:pPr>
        <w:pStyle w:val="Pamatteksts"/>
        <w:ind w:left="0"/>
        <w:jc w:val="both"/>
        <w:rPr>
          <w:noProof/>
        </w:rPr>
      </w:pPr>
      <w:r>
        <w:t>ja tiek veikta vietējās muitošanas procedūras atļaujas atkārtota novērtēšana atbilstīgi 3. gadījumam, sk. 2.3. punktu;</w:t>
      </w:r>
    </w:p>
    <w:p w:rsidR="00F943E1" w:rsidRDefault="00F943E1" w:rsidP="003E628F">
      <w:pPr>
        <w:pStyle w:val="Pamatteksts"/>
        <w:ind w:left="0"/>
        <w:jc w:val="both"/>
        <w:rPr>
          <w:noProof/>
        </w:rPr>
      </w:pPr>
    </w:p>
    <w:p w:rsidR="00211065" w:rsidRPr="003E628F" w:rsidRDefault="00211065" w:rsidP="003E628F">
      <w:pPr>
        <w:pStyle w:val="Pamatteksts"/>
        <w:ind w:left="0"/>
        <w:jc w:val="both"/>
        <w:rPr>
          <w:noProof/>
        </w:rPr>
      </w:pPr>
      <w:r>
        <w:t xml:space="preserve">attiecībā uz </w:t>
      </w:r>
      <w:r>
        <w:rPr>
          <w:i/>
        </w:rPr>
        <w:t>EIDR</w:t>
      </w:r>
      <w:r>
        <w:t xml:space="preserve"> c) apakšpunktā standarta kontrolsaraksts (nav pilnīgs) ar iepriekšēju auditu </w:t>
      </w:r>
      <w:r>
        <w:lastRenderedPageBreak/>
        <w:t>saistītiem apmeklējumiem.</w:t>
      </w:r>
    </w:p>
    <w:p w:rsidR="00F943E1" w:rsidRDefault="00F943E1" w:rsidP="003E628F">
      <w:pPr>
        <w:pStyle w:val="Virsraksts2"/>
        <w:jc w:val="both"/>
        <w:rPr>
          <w:noProof/>
        </w:rPr>
      </w:pPr>
    </w:p>
    <w:p w:rsidR="00211065" w:rsidRPr="00E030BE" w:rsidRDefault="00211065" w:rsidP="00E030BE">
      <w:pPr>
        <w:pStyle w:val="Virsraksts2"/>
        <w:rPr>
          <w:b/>
        </w:rPr>
      </w:pPr>
      <w:bookmarkStart w:id="191" w:name="_Toc490734346"/>
      <w:r w:rsidRPr="00E030BE">
        <w:rPr>
          <w:b/>
        </w:rPr>
        <w:t>3.3.4. Pārraudzības un kontroles aspekti</w:t>
      </w:r>
      <w:bookmarkStart w:id="192" w:name="_bookmark67"/>
      <w:bookmarkEnd w:id="192"/>
      <w:bookmarkEnd w:id="191"/>
    </w:p>
    <w:p w:rsidR="00211065" w:rsidRPr="003E628F" w:rsidRDefault="00211065" w:rsidP="003E628F">
      <w:pPr>
        <w:jc w:val="both"/>
        <w:rPr>
          <w:rFonts w:ascii="Times New Roman" w:eastAsia="Times New Roman" w:hAnsi="Times New Roman" w:cs="Times New Roman"/>
          <w:b/>
          <w:bCs/>
          <w:i/>
          <w:noProof/>
          <w:sz w:val="24"/>
          <w:szCs w:val="20"/>
        </w:rPr>
      </w:pPr>
    </w:p>
    <w:p w:rsidR="00211065" w:rsidRPr="003E628F" w:rsidRDefault="00211065" w:rsidP="003E628F">
      <w:pPr>
        <w:pStyle w:val="Pamatteksts"/>
        <w:ind w:left="0"/>
        <w:jc w:val="both"/>
        <w:rPr>
          <w:noProof/>
        </w:rPr>
      </w:pPr>
      <w:r>
        <w:t xml:space="preserve">Pirms atkārtotas novērtēšanas vietējās muitošanas procedūras atļaujas, kas pielīdzināmas </w:t>
      </w:r>
      <w:r>
        <w:rPr>
          <w:i/>
        </w:rPr>
        <w:t>EIDR</w:t>
      </w:r>
      <w:r>
        <w:t>, tiek pārraudzītas tādā pašā veidā.</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Kontroles plāns kļūst obligāts pēc tam, kad veikta atļaujas atkārtota novērtēšana.</w:t>
      </w:r>
    </w:p>
    <w:p w:rsidR="00211065" w:rsidRPr="003E628F" w:rsidRDefault="00211065" w:rsidP="003E628F">
      <w:pPr>
        <w:jc w:val="both"/>
        <w:rPr>
          <w:rFonts w:ascii="Times New Roman" w:eastAsia="Times New Roman" w:hAnsi="Times New Roman" w:cs="Times New Roman"/>
          <w:noProof/>
          <w:sz w:val="24"/>
          <w:szCs w:val="21"/>
        </w:rPr>
      </w:pPr>
    </w:p>
    <w:p w:rsidR="00211065" w:rsidRPr="003E628F" w:rsidRDefault="00211065" w:rsidP="003E628F">
      <w:pPr>
        <w:pStyle w:val="Pamatteksts"/>
        <w:ind w:left="0"/>
        <w:jc w:val="both"/>
        <w:rPr>
          <w:noProof/>
        </w:rPr>
      </w:pPr>
      <w:r>
        <w:t>Tā kā pārejas periodā trūkst saskaņotības starp paziņojumu datu prasībām, dalībvalstis var turpināt pirms 2016. gada 1. maija piemēroto praksi, proti, tām ir jāveic riska analīze ar IT atbalstu vai bez tā attiecībā uz paziņojumiem. Tomēr riska analīze ir jāveic arī attiecībā uz papildu deklarāciju.</w:t>
      </w:r>
    </w:p>
    <w:p w:rsidR="00211065" w:rsidRPr="003E628F" w:rsidRDefault="00211065" w:rsidP="003E628F">
      <w:pPr>
        <w:jc w:val="both"/>
        <w:rPr>
          <w:rFonts w:ascii="Times New Roman" w:hAnsi="Times New Roman"/>
          <w:noProof/>
          <w:sz w:val="24"/>
        </w:rPr>
      </w:pPr>
    </w:p>
    <w:p w:rsidR="00211065" w:rsidRPr="003E628F" w:rsidRDefault="00211065" w:rsidP="003E628F">
      <w:pPr>
        <w:pStyle w:val="Pamatteksts"/>
        <w:ind w:left="0"/>
        <w:jc w:val="both"/>
        <w:rPr>
          <w:noProof/>
        </w:rPr>
      </w:pPr>
      <w:r>
        <w:t>Eksporta vai reeksporta procedūras gadījumā, kad muitas dienesti atļauj aizstāt uzrādīšanas paziņojumu ar muitas deklarāciju, arī vienkāršotās deklarācijas riska analīze jāveic ar IT atbalstu.</w:t>
      </w:r>
    </w:p>
    <w:p w:rsidR="00211065" w:rsidRPr="003E628F" w:rsidRDefault="00211065" w:rsidP="003E628F">
      <w:pPr>
        <w:jc w:val="both"/>
        <w:rPr>
          <w:rFonts w:ascii="Times New Roman" w:eastAsia="Times New Roman" w:hAnsi="Times New Roman" w:cs="Times New Roman"/>
          <w:noProof/>
          <w:sz w:val="24"/>
          <w:szCs w:val="24"/>
        </w:rPr>
      </w:pPr>
    </w:p>
    <w:p w:rsidR="00211065" w:rsidRPr="00E030BE" w:rsidRDefault="00F943E1" w:rsidP="00E030BE">
      <w:pPr>
        <w:pStyle w:val="Virsraksts2"/>
        <w:rPr>
          <w:b/>
        </w:rPr>
      </w:pPr>
      <w:bookmarkStart w:id="193" w:name="_Toc490734347"/>
      <w:r w:rsidRPr="00E030BE">
        <w:rPr>
          <w:b/>
        </w:rPr>
        <w:t>3.4. Spēkā esošās SASP atļaujas</w:t>
      </w:r>
      <w:bookmarkStart w:id="194" w:name="_bookmark68"/>
      <w:bookmarkEnd w:id="194"/>
      <w:bookmarkEnd w:id="193"/>
    </w:p>
    <w:p w:rsidR="00211065" w:rsidRPr="003E628F" w:rsidRDefault="00211065" w:rsidP="003E628F">
      <w:pPr>
        <w:jc w:val="both"/>
        <w:rPr>
          <w:rFonts w:ascii="Times New Roman" w:eastAsia="Times New Roman" w:hAnsi="Times New Roman" w:cs="Times New Roman"/>
          <w:b/>
          <w:bCs/>
          <w:i/>
          <w:noProof/>
          <w:sz w:val="24"/>
          <w:szCs w:val="20"/>
        </w:rPr>
      </w:pPr>
    </w:p>
    <w:p w:rsidR="00211065" w:rsidRPr="00E030BE" w:rsidRDefault="00F943E1" w:rsidP="00E030BE">
      <w:pPr>
        <w:pStyle w:val="Virsraksts2"/>
        <w:rPr>
          <w:b/>
          <w:noProof/>
        </w:rPr>
      </w:pPr>
      <w:bookmarkStart w:id="195" w:name="_Toc490734348"/>
      <w:r w:rsidRPr="00E030BE">
        <w:rPr>
          <w:b/>
          <w:noProof/>
        </w:rPr>
        <w:t>3.4.1. Kā interpretēt spēkā esošu SASP atļauju 2016. gada 1. maijā atkarībā no tās veida (SASP ar vienkāršoto deklarāciju, SASP ar vietējās muitošanas procedūru ar paziņošanu, SASP ar vietējās muitošanas procedūru ar atbrīvojumu no paziņošanas)</w:t>
      </w:r>
      <w:bookmarkStart w:id="196" w:name="_bookmark69"/>
      <w:bookmarkEnd w:id="196"/>
      <w:bookmarkEnd w:id="195"/>
    </w:p>
    <w:p w:rsidR="00211065" w:rsidRPr="003E628F" w:rsidRDefault="00211065" w:rsidP="003E628F">
      <w:pPr>
        <w:jc w:val="both"/>
        <w:rPr>
          <w:rFonts w:ascii="Times New Roman" w:eastAsia="Times New Roman" w:hAnsi="Times New Roman" w:cs="Times New Roman"/>
          <w:b/>
          <w:bCs/>
          <w:i/>
          <w:noProof/>
          <w:sz w:val="24"/>
          <w:szCs w:val="20"/>
        </w:rPr>
      </w:pPr>
    </w:p>
    <w:p w:rsidR="00211065" w:rsidRPr="003E628F" w:rsidRDefault="00211065" w:rsidP="003E628F">
      <w:pPr>
        <w:pStyle w:val="Pamatteksts"/>
        <w:ind w:left="0"/>
        <w:jc w:val="both"/>
        <w:rPr>
          <w:noProof/>
        </w:rPr>
      </w:pPr>
      <w:r>
        <w:rPr>
          <w:i/>
        </w:rPr>
        <w:t>SASP</w:t>
      </w:r>
      <w:r>
        <w:t>, kas jau ir spēkā 2016. gada 1. maijā, paliek spēkā līdz attiecīgajiem importa centralizētās muitošanas un automatizētās eksporta kontroles sistēmas ieviešanas datumiem, kas minēti ĪA pielikumā (ĪA 345. panta 1. punkta 4. apakšpunkts).</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 xml:space="preserve">Spēkā esošās </w:t>
      </w:r>
      <w:r>
        <w:rPr>
          <w:i/>
        </w:rPr>
        <w:t>SASP</w:t>
      </w:r>
      <w:r>
        <w:t xml:space="preserve"> tiek piešķirtas ar vienkāršotās deklarācijas vai vietējās muitošanas procedūras atļauju (ar paziņošanu vai bez tās).</w:t>
      </w:r>
    </w:p>
    <w:p w:rsidR="00211065" w:rsidRPr="003E628F" w:rsidRDefault="00211065" w:rsidP="003E628F">
      <w:pPr>
        <w:pStyle w:val="Pamatteksts"/>
        <w:ind w:left="0"/>
        <w:jc w:val="both"/>
        <w:rPr>
          <w:noProof/>
        </w:rPr>
      </w:pPr>
      <w:r>
        <w:t>No 2016. gada 1. maija katrs gadījums tiks interpretēts atbilstīgi jaunajai SMK terminoloģijai un iespējām.</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 xml:space="preserve">Ieteicams pašreizējās atļaujas interpretēt šādi (neņemot vērā iespēju pārvērst pašreizējo </w:t>
      </w:r>
      <w:r>
        <w:rPr>
          <w:i/>
        </w:rPr>
        <w:t>SASP</w:t>
      </w:r>
      <w:r>
        <w:t xml:space="preserve"> par citu iespēju ):</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F943E1">
      <w:pPr>
        <w:numPr>
          <w:ilvl w:val="0"/>
          <w:numId w:val="16"/>
        </w:numPr>
        <w:tabs>
          <w:tab w:val="left" w:pos="537"/>
        </w:tabs>
        <w:ind w:left="567" w:hanging="567"/>
        <w:jc w:val="both"/>
        <w:rPr>
          <w:rFonts w:ascii="Times New Roman" w:hAnsi="Times New Roman"/>
          <w:i/>
          <w:noProof/>
          <w:sz w:val="24"/>
        </w:rPr>
      </w:pPr>
      <w:r>
        <w:rPr>
          <w:rFonts w:ascii="Times New Roman" w:hAnsi="Times New Roman"/>
          <w:i/>
          <w:noProof/>
          <w:sz w:val="24"/>
        </w:rPr>
        <w:t>SASP ar vienkāršoto deklarāciju tiks pielīdzināta centralizētas muitošanas atļaujai ar vienkāršoto deklarāciju;</w:t>
      </w:r>
    </w:p>
    <w:p w:rsidR="00211065" w:rsidRPr="003E628F" w:rsidRDefault="00211065" w:rsidP="00F943E1">
      <w:pPr>
        <w:numPr>
          <w:ilvl w:val="0"/>
          <w:numId w:val="16"/>
        </w:numPr>
        <w:tabs>
          <w:tab w:val="left" w:pos="537"/>
        </w:tabs>
        <w:ind w:left="567" w:hanging="567"/>
        <w:jc w:val="both"/>
        <w:rPr>
          <w:rFonts w:ascii="Times New Roman" w:hAnsi="Times New Roman"/>
          <w:i/>
          <w:noProof/>
          <w:sz w:val="24"/>
        </w:rPr>
      </w:pPr>
      <w:r>
        <w:rPr>
          <w:rFonts w:ascii="Times New Roman" w:hAnsi="Times New Roman"/>
          <w:i/>
          <w:noProof/>
          <w:sz w:val="24"/>
        </w:rPr>
        <w:t>SASP ar vietējās muitošanas procedūru ar iesniegtu deklarāciju tiks pielīdzināta centralizētas muitošanas atļaujai ar standarta deklarāciju (vai vienkāršoto deklarāciju);</w:t>
      </w:r>
    </w:p>
    <w:p w:rsidR="00211065" w:rsidRPr="003E628F" w:rsidRDefault="00211065" w:rsidP="00F943E1">
      <w:pPr>
        <w:numPr>
          <w:ilvl w:val="0"/>
          <w:numId w:val="16"/>
        </w:numPr>
        <w:tabs>
          <w:tab w:val="left" w:pos="537"/>
        </w:tabs>
        <w:ind w:left="567" w:hanging="567"/>
        <w:jc w:val="both"/>
        <w:rPr>
          <w:rFonts w:ascii="Times New Roman" w:hAnsi="Times New Roman"/>
          <w:i/>
          <w:noProof/>
          <w:sz w:val="24"/>
        </w:rPr>
      </w:pPr>
      <w:r>
        <w:rPr>
          <w:rFonts w:ascii="Times New Roman" w:hAnsi="Times New Roman"/>
          <w:i/>
          <w:noProof/>
          <w:sz w:val="24"/>
        </w:rPr>
        <w:t>SASP ar vietējās muitošanas procedūru ar iesniegtu deklarāciju var pielīdzināt arī centralizētas muitošanas atļaujai ar preču uzrādīšanu apstiprinātā vietā;</w:t>
      </w:r>
    </w:p>
    <w:p w:rsidR="00211065" w:rsidRPr="003E628F" w:rsidRDefault="00211065" w:rsidP="00F943E1">
      <w:pPr>
        <w:numPr>
          <w:ilvl w:val="0"/>
          <w:numId w:val="16"/>
        </w:numPr>
        <w:tabs>
          <w:tab w:val="left" w:pos="537"/>
        </w:tabs>
        <w:ind w:left="567" w:hanging="567"/>
        <w:jc w:val="both"/>
        <w:rPr>
          <w:rFonts w:ascii="Times New Roman" w:hAnsi="Times New Roman"/>
          <w:i/>
          <w:noProof/>
          <w:sz w:val="24"/>
        </w:rPr>
      </w:pPr>
      <w:r>
        <w:rPr>
          <w:rFonts w:ascii="Times New Roman" w:hAnsi="Times New Roman"/>
          <w:i/>
          <w:noProof/>
          <w:sz w:val="24"/>
        </w:rPr>
        <w:t>SASP ar vietējās muitošanas procedūru ar paziņošanu tiks pielīdzināta centralizētas muitošanas atļaujai ar EIDR ar preču uzrādīšanu;</w:t>
      </w:r>
    </w:p>
    <w:p w:rsidR="00211065" w:rsidRPr="003E628F" w:rsidRDefault="00211065" w:rsidP="00F943E1">
      <w:pPr>
        <w:numPr>
          <w:ilvl w:val="0"/>
          <w:numId w:val="16"/>
        </w:numPr>
        <w:tabs>
          <w:tab w:val="left" w:pos="537"/>
        </w:tabs>
        <w:ind w:left="567" w:hanging="567"/>
        <w:jc w:val="both"/>
        <w:rPr>
          <w:rFonts w:ascii="Times New Roman" w:hAnsi="Times New Roman"/>
          <w:i/>
          <w:noProof/>
          <w:sz w:val="24"/>
        </w:rPr>
      </w:pPr>
      <w:r>
        <w:rPr>
          <w:rFonts w:ascii="Times New Roman" w:hAnsi="Times New Roman"/>
          <w:i/>
          <w:noProof/>
          <w:sz w:val="24"/>
        </w:rPr>
        <w:t>SASP ar vietējās muitošanas procedūru bez paziņošanas tiks pielīdzināta centralizētas muitošanas atļaujai ar EIDR ar uzrādīšanas atbrīvojumu.</w:t>
      </w:r>
    </w:p>
    <w:p w:rsidR="00E030BE" w:rsidRDefault="00E030BE">
      <w:pPr>
        <w:rPr>
          <w:rFonts w:ascii="Times New Roman" w:eastAsia="Times New Roman" w:hAnsi="Times New Roman"/>
          <w:bCs/>
          <w:i/>
          <w:noProof/>
          <w:sz w:val="24"/>
          <w:szCs w:val="24"/>
        </w:rPr>
      </w:pPr>
      <w:r>
        <w:rPr>
          <w:noProof/>
        </w:rPr>
        <w:br w:type="page"/>
      </w:r>
    </w:p>
    <w:p w:rsidR="00F943E1" w:rsidRDefault="00F943E1" w:rsidP="00F943E1">
      <w:pPr>
        <w:pStyle w:val="Virsraksts2"/>
        <w:tabs>
          <w:tab w:val="left" w:pos="818"/>
        </w:tabs>
        <w:rPr>
          <w:noProof/>
        </w:rPr>
      </w:pPr>
    </w:p>
    <w:p w:rsidR="00211065" w:rsidRPr="00E030BE" w:rsidRDefault="00F943E1" w:rsidP="00E030BE">
      <w:pPr>
        <w:pStyle w:val="Virsraksts2"/>
        <w:rPr>
          <w:b/>
        </w:rPr>
      </w:pPr>
      <w:bookmarkStart w:id="197" w:name="_Toc490734349"/>
      <w:r w:rsidRPr="00E030BE">
        <w:rPr>
          <w:b/>
        </w:rPr>
        <w:t>3.4.2. Procesuāli noteikumi katrai kombinācijai: preču uzrādīšana, deklarācijas iesniegšana, informācijas apmaiņa starp muitas dienestiem</w:t>
      </w:r>
      <w:bookmarkStart w:id="198" w:name="_bookmark70"/>
      <w:bookmarkEnd w:id="198"/>
      <w:bookmarkEnd w:id="197"/>
    </w:p>
    <w:p w:rsidR="00211065" w:rsidRPr="003E628F" w:rsidRDefault="00211065" w:rsidP="003E628F">
      <w:pPr>
        <w:jc w:val="both"/>
        <w:rPr>
          <w:rFonts w:ascii="Times New Roman" w:eastAsia="Times New Roman" w:hAnsi="Times New Roman" w:cs="Times New Roman"/>
          <w:b/>
          <w:bCs/>
          <w:i/>
          <w:noProof/>
          <w:sz w:val="24"/>
          <w:szCs w:val="20"/>
        </w:rPr>
      </w:pPr>
    </w:p>
    <w:p w:rsidR="00211065" w:rsidRDefault="00211065" w:rsidP="003E628F">
      <w:pPr>
        <w:pStyle w:val="Pamatteksts"/>
        <w:ind w:left="0"/>
        <w:jc w:val="both"/>
        <w:rPr>
          <w:noProof/>
        </w:rPr>
      </w:pPr>
      <w:r>
        <w:t xml:space="preserve">Sk. 2.4.7. punktu par informācijas apmaiņu pārejas periodā: pastāvošajiem sadarbības līdzekļiem starp ar </w:t>
      </w:r>
      <w:r>
        <w:rPr>
          <w:i/>
        </w:rPr>
        <w:t>SASP</w:t>
      </w:r>
      <w:r>
        <w:t xml:space="preserve"> saistītajām dalībvalstīm jāpaliek nemainīgiem tik ilgi, kamēr tie atbilst SMK 179. pantam.</w:t>
      </w:r>
    </w:p>
    <w:p w:rsidR="00F943E1" w:rsidRPr="003E628F" w:rsidRDefault="00F943E1" w:rsidP="003E628F">
      <w:pPr>
        <w:pStyle w:val="Pamatteksts"/>
        <w:ind w:left="0"/>
        <w:jc w:val="both"/>
        <w:rPr>
          <w:noProof/>
        </w:rPr>
      </w:pPr>
    </w:p>
    <w:p w:rsidR="00211065" w:rsidRPr="00E030BE" w:rsidRDefault="00F943E1" w:rsidP="00E030BE">
      <w:pPr>
        <w:pStyle w:val="Virsraksts2"/>
        <w:rPr>
          <w:b/>
        </w:rPr>
      </w:pPr>
      <w:bookmarkStart w:id="199" w:name="_Toc490734350"/>
      <w:r w:rsidRPr="00E030BE">
        <w:rPr>
          <w:b/>
        </w:rPr>
        <w:t>3.4.3. Pārraudzības un kontroles aspekti</w:t>
      </w:r>
      <w:bookmarkStart w:id="200" w:name="_bookmark71"/>
      <w:bookmarkEnd w:id="200"/>
      <w:bookmarkEnd w:id="199"/>
    </w:p>
    <w:p w:rsidR="00211065" w:rsidRPr="003E628F" w:rsidRDefault="00211065" w:rsidP="003E628F">
      <w:pPr>
        <w:jc w:val="both"/>
        <w:rPr>
          <w:rFonts w:ascii="Times New Roman" w:eastAsia="Times New Roman" w:hAnsi="Times New Roman" w:cs="Times New Roman"/>
          <w:b/>
          <w:bCs/>
          <w:i/>
          <w:noProof/>
          <w:sz w:val="24"/>
          <w:szCs w:val="20"/>
        </w:rPr>
      </w:pPr>
    </w:p>
    <w:p w:rsidR="00211065" w:rsidRPr="003E628F" w:rsidRDefault="00211065" w:rsidP="003E628F">
      <w:pPr>
        <w:pStyle w:val="Pamatteksts"/>
        <w:ind w:left="0"/>
        <w:jc w:val="both"/>
        <w:rPr>
          <w:noProof/>
        </w:rPr>
      </w:pPr>
      <w:r>
        <w:t xml:space="preserve">Kontroles plānam ir galvenā nozīme pastāvošo </w:t>
      </w:r>
      <w:r>
        <w:rPr>
          <w:i/>
        </w:rPr>
        <w:t>SASP</w:t>
      </w:r>
      <w:r>
        <w:t xml:space="preserve"> pārraudzībā, un arī turpmāk tas būs galvenais rīks, ar ko muita nodrošinās pienācīgu sadarbības līmeni starp iesaistītajām muitas iestādēm. Tāpēc muitai kontroles plāns jāizstrādā, pamatojoties uz nosacījumu un pienākumu izpildes pārraudzību.</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Tomēr kontroles plāns neierobežo darbības, ko muita var veikt, lai nodrošinātu atbilstošu, ar risku pamatotu kontroli.</w:t>
      </w:r>
    </w:p>
    <w:p w:rsidR="00211065" w:rsidRPr="003E628F" w:rsidRDefault="00211065" w:rsidP="003E628F">
      <w:pPr>
        <w:jc w:val="both"/>
        <w:rPr>
          <w:rFonts w:ascii="Times New Roman" w:eastAsia="Times New Roman" w:hAnsi="Times New Roman" w:cs="Times New Roman"/>
          <w:noProof/>
          <w:sz w:val="24"/>
          <w:szCs w:val="21"/>
        </w:rPr>
      </w:pPr>
    </w:p>
    <w:p w:rsidR="00211065" w:rsidRPr="00E030BE" w:rsidRDefault="00F943E1" w:rsidP="00E030BE">
      <w:pPr>
        <w:pStyle w:val="Virsraksts2"/>
        <w:rPr>
          <w:b/>
        </w:rPr>
      </w:pPr>
      <w:bookmarkStart w:id="201" w:name="_Toc490734351"/>
      <w:r w:rsidRPr="00E030BE">
        <w:rPr>
          <w:b/>
        </w:rPr>
        <w:t>3.4.4. Strīdi</w:t>
      </w:r>
      <w:bookmarkStart w:id="202" w:name="_bookmark72"/>
      <w:bookmarkEnd w:id="202"/>
      <w:bookmarkEnd w:id="201"/>
    </w:p>
    <w:p w:rsidR="00211065" w:rsidRPr="003E628F" w:rsidRDefault="00211065" w:rsidP="003E628F">
      <w:pPr>
        <w:jc w:val="both"/>
        <w:rPr>
          <w:rFonts w:ascii="Times New Roman" w:eastAsia="Times New Roman" w:hAnsi="Times New Roman" w:cs="Times New Roman"/>
          <w:b/>
          <w:bCs/>
          <w:i/>
          <w:noProof/>
          <w:sz w:val="24"/>
          <w:szCs w:val="20"/>
        </w:rPr>
      </w:pPr>
    </w:p>
    <w:p w:rsidR="00211065" w:rsidRPr="003E628F" w:rsidRDefault="00F943E1" w:rsidP="00F943E1">
      <w:pPr>
        <w:tabs>
          <w:tab w:val="left" w:pos="369"/>
        </w:tabs>
        <w:rPr>
          <w:rFonts w:ascii="Times New Roman" w:hAnsi="Times New Roman"/>
          <w:b/>
          <w:noProof/>
          <w:sz w:val="24"/>
        </w:rPr>
      </w:pPr>
      <w:r>
        <w:rPr>
          <w:rFonts w:ascii="Times New Roman" w:hAnsi="Times New Roman"/>
          <w:b/>
          <w:noProof/>
          <w:sz w:val="24"/>
        </w:rPr>
        <w:t>a) Strīdi starp iesaistītajām dalībvalstīm</w:t>
      </w:r>
    </w:p>
    <w:p w:rsidR="00211065" w:rsidRPr="003E628F" w:rsidRDefault="00211065" w:rsidP="003E628F">
      <w:pPr>
        <w:jc w:val="both"/>
        <w:rPr>
          <w:rFonts w:ascii="Times New Roman" w:eastAsia="Times New Roman" w:hAnsi="Times New Roman" w:cs="Times New Roman"/>
          <w:b/>
          <w:bCs/>
          <w:noProof/>
          <w:sz w:val="24"/>
          <w:szCs w:val="20"/>
        </w:rPr>
      </w:pPr>
    </w:p>
    <w:p w:rsidR="00211065" w:rsidRPr="003E628F" w:rsidRDefault="00211065" w:rsidP="003E628F">
      <w:pPr>
        <w:pStyle w:val="Pamatteksts"/>
        <w:ind w:left="0"/>
        <w:jc w:val="both"/>
        <w:rPr>
          <w:noProof/>
        </w:rPr>
      </w:pPr>
      <w:r>
        <w:t>Jebkurš strīds starp iesaistītajām dalībvalstīm par šīs vienošanās ieviešanu vai piemērošanu vai par jebkuru šādas piemērošanas skarto atļauju tiks atrisināts pārrunu ceļā, cik vien tas būs iespējams. Strīdā iesaistītās dalībvalstis var izvēlēties starpnieku strīda izšķiršanai.</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Šī klauzula ļauj iesaistītajām muitas administrācijām atrisināt jebkurus ar centralizētas muitošanas darbību u. c. saistītus jautājumus un problēmas pārrunu ceļā un atbilstīgi vienprātības principam. Komisijas dienesti ir pieejami jebkuras pieprasītās starpniecības nodrošināšanai. Vajadzības gadījumā tie sniegs atzinumus par jebkuriem jautājumiem, kas saistīti ar finansiālu atbildību par jebkādu iespējamo tradicionālo pašu resursu zaudējumu.</w:t>
      </w:r>
    </w:p>
    <w:p w:rsidR="00211065" w:rsidRPr="003E628F" w:rsidRDefault="00211065" w:rsidP="003E628F">
      <w:pPr>
        <w:jc w:val="both"/>
        <w:rPr>
          <w:rFonts w:ascii="Times New Roman" w:eastAsia="Times New Roman" w:hAnsi="Times New Roman" w:cs="Times New Roman"/>
          <w:noProof/>
          <w:sz w:val="24"/>
          <w:szCs w:val="21"/>
        </w:rPr>
      </w:pPr>
    </w:p>
    <w:p w:rsidR="00211065" w:rsidRPr="003E628F" w:rsidRDefault="00F943E1" w:rsidP="00E030BE">
      <w:pPr>
        <w:pStyle w:val="Virsraksts1"/>
        <w:tabs>
          <w:tab w:val="left" w:pos="383"/>
        </w:tabs>
        <w:jc w:val="both"/>
        <w:rPr>
          <w:noProof/>
        </w:rPr>
      </w:pPr>
      <w:bookmarkStart w:id="203" w:name="_Toc490734352"/>
      <w:r>
        <w:t>b) Strīdi starp centralizētās muitošanas atļaujas turētāju un iesaistītās dalībvalsts muitas dienestiem</w:t>
      </w:r>
      <w:bookmarkEnd w:id="203"/>
    </w:p>
    <w:p w:rsidR="00211065" w:rsidRPr="003E628F" w:rsidRDefault="00211065" w:rsidP="003E628F">
      <w:pPr>
        <w:jc w:val="both"/>
        <w:rPr>
          <w:rFonts w:ascii="Times New Roman" w:eastAsia="Times New Roman" w:hAnsi="Times New Roman" w:cs="Times New Roman"/>
          <w:b/>
          <w:bCs/>
          <w:noProof/>
          <w:sz w:val="24"/>
          <w:szCs w:val="20"/>
        </w:rPr>
      </w:pPr>
    </w:p>
    <w:p w:rsidR="00211065" w:rsidRPr="003E628F" w:rsidRDefault="00211065" w:rsidP="003E628F">
      <w:pPr>
        <w:pStyle w:val="Pamatteksts"/>
        <w:ind w:left="0"/>
        <w:jc w:val="both"/>
        <w:rPr>
          <w:noProof/>
        </w:rPr>
      </w:pPr>
      <w:r>
        <w:t>Lai arī centralizētajā muitošanā neietilpst nekādas oficiālās strīdu risināšanas procedūras, tiek pieņemts, ka centralizētas muitošanas atļaujas turētājs darīs zināmas atļaujas sniedzējai muitas administrācijai jebkādas domstarpības. Par strīda izšķiršanu ir atbildīga atļaujas sniedzēja muitas administrācija. Lēmumus par centralizētās muitošanas piemērošanu parasti pieņem atļaujas sniedzēja muitas administrācija. Šādos gadījumos tiek piemērota atļaujas sniedzējas dalībvalsts lēmumu pārsūdzības sistēma.</w:t>
      </w:r>
    </w:p>
    <w:p w:rsidR="00211065" w:rsidRPr="003E628F" w:rsidRDefault="00211065" w:rsidP="003E628F">
      <w:pPr>
        <w:jc w:val="both"/>
        <w:rPr>
          <w:rFonts w:ascii="Times New Roman" w:eastAsia="Times New Roman" w:hAnsi="Times New Roman" w:cs="Times New Roman"/>
          <w:noProof/>
          <w:sz w:val="24"/>
          <w:szCs w:val="21"/>
        </w:rPr>
      </w:pPr>
    </w:p>
    <w:p w:rsidR="00211065" w:rsidRPr="003E628F" w:rsidRDefault="00F943E1" w:rsidP="00E030BE">
      <w:pPr>
        <w:pStyle w:val="Virsraksts1"/>
        <w:tabs>
          <w:tab w:val="left" w:pos="355"/>
        </w:tabs>
        <w:jc w:val="both"/>
        <w:rPr>
          <w:noProof/>
        </w:rPr>
      </w:pPr>
      <w:bookmarkStart w:id="204" w:name="_Toc490734353"/>
      <w:r>
        <w:t>c) Strīdu līmeņa samazināšana</w:t>
      </w:r>
      <w:bookmarkEnd w:id="204"/>
    </w:p>
    <w:p w:rsidR="00211065" w:rsidRPr="003E628F" w:rsidRDefault="00211065" w:rsidP="003E628F">
      <w:pPr>
        <w:jc w:val="both"/>
        <w:rPr>
          <w:rFonts w:ascii="Times New Roman" w:eastAsia="Times New Roman" w:hAnsi="Times New Roman" w:cs="Times New Roman"/>
          <w:b/>
          <w:bCs/>
          <w:noProof/>
          <w:sz w:val="24"/>
          <w:szCs w:val="20"/>
        </w:rPr>
      </w:pPr>
    </w:p>
    <w:p w:rsidR="00211065" w:rsidRPr="003E628F" w:rsidRDefault="00211065" w:rsidP="003E628F">
      <w:pPr>
        <w:pStyle w:val="Pamatteksts"/>
        <w:ind w:left="0"/>
        <w:jc w:val="both"/>
        <w:rPr>
          <w:noProof/>
        </w:rPr>
      </w:pPr>
      <w:r>
        <w:t>Ar centralizētās muitošanas atļaujām saistīto potenciālo strīdu risku starp administrācijām vai starp atļauju turētājiem un muitu var ievērojami samazināt, ja jautājumi tiek identificēti un atrisināti pirms atļaujas izsniegšanas.</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Jāuzsver rūpīga iepriekšēja audita un apspriešanās procedūras nozīme.</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 xml:space="preserve">Kad notiek sagatavošanās centralizētās muitošanas atļaujas izmantošanai, atļaujas sniedzējai </w:t>
      </w:r>
      <w:r>
        <w:lastRenderedPageBreak/>
        <w:t>muitas administrācijai pirms atļaujas piešķiršanas jāveic uzņēmēja muitas procedūru, procesu, datorsistēmu, kā arī grāmatvedības prakses un pārskatu un jebkuras saistošas informācijas rūpīga pārbaude. Šajā pārbaudē jānoskaidro visi iespējamie strīdīgie jautājumi un jāļauj iesaistītajām pusēm vienoties par risinājumiem pirms centralizētās muitošanas uzsākšanas.</w:t>
      </w:r>
    </w:p>
    <w:p w:rsidR="00F943E1" w:rsidRDefault="00F943E1" w:rsidP="00F943E1">
      <w:pPr>
        <w:pStyle w:val="Virsraksts2"/>
        <w:tabs>
          <w:tab w:val="left" w:pos="818"/>
        </w:tabs>
        <w:rPr>
          <w:noProof/>
        </w:rPr>
      </w:pPr>
    </w:p>
    <w:p w:rsidR="00211065" w:rsidRPr="00E030BE" w:rsidRDefault="00F943E1" w:rsidP="00E030BE">
      <w:pPr>
        <w:pStyle w:val="Virsraksts2"/>
        <w:rPr>
          <w:b/>
        </w:rPr>
      </w:pPr>
      <w:bookmarkStart w:id="205" w:name="_Toc490734354"/>
      <w:r w:rsidRPr="00E030BE">
        <w:rPr>
          <w:b/>
        </w:rPr>
        <w:t>3.4.5. Neatbilstības</w:t>
      </w:r>
      <w:bookmarkStart w:id="206" w:name="_bookmark73"/>
      <w:bookmarkEnd w:id="206"/>
      <w:bookmarkEnd w:id="205"/>
    </w:p>
    <w:p w:rsidR="00211065" w:rsidRPr="003E628F" w:rsidRDefault="00211065" w:rsidP="003E628F">
      <w:pPr>
        <w:jc w:val="both"/>
        <w:rPr>
          <w:rFonts w:ascii="Times New Roman" w:eastAsia="Times New Roman" w:hAnsi="Times New Roman" w:cs="Times New Roman"/>
          <w:b/>
          <w:bCs/>
          <w:i/>
          <w:noProof/>
          <w:sz w:val="24"/>
          <w:szCs w:val="20"/>
        </w:rPr>
      </w:pPr>
    </w:p>
    <w:p w:rsidR="00211065" w:rsidRPr="003E628F" w:rsidRDefault="00F943E1" w:rsidP="00F943E1">
      <w:pPr>
        <w:tabs>
          <w:tab w:val="left" w:pos="1103"/>
        </w:tabs>
        <w:rPr>
          <w:rFonts w:ascii="Times New Roman" w:hAnsi="Times New Roman"/>
          <w:b/>
          <w:noProof/>
          <w:sz w:val="24"/>
        </w:rPr>
      </w:pPr>
      <w:r>
        <w:rPr>
          <w:rFonts w:ascii="Times New Roman" w:hAnsi="Times New Roman"/>
          <w:b/>
          <w:noProof/>
          <w:sz w:val="24"/>
        </w:rPr>
        <w:t>a) Vispārīga informācija</w:t>
      </w:r>
    </w:p>
    <w:p w:rsidR="00211065" w:rsidRPr="003E628F" w:rsidRDefault="00211065" w:rsidP="003E628F">
      <w:pPr>
        <w:jc w:val="both"/>
        <w:rPr>
          <w:rFonts w:ascii="Times New Roman" w:eastAsia="Times New Roman" w:hAnsi="Times New Roman" w:cs="Times New Roman"/>
          <w:b/>
          <w:bCs/>
          <w:noProof/>
          <w:sz w:val="24"/>
          <w:szCs w:val="20"/>
        </w:rPr>
      </w:pPr>
    </w:p>
    <w:p w:rsidR="00211065" w:rsidRPr="003E628F" w:rsidRDefault="00211065" w:rsidP="003E628F">
      <w:pPr>
        <w:pStyle w:val="Pamatteksts"/>
        <w:ind w:left="0"/>
        <w:jc w:val="both"/>
        <w:rPr>
          <w:noProof/>
        </w:rPr>
      </w:pPr>
      <w:r>
        <w:t>Centralizēta muitošana sniedz iespēju uzņēmējam iesniegt muitas deklarācijas un attiecīgā gadījumā samaksāt muitas nodokļus atļaujas sniedzējā dalībvalstī, lai arī preču pārvietošana var notikt citā dalībvalstī.</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Ja tomēr tiek atklāta neatbilstība saistībā ar importu vai eksportu, ir rūpīgi jāapsver tas, kuras dalībvalsts kompetencē ietilpst neatbilstības novēršana.</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Turklāt ar muitas formalitātēm saistītie iekšējie pienākumi uzņēmumu grupā ir jānosaka, grupas dalībniekiem par to savstarpēji vienojoties. Šis atbildības sadalījums ir jādara zināms atļaujas sniedzējiem muitas dienestiem.</w:t>
      </w:r>
    </w:p>
    <w:p w:rsidR="00211065" w:rsidRPr="003E628F" w:rsidRDefault="00211065" w:rsidP="003E628F">
      <w:pPr>
        <w:jc w:val="both"/>
        <w:rPr>
          <w:rFonts w:ascii="Times New Roman" w:eastAsia="Times New Roman" w:hAnsi="Times New Roman" w:cs="Times New Roman"/>
          <w:noProof/>
          <w:sz w:val="24"/>
          <w:szCs w:val="21"/>
        </w:rPr>
      </w:pPr>
    </w:p>
    <w:p w:rsidR="00211065" w:rsidRPr="003E628F" w:rsidRDefault="00F943E1" w:rsidP="00F943E1">
      <w:pPr>
        <w:pStyle w:val="Virsraksts1"/>
        <w:tabs>
          <w:tab w:val="left" w:pos="1103"/>
        </w:tabs>
        <w:jc w:val="both"/>
        <w:rPr>
          <w:noProof/>
        </w:rPr>
      </w:pPr>
      <w:bookmarkStart w:id="207" w:name="_Toc490734355"/>
      <w:r>
        <w:t>b) Tādas ar atļauju saistītas neatbilstības piemērs, kas var radīt finansiālas sekas</w:t>
      </w:r>
      <w:bookmarkEnd w:id="207"/>
    </w:p>
    <w:p w:rsidR="00211065" w:rsidRPr="003E628F" w:rsidRDefault="00211065" w:rsidP="003E628F">
      <w:pPr>
        <w:jc w:val="both"/>
        <w:rPr>
          <w:rFonts w:ascii="Times New Roman" w:eastAsia="Times New Roman" w:hAnsi="Times New Roman" w:cs="Times New Roman"/>
          <w:b/>
          <w:bCs/>
          <w:noProof/>
          <w:sz w:val="24"/>
          <w:szCs w:val="20"/>
        </w:rPr>
      </w:pPr>
    </w:p>
    <w:p w:rsidR="00211065" w:rsidRPr="003E628F" w:rsidRDefault="00211065" w:rsidP="003E628F">
      <w:pPr>
        <w:pStyle w:val="Pamatteksts"/>
        <w:ind w:left="0"/>
        <w:jc w:val="both"/>
        <w:rPr>
          <w:noProof/>
        </w:rPr>
      </w:pPr>
      <w:r>
        <w:t>Neatbilstība ir jānovērš tai dalībvalstij, kas ir kompetenta izsniegt atļauju.</w:t>
      </w:r>
    </w:p>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pStyle w:val="Pamatteksts"/>
        <w:ind w:left="0"/>
        <w:jc w:val="both"/>
        <w:rPr>
          <w:noProof/>
        </w:rPr>
      </w:pPr>
      <w:r>
        <w:t>Dalībvalstij, kur tiek piemēroti ar atļauju saistītie noteikumi, ir jārisina neatbilstība, kas radusies šo noteikumu (grāmatvedība, uzglabāšanas apstākļi, preču apstrāde) neievērošanas dēļ.</w:t>
      </w:r>
    </w:p>
    <w:p w:rsidR="00211065" w:rsidRPr="003E628F" w:rsidRDefault="00211065" w:rsidP="003E628F">
      <w:pPr>
        <w:jc w:val="both"/>
        <w:rPr>
          <w:rFonts w:ascii="Times New Roman" w:eastAsia="Times New Roman" w:hAnsi="Times New Roman" w:cs="Times New Roman"/>
          <w:noProof/>
          <w:sz w:val="24"/>
          <w:szCs w:val="21"/>
        </w:rPr>
      </w:pPr>
    </w:p>
    <w:p w:rsidR="00211065" w:rsidRPr="003E628F" w:rsidRDefault="00F943E1" w:rsidP="00F943E1">
      <w:pPr>
        <w:pStyle w:val="Virsraksts1"/>
        <w:tabs>
          <w:tab w:val="left" w:pos="1103"/>
        </w:tabs>
        <w:jc w:val="both"/>
        <w:rPr>
          <w:noProof/>
        </w:rPr>
      </w:pPr>
      <w:bookmarkStart w:id="208" w:name="_Toc490734356"/>
      <w:r>
        <w:t>c) Tādas neatbilstības piemērs, kam ir finansiālas sekas un kas saistīta ar deklarācijām noteiktas procedūras piemērošanai precēm vai procedūras noslēgšanai</w:t>
      </w:r>
      <w:bookmarkEnd w:id="208"/>
    </w:p>
    <w:p w:rsidR="00211065" w:rsidRPr="003E628F" w:rsidRDefault="00211065" w:rsidP="003E628F">
      <w:pPr>
        <w:jc w:val="both"/>
        <w:rPr>
          <w:rFonts w:ascii="Times New Roman" w:eastAsia="Times New Roman" w:hAnsi="Times New Roman" w:cs="Times New Roman"/>
          <w:b/>
          <w:bCs/>
          <w:noProof/>
          <w:sz w:val="24"/>
          <w:szCs w:val="20"/>
        </w:rPr>
      </w:pPr>
    </w:p>
    <w:p w:rsidR="00211065" w:rsidRPr="003E628F" w:rsidRDefault="00211065" w:rsidP="003E628F">
      <w:pPr>
        <w:pStyle w:val="Pamatteksts"/>
        <w:ind w:left="0"/>
        <w:jc w:val="both"/>
        <w:rPr>
          <w:noProof/>
        </w:rPr>
      </w:pPr>
      <w:r>
        <w:t>Dalībvalstij, kur tiek iesniegta deklarācija, ir jārisina neatbilstība saskaņā ar šajā dalībvalstī spēkā esošajiem tiesību aktiem.</w:t>
      </w:r>
    </w:p>
    <w:p w:rsidR="00211065" w:rsidRPr="003E628F" w:rsidRDefault="00211065" w:rsidP="003E628F">
      <w:pPr>
        <w:jc w:val="both"/>
        <w:rPr>
          <w:rFonts w:ascii="Times New Roman" w:eastAsia="Times New Roman" w:hAnsi="Times New Roman" w:cs="Times New Roman"/>
          <w:noProof/>
          <w:sz w:val="24"/>
          <w:szCs w:val="21"/>
        </w:rPr>
      </w:pPr>
    </w:p>
    <w:p w:rsidR="00211065" w:rsidRPr="003E628F" w:rsidRDefault="00F943E1" w:rsidP="00F943E1">
      <w:pPr>
        <w:pStyle w:val="Virsraksts1"/>
        <w:tabs>
          <w:tab w:val="left" w:pos="1103"/>
        </w:tabs>
        <w:jc w:val="both"/>
        <w:rPr>
          <w:noProof/>
        </w:rPr>
      </w:pPr>
      <w:bookmarkStart w:id="209" w:name="_Toc490734357"/>
      <w:r>
        <w:t>d) Tādas neatbilstības piemērs, kas ir saistīta ar uzglabāto preču raksturu vai daudzumu</w:t>
      </w:r>
      <w:bookmarkEnd w:id="209"/>
    </w:p>
    <w:p w:rsidR="00211065" w:rsidRPr="003E628F" w:rsidRDefault="00211065" w:rsidP="003E628F">
      <w:pPr>
        <w:jc w:val="both"/>
        <w:rPr>
          <w:rFonts w:ascii="Times New Roman" w:eastAsia="Times New Roman" w:hAnsi="Times New Roman" w:cs="Times New Roman"/>
          <w:b/>
          <w:bCs/>
          <w:noProof/>
          <w:sz w:val="24"/>
          <w:szCs w:val="20"/>
        </w:rPr>
      </w:pPr>
    </w:p>
    <w:p w:rsidR="00211065" w:rsidRPr="003E628F" w:rsidRDefault="00211065" w:rsidP="003E628F">
      <w:pPr>
        <w:pStyle w:val="Pamatteksts"/>
        <w:ind w:left="0"/>
        <w:jc w:val="both"/>
        <w:rPr>
          <w:noProof/>
        </w:rPr>
      </w:pPr>
      <w:r>
        <w:t>Neatbilstīga preču izvešana vai aizstāšana ir jārisina saskaņā tās dalībvalsts spēkā esošajiem tiesību aktiem, kur šāda neatbilstība ir radusies.</w:t>
      </w:r>
    </w:p>
    <w:p w:rsidR="00211065" w:rsidRPr="003E628F" w:rsidRDefault="00211065" w:rsidP="003E628F">
      <w:pPr>
        <w:jc w:val="both"/>
        <w:rPr>
          <w:rFonts w:ascii="Times New Roman" w:eastAsia="Times New Roman" w:hAnsi="Times New Roman" w:cs="Times New Roman"/>
          <w:noProof/>
          <w:sz w:val="24"/>
          <w:szCs w:val="21"/>
        </w:rPr>
      </w:pPr>
    </w:p>
    <w:p w:rsidR="00211065" w:rsidRPr="003E628F" w:rsidRDefault="00F943E1" w:rsidP="00F943E1">
      <w:pPr>
        <w:pStyle w:val="Virsraksts1"/>
        <w:tabs>
          <w:tab w:val="left" w:pos="1103"/>
        </w:tabs>
        <w:jc w:val="both"/>
        <w:rPr>
          <w:noProof/>
        </w:rPr>
      </w:pPr>
      <w:bookmarkStart w:id="210" w:name="_Toc490734358"/>
      <w:r>
        <w:t>e) Tādas neatbilstības piemērs, kura rodas, deklarējot brīvai apgrozībai preces, kam piemēro procedūru</w:t>
      </w:r>
      <w:bookmarkEnd w:id="210"/>
    </w:p>
    <w:p w:rsidR="00211065" w:rsidRPr="003E628F" w:rsidRDefault="00211065" w:rsidP="003E628F">
      <w:pPr>
        <w:jc w:val="both"/>
        <w:rPr>
          <w:rFonts w:ascii="Times New Roman" w:eastAsia="Times New Roman" w:hAnsi="Times New Roman" w:cs="Times New Roman"/>
          <w:b/>
          <w:bCs/>
          <w:noProof/>
          <w:sz w:val="24"/>
          <w:szCs w:val="20"/>
        </w:rPr>
      </w:pPr>
    </w:p>
    <w:p w:rsidR="00211065" w:rsidRPr="003E628F" w:rsidRDefault="00211065" w:rsidP="003E628F">
      <w:pPr>
        <w:pStyle w:val="Pamatteksts"/>
        <w:ind w:left="0"/>
        <w:jc w:val="both"/>
        <w:rPr>
          <w:noProof/>
        </w:rPr>
      </w:pPr>
      <w:r>
        <w:t>Neatbilstība (būtiskas kļūdas), kas saistīta ar muitas deklarāciju (piemēram, kas neatbilst uzņēmuma reģistriem), ir jārisina saskaņā ar tās dalībvalsts spēkā esošajiem tiesību aktiem, kas ir piešķīrusi atļauju un kurā tika iesniegta muitas deklarācija.</w:t>
      </w:r>
    </w:p>
    <w:p w:rsidR="00211065" w:rsidRPr="003E628F" w:rsidRDefault="00211065" w:rsidP="003E628F">
      <w:pPr>
        <w:jc w:val="both"/>
        <w:rPr>
          <w:rFonts w:ascii="Times New Roman" w:eastAsia="Times New Roman" w:hAnsi="Times New Roman" w:cs="Times New Roman"/>
          <w:noProof/>
          <w:sz w:val="24"/>
          <w:szCs w:val="24"/>
        </w:rPr>
      </w:pPr>
    </w:p>
    <w:p w:rsidR="003E7A01" w:rsidRDefault="00211065" w:rsidP="00E030BE">
      <w:pPr>
        <w:pStyle w:val="Virsraksts2"/>
        <w:jc w:val="both"/>
        <w:rPr>
          <w:rFonts w:cs="Times New Roman"/>
          <w:b/>
          <w:bCs w:val="0"/>
          <w:i w:val="0"/>
          <w:noProof/>
          <w:szCs w:val="20"/>
        </w:rPr>
      </w:pPr>
      <w:bookmarkStart w:id="211" w:name="_Toc490734359"/>
      <w:r>
        <w:t>Jāņem vērā! Iepriekš minētie neatbilstības gadījumi ir saistīti ar finansiāliem jautājumiem, taču ir iespējami arī citi neatbilstības veidi</w:t>
      </w:r>
      <w:r>
        <w:rPr>
          <w:rStyle w:val="Vresatsauce"/>
          <w:noProof/>
        </w:rPr>
        <w:footnoteReference w:id="2"/>
      </w:r>
      <w:r>
        <w:t>.</w:t>
      </w:r>
      <w:bookmarkEnd w:id="211"/>
      <w:r w:rsidR="003E7A01">
        <w:br w:type="page"/>
      </w:r>
    </w:p>
    <w:p w:rsidR="00211065" w:rsidRPr="003E628F" w:rsidRDefault="00211065" w:rsidP="007B0D3D">
      <w:pPr>
        <w:pStyle w:val="Virsraksts1"/>
        <w:rPr>
          <w:noProof/>
        </w:rPr>
      </w:pPr>
      <w:bookmarkStart w:id="212" w:name="_Toc490734360"/>
      <w:r w:rsidRPr="007B0D3D">
        <w:lastRenderedPageBreak/>
        <w:t>PIELIKUMI</w:t>
      </w:r>
      <w:bookmarkStart w:id="213" w:name="_bookmark74"/>
      <w:bookmarkEnd w:id="213"/>
      <w:bookmarkEnd w:id="212"/>
    </w:p>
    <w:p w:rsidR="00211065" w:rsidRPr="003E628F" w:rsidRDefault="00211065" w:rsidP="003E7A01">
      <w:pPr>
        <w:jc w:val="center"/>
        <w:rPr>
          <w:rFonts w:ascii="Times New Roman" w:eastAsia="Times New Roman" w:hAnsi="Times New Roman" w:cs="Times New Roman"/>
          <w:b/>
          <w:bCs/>
          <w:noProof/>
          <w:sz w:val="24"/>
          <w:szCs w:val="28"/>
        </w:rPr>
      </w:pPr>
    </w:p>
    <w:p w:rsidR="00211065" w:rsidRPr="0016289A" w:rsidRDefault="00211065" w:rsidP="0016289A">
      <w:pPr>
        <w:pStyle w:val="Virsraksts2"/>
        <w:jc w:val="center"/>
      </w:pPr>
      <w:bookmarkStart w:id="214" w:name="_Toc490734361"/>
      <w:r w:rsidRPr="0016289A">
        <w:rPr>
          <w:b/>
        </w:rPr>
        <w:t>I PIELIKUMS</w:t>
      </w:r>
      <w:bookmarkStart w:id="215" w:name="_bookmark75"/>
      <w:bookmarkEnd w:id="215"/>
      <w:r w:rsidRPr="0016289A">
        <w:rPr>
          <w:rStyle w:val="Vresatsauce"/>
          <w:b/>
          <w:vertAlign w:val="baseline"/>
        </w:rPr>
        <w:footnoteReference w:id="3"/>
      </w:r>
      <w:r w:rsidR="007B0D3D" w:rsidRPr="0016289A">
        <w:br/>
      </w:r>
      <w:r w:rsidRPr="0016289A">
        <w:t>-</w:t>
      </w:r>
      <w:r w:rsidR="007B0D3D" w:rsidRPr="0016289A">
        <w:br/>
      </w:r>
      <w:r w:rsidRPr="0016289A">
        <w:rPr>
          <w:b/>
        </w:rPr>
        <w:t>PAZIŅOJUMS PAR IEKASĒŠANAS IZMAKSĀM UN IESPĒJAMIE IEKASĒŠANAS IZMAKSU SADALĪŠANAS RISINĀJUMI</w:t>
      </w:r>
      <w:bookmarkEnd w:id="214"/>
    </w:p>
    <w:p w:rsidR="00211065" w:rsidRPr="003E628F" w:rsidRDefault="00211065" w:rsidP="003E628F">
      <w:pPr>
        <w:jc w:val="both"/>
        <w:rPr>
          <w:rFonts w:ascii="Times New Roman" w:eastAsia="Times New Roman" w:hAnsi="Times New Roman" w:cs="Times New Roman"/>
          <w:b/>
          <w:bCs/>
          <w:i/>
          <w:noProof/>
          <w:sz w:val="24"/>
          <w:szCs w:val="31"/>
        </w:rPr>
      </w:pPr>
    </w:p>
    <w:p w:rsidR="00211065" w:rsidRPr="003E628F" w:rsidRDefault="00211065" w:rsidP="003E628F">
      <w:pPr>
        <w:jc w:val="both"/>
        <w:rPr>
          <w:rFonts w:ascii="Times New Roman" w:hAnsi="Times New Roman"/>
          <w:b/>
          <w:noProof/>
          <w:sz w:val="24"/>
        </w:rPr>
      </w:pPr>
      <w:r>
        <w:rPr>
          <w:rFonts w:ascii="Times New Roman" w:hAnsi="Times New Roman"/>
          <w:b/>
          <w:noProof/>
          <w:sz w:val="24"/>
        </w:rPr>
        <w:t>Paziņojums par sadalītajiem tradicionālajiem pašu resursiem vienā mēnesī</w:t>
      </w:r>
    </w:p>
    <w:p w:rsidR="00211065" w:rsidRPr="003E628F" w:rsidRDefault="00211065" w:rsidP="003E628F">
      <w:pPr>
        <w:jc w:val="both"/>
        <w:rPr>
          <w:rFonts w:ascii="Times New Roman" w:eastAsia="Times New Roman" w:hAnsi="Times New Roman" w:cs="Times New Roman"/>
          <w:b/>
          <w:bCs/>
          <w:noProof/>
          <w:sz w:val="24"/>
          <w:szCs w:val="21"/>
        </w:rPr>
      </w:pPr>
    </w:p>
    <w:tbl>
      <w:tblPr>
        <w:tblpPr w:leftFromText="180" w:rightFromText="180" w:vertAnchor="text" w:tblpY="1"/>
        <w:tblOverlap w:val="never"/>
        <w:tblW w:w="5000" w:type="pct"/>
        <w:tblCellMar>
          <w:top w:w="28" w:type="dxa"/>
          <w:left w:w="28" w:type="dxa"/>
          <w:bottom w:w="28" w:type="dxa"/>
          <w:right w:w="28" w:type="dxa"/>
        </w:tblCellMar>
        <w:tblLook w:val="01E0" w:firstRow="1" w:lastRow="1" w:firstColumn="1" w:lastColumn="1" w:noHBand="0" w:noVBand="0"/>
      </w:tblPr>
      <w:tblGrid>
        <w:gridCol w:w="1057"/>
        <w:gridCol w:w="1268"/>
        <w:gridCol w:w="1008"/>
        <w:gridCol w:w="899"/>
        <w:gridCol w:w="244"/>
        <w:gridCol w:w="1123"/>
        <w:gridCol w:w="745"/>
        <w:gridCol w:w="683"/>
        <w:gridCol w:w="1000"/>
        <w:gridCol w:w="1104"/>
      </w:tblGrid>
      <w:tr w:rsidR="00ED2A07" w:rsidRPr="003E7A01" w:rsidTr="00ED2A07">
        <w:trPr>
          <w:trHeight w:hRule="exact" w:val="983"/>
        </w:trPr>
        <w:tc>
          <w:tcPr>
            <w:tcW w:w="1273" w:type="pct"/>
            <w:gridSpan w:val="2"/>
            <w:tcBorders>
              <w:top w:val="single" w:sz="8" w:space="0" w:color="000000"/>
              <w:left w:val="single" w:sz="8" w:space="0" w:color="000000"/>
              <w:bottom w:val="single" w:sz="8" w:space="0" w:color="000000"/>
              <w:right w:val="single" w:sz="5" w:space="0" w:color="000000"/>
            </w:tcBorders>
            <w:vAlign w:val="center"/>
          </w:tcPr>
          <w:p w:rsidR="003E7A01" w:rsidRPr="003E7A01" w:rsidRDefault="003E7A01" w:rsidP="00ED2A07">
            <w:pPr>
              <w:pStyle w:val="TableParagraph"/>
              <w:jc w:val="center"/>
              <w:rPr>
                <w:rFonts w:ascii="Times New Roman" w:hAnsi="Times New Roman" w:cs="Times New Roman"/>
                <w:b/>
                <w:noProof/>
                <w:sz w:val="20"/>
                <w:szCs w:val="20"/>
              </w:rPr>
            </w:pPr>
            <w:r>
              <w:rPr>
                <w:rFonts w:ascii="Times New Roman" w:hAnsi="Times New Roman"/>
                <w:b/>
                <w:noProof/>
                <w:sz w:val="20"/>
              </w:rPr>
              <w:t>Uzņēmums</w:t>
            </w:r>
          </w:p>
        </w:tc>
        <w:tc>
          <w:tcPr>
            <w:tcW w:w="566" w:type="pct"/>
            <w:tcBorders>
              <w:top w:val="single" w:sz="8" w:space="0" w:color="000000"/>
              <w:left w:val="single" w:sz="5" w:space="0" w:color="000000"/>
              <w:bottom w:val="single" w:sz="8" w:space="0" w:color="000000"/>
              <w:right w:val="single" w:sz="5" w:space="0" w:color="000000"/>
            </w:tcBorders>
            <w:vAlign w:val="center"/>
          </w:tcPr>
          <w:p w:rsidR="003E7A01" w:rsidRPr="003E7A01" w:rsidRDefault="003E7A01" w:rsidP="00ED2A07">
            <w:pPr>
              <w:pStyle w:val="TableParagraph"/>
              <w:jc w:val="center"/>
              <w:rPr>
                <w:rFonts w:ascii="Times New Roman" w:hAnsi="Times New Roman" w:cs="Times New Roman"/>
                <w:noProof/>
                <w:sz w:val="20"/>
                <w:szCs w:val="20"/>
              </w:rPr>
            </w:pPr>
            <w:r>
              <w:rPr>
                <w:rFonts w:ascii="Times New Roman" w:hAnsi="Times New Roman"/>
                <w:noProof/>
                <w:sz w:val="20"/>
              </w:rPr>
              <w:t>Datums, kad veikts ieraksts reģistros</w:t>
            </w:r>
          </w:p>
        </w:tc>
        <w:tc>
          <w:tcPr>
            <w:tcW w:w="505" w:type="pct"/>
            <w:tcBorders>
              <w:top w:val="single" w:sz="8" w:space="0" w:color="000000"/>
              <w:left w:val="single" w:sz="5" w:space="0" w:color="000000"/>
              <w:bottom w:val="single" w:sz="8" w:space="0" w:color="000000"/>
              <w:right w:val="single" w:sz="5" w:space="0" w:color="000000"/>
            </w:tcBorders>
            <w:vAlign w:val="center"/>
          </w:tcPr>
          <w:p w:rsidR="003E7A01" w:rsidRPr="003E7A01" w:rsidRDefault="003E7A01" w:rsidP="00ED2A07">
            <w:pPr>
              <w:pStyle w:val="TableParagraph"/>
              <w:jc w:val="center"/>
              <w:rPr>
                <w:rFonts w:ascii="Times New Roman" w:hAnsi="Times New Roman" w:cs="Times New Roman"/>
                <w:noProof/>
                <w:sz w:val="20"/>
                <w:szCs w:val="20"/>
              </w:rPr>
            </w:pPr>
            <w:r>
              <w:rPr>
                <w:rFonts w:ascii="Times New Roman" w:hAnsi="Times New Roman"/>
                <w:noProof/>
                <w:sz w:val="20"/>
              </w:rPr>
              <w:t>Importa nodoklis</w:t>
            </w:r>
          </w:p>
        </w:tc>
        <w:tc>
          <w:tcPr>
            <w:tcW w:w="146" w:type="pct"/>
            <w:tcBorders>
              <w:top w:val="single" w:sz="8" w:space="0" w:color="000000"/>
              <w:left w:val="single" w:sz="5" w:space="0" w:color="000000"/>
              <w:bottom w:val="single" w:sz="8" w:space="0" w:color="000000"/>
              <w:right w:val="single" w:sz="5" w:space="0" w:color="000000"/>
            </w:tcBorders>
            <w:shd w:val="clear" w:color="auto" w:fill="000000" w:themeFill="text1"/>
            <w:vAlign w:val="center"/>
          </w:tcPr>
          <w:p w:rsidR="003E7A01" w:rsidRPr="003E7A01" w:rsidRDefault="003E7A01" w:rsidP="00ED2A07">
            <w:pPr>
              <w:pStyle w:val="TableParagraph"/>
              <w:jc w:val="center"/>
              <w:rPr>
                <w:rFonts w:ascii="Times New Roman" w:hAnsi="Times New Roman" w:cs="Times New Roman"/>
                <w:noProof/>
                <w:sz w:val="20"/>
                <w:szCs w:val="20"/>
              </w:rPr>
            </w:pPr>
          </w:p>
        </w:tc>
        <w:tc>
          <w:tcPr>
            <w:tcW w:w="599" w:type="pct"/>
            <w:tcBorders>
              <w:top w:val="single" w:sz="8" w:space="0" w:color="000000"/>
              <w:left w:val="single" w:sz="5" w:space="0" w:color="000000"/>
              <w:bottom w:val="single" w:sz="8" w:space="0" w:color="000000"/>
              <w:right w:val="single" w:sz="5" w:space="0" w:color="000000"/>
            </w:tcBorders>
            <w:vAlign w:val="center"/>
          </w:tcPr>
          <w:p w:rsidR="003E7A01" w:rsidRPr="003E7A01" w:rsidRDefault="00ED2A07" w:rsidP="00ED2A07">
            <w:pPr>
              <w:pStyle w:val="TableParagraph"/>
              <w:jc w:val="center"/>
              <w:rPr>
                <w:rFonts w:ascii="Times New Roman" w:hAnsi="Times New Roman" w:cs="Times New Roman"/>
                <w:noProof/>
                <w:sz w:val="20"/>
                <w:szCs w:val="20"/>
              </w:rPr>
            </w:pPr>
            <w:r>
              <w:rPr>
                <w:rFonts w:ascii="Times New Roman" w:hAnsi="Times New Roman"/>
                <w:noProof/>
                <w:sz w:val="20"/>
              </w:rPr>
              <w:t>Atmaksāšana</w:t>
            </w:r>
          </w:p>
        </w:tc>
        <w:tc>
          <w:tcPr>
            <w:tcW w:w="417" w:type="pct"/>
            <w:tcBorders>
              <w:top w:val="single" w:sz="8" w:space="0" w:color="000000"/>
              <w:left w:val="single" w:sz="5" w:space="0" w:color="000000"/>
              <w:bottom w:val="single" w:sz="8" w:space="0" w:color="000000"/>
              <w:right w:val="single" w:sz="5" w:space="0" w:color="000000"/>
            </w:tcBorders>
            <w:vAlign w:val="center"/>
          </w:tcPr>
          <w:p w:rsidR="003E7A01" w:rsidRPr="003E7A01" w:rsidRDefault="003E7A01" w:rsidP="00ED2A07">
            <w:pPr>
              <w:pStyle w:val="TableParagraph"/>
              <w:jc w:val="center"/>
              <w:rPr>
                <w:rFonts w:ascii="Times New Roman" w:hAnsi="Times New Roman" w:cs="Times New Roman"/>
                <w:noProof/>
                <w:sz w:val="20"/>
                <w:szCs w:val="20"/>
              </w:rPr>
            </w:pPr>
            <w:r>
              <w:rPr>
                <w:rFonts w:ascii="Times New Roman" w:hAnsi="Times New Roman"/>
                <w:noProof/>
                <w:sz w:val="20"/>
              </w:rPr>
              <w:t>Importa nodoklis</w:t>
            </w:r>
          </w:p>
        </w:tc>
        <w:tc>
          <w:tcPr>
            <w:tcW w:w="390" w:type="pct"/>
            <w:tcBorders>
              <w:top w:val="single" w:sz="8" w:space="0" w:color="000000"/>
              <w:left w:val="single" w:sz="5" w:space="0" w:color="000000"/>
              <w:bottom w:val="single" w:sz="8" w:space="0" w:color="000000"/>
              <w:right w:val="single" w:sz="5" w:space="0" w:color="000000"/>
            </w:tcBorders>
            <w:vAlign w:val="center"/>
          </w:tcPr>
          <w:p w:rsidR="003E7A01" w:rsidRPr="003E7A01" w:rsidRDefault="003E7A01" w:rsidP="00ED2A07">
            <w:pPr>
              <w:pStyle w:val="TableParagraph"/>
              <w:jc w:val="center"/>
              <w:rPr>
                <w:rFonts w:ascii="Times New Roman" w:hAnsi="Times New Roman" w:cs="Times New Roman"/>
                <w:noProof/>
                <w:sz w:val="20"/>
                <w:szCs w:val="20"/>
              </w:rPr>
            </w:pPr>
            <w:r>
              <w:rPr>
                <w:rFonts w:ascii="Times New Roman" w:hAnsi="Times New Roman"/>
                <w:noProof/>
                <w:sz w:val="20"/>
              </w:rPr>
              <w:t>Kopā</w:t>
            </w:r>
          </w:p>
        </w:tc>
        <w:tc>
          <w:tcPr>
            <w:tcW w:w="487" w:type="pct"/>
            <w:tcBorders>
              <w:top w:val="single" w:sz="8" w:space="0" w:color="000000"/>
              <w:left w:val="single" w:sz="5" w:space="0" w:color="000000"/>
              <w:bottom w:val="single" w:sz="8" w:space="0" w:color="000000"/>
              <w:right w:val="single" w:sz="8" w:space="0" w:color="000000"/>
            </w:tcBorders>
            <w:vAlign w:val="center"/>
          </w:tcPr>
          <w:p w:rsidR="003E7A01" w:rsidRPr="003E7A01" w:rsidRDefault="003E7A01" w:rsidP="00ED2A07">
            <w:pPr>
              <w:pStyle w:val="TableParagraph"/>
              <w:jc w:val="center"/>
              <w:rPr>
                <w:rFonts w:ascii="Times New Roman" w:hAnsi="Times New Roman" w:cs="Times New Roman"/>
                <w:noProof/>
                <w:sz w:val="20"/>
                <w:szCs w:val="20"/>
              </w:rPr>
            </w:pPr>
            <w:r>
              <w:rPr>
                <w:rFonts w:ascii="Times New Roman" w:hAnsi="Times New Roman"/>
                <w:noProof/>
                <w:sz w:val="20"/>
              </w:rPr>
              <w:t>Iekasēšanas izmaksas</w:t>
            </w:r>
          </w:p>
        </w:tc>
        <w:tc>
          <w:tcPr>
            <w:tcW w:w="617" w:type="pct"/>
            <w:tcBorders>
              <w:top w:val="single" w:sz="8" w:space="0" w:color="000000"/>
              <w:left w:val="single" w:sz="8" w:space="0" w:color="000000"/>
              <w:bottom w:val="single" w:sz="8" w:space="0" w:color="000000"/>
              <w:right w:val="single" w:sz="8" w:space="0" w:color="000000"/>
            </w:tcBorders>
            <w:vAlign w:val="center"/>
          </w:tcPr>
          <w:p w:rsidR="003E7A01" w:rsidRPr="003E7A01" w:rsidRDefault="003E7A01" w:rsidP="00ED2A07">
            <w:pPr>
              <w:pStyle w:val="TableParagraph"/>
              <w:jc w:val="center"/>
              <w:rPr>
                <w:rFonts w:ascii="Times New Roman" w:hAnsi="Times New Roman" w:cs="Times New Roman"/>
                <w:b/>
                <w:noProof/>
                <w:sz w:val="20"/>
                <w:szCs w:val="20"/>
              </w:rPr>
            </w:pPr>
            <w:r>
              <w:rPr>
                <w:rFonts w:ascii="Times New Roman" w:hAnsi="Times New Roman"/>
                <w:b/>
                <w:noProof/>
                <w:sz w:val="20"/>
              </w:rPr>
              <w:t>Maksājuma termiņš</w:t>
            </w:r>
          </w:p>
        </w:tc>
      </w:tr>
      <w:tr w:rsidR="00ED2A07" w:rsidRPr="003E7A01" w:rsidTr="00ED2A07">
        <w:trPr>
          <w:trHeight w:hRule="exact" w:val="596"/>
        </w:trPr>
        <w:tc>
          <w:tcPr>
            <w:tcW w:w="591" w:type="pct"/>
            <w:tcBorders>
              <w:top w:val="single" w:sz="8" w:space="0" w:color="000000"/>
              <w:left w:val="single" w:sz="8" w:space="0" w:color="000000"/>
              <w:bottom w:val="single" w:sz="8" w:space="0" w:color="000000"/>
              <w:right w:val="single" w:sz="5" w:space="0" w:color="000000"/>
            </w:tcBorders>
            <w:vAlign w:val="center"/>
          </w:tcPr>
          <w:p w:rsidR="003E7A01" w:rsidRPr="003E7A01" w:rsidRDefault="003E7A01" w:rsidP="00ED2A07">
            <w:pPr>
              <w:pStyle w:val="TableParagraph"/>
              <w:jc w:val="center"/>
              <w:rPr>
                <w:rFonts w:ascii="Times New Roman" w:hAnsi="Times New Roman" w:cs="Times New Roman"/>
                <w:b/>
                <w:noProof/>
                <w:sz w:val="20"/>
                <w:szCs w:val="20"/>
              </w:rPr>
            </w:pPr>
            <w:r>
              <w:rPr>
                <w:rFonts w:ascii="Times New Roman" w:hAnsi="Times New Roman"/>
                <w:b/>
                <w:noProof/>
                <w:sz w:val="20"/>
              </w:rPr>
              <w:t>Nosaukums</w:t>
            </w:r>
          </w:p>
        </w:tc>
        <w:tc>
          <w:tcPr>
            <w:tcW w:w="682" w:type="pct"/>
            <w:tcBorders>
              <w:top w:val="single" w:sz="8" w:space="0" w:color="000000"/>
              <w:left w:val="single" w:sz="5" w:space="0" w:color="000000"/>
              <w:bottom w:val="single" w:sz="8" w:space="0" w:color="000000"/>
              <w:right w:val="single" w:sz="5" w:space="0" w:color="000000"/>
            </w:tcBorders>
            <w:vAlign w:val="center"/>
          </w:tcPr>
          <w:p w:rsidR="003E7A01" w:rsidRPr="003E7A01" w:rsidRDefault="003E7A01" w:rsidP="00ED2A07">
            <w:pPr>
              <w:pStyle w:val="TableParagraph"/>
              <w:jc w:val="center"/>
              <w:rPr>
                <w:rFonts w:ascii="Times New Roman" w:hAnsi="Times New Roman" w:cs="Times New Roman"/>
                <w:b/>
                <w:noProof/>
                <w:sz w:val="20"/>
                <w:szCs w:val="20"/>
              </w:rPr>
            </w:pPr>
            <w:r>
              <w:rPr>
                <w:rFonts w:ascii="Times New Roman" w:hAnsi="Times New Roman"/>
                <w:b/>
                <w:noProof/>
                <w:sz w:val="20"/>
              </w:rPr>
              <w:t>Atļaujas identifikācijas numurs</w:t>
            </w:r>
          </w:p>
        </w:tc>
        <w:tc>
          <w:tcPr>
            <w:tcW w:w="566" w:type="pct"/>
            <w:tcBorders>
              <w:top w:val="single" w:sz="8" w:space="0" w:color="000000"/>
              <w:left w:val="single" w:sz="5" w:space="0" w:color="000000"/>
              <w:bottom w:val="single" w:sz="8" w:space="0" w:color="000000"/>
              <w:right w:val="single" w:sz="5" w:space="0" w:color="000000"/>
            </w:tcBorders>
            <w:vAlign w:val="center"/>
          </w:tcPr>
          <w:p w:rsidR="003E7A01" w:rsidRPr="003E7A01" w:rsidRDefault="003E7A01" w:rsidP="00ED2A07">
            <w:pPr>
              <w:jc w:val="center"/>
              <w:rPr>
                <w:rFonts w:ascii="Times New Roman" w:hAnsi="Times New Roman" w:cs="Times New Roman"/>
                <w:noProof/>
                <w:sz w:val="20"/>
                <w:szCs w:val="20"/>
              </w:rPr>
            </w:pPr>
          </w:p>
        </w:tc>
        <w:tc>
          <w:tcPr>
            <w:tcW w:w="505" w:type="pct"/>
            <w:tcBorders>
              <w:top w:val="single" w:sz="8" w:space="0" w:color="000000"/>
              <w:left w:val="single" w:sz="5" w:space="0" w:color="000000"/>
              <w:bottom w:val="single" w:sz="8" w:space="0" w:color="000000"/>
              <w:right w:val="single" w:sz="5" w:space="0" w:color="000000"/>
            </w:tcBorders>
            <w:vAlign w:val="center"/>
          </w:tcPr>
          <w:p w:rsidR="003E7A01" w:rsidRPr="003E7A01" w:rsidRDefault="003E7A01" w:rsidP="00ED2A07">
            <w:pPr>
              <w:pStyle w:val="TableParagraph"/>
              <w:jc w:val="center"/>
              <w:rPr>
                <w:rFonts w:ascii="Times New Roman" w:hAnsi="Times New Roman" w:cs="Times New Roman"/>
                <w:noProof/>
                <w:sz w:val="20"/>
                <w:szCs w:val="20"/>
              </w:rPr>
            </w:pPr>
            <w:r>
              <w:rPr>
                <w:rFonts w:ascii="Times New Roman" w:hAnsi="Times New Roman"/>
                <w:noProof/>
                <w:sz w:val="20"/>
              </w:rPr>
              <w:t>Summa X</w:t>
            </w:r>
          </w:p>
        </w:tc>
        <w:tc>
          <w:tcPr>
            <w:tcW w:w="146" w:type="pct"/>
            <w:tcBorders>
              <w:top w:val="single" w:sz="8" w:space="0" w:color="000000"/>
              <w:left w:val="single" w:sz="5" w:space="0" w:color="000000"/>
              <w:bottom w:val="single" w:sz="8" w:space="0" w:color="000000"/>
              <w:right w:val="single" w:sz="5" w:space="0" w:color="000000"/>
            </w:tcBorders>
            <w:shd w:val="clear" w:color="auto" w:fill="000000" w:themeFill="text1"/>
            <w:vAlign w:val="center"/>
          </w:tcPr>
          <w:p w:rsidR="003E7A01" w:rsidRPr="003E7A01" w:rsidRDefault="003E7A01" w:rsidP="00ED2A07">
            <w:pPr>
              <w:pStyle w:val="TableParagraph"/>
              <w:jc w:val="center"/>
              <w:rPr>
                <w:rFonts w:ascii="Times New Roman" w:hAnsi="Times New Roman" w:cs="Times New Roman"/>
                <w:noProof/>
                <w:sz w:val="20"/>
                <w:szCs w:val="20"/>
              </w:rPr>
            </w:pPr>
          </w:p>
        </w:tc>
        <w:tc>
          <w:tcPr>
            <w:tcW w:w="599" w:type="pct"/>
            <w:tcBorders>
              <w:top w:val="single" w:sz="8" w:space="0" w:color="000000"/>
              <w:left w:val="single" w:sz="5" w:space="0" w:color="000000"/>
              <w:bottom w:val="single" w:sz="8" w:space="0" w:color="000000"/>
              <w:right w:val="single" w:sz="5" w:space="0" w:color="000000"/>
            </w:tcBorders>
            <w:vAlign w:val="center"/>
          </w:tcPr>
          <w:p w:rsidR="003E7A01" w:rsidRPr="003E7A01" w:rsidRDefault="00ED2A07" w:rsidP="00ED2A07">
            <w:pPr>
              <w:pStyle w:val="TableParagraph"/>
              <w:jc w:val="center"/>
              <w:rPr>
                <w:rFonts w:ascii="Times New Roman" w:hAnsi="Times New Roman" w:cs="Times New Roman"/>
                <w:noProof/>
                <w:sz w:val="20"/>
                <w:szCs w:val="20"/>
              </w:rPr>
            </w:pPr>
            <w:r>
              <w:rPr>
                <w:rFonts w:ascii="Times New Roman" w:hAnsi="Times New Roman"/>
                <w:noProof/>
                <w:sz w:val="20"/>
              </w:rPr>
              <w:t>Datnes Nr.</w:t>
            </w:r>
          </w:p>
        </w:tc>
        <w:tc>
          <w:tcPr>
            <w:tcW w:w="417" w:type="pct"/>
            <w:tcBorders>
              <w:top w:val="single" w:sz="8" w:space="0" w:color="000000"/>
              <w:left w:val="single" w:sz="5" w:space="0" w:color="000000"/>
              <w:bottom w:val="single" w:sz="8" w:space="0" w:color="000000"/>
              <w:right w:val="single" w:sz="5" w:space="0" w:color="000000"/>
            </w:tcBorders>
            <w:vAlign w:val="center"/>
          </w:tcPr>
          <w:p w:rsidR="003E7A01" w:rsidRPr="003E7A01" w:rsidRDefault="003E7A01" w:rsidP="00ED2A07">
            <w:pPr>
              <w:pStyle w:val="TableParagraph"/>
              <w:jc w:val="center"/>
              <w:rPr>
                <w:rFonts w:ascii="Times New Roman" w:hAnsi="Times New Roman" w:cs="Times New Roman"/>
                <w:noProof/>
                <w:sz w:val="20"/>
                <w:szCs w:val="20"/>
              </w:rPr>
            </w:pPr>
            <w:r>
              <w:rPr>
                <w:rFonts w:ascii="Times New Roman" w:hAnsi="Times New Roman"/>
                <w:noProof/>
                <w:sz w:val="20"/>
              </w:rPr>
              <w:t>Summa Y</w:t>
            </w:r>
          </w:p>
        </w:tc>
        <w:tc>
          <w:tcPr>
            <w:tcW w:w="390" w:type="pct"/>
            <w:tcBorders>
              <w:top w:val="single" w:sz="8" w:space="0" w:color="000000"/>
              <w:left w:val="single" w:sz="5" w:space="0" w:color="000000"/>
              <w:bottom w:val="single" w:sz="8" w:space="0" w:color="000000"/>
              <w:right w:val="single" w:sz="5" w:space="0" w:color="000000"/>
            </w:tcBorders>
            <w:vAlign w:val="center"/>
          </w:tcPr>
          <w:p w:rsidR="003E7A01" w:rsidRPr="003E7A01" w:rsidRDefault="003E7A01" w:rsidP="00ED2A07">
            <w:pPr>
              <w:pStyle w:val="TableParagraph"/>
              <w:jc w:val="center"/>
              <w:rPr>
                <w:rFonts w:ascii="Times New Roman" w:hAnsi="Times New Roman" w:cs="Times New Roman"/>
                <w:noProof/>
                <w:sz w:val="20"/>
                <w:szCs w:val="20"/>
              </w:rPr>
            </w:pPr>
            <w:r>
              <w:rPr>
                <w:rFonts w:ascii="Times New Roman" w:hAnsi="Times New Roman"/>
                <w:noProof/>
                <w:sz w:val="20"/>
              </w:rPr>
              <w:t>Summa X–Y</w:t>
            </w:r>
          </w:p>
        </w:tc>
        <w:tc>
          <w:tcPr>
            <w:tcW w:w="487" w:type="pct"/>
            <w:tcBorders>
              <w:top w:val="single" w:sz="8" w:space="0" w:color="000000"/>
              <w:left w:val="single" w:sz="5" w:space="0" w:color="000000"/>
              <w:bottom w:val="single" w:sz="8" w:space="0" w:color="000000"/>
              <w:right w:val="single" w:sz="8" w:space="0" w:color="000000"/>
            </w:tcBorders>
            <w:vAlign w:val="center"/>
          </w:tcPr>
          <w:p w:rsidR="003E7A01" w:rsidRPr="003E7A01" w:rsidRDefault="003E7A01" w:rsidP="00ED2A07">
            <w:pPr>
              <w:pStyle w:val="TableParagraph"/>
              <w:jc w:val="center"/>
              <w:rPr>
                <w:rFonts w:ascii="Times New Roman" w:hAnsi="Times New Roman" w:cs="Times New Roman"/>
                <w:noProof/>
                <w:sz w:val="20"/>
                <w:szCs w:val="20"/>
              </w:rPr>
            </w:pPr>
            <w:r>
              <w:rPr>
                <w:rFonts w:ascii="Times New Roman" w:hAnsi="Times New Roman"/>
                <w:noProof/>
                <w:sz w:val="20"/>
              </w:rPr>
              <w:t>50 % (no 25 %)</w:t>
            </w:r>
          </w:p>
        </w:tc>
        <w:tc>
          <w:tcPr>
            <w:tcW w:w="617" w:type="pct"/>
            <w:tcBorders>
              <w:top w:val="single" w:sz="8" w:space="0" w:color="000000"/>
              <w:left w:val="single" w:sz="8" w:space="0" w:color="000000"/>
              <w:bottom w:val="single" w:sz="8" w:space="0" w:color="000000"/>
              <w:right w:val="single" w:sz="8" w:space="0" w:color="000000"/>
            </w:tcBorders>
          </w:tcPr>
          <w:p w:rsidR="003E7A01" w:rsidRPr="003E7A01" w:rsidRDefault="003E7A01" w:rsidP="00ED2A07">
            <w:pPr>
              <w:jc w:val="both"/>
              <w:rPr>
                <w:rFonts w:ascii="Times New Roman" w:hAnsi="Times New Roman" w:cs="Times New Roman"/>
                <w:noProof/>
                <w:sz w:val="20"/>
                <w:szCs w:val="20"/>
              </w:rPr>
            </w:pPr>
          </w:p>
        </w:tc>
      </w:tr>
      <w:tr w:rsidR="00ED2A07" w:rsidRPr="003E7A01" w:rsidTr="00ED2A07">
        <w:trPr>
          <w:trHeight w:hRule="exact" w:val="269"/>
        </w:trPr>
        <w:tc>
          <w:tcPr>
            <w:tcW w:w="591" w:type="pct"/>
            <w:tcBorders>
              <w:top w:val="single" w:sz="8" w:space="0" w:color="000000"/>
              <w:left w:val="single" w:sz="8" w:space="0" w:color="000000"/>
              <w:bottom w:val="single" w:sz="5" w:space="0" w:color="000000"/>
              <w:right w:val="single" w:sz="5" w:space="0" w:color="000000"/>
            </w:tcBorders>
          </w:tcPr>
          <w:p w:rsidR="003E7A01" w:rsidRPr="003E7A01" w:rsidRDefault="003E7A01" w:rsidP="00ED2A07">
            <w:pPr>
              <w:jc w:val="both"/>
              <w:rPr>
                <w:rFonts w:ascii="Times New Roman" w:hAnsi="Times New Roman" w:cs="Times New Roman"/>
                <w:noProof/>
                <w:sz w:val="20"/>
                <w:szCs w:val="20"/>
              </w:rPr>
            </w:pPr>
          </w:p>
        </w:tc>
        <w:tc>
          <w:tcPr>
            <w:tcW w:w="682" w:type="pct"/>
            <w:tcBorders>
              <w:top w:val="single" w:sz="8" w:space="0" w:color="000000"/>
              <w:left w:val="single" w:sz="5" w:space="0" w:color="000000"/>
              <w:bottom w:val="single" w:sz="5" w:space="0" w:color="000000"/>
              <w:right w:val="single" w:sz="5" w:space="0" w:color="000000"/>
            </w:tcBorders>
          </w:tcPr>
          <w:p w:rsidR="003E7A01" w:rsidRPr="003E7A01" w:rsidRDefault="003E7A01" w:rsidP="00ED2A07">
            <w:pPr>
              <w:jc w:val="both"/>
              <w:rPr>
                <w:rFonts w:ascii="Times New Roman" w:hAnsi="Times New Roman" w:cs="Times New Roman"/>
                <w:noProof/>
                <w:sz w:val="20"/>
                <w:szCs w:val="20"/>
              </w:rPr>
            </w:pPr>
          </w:p>
        </w:tc>
        <w:tc>
          <w:tcPr>
            <w:tcW w:w="566" w:type="pct"/>
            <w:tcBorders>
              <w:top w:val="single" w:sz="8" w:space="0" w:color="000000"/>
              <w:left w:val="single" w:sz="5" w:space="0" w:color="000000"/>
              <w:bottom w:val="single" w:sz="5" w:space="0" w:color="000000"/>
              <w:right w:val="single" w:sz="5" w:space="0" w:color="000000"/>
            </w:tcBorders>
          </w:tcPr>
          <w:p w:rsidR="003E7A01" w:rsidRPr="003E7A01" w:rsidRDefault="003E7A01" w:rsidP="00ED2A07">
            <w:pPr>
              <w:jc w:val="both"/>
              <w:rPr>
                <w:rFonts w:ascii="Times New Roman" w:hAnsi="Times New Roman" w:cs="Times New Roman"/>
                <w:noProof/>
                <w:sz w:val="20"/>
                <w:szCs w:val="20"/>
              </w:rPr>
            </w:pPr>
          </w:p>
        </w:tc>
        <w:tc>
          <w:tcPr>
            <w:tcW w:w="505" w:type="pct"/>
            <w:tcBorders>
              <w:top w:val="single" w:sz="8" w:space="0" w:color="000000"/>
              <w:left w:val="single" w:sz="5" w:space="0" w:color="000000"/>
              <w:bottom w:val="single" w:sz="5" w:space="0" w:color="000000"/>
              <w:right w:val="single" w:sz="5" w:space="0" w:color="000000"/>
            </w:tcBorders>
          </w:tcPr>
          <w:p w:rsidR="003E7A01" w:rsidRPr="003E7A01" w:rsidRDefault="003E7A01" w:rsidP="00ED2A07">
            <w:pPr>
              <w:jc w:val="both"/>
              <w:rPr>
                <w:rFonts w:ascii="Times New Roman" w:hAnsi="Times New Roman" w:cs="Times New Roman"/>
                <w:noProof/>
                <w:sz w:val="20"/>
                <w:szCs w:val="20"/>
              </w:rPr>
            </w:pPr>
          </w:p>
        </w:tc>
        <w:tc>
          <w:tcPr>
            <w:tcW w:w="146" w:type="pct"/>
            <w:tcBorders>
              <w:top w:val="single" w:sz="8" w:space="0" w:color="000000"/>
              <w:left w:val="single" w:sz="5" w:space="0" w:color="000000"/>
              <w:bottom w:val="single" w:sz="5" w:space="0" w:color="000000"/>
              <w:right w:val="single" w:sz="5" w:space="0" w:color="000000"/>
            </w:tcBorders>
            <w:shd w:val="clear" w:color="auto" w:fill="000000" w:themeFill="text1"/>
          </w:tcPr>
          <w:p w:rsidR="003E7A01" w:rsidRPr="003E7A01" w:rsidRDefault="003E7A01" w:rsidP="00ED2A07">
            <w:pPr>
              <w:jc w:val="both"/>
              <w:rPr>
                <w:rFonts w:ascii="Times New Roman" w:hAnsi="Times New Roman" w:cs="Times New Roman"/>
                <w:noProof/>
                <w:sz w:val="20"/>
                <w:szCs w:val="20"/>
              </w:rPr>
            </w:pPr>
          </w:p>
        </w:tc>
        <w:tc>
          <w:tcPr>
            <w:tcW w:w="599" w:type="pct"/>
            <w:tcBorders>
              <w:top w:val="single" w:sz="8" w:space="0" w:color="000000"/>
              <w:left w:val="single" w:sz="5" w:space="0" w:color="000000"/>
              <w:bottom w:val="single" w:sz="5" w:space="0" w:color="000000"/>
              <w:right w:val="single" w:sz="5" w:space="0" w:color="000000"/>
            </w:tcBorders>
          </w:tcPr>
          <w:p w:rsidR="003E7A01" w:rsidRPr="003E7A01" w:rsidRDefault="003E7A01" w:rsidP="00ED2A07">
            <w:pPr>
              <w:jc w:val="both"/>
              <w:rPr>
                <w:rFonts w:ascii="Times New Roman" w:hAnsi="Times New Roman" w:cs="Times New Roman"/>
                <w:noProof/>
                <w:sz w:val="20"/>
                <w:szCs w:val="20"/>
              </w:rPr>
            </w:pPr>
          </w:p>
        </w:tc>
        <w:tc>
          <w:tcPr>
            <w:tcW w:w="417" w:type="pct"/>
            <w:tcBorders>
              <w:top w:val="single" w:sz="8" w:space="0" w:color="000000"/>
              <w:left w:val="single" w:sz="5" w:space="0" w:color="000000"/>
              <w:bottom w:val="single" w:sz="5" w:space="0" w:color="000000"/>
              <w:right w:val="single" w:sz="5" w:space="0" w:color="000000"/>
            </w:tcBorders>
          </w:tcPr>
          <w:p w:rsidR="003E7A01" w:rsidRPr="003E7A01" w:rsidRDefault="003E7A01" w:rsidP="00ED2A07">
            <w:pPr>
              <w:jc w:val="both"/>
              <w:rPr>
                <w:rFonts w:ascii="Times New Roman" w:hAnsi="Times New Roman" w:cs="Times New Roman"/>
                <w:noProof/>
                <w:sz w:val="20"/>
                <w:szCs w:val="20"/>
              </w:rPr>
            </w:pPr>
          </w:p>
        </w:tc>
        <w:tc>
          <w:tcPr>
            <w:tcW w:w="390" w:type="pct"/>
            <w:tcBorders>
              <w:top w:val="single" w:sz="8" w:space="0" w:color="000000"/>
              <w:left w:val="single" w:sz="5" w:space="0" w:color="000000"/>
              <w:bottom w:val="single" w:sz="5" w:space="0" w:color="000000"/>
              <w:right w:val="single" w:sz="5" w:space="0" w:color="000000"/>
            </w:tcBorders>
          </w:tcPr>
          <w:p w:rsidR="003E7A01" w:rsidRPr="003E7A01" w:rsidRDefault="003E7A01" w:rsidP="00ED2A07">
            <w:pPr>
              <w:jc w:val="both"/>
              <w:rPr>
                <w:rFonts w:ascii="Times New Roman" w:hAnsi="Times New Roman" w:cs="Times New Roman"/>
                <w:noProof/>
                <w:sz w:val="20"/>
                <w:szCs w:val="20"/>
              </w:rPr>
            </w:pPr>
          </w:p>
        </w:tc>
        <w:tc>
          <w:tcPr>
            <w:tcW w:w="487" w:type="pct"/>
            <w:tcBorders>
              <w:top w:val="single" w:sz="8" w:space="0" w:color="000000"/>
              <w:left w:val="single" w:sz="5" w:space="0" w:color="000000"/>
              <w:bottom w:val="single" w:sz="5" w:space="0" w:color="000000"/>
              <w:right w:val="single" w:sz="8" w:space="0" w:color="000000"/>
            </w:tcBorders>
          </w:tcPr>
          <w:p w:rsidR="003E7A01" w:rsidRPr="003E7A01" w:rsidRDefault="003E7A01" w:rsidP="00ED2A07">
            <w:pPr>
              <w:jc w:val="both"/>
              <w:rPr>
                <w:rFonts w:ascii="Times New Roman" w:hAnsi="Times New Roman" w:cs="Times New Roman"/>
                <w:noProof/>
                <w:sz w:val="20"/>
                <w:szCs w:val="20"/>
              </w:rPr>
            </w:pPr>
          </w:p>
        </w:tc>
        <w:tc>
          <w:tcPr>
            <w:tcW w:w="617" w:type="pct"/>
            <w:tcBorders>
              <w:top w:val="single" w:sz="8" w:space="0" w:color="000000"/>
              <w:left w:val="single" w:sz="8" w:space="0" w:color="000000"/>
              <w:bottom w:val="single" w:sz="5" w:space="0" w:color="000000"/>
              <w:right w:val="single" w:sz="8" w:space="0" w:color="000000"/>
            </w:tcBorders>
          </w:tcPr>
          <w:p w:rsidR="003E7A01" w:rsidRPr="003E7A01" w:rsidRDefault="003E7A01" w:rsidP="00ED2A07">
            <w:pPr>
              <w:jc w:val="both"/>
              <w:rPr>
                <w:rFonts w:ascii="Times New Roman" w:hAnsi="Times New Roman" w:cs="Times New Roman"/>
                <w:noProof/>
                <w:sz w:val="20"/>
                <w:szCs w:val="20"/>
              </w:rPr>
            </w:pPr>
          </w:p>
        </w:tc>
      </w:tr>
      <w:tr w:rsidR="00ED2A07" w:rsidRPr="003E7A01" w:rsidTr="00ED2A07">
        <w:trPr>
          <w:trHeight w:hRule="exact" w:val="266"/>
        </w:trPr>
        <w:tc>
          <w:tcPr>
            <w:tcW w:w="591" w:type="pct"/>
            <w:tcBorders>
              <w:top w:val="single" w:sz="5" w:space="0" w:color="000000"/>
              <w:left w:val="single" w:sz="8" w:space="0" w:color="000000"/>
              <w:bottom w:val="single" w:sz="5" w:space="0" w:color="000000"/>
              <w:right w:val="single" w:sz="5" w:space="0" w:color="000000"/>
            </w:tcBorders>
          </w:tcPr>
          <w:p w:rsidR="003E7A01" w:rsidRPr="003E7A01" w:rsidRDefault="003E7A01" w:rsidP="00ED2A07">
            <w:pPr>
              <w:jc w:val="both"/>
              <w:rPr>
                <w:rFonts w:ascii="Times New Roman" w:hAnsi="Times New Roman" w:cs="Times New Roman"/>
                <w:noProof/>
                <w:sz w:val="20"/>
                <w:szCs w:val="20"/>
              </w:rPr>
            </w:pPr>
          </w:p>
        </w:tc>
        <w:tc>
          <w:tcPr>
            <w:tcW w:w="682" w:type="pct"/>
            <w:tcBorders>
              <w:top w:val="single" w:sz="5" w:space="0" w:color="000000"/>
              <w:left w:val="single" w:sz="5" w:space="0" w:color="000000"/>
              <w:bottom w:val="single" w:sz="5" w:space="0" w:color="000000"/>
              <w:right w:val="single" w:sz="5" w:space="0" w:color="000000"/>
            </w:tcBorders>
          </w:tcPr>
          <w:p w:rsidR="003E7A01" w:rsidRPr="003E7A01" w:rsidRDefault="003E7A01" w:rsidP="00ED2A07">
            <w:pPr>
              <w:jc w:val="both"/>
              <w:rPr>
                <w:rFonts w:ascii="Times New Roman" w:hAnsi="Times New Roman" w:cs="Times New Roman"/>
                <w:noProof/>
                <w:sz w:val="20"/>
                <w:szCs w:val="20"/>
              </w:rPr>
            </w:pPr>
          </w:p>
        </w:tc>
        <w:tc>
          <w:tcPr>
            <w:tcW w:w="566" w:type="pct"/>
            <w:tcBorders>
              <w:top w:val="single" w:sz="5" w:space="0" w:color="000000"/>
              <w:left w:val="single" w:sz="5" w:space="0" w:color="000000"/>
              <w:bottom w:val="single" w:sz="5" w:space="0" w:color="000000"/>
              <w:right w:val="single" w:sz="5" w:space="0" w:color="000000"/>
            </w:tcBorders>
          </w:tcPr>
          <w:p w:rsidR="003E7A01" w:rsidRPr="003E7A01" w:rsidRDefault="003E7A01" w:rsidP="00ED2A07">
            <w:pPr>
              <w:jc w:val="both"/>
              <w:rPr>
                <w:rFonts w:ascii="Times New Roman" w:hAnsi="Times New Roman" w:cs="Times New Roman"/>
                <w:noProof/>
                <w:sz w:val="20"/>
                <w:szCs w:val="20"/>
              </w:rPr>
            </w:pPr>
          </w:p>
        </w:tc>
        <w:tc>
          <w:tcPr>
            <w:tcW w:w="505" w:type="pct"/>
            <w:tcBorders>
              <w:top w:val="single" w:sz="5" w:space="0" w:color="000000"/>
              <w:left w:val="single" w:sz="5" w:space="0" w:color="000000"/>
              <w:bottom w:val="single" w:sz="5" w:space="0" w:color="000000"/>
              <w:right w:val="single" w:sz="5" w:space="0" w:color="000000"/>
            </w:tcBorders>
          </w:tcPr>
          <w:p w:rsidR="003E7A01" w:rsidRPr="003E7A01" w:rsidRDefault="003E7A01" w:rsidP="00ED2A07">
            <w:pPr>
              <w:jc w:val="both"/>
              <w:rPr>
                <w:rFonts w:ascii="Times New Roman" w:hAnsi="Times New Roman" w:cs="Times New Roman"/>
                <w:noProof/>
                <w:sz w:val="20"/>
                <w:szCs w:val="20"/>
              </w:rPr>
            </w:pPr>
          </w:p>
        </w:tc>
        <w:tc>
          <w:tcPr>
            <w:tcW w:w="146" w:type="pct"/>
            <w:tcBorders>
              <w:top w:val="single" w:sz="5" w:space="0" w:color="000000"/>
              <w:left w:val="single" w:sz="5" w:space="0" w:color="000000"/>
              <w:bottom w:val="single" w:sz="5" w:space="0" w:color="000000"/>
              <w:right w:val="single" w:sz="5" w:space="0" w:color="000000"/>
            </w:tcBorders>
            <w:shd w:val="clear" w:color="auto" w:fill="000000" w:themeFill="text1"/>
          </w:tcPr>
          <w:p w:rsidR="003E7A01" w:rsidRPr="003E7A01" w:rsidRDefault="003E7A01" w:rsidP="00ED2A07">
            <w:pPr>
              <w:jc w:val="both"/>
              <w:rPr>
                <w:rFonts w:ascii="Times New Roman" w:hAnsi="Times New Roman" w:cs="Times New Roman"/>
                <w:noProof/>
                <w:sz w:val="20"/>
                <w:szCs w:val="20"/>
              </w:rPr>
            </w:pPr>
          </w:p>
        </w:tc>
        <w:tc>
          <w:tcPr>
            <w:tcW w:w="599" w:type="pct"/>
            <w:tcBorders>
              <w:top w:val="single" w:sz="5" w:space="0" w:color="000000"/>
              <w:left w:val="single" w:sz="5" w:space="0" w:color="000000"/>
              <w:bottom w:val="single" w:sz="5" w:space="0" w:color="000000"/>
              <w:right w:val="single" w:sz="5" w:space="0" w:color="000000"/>
            </w:tcBorders>
          </w:tcPr>
          <w:p w:rsidR="003E7A01" w:rsidRPr="003E7A01" w:rsidRDefault="003E7A01" w:rsidP="00ED2A07">
            <w:pPr>
              <w:jc w:val="both"/>
              <w:rPr>
                <w:rFonts w:ascii="Times New Roman" w:hAnsi="Times New Roman" w:cs="Times New Roman"/>
                <w:noProof/>
                <w:sz w:val="20"/>
                <w:szCs w:val="20"/>
              </w:rPr>
            </w:pPr>
          </w:p>
        </w:tc>
        <w:tc>
          <w:tcPr>
            <w:tcW w:w="417" w:type="pct"/>
            <w:tcBorders>
              <w:top w:val="single" w:sz="5" w:space="0" w:color="000000"/>
              <w:left w:val="single" w:sz="5" w:space="0" w:color="000000"/>
              <w:bottom w:val="single" w:sz="5" w:space="0" w:color="000000"/>
              <w:right w:val="single" w:sz="5" w:space="0" w:color="000000"/>
            </w:tcBorders>
          </w:tcPr>
          <w:p w:rsidR="003E7A01" w:rsidRPr="003E7A01" w:rsidRDefault="003E7A01" w:rsidP="00ED2A07">
            <w:pPr>
              <w:jc w:val="both"/>
              <w:rPr>
                <w:rFonts w:ascii="Times New Roman" w:hAnsi="Times New Roman" w:cs="Times New Roman"/>
                <w:noProof/>
                <w:sz w:val="20"/>
                <w:szCs w:val="20"/>
              </w:rPr>
            </w:pPr>
          </w:p>
        </w:tc>
        <w:tc>
          <w:tcPr>
            <w:tcW w:w="390" w:type="pct"/>
            <w:tcBorders>
              <w:top w:val="single" w:sz="5" w:space="0" w:color="000000"/>
              <w:left w:val="single" w:sz="5" w:space="0" w:color="000000"/>
              <w:bottom w:val="single" w:sz="5" w:space="0" w:color="000000"/>
              <w:right w:val="single" w:sz="5" w:space="0" w:color="000000"/>
            </w:tcBorders>
          </w:tcPr>
          <w:p w:rsidR="003E7A01" w:rsidRPr="003E7A01" w:rsidRDefault="003E7A01" w:rsidP="00ED2A07">
            <w:pPr>
              <w:jc w:val="both"/>
              <w:rPr>
                <w:rFonts w:ascii="Times New Roman" w:hAnsi="Times New Roman" w:cs="Times New Roman"/>
                <w:noProof/>
                <w:sz w:val="20"/>
                <w:szCs w:val="20"/>
              </w:rPr>
            </w:pPr>
          </w:p>
        </w:tc>
        <w:tc>
          <w:tcPr>
            <w:tcW w:w="487" w:type="pct"/>
            <w:tcBorders>
              <w:top w:val="single" w:sz="5" w:space="0" w:color="000000"/>
              <w:left w:val="single" w:sz="5" w:space="0" w:color="000000"/>
              <w:bottom w:val="single" w:sz="5" w:space="0" w:color="000000"/>
              <w:right w:val="single" w:sz="8" w:space="0" w:color="000000"/>
            </w:tcBorders>
          </w:tcPr>
          <w:p w:rsidR="003E7A01" w:rsidRPr="003E7A01" w:rsidRDefault="003E7A01" w:rsidP="00ED2A07">
            <w:pPr>
              <w:jc w:val="both"/>
              <w:rPr>
                <w:rFonts w:ascii="Times New Roman" w:hAnsi="Times New Roman" w:cs="Times New Roman"/>
                <w:noProof/>
                <w:sz w:val="20"/>
                <w:szCs w:val="20"/>
              </w:rPr>
            </w:pPr>
          </w:p>
        </w:tc>
        <w:tc>
          <w:tcPr>
            <w:tcW w:w="617" w:type="pct"/>
            <w:tcBorders>
              <w:top w:val="single" w:sz="5" w:space="0" w:color="000000"/>
              <w:left w:val="single" w:sz="8" w:space="0" w:color="000000"/>
              <w:bottom w:val="single" w:sz="5" w:space="0" w:color="000000"/>
              <w:right w:val="single" w:sz="8" w:space="0" w:color="000000"/>
            </w:tcBorders>
          </w:tcPr>
          <w:p w:rsidR="003E7A01" w:rsidRPr="003E7A01" w:rsidRDefault="003E7A01" w:rsidP="00ED2A07">
            <w:pPr>
              <w:jc w:val="both"/>
              <w:rPr>
                <w:rFonts w:ascii="Times New Roman" w:hAnsi="Times New Roman" w:cs="Times New Roman"/>
                <w:noProof/>
                <w:sz w:val="20"/>
                <w:szCs w:val="20"/>
              </w:rPr>
            </w:pPr>
          </w:p>
        </w:tc>
      </w:tr>
      <w:tr w:rsidR="00ED2A07" w:rsidRPr="003E7A01" w:rsidTr="00ED2A07">
        <w:trPr>
          <w:trHeight w:hRule="exact" w:val="264"/>
        </w:trPr>
        <w:tc>
          <w:tcPr>
            <w:tcW w:w="591" w:type="pct"/>
            <w:tcBorders>
              <w:top w:val="single" w:sz="5" w:space="0" w:color="000000"/>
              <w:left w:val="single" w:sz="8" w:space="0" w:color="000000"/>
              <w:bottom w:val="single" w:sz="5" w:space="0" w:color="000000"/>
              <w:right w:val="single" w:sz="5" w:space="0" w:color="000000"/>
            </w:tcBorders>
          </w:tcPr>
          <w:p w:rsidR="003E7A01" w:rsidRPr="003E7A01" w:rsidRDefault="003E7A01" w:rsidP="00ED2A07">
            <w:pPr>
              <w:jc w:val="both"/>
              <w:rPr>
                <w:rFonts w:ascii="Times New Roman" w:hAnsi="Times New Roman" w:cs="Times New Roman"/>
                <w:noProof/>
                <w:sz w:val="20"/>
                <w:szCs w:val="20"/>
              </w:rPr>
            </w:pPr>
          </w:p>
        </w:tc>
        <w:tc>
          <w:tcPr>
            <w:tcW w:w="682" w:type="pct"/>
            <w:tcBorders>
              <w:top w:val="single" w:sz="5" w:space="0" w:color="000000"/>
              <w:left w:val="single" w:sz="5" w:space="0" w:color="000000"/>
              <w:bottom w:val="single" w:sz="5" w:space="0" w:color="000000"/>
              <w:right w:val="single" w:sz="5" w:space="0" w:color="000000"/>
            </w:tcBorders>
          </w:tcPr>
          <w:p w:rsidR="003E7A01" w:rsidRPr="003E7A01" w:rsidRDefault="003E7A01" w:rsidP="00ED2A07">
            <w:pPr>
              <w:jc w:val="both"/>
              <w:rPr>
                <w:rFonts w:ascii="Times New Roman" w:hAnsi="Times New Roman" w:cs="Times New Roman"/>
                <w:noProof/>
                <w:sz w:val="20"/>
                <w:szCs w:val="20"/>
              </w:rPr>
            </w:pPr>
          </w:p>
        </w:tc>
        <w:tc>
          <w:tcPr>
            <w:tcW w:w="566" w:type="pct"/>
            <w:tcBorders>
              <w:top w:val="single" w:sz="5" w:space="0" w:color="000000"/>
              <w:left w:val="single" w:sz="5" w:space="0" w:color="000000"/>
              <w:bottom w:val="single" w:sz="5" w:space="0" w:color="000000"/>
              <w:right w:val="single" w:sz="5" w:space="0" w:color="000000"/>
            </w:tcBorders>
          </w:tcPr>
          <w:p w:rsidR="003E7A01" w:rsidRPr="003E7A01" w:rsidRDefault="003E7A01" w:rsidP="00ED2A07">
            <w:pPr>
              <w:jc w:val="both"/>
              <w:rPr>
                <w:rFonts w:ascii="Times New Roman" w:hAnsi="Times New Roman" w:cs="Times New Roman"/>
                <w:noProof/>
                <w:sz w:val="20"/>
                <w:szCs w:val="20"/>
              </w:rPr>
            </w:pPr>
          </w:p>
        </w:tc>
        <w:tc>
          <w:tcPr>
            <w:tcW w:w="505" w:type="pct"/>
            <w:tcBorders>
              <w:top w:val="single" w:sz="5" w:space="0" w:color="000000"/>
              <w:left w:val="single" w:sz="5" w:space="0" w:color="000000"/>
              <w:bottom w:val="single" w:sz="5" w:space="0" w:color="000000"/>
              <w:right w:val="single" w:sz="5" w:space="0" w:color="000000"/>
            </w:tcBorders>
          </w:tcPr>
          <w:p w:rsidR="003E7A01" w:rsidRPr="003E7A01" w:rsidRDefault="003E7A01" w:rsidP="00ED2A07">
            <w:pPr>
              <w:jc w:val="both"/>
              <w:rPr>
                <w:rFonts w:ascii="Times New Roman" w:hAnsi="Times New Roman" w:cs="Times New Roman"/>
                <w:noProof/>
                <w:sz w:val="20"/>
                <w:szCs w:val="20"/>
              </w:rPr>
            </w:pPr>
          </w:p>
        </w:tc>
        <w:tc>
          <w:tcPr>
            <w:tcW w:w="146" w:type="pct"/>
            <w:tcBorders>
              <w:top w:val="single" w:sz="5" w:space="0" w:color="000000"/>
              <w:left w:val="single" w:sz="5" w:space="0" w:color="000000"/>
              <w:bottom w:val="single" w:sz="5" w:space="0" w:color="000000"/>
              <w:right w:val="single" w:sz="5" w:space="0" w:color="000000"/>
            </w:tcBorders>
            <w:shd w:val="clear" w:color="auto" w:fill="000000" w:themeFill="text1"/>
          </w:tcPr>
          <w:p w:rsidR="003E7A01" w:rsidRPr="003E7A01" w:rsidRDefault="003E7A01" w:rsidP="00ED2A07">
            <w:pPr>
              <w:jc w:val="both"/>
              <w:rPr>
                <w:rFonts w:ascii="Times New Roman" w:hAnsi="Times New Roman" w:cs="Times New Roman"/>
                <w:noProof/>
                <w:sz w:val="20"/>
                <w:szCs w:val="20"/>
              </w:rPr>
            </w:pPr>
          </w:p>
        </w:tc>
        <w:tc>
          <w:tcPr>
            <w:tcW w:w="599" w:type="pct"/>
            <w:tcBorders>
              <w:top w:val="single" w:sz="5" w:space="0" w:color="000000"/>
              <w:left w:val="single" w:sz="5" w:space="0" w:color="000000"/>
              <w:bottom w:val="single" w:sz="5" w:space="0" w:color="000000"/>
              <w:right w:val="single" w:sz="5" w:space="0" w:color="000000"/>
            </w:tcBorders>
          </w:tcPr>
          <w:p w:rsidR="003E7A01" w:rsidRPr="003E7A01" w:rsidRDefault="003E7A01" w:rsidP="00ED2A07">
            <w:pPr>
              <w:jc w:val="both"/>
              <w:rPr>
                <w:rFonts w:ascii="Times New Roman" w:hAnsi="Times New Roman" w:cs="Times New Roman"/>
                <w:noProof/>
                <w:sz w:val="20"/>
                <w:szCs w:val="20"/>
              </w:rPr>
            </w:pPr>
          </w:p>
        </w:tc>
        <w:tc>
          <w:tcPr>
            <w:tcW w:w="417" w:type="pct"/>
            <w:tcBorders>
              <w:top w:val="single" w:sz="5" w:space="0" w:color="000000"/>
              <w:left w:val="single" w:sz="5" w:space="0" w:color="000000"/>
              <w:bottom w:val="single" w:sz="5" w:space="0" w:color="000000"/>
              <w:right w:val="single" w:sz="5" w:space="0" w:color="000000"/>
            </w:tcBorders>
          </w:tcPr>
          <w:p w:rsidR="003E7A01" w:rsidRPr="003E7A01" w:rsidRDefault="003E7A01" w:rsidP="00ED2A07">
            <w:pPr>
              <w:jc w:val="both"/>
              <w:rPr>
                <w:rFonts w:ascii="Times New Roman" w:hAnsi="Times New Roman" w:cs="Times New Roman"/>
                <w:noProof/>
                <w:sz w:val="20"/>
                <w:szCs w:val="20"/>
              </w:rPr>
            </w:pPr>
          </w:p>
        </w:tc>
        <w:tc>
          <w:tcPr>
            <w:tcW w:w="390" w:type="pct"/>
            <w:tcBorders>
              <w:top w:val="single" w:sz="5" w:space="0" w:color="000000"/>
              <w:left w:val="single" w:sz="5" w:space="0" w:color="000000"/>
              <w:bottom w:val="single" w:sz="5" w:space="0" w:color="000000"/>
              <w:right w:val="single" w:sz="5" w:space="0" w:color="000000"/>
            </w:tcBorders>
          </w:tcPr>
          <w:p w:rsidR="003E7A01" w:rsidRPr="003E7A01" w:rsidRDefault="003E7A01" w:rsidP="00ED2A07">
            <w:pPr>
              <w:jc w:val="both"/>
              <w:rPr>
                <w:rFonts w:ascii="Times New Roman" w:hAnsi="Times New Roman" w:cs="Times New Roman"/>
                <w:noProof/>
                <w:sz w:val="20"/>
                <w:szCs w:val="20"/>
              </w:rPr>
            </w:pPr>
          </w:p>
        </w:tc>
        <w:tc>
          <w:tcPr>
            <w:tcW w:w="487" w:type="pct"/>
            <w:tcBorders>
              <w:top w:val="single" w:sz="5" w:space="0" w:color="000000"/>
              <w:left w:val="single" w:sz="5" w:space="0" w:color="000000"/>
              <w:bottom w:val="single" w:sz="5" w:space="0" w:color="000000"/>
              <w:right w:val="single" w:sz="8" w:space="0" w:color="000000"/>
            </w:tcBorders>
          </w:tcPr>
          <w:p w:rsidR="003E7A01" w:rsidRPr="003E7A01" w:rsidRDefault="003E7A01" w:rsidP="00ED2A07">
            <w:pPr>
              <w:jc w:val="both"/>
              <w:rPr>
                <w:rFonts w:ascii="Times New Roman" w:hAnsi="Times New Roman" w:cs="Times New Roman"/>
                <w:noProof/>
                <w:sz w:val="20"/>
                <w:szCs w:val="20"/>
              </w:rPr>
            </w:pPr>
          </w:p>
        </w:tc>
        <w:tc>
          <w:tcPr>
            <w:tcW w:w="617" w:type="pct"/>
            <w:tcBorders>
              <w:top w:val="single" w:sz="5" w:space="0" w:color="000000"/>
              <w:left w:val="single" w:sz="8" w:space="0" w:color="000000"/>
              <w:bottom w:val="single" w:sz="5" w:space="0" w:color="000000"/>
              <w:right w:val="single" w:sz="8" w:space="0" w:color="000000"/>
            </w:tcBorders>
          </w:tcPr>
          <w:p w:rsidR="003E7A01" w:rsidRPr="003E7A01" w:rsidRDefault="003E7A01" w:rsidP="00ED2A07">
            <w:pPr>
              <w:jc w:val="both"/>
              <w:rPr>
                <w:rFonts w:ascii="Times New Roman" w:hAnsi="Times New Roman" w:cs="Times New Roman"/>
                <w:noProof/>
                <w:sz w:val="20"/>
                <w:szCs w:val="20"/>
              </w:rPr>
            </w:pPr>
          </w:p>
        </w:tc>
      </w:tr>
      <w:tr w:rsidR="00ED2A07" w:rsidRPr="003E7A01" w:rsidTr="00ED2A07">
        <w:trPr>
          <w:trHeight w:hRule="exact" w:val="266"/>
        </w:trPr>
        <w:tc>
          <w:tcPr>
            <w:tcW w:w="591" w:type="pct"/>
            <w:tcBorders>
              <w:top w:val="single" w:sz="5" w:space="0" w:color="000000"/>
              <w:left w:val="single" w:sz="8" w:space="0" w:color="000000"/>
              <w:bottom w:val="single" w:sz="5" w:space="0" w:color="000000"/>
              <w:right w:val="single" w:sz="5" w:space="0" w:color="000000"/>
            </w:tcBorders>
          </w:tcPr>
          <w:p w:rsidR="003E7A01" w:rsidRPr="003E7A01" w:rsidRDefault="003E7A01" w:rsidP="00ED2A07">
            <w:pPr>
              <w:jc w:val="both"/>
              <w:rPr>
                <w:rFonts w:ascii="Times New Roman" w:hAnsi="Times New Roman" w:cs="Times New Roman"/>
                <w:noProof/>
                <w:sz w:val="20"/>
                <w:szCs w:val="20"/>
              </w:rPr>
            </w:pPr>
          </w:p>
        </w:tc>
        <w:tc>
          <w:tcPr>
            <w:tcW w:w="682" w:type="pct"/>
            <w:tcBorders>
              <w:top w:val="single" w:sz="5" w:space="0" w:color="000000"/>
              <w:left w:val="single" w:sz="5" w:space="0" w:color="000000"/>
              <w:bottom w:val="single" w:sz="5" w:space="0" w:color="000000"/>
              <w:right w:val="single" w:sz="5" w:space="0" w:color="000000"/>
            </w:tcBorders>
          </w:tcPr>
          <w:p w:rsidR="003E7A01" w:rsidRPr="003E7A01" w:rsidRDefault="003E7A01" w:rsidP="00ED2A07">
            <w:pPr>
              <w:jc w:val="both"/>
              <w:rPr>
                <w:rFonts w:ascii="Times New Roman" w:hAnsi="Times New Roman" w:cs="Times New Roman"/>
                <w:noProof/>
                <w:sz w:val="20"/>
                <w:szCs w:val="20"/>
              </w:rPr>
            </w:pPr>
          </w:p>
        </w:tc>
        <w:tc>
          <w:tcPr>
            <w:tcW w:w="566" w:type="pct"/>
            <w:tcBorders>
              <w:top w:val="single" w:sz="5" w:space="0" w:color="000000"/>
              <w:left w:val="single" w:sz="5" w:space="0" w:color="000000"/>
              <w:bottom w:val="single" w:sz="5" w:space="0" w:color="000000"/>
              <w:right w:val="single" w:sz="5" w:space="0" w:color="000000"/>
            </w:tcBorders>
          </w:tcPr>
          <w:p w:rsidR="003E7A01" w:rsidRPr="003E7A01" w:rsidRDefault="003E7A01" w:rsidP="00ED2A07">
            <w:pPr>
              <w:jc w:val="both"/>
              <w:rPr>
                <w:rFonts w:ascii="Times New Roman" w:hAnsi="Times New Roman" w:cs="Times New Roman"/>
                <w:noProof/>
                <w:sz w:val="20"/>
                <w:szCs w:val="20"/>
              </w:rPr>
            </w:pPr>
          </w:p>
        </w:tc>
        <w:tc>
          <w:tcPr>
            <w:tcW w:w="505" w:type="pct"/>
            <w:tcBorders>
              <w:top w:val="single" w:sz="5" w:space="0" w:color="000000"/>
              <w:left w:val="single" w:sz="5" w:space="0" w:color="000000"/>
              <w:bottom w:val="single" w:sz="5" w:space="0" w:color="000000"/>
              <w:right w:val="single" w:sz="5" w:space="0" w:color="000000"/>
            </w:tcBorders>
          </w:tcPr>
          <w:p w:rsidR="003E7A01" w:rsidRPr="003E7A01" w:rsidRDefault="003E7A01" w:rsidP="00ED2A07">
            <w:pPr>
              <w:jc w:val="both"/>
              <w:rPr>
                <w:rFonts w:ascii="Times New Roman" w:hAnsi="Times New Roman" w:cs="Times New Roman"/>
                <w:noProof/>
                <w:sz w:val="20"/>
                <w:szCs w:val="20"/>
              </w:rPr>
            </w:pPr>
          </w:p>
        </w:tc>
        <w:tc>
          <w:tcPr>
            <w:tcW w:w="146" w:type="pct"/>
            <w:tcBorders>
              <w:top w:val="single" w:sz="5" w:space="0" w:color="000000"/>
              <w:left w:val="single" w:sz="5" w:space="0" w:color="000000"/>
              <w:bottom w:val="single" w:sz="5" w:space="0" w:color="000000"/>
              <w:right w:val="single" w:sz="5" w:space="0" w:color="000000"/>
            </w:tcBorders>
            <w:shd w:val="clear" w:color="auto" w:fill="000000" w:themeFill="text1"/>
          </w:tcPr>
          <w:p w:rsidR="003E7A01" w:rsidRPr="003E7A01" w:rsidRDefault="003E7A01" w:rsidP="00ED2A07">
            <w:pPr>
              <w:jc w:val="both"/>
              <w:rPr>
                <w:rFonts w:ascii="Times New Roman" w:hAnsi="Times New Roman" w:cs="Times New Roman"/>
                <w:noProof/>
                <w:sz w:val="20"/>
                <w:szCs w:val="20"/>
              </w:rPr>
            </w:pPr>
          </w:p>
        </w:tc>
        <w:tc>
          <w:tcPr>
            <w:tcW w:w="599" w:type="pct"/>
            <w:tcBorders>
              <w:top w:val="single" w:sz="5" w:space="0" w:color="000000"/>
              <w:left w:val="single" w:sz="5" w:space="0" w:color="000000"/>
              <w:bottom w:val="single" w:sz="5" w:space="0" w:color="000000"/>
              <w:right w:val="single" w:sz="5" w:space="0" w:color="000000"/>
            </w:tcBorders>
          </w:tcPr>
          <w:p w:rsidR="003E7A01" w:rsidRPr="003E7A01" w:rsidRDefault="003E7A01" w:rsidP="00ED2A07">
            <w:pPr>
              <w:jc w:val="both"/>
              <w:rPr>
                <w:rFonts w:ascii="Times New Roman" w:hAnsi="Times New Roman" w:cs="Times New Roman"/>
                <w:noProof/>
                <w:sz w:val="20"/>
                <w:szCs w:val="20"/>
              </w:rPr>
            </w:pPr>
          </w:p>
        </w:tc>
        <w:tc>
          <w:tcPr>
            <w:tcW w:w="417" w:type="pct"/>
            <w:tcBorders>
              <w:top w:val="single" w:sz="5" w:space="0" w:color="000000"/>
              <w:left w:val="single" w:sz="5" w:space="0" w:color="000000"/>
              <w:bottom w:val="single" w:sz="5" w:space="0" w:color="000000"/>
              <w:right w:val="single" w:sz="5" w:space="0" w:color="000000"/>
            </w:tcBorders>
          </w:tcPr>
          <w:p w:rsidR="003E7A01" w:rsidRPr="003E7A01" w:rsidRDefault="003E7A01" w:rsidP="00ED2A07">
            <w:pPr>
              <w:jc w:val="both"/>
              <w:rPr>
                <w:rFonts w:ascii="Times New Roman" w:hAnsi="Times New Roman" w:cs="Times New Roman"/>
                <w:noProof/>
                <w:sz w:val="20"/>
                <w:szCs w:val="20"/>
              </w:rPr>
            </w:pPr>
          </w:p>
        </w:tc>
        <w:tc>
          <w:tcPr>
            <w:tcW w:w="390" w:type="pct"/>
            <w:tcBorders>
              <w:top w:val="single" w:sz="5" w:space="0" w:color="000000"/>
              <w:left w:val="single" w:sz="5" w:space="0" w:color="000000"/>
              <w:bottom w:val="single" w:sz="5" w:space="0" w:color="000000"/>
              <w:right w:val="single" w:sz="5" w:space="0" w:color="000000"/>
            </w:tcBorders>
          </w:tcPr>
          <w:p w:rsidR="003E7A01" w:rsidRPr="003E7A01" w:rsidRDefault="003E7A01" w:rsidP="00ED2A07">
            <w:pPr>
              <w:jc w:val="both"/>
              <w:rPr>
                <w:rFonts w:ascii="Times New Roman" w:hAnsi="Times New Roman" w:cs="Times New Roman"/>
                <w:noProof/>
                <w:sz w:val="20"/>
                <w:szCs w:val="20"/>
              </w:rPr>
            </w:pPr>
          </w:p>
        </w:tc>
        <w:tc>
          <w:tcPr>
            <w:tcW w:w="487" w:type="pct"/>
            <w:tcBorders>
              <w:top w:val="single" w:sz="5" w:space="0" w:color="000000"/>
              <w:left w:val="single" w:sz="5" w:space="0" w:color="000000"/>
              <w:bottom w:val="single" w:sz="5" w:space="0" w:color="000000"/>
              <w:right w:val="single" w:sz="8" w:space="0" w:color="000000"/>
            </w:tcBorders>
          </w:tcPr>
          <w:p w:rsidR="003E7A01" w:rsidRPr="003E7A01" w:rsidRDefault="003E7A01" w:rsidP="00ED2A07">
            <w:pPr>
              <w:jc w:val="both"/>
              <w:rPr>
                <w:rFonts w:ascii="Times New Roman" w:hAnsi="Times New Roman" w:cs="Times New Roman"/>
                <w:noProof/>
                <w:sz w:val="20"/>
                <w:szCs w:val="20"/>
              </w:rPr>
            </w:pPr>
          </w:p>
        </w:tc>
        <w:tc>
          <w:tcPr>
            <w:tcW w:w="617" w:type="pct"/>
            <w:tcBorders>
              <w:top w:val="single" w:sz="5" w:space="0" w:color="000000"/>
              <w:left w:val="single" w:sz="8" w:space="0" w:color="000000"/>
              <w:bottom w:val="single" w:sz="5" w:space="0" w:color="000000"/>
              <w:right w:val="single" w:sz="8" w:space="0" w:color="000000"/>
            </w:tcBorders>
          </w:tcPr>
          <w:p w:rsidR="003E7A01" w:rsidRPr="003E7A01" w:rsidRDefault="003E7A01" w:rsidP="00ED2A07">
            <w:pPr>
              <w:jc w:val="both"/>
              <w:rPr>
                <w:rFonts w:ascii="Times New Roman" w:hAnsi="Times New Roman" w:cs="Times New Roman"/>
                <w:noProof/>
                <w:sz w:val="20"/>
                <w:szCs w:val="20"/>
              </w:rPr>
            </w:pPr>
          </w:p>
        </w:tc>
      </w:tr>
      <w:tr w:rsidR="00ED2A07" w:rsidRPr="003E7A01" w:rsidTr="00ED2A07">
        <w:trPr>
          <w:trHeight w:hRule="exact" w:val="264"/>
        </w:trPr>
        <w:tc>
          <w:tcPr>
            <w:tcW w:w="591" w:type="pct"/>
            <w:tcBorders>
              <w:top w:val="single" w:sz="5" w:space="0" w:color="000000"/>
              <w:left w:val="single" w:sz="8" w:space="0" w:color="000000"/>
              <w:bottom w:val="single" w:sz="5" w:space="0" w:color="000000"/>
              <w:right w:val="single" w:sz="5" w:space="0" w:color="000000"/>
            </w:tcBorders>
          </w:tcPr>
          <w:p w:rsidR="003E7A01" w:rsidRPr="003E7A01" w:rsidRDefault="003E7A01" w:rsidP="00ED2A07">
            <w:pPr>
              <w:jc w:val="both"/>
              <w:rPr>
                <w:rFonts w:ascii="Times New Roman" w:hAnsi="Times New Roman" w:cs="Times New Roman"/>
                <w:noProof/>
                <w:sz w:val="20"/>
                <w:szCs w:val="20"/>
              </w:rPr>
            </w:pPr>
          </w:p>
        </w:tc>
        <w:tc>
          <w:tcPr>
            <w:tcW w:w="682" w:type="pct"/>
            <w:tcBorders>
              <w:top w:val="single" w:sz="5" w:space="0" w:color="000000"/>
              <w:left w:val="single" w:sz="5" w:space="0" w:color="000000"/>
              <w:bottom w:val="single" w:sz="5" w:space="0" w:color="000000"/>
              <w:right w:val="single" w:sz="5" w:space="0" w:color="000000"/>
            </w:tcBorders>
          </w:tcPr>
          <w:p w:rsidR="003E7A01" w:rsidRPr="003E7A01" w:rsidRDefault="003E7A01" w:rsidP="00ED2A07">
            <w:pPr>
              <w:jc w:val="both"/>
              <w:rPr>
                <w:rFonts w:ascii="Times New Roman" w:hAnsi="Times New Roman" w:cs="Times New Roman"/>
                <w:noProof/>
                <w:sz w:val="20"/>
                <w:szCs w:val="20"/>
              </w:rPr>
            </w:pPr>
          </w:p>
        </w:tc>
        <w:tc>
          <w:tcPr>
            <w:tcW w:w="566" w:type="pct"/>
            <w:tcBorders>
              <w:top w:val="single" w:sz="5" w:space="0" w:color="000000"/>
              <w:left w:val="single" w:sz="5" w:space="0" w:color="000000"/>
              <w:bottom w:val="single" w:sz="5" w:space="0" w:color="000000"/>
              <w:right w:val="single" w:sz="5" w:space="0" w:color="000000"/>
            </w:tcBorders>
          </w:tcPr>
          <w:p w:rsidR="003E7A01" w:rsidRPr="003E7A01" w:rsidRDefault="003E7A01" w:rsidP="00ED2A07">
            <w:pPr>
              <w:jc w:val="both"/>
              <w:rPr>
                <w:rFonts w:ascii="Times New Roman" w:hAnsi="Times New Roman" w:cs="Times New Roman"/>
                <w:noProof/>
                <w:sz w:val="20"/>
                <w:szCs w:val="20"/>
              </w:rPr>
            </w:pPr>
          </w:p>
        </w:tc>
        <w:tc>
          <w:tcPr>
            <w:tcW w:w="505" w:type="pct"/>
            <w:tcBorders>
              <w:top w:val="single" w:sz="5" w:space="0" w:color="000000"/>
              <w:left w:val="single" w:sz="5" w:space="0" w:color="000000"/>
              <w:bottom w:val="single" w:sz="5" w:space="0" w:color="000000"/>
              <w:right w:val="single" w:sz="5" w:space="0" w:color="000000"/>
            </w:tcBorders>
          </w:tcPr>
          <w:p w:rsidR="003E7A01" w:rsidRPr="003E7A01" w:rsidRDefault="003E7A01" w:rsidP="00ED2A07">
            <w:pPr>
              <w:jc w:val="both"/>
              <w:rPr>
                <w:rFonts w:ascii="Times New Roman" w:hAnsi="Times New Roman" w:cs="Times New Roman"/>
                <w:noProof/>
                <w:sz w:val="20"/>
                <w:szCs w:val="20"/>
              </w:rPr>
            </w:pPr>
          </w:p>
        </w:tc>
        <w:tc>
          <w:tcPr>
            <w:tcW w:w="146" w:type="pct"/>
            <w:tcBorders>
              <w:top w:val="single" w:sz="5" w:space="0" w:color="000000"/>
              <w:left w:val="single" w:sz="5" w:space="0" w:color="000000"/>
              <w:bottom w:val="single" w:sz="5" w:space="0" w:color="000000"/>
              <w:right w:val="single" w:sz="5" w:space="0" w:color="000000"/>
            </w:tcBorders>
            <w:shd w:val="clear" w:color="auto" w:fill="000000" w:themeFill="text1"/>
          </w:tcPr>
          <w:p w:rsidR="003E7A01" w:rsidRPr="003E7A01" w:rsidRDefault="003E7A01" w:rsidP="00ED2A07">
            <w:pPr>
              <w:jc w:val="both"/>
              <w:rPr>
                <w:rFonts w:ascii="Times New Roman" w:hAnsi="Times New Roman" w:cs="Times New Roman"/>
                <w:noProof/>
                <w:sz w:val="20"/>
                <w:szCs w:val="20"/>
              </w:rPr>
            </w:pPr>
          </w:p>
        </w:tc>
        <w:tc>
          <w:tcPr>
            <w:tcW w:w="599" w:type="pct"/>
            <w:tcBorders>
              <w:top w:val="single" w:sz="5" w:space="0" w:color="000000"/>
              <w:left w:val="single" w:sz="5" w:space="0" w:color="000000"/>
              <w:bottom w:val="single" w:sz="5" w:space="0" w:color="000000"/>
              <w:right w:val="single" w:sz="5" w:space="0" w:color="000000"/>
            </w:tcBorders>
          </w:tcPr>
          <w:p w:rsidR="003E7A01" w:rsidRPr="003E7A01" w:rsidRDefault="003E7A01" w:rsidP="00ED2A07">
            <w:pPr>
              <w:jc w:val="both"/>
              <w:rPr>
                <w:rFonts w:ascii="Times New Roman" w:hAnsi="Times New Roman" w:cs="Times New Roman"/>
                <w:noProof/>
                <w:sz w:val="20"/>
                <w:szCs w:val="20"/>
              </w:rPr>
            </w:pPr>
          </w:p>
        </w:tc>
        <w:tc>
          <w:tcPr>
            <w:tcW w:w="417" w:type="pct"/>
            <w:tcBorders>
              <w:top w:val="single" w:sz="5" w:space="0" w:color="000000"/>
              <w:left w:val="single" w:sz="5" w:space="0" w:color="000000"/>
              <w:bottom w:val="single" w:sz="5" w:space="0" w:color="000000"/>
              <w:right w:val="single" w:sz="5" w:space="0" w:color="000000"/>
            </w:tcBorders>
          </w:tcPr>
          <w:p w:rsidR="003E7A01" w:rsidRPr="003E7A01" w:rsidRDefault="003E7A01" w:rsidP="00ED2A07">
            <w:pPr>
              <w:jc w:val="both"/>
              <w:rPr>
                <w:rFonts w:ascii="Times New Roman" w:hAnsi="Times New Roman" w:cs="Times New Roman"/>
                <w:noProof/>
                <w:sz w:val="20"/>
                <w:szCs w:val="20"/>
              </w:rPr>
            </w:pPr>
          </w:p>
        </w:tc>
        <w:tc>
          <w:tcPr>
            <w:tcW w:w="390" w:type="pct"/>
            <w:tcBorders>
              <w:top w:val="single" w:sz="5" w:space="0" w:color="000000"/>
              <w:left w:val="single" w:sz="5" w:space="0" w:color="000000"/>
              <w:bottom w:val="single" w:sz="5" w:space="0" w:color="000000"/>
              <w:right w:val="single" w:sz="5" w:space="0" w:color="000000"/>
            </w:tcBorders>
          </w:tcPr>
          <w:p w:rsidR="003E7A01" w:rsidRPr="003E7A01" w:rsidRDefault="003E7A01" w:rsidP="00ED2A07">
            <w:pPr>
              <w:jc w:val="both"/>
              <w:rPr>
                <w:rFonts w:ascii="Times New Roman" w:hAnsi="Times New Roman" w:cs="Times New Roman"/>
                <w:noProof/>
                <w:sz w:val="20"/>
                <w:szCs w:val="20"/>
              </w:rPr>
            </w:pPr>
          </w:p>
        </w:tc>
        <w:tc>
          <w:tcPr>
            <w:tcW w:w="487" w:type="pct"/>
            <w:tcBorders>
              <w:top w:val="single" w:sz="5" w:space="0" w:color="000000"/>
              <w:left w:val="single" w:sz="5" w:space="0" w:color="000000"/>
              <w:bottom w:val="single" w:sz="5" w:space="0" w:color="000000"/>
              <w:right w:val="single" w:sz="8" w:space="0" w:color="000000"/>
            </w:tcBorders>
          </w:tcPr>
          <w:p w:rsidR="003E7A01" w:rsidRPr="003E7A01" w:rsidRDefault="003E7A01" w:rsidP="00ED2A07">
            <w:pPr>
              <w:jc w:val="both"/>
              <w:rPr>
                <w:rFonts w:ascii="Times New Roman" w:hAnsi="Times New Roman" w:cs="Times New Roman"/>
                <w:noProof/>
                <w:sz w:val="20"/>
                <w:szCs w:val="20"/>
              </w:rPr>
            </w:pPr>
          </w:p>
        </w:tc>
        <w:tc>
          <w:tcPr>
            <w:tcW w:w="617" w:type="pct"/>
            <w:tcBorders>
              <w:top w:val="single" w:sz="5" w:space="0" w:color="000000"/>
              <w:left w:val="single" w:sz="8" w:space="0" w:color="000000"/>
              <w:bottom w:val="single" w:sz="5" w:space="0" w:color="000000"/>
              <w:right w:val="single" w:sz="8" w:space="0" w:color="000000"/>
            </w:tcBorders>
          </w:tcPr>
          <w:p w:rsidR="003E7A01" w:rsidRPr="003E7A01" w:rsidRDefault="003E7A01" w:rsidP="00ED2A07">
            <w:pPr>
              <w:jc w:val="both"/>
              <w:rPr>
                <w:rFonts w:ascii="Times New Roman" w:hAnsi="Times New Roman" w:cs="Times New Roman"/>
                <w:noProof/>
                <w:sz w:val="20"/>
                <w:szCs w:val="20"/>
              </w:rPr>
            </w:pPr>
          </w:p>
        </w:tc>
      </w:tr>
      <w:tr w:rsidR="00ED2A07" w:rsidRPr="003E7A01" w:rsidTr="00ED2A07">
        <w:trPr>
          <w:trHeight w:hRule="exact" w:val="264"/>
        </w:trPr>
        <w:tc>
          <w:tcPr>
            <w:tcW w:w="591" w:type="pct"/>
            <w:tcBorders>
              <w:top w:val="single" w:sz="5" w:space="0" w:color="000000"/>
              <w:left w:val="single" w:sz="8" w:space="0" w:color="000000"/>
              <w:bottom w:val="single" w:sz="5" w:space="0" w:color="000000"/>
              <w:right w:val="single" w:sz="5" w:space="0" w:color="000000"/>
            </w:tcBorders>
          </w:tcPr>
          <w:p w:rsidR="003E7A01" w:rsidRPr="003E7A01" w:rsidRDefault="003E7A01" w:rsidP="00ED2A07">
            <w:pPr>
              <w:jc w:val="both"/>
              <w:rPr>
                <w:rFonts w:ascii="Times New Roman" w:hAnsi="Times New Roman" w:cs="Times New Roman"/>
                <w:noProof/>
                <w:sz w:val="20"/>
                <w:szCs w:val="20"/>
              </w:rPr>
            </w:pPr>
          </w:p>
        </w:tc>
        <w:tc>
          <w:tcPr>
            <w:tcW w:w="682" w:type="pct"/>
            <w:tcBorders>
              <w:top w:val="single" w:sz="5" w:space="0" w:color="000000"/>
              <w:left w:val="single" w:sz="5" w:space="0" w:color="000000"/>
              <w:bottom w:val="single" w:sz="5" w:space="0" w:color="000000"/>
              <w:right w:val="single" w:sz="5" w:space="0" w:color="000000"/>
            </w:tcBorders>
          </w:tcPr>
          <w:p w:rsidR="003E7A01" w:rsidRPr="003E7A01" w:rsidRDefault="003E7A01" w:rsidP="00ED2A07">
            <w:pPr>
              <w:jc w:val="both"/>
              <w:rPr>
                <w:rFonts w:ascii="Times New Roman" w:hAnsi="Times New Roman" w:cs="Times New Roman"/>
                <w:noProof/>
                <w:sz w:val="20"/>
                <w:szCs w:val="20"/>
              </w:rPr>
            </w:pPr>
          </w:p>
        </w:tc>
        <w:tc>
          <w:tcPr>
            <w:tcW w:w="566" w:type="pct"/>
            <w:tcBorders>
              <w:top w:val="single" w:sz="5" w:space="0" w:color="000000"/>
              <w:left w:val="single" w:sz="5" w:space="0" w:color="000000"/>
              <w:bottom w:val="single" w:sz="5" w:space="0" w:color="000000"/>
              <w:right w:val="single" w:sz="5" w:space="0" w:color="000000"/>
            </w:tcBorders>
          </w:tcPr>
          <w:p w:rsidR="003E7A01" w:rsidRPr="003E7A01" w:rsidRDefault="003E7A01" w:rsidP="00ED2A07">
            <w:pPr>
              <w:jc w:val="both"/>
              <w:rPr>
                <w:rFonts w:ascii="Times New Roman" w:hAnsi="Times New Roman" w:cs="Times New Roman"/>
                <w:noProof/>
                <w:sz w:val="20"/>
                <w:szCs w:val="20"/>
              </w:rPr>
            </w:pPr>
          </w:p>
        </w:tc>
        <w:tc>
          <w:tcPr>
            <w:tcW w:w="505" w:type="pct"/>
            <w:tcBorders>
              <w:top w:val="single" w:sz="5" w:space="0" w:color="000000"/>
              <w:left w:val="single" w:sz="5" w:space="0" w:color="000000"/>
              <w:bottom w:val="single" w:sz="5" w:space="0" w:color="000000"/>
              <w:right w:val="single" w:sz="5" w:space="0" w:color="000000"/>
            </w:tcBorders>
          </w:tcPr>
          <w:p w:rsidR="003E7A01" w:rsidRPr="003E7A01" w:rsidRDefault="003E7A01" w:rsidP="00ED2A07">
            <w:pPr>
              <w:jc w:val="both"/>
              <w:rPr>
                <w:rFonts w:ascii="Times New Roman" w:hAnsi="Times New Roman" w:cs="Times New Roman"/>
                <w:noProof/>
                <w:sz w:val="20"/>
                <w:szCs w:val="20"/>
              </w:rPr>
            </w:pPr>
          </w:p>
        </w:tc>
        <w:tc>
          <w:tcPr>
            <w:tcW w:w="146" w:type="pct"/>
            <w:tcBorders>
              <w:top w:val="single" w:sz="5" w:space="0" w:color="000000"/>
              <w:left w:val="single" w:sz="5" w:space="0" w:color="000000"/>
              <w:bottom w:val="single" w:sz="5" w:space="0" w:color="000000"/>
              <w:right w:val="single" w:sz="5" w:space="0" w:color="000000"/>
            </w:tcBorders>
            <w:shd w:val="clear" w:color="auto" w:fill="000000" w:themeFill="text1"/>
          </w:tcPr>
          <w:p w:rsidR="003E7A01" w:rsidRPr="003E7A01" w:rsidRDefault="003E7A01" w:rsidP="00ED2A07">
            <w:pPr>
              <w:jc w:val="both"/>
              <w:rPr>
                <w:rFonts w:ascii="Times New Roman" w:hAnsi="Times New Roman" w:cs="Times New Roman"/>
                <w:noProof/>
                <w:sz w:val="20"/>
                <w:szCs w:val="20"/>
              </w:rPr>
            </w:pPr>
          </w:p>
        </w:tc>
        <w:tc>
          <w:tcPr>
            <w:tcW w:w="599" w:type="pct"/>
            <w:tcBorders>
              <w:top w:val="single" w:sz="5" w:space="0" w:color="000000"/>
              <w:left w:val="single" w:sz="5" w:space="0" w:color="000000"/>
              <w:bottom w:val="single" w:sz="5" w:space="0" w:color="000000"/>
              <w:right w:val="single" w:sz="5" w:space="0" w:color="000000"/>
            </w:tcBorders>
          </w:tcPr>
          <w:p w:rsidR="003E7A01" w:rsidRPr="003E7A01" w:rsidRDefault="003E7A01" w:rsidP="00ED2A07">
            <w:pPr>
              <w:jc w:val="both"/>
              <w:rPr>
                <w:rFonts w:ascii="Times New Roman" w:hAnsi="Times New Roman" w:cs="Times New Roman"/>
                <w:noProof/>
                <w:sz w:val="20"/>
                <w:szCs w:val="20"/>
              </w:rPr>
            </w:pPr>
          </w:p>
        </w:tc>
        <w:tc>
          <w:tcPr>
            <w:tcW w:w="417" w:type="pct"/>
            <w:tcBorders>
              <w:top w:val="single" w:sz="5" w:space="0" w:color="000000"/>
              <w:left w:val="single" w:sz="5" w:space="0" w:color="000000"/>
              <w:bottom w:val="single" w:sz="5" w:space="0" w:color="000000"/>
              <w:right w:val="single" w:sz="5" w:space="0" w:color="000000"/>
            </w:tcBorders>
          </w:tcPr>
          <w:p w:rsidR="003E7A01" w:rsidRPr="003E7A01" w:rsidRDefault="003E7A01" w:rsidP="00ED2A07">
            <w:pPr>
              <w:jc w:val="both"/>
              <w:rPr>
                <w:rFonts w:ascii="Times New Roman" w:hAnsi="Times New Roman" w:cs="Times New Roman"/>
                <w:noProof/>
                <w:sz w:val="20"/>
                <w:szCs w:val="20"/>
              </w:rPr>
            </w:pPr>
          </w:p>
        </w:tc>
        <w:tc>
          <w:tcPr>
            <w:tcW w:w="390" w:type="pct"/>
            <w:tcBorders>
              <w:top w:val="single" w:sz="5" w:space="0" w:color="000000"/>
              <w:left w:val="single" w:sz="5" w:space="0" w:color="000000"/>
              <w:bottom w:val="single" w:sz="5" w:space="0" w:color="000000"/>
              <w:right w:val="single" w:sz="5" w:space="0" w:color="000000"/>
            </w:tcBorders>
          </w:tcPr>
          <w:p w:rsidR="003E7A01" w:rsidRPr="003E7A01" w:rsidRDefault="003E7A01" w:rsidP="00ED2A07">
            <w:pPr>
              <w:jc w:val="both"/>
              <w:rPr>
                <w:rFonts w:ascii="Times New Roman" w:hAnsi="Times New Roman" w:cs="Times New Roman"/>
                <w:noProof/>
                <w:sz w:val="20"/>
                <w:szCs w:val="20"/>
              </w:rPr>
            </w:pPr>
          </w:p>
        </w:tc>
        <w:tc>
          <w:tcPr>
            <w:tcW w:w="487" w:type="pct"/>
            <w:tcBorders>
              <w:top w:val="single" w:sz="5" w:space="0" w:color="000000"/>
              <w:left w:val="single" w:sz="5" w:space="0" w:color="000000"/>
              <w:bottom w:val="single" w:sz="5" w:space="0" w:color="000000"/>
              <w:right w:val="single" w:sz="8" w:space="0" w:color="000000"/>
            </w:tcBorders>
          </w:tcPr>
          <w:p w:rsidR="003E7A01" w:rsidRPr="003E7A01" w:rsidRDefault="003E7A01" w:rsidP="00ED2A07">
            <w:pPr>
              <w:jc w:val="both"/>
              <w:rPr>
                <w:rFonts w:ascii="Times New Roman" w:hAnsi="Times New Roman" w:cs="Times New Roman"/>
                <w:noProof/>
                <w:sz w:val="20"/>
                <w:szCs w:val="20"/>
              </w:rPr>
            </w:pPr>
          </w:p>
        </w:tc>
        <w:tc>
          <w:tcPr>
            <w:tcW w:w="617" w:type="pct"/>
            <w:tcBorders>
              <w:top w:val="single" w:sz="5" w:space="0" w:color="000000"/>
              <w:left w:val="single" w:sz="8" w:space="0" w:color="000000"/>
              <w:bottom w:val="single" w:sz="5" w:space="0" w:color="000000"/>
              <w:right w:val="single" w:sz="8" w:space="0" w:color="000000"/>
            </w:tcBorders>
          </w:tcPr>
          <w:p w:rsidR="003E7A01" w:rsidRPr="003E7A01" w:rsidRDefault="003E7A01" w:rsidP="00ED2A07">
            <w:pPr>
              <w:jc w:val="both"/>
              <w:rPr>
                <w:rFonts w:ascii="Times New Roman" w:hAnsi="Times New Roman" w:cs="Times New Roman"/>
                <w:noProof/>
                <w:sz w:val="20"/>
                <w:szCs w:val="20"/>
              </w:rPr>
            </w:pPr>
          </w:p>
        </w:tc>
      </w:tr>
      <w:tr w:rsidR="00ED2A07" w:rsidRPr="003E7A01" w:rsidTr="00ED2A07">
        <w:trPr>
          <w:trHeight w:hRule="exact" w:val="266"/>
        </w:trPr>
        <w:tc>
          <w:tcPr>
            <w:tcW w:w="591" w:type="pct"/>
            <w:tcBorders>
              <w:top w:val="single" w:sz="5" w:space="0" w:color="000000"/>
              <w:left w:val="single" w:sz="8" w:space="0" w:color="000000"/>
              <w:bottom w:val="single" w:sz="5" w:space="0" w:color="000000"/>
              <w:right w:val="single" w:sz="5" w:space="0" w:color="000000"/>
            </w:tcBorders>
          </w:tcPr>
          <w:p w:rsidR="003E7A01" w:rsidRPr="003E7A01" w:rsidRDefault="003E7A01" w:rsidP="00ED2A07">
            <w:pPr>
              <w:jc w:val="both"/>
              <w:rPr>
                <w:rFonts w:ascii="Times New Roman" w:hAnsi="Times New Roman" w:cs="Times New Roman"/>
                <w:noProof/>
                <w:sz w:val="20"/>
                <w:szCs w:val="20"/>
              </w:rPr>
            </w:pPr>
          </w:p>
        </w:tc>
        <w:tc>
          <w:tcPr>
            <w:tcW w:w="682" w:type="pct"/>
            <w:tcBorders>
              <w:top w:val="single" w:sz="5" w:space="0" w:color="000000"/>
              <w:left w:val="single" w:sz="5" w:space="0" w:color="000000"/>
              <w:bottom w:val="single" w:sz="5" w:space="0" w:color="000000"/>
              <w:right w:val="single" w:sz="5" w:space="0" w:color="000000"/>
            </w:tcBorders>
          </w:tcPr>
          <w:p w:rsidR="003E7A01" w:rsidRPr="003E7A01" w:rsidRDefault="003E7A01" w:rsidP="00ED2A07">
            <w:pPr>
              <w:jc w:val="both"/>
              <w:rPr>
                <w:rFonts w:ascii="Times New Roman" w:hAnsi="Times New Roman" w:cs="Times New Roman"/>
                <w:noProof/>
                <w:sz w:val="20"/>
                <w:szCs w:val="20"/>
              </w:rPr>
            </w:pPr>
          </w:p>
        </w:tc>
        <w:tc>
          <w:tcPr>
            <w:tcW w:w="566" w:type="pct"/>
            <w:tcBorders>
              <w:top w:val="single" w:sz="5" w:space="0" w:color="000000"/>
              <w:left w:val="single" w:sz="5" w:space="0" w:color="000000"/>
              <w:bottom w:val="single" w:sz="5" w:space="0" w:color="000000"/>
              <w:right w:val="single" w:sz="5" w:space="0" w:color="000000"/>
            </w:tcBorders>
          </w:tcPr>
          <w:p w:rsidR="003E7A01" w:rsidRPr="003E7A01" w:rsidRDefault="003E7A01" w:rsidP="00ED2A07">
            <w:pPr>
              <w:jc w:val="both"/>
              <w:rPr>
                <w:rFonts w:ascii="Times New Roman" w:hAnsi="Times New Roman" w:cs="Times New Roman"/>
                <w:noProof/>
                <w:sz w:val="20"/>
                <w:szCs w:val="20"/>
              </w:rPr>
            </w:pPr>
          </w:p>
        </w:tc>
        <w:tc>
          <w:tcPr>
            <w:tcW w:w="505" w:type="pct"/>
            <w:tcBorders>
              <w:top w:val="single" w:sz="5" w:space="0" w:color="000000"/>
              <w:left w:val="single" w:sz="5" w:space="0" w:color="000000"/>
              <w:bottom w:val="single" w:sz="5" w:space="0" w:color="000000"/>
              <w:right w:val="single" w:sz="5" w:space="0" w:color="000000"/>
            </w:tcBorders>
          </w:tcPr>
          <w:p w:rsidR="003E7A01" w:rsidRPr="003E7A01" w:rsidRDefault="003E7A01" w:rsidP="00ED2A07">
            <w:pPr>
              <w:jc w:val="both"/>
              <w:rPr>
                <w:rFonts w:ascii="Times New Roman" w:hAnsi="Times New Roman" w:cs="Times New Roman"/>
                <w:noProof/>
                <w:sz w:val="20"/>
                <w:szCs w:val="20"/>
              </w:rPr>
            </w:pPr>
          </w:p>
        </w:tc>
        <w:tc>
          <w:tcPr>
            <w:tcW w:w="146" w:type="pct"/>
            <w:tcBorders>
              <w:top w:val="single" w:sz="5" w:space="0" w:color="000000"/>
              <w:left w:val="single" w:sz="5" w:space="0" w:color="000000"/>
              <w:bottom w:val="single" w:sz="5" w:space="0" w:color="000000"/>
              <w:right w:val="single" w:sz="5" w:space="0" w:color="000000"/>
            </w:tcBorders>
            <w:shd w:val="clear" w:color="auto" w:fill="000000" w:themeFill="text1"/>
          </w:tcPr>
          <w:p w:rsidR="003E7A01" w:rsidRPr="003E7A01" w:rsidRDefault="003E7A01" w:rsidP="00ED2A07">
            <w:pPr>
              <w:jc w:val="both"/>
              <w:rPr>
                <w:rFonts w:ascii="Times New Roman" w:hAnsi="Times New Roman" w:cs="Times New Roman"/>
                <w:noProof/>
                <w:sz w:val="20"/>
                <w:szCs w:val="20"/>
              </w:rPr>
            </w:pPr>
          </w:p>
        </w:tc>
        <w:tc>
          <w:tcPr>
            <w:tcW w:w="599" w:type="pct"/>
            <w:tcBorders>
              <w:top w:val="single" w:sz="5" w:space="0" w:color="000000"/>
              <w:left w:val="single" w:sz="5" w:space="0" w:color="000000"/>
              <w:bottom w:val="single" w:sz="5" w:space="0" w:color="000000"/>
              <w:right w:val="single" w:sz="5" w:space="0" w:color="000000"/>
            </w:tcBorders>
          </w:tcPr>
          <w:p w:rsidR="003E7A01" w:rsidRPr="003E7A01" w:rsidRDefault="003E7A01" w:rsidP="00ED2A07">
            <w:pPr>
              <w:jc w:val="both"/>
              <w:rPr>
                <w:rFonts w:ascii="Times New Roman" w:hAnsi="Times New Roman" w:cs="Times New Roman"/>
                <w:noProof/>
                <w:sz w:val="20"/>
                <w:szCs w:val="20"/>
              </w:rPr>
            </w:pPr>
          </w:p>
        </w:tc>
        <w:tc>
          <w:tcPr>
            <w:tcW w:w="417" w:type="pct"/>
            <w:tcBorders>
              <w:top w:val="single" w:sz="5" w:space="0" w:color="000000"/>
              <w:left w:val="single" w:sz="5" w:space="0" w:color="000000"/>
              <w:bottom w:val="single" w:sz="5" w:space="0" w:color="000000"/>
              <w:right w:val="single" w:sz="5" w:space="0" w:color="000000"/>
            </w:tcBorders>
          </w:tcPr>
          <w:p w:rsidR="003E7A01" w:rsidRPr="003E7A01" w:rsidRDefault="003E7A01" w:rsidP="00ED2A07">
            <w:pPr>
              <w:jc w:val="both"/>
              <w:rPr>
                <w:rFonts w:ascii="Times New Roman" w:hAnsi="Times New Roman" w:cs="Times New Roman"/>
                <w:noProof/>
                <w:sz w:val="20"/>
                <w:szCs w:val="20"/>
              </w:rPr>
            </w:pPr>
          </w:p>
        </w:tc>
        <w:tc>
          <w:tcPr>
            <w:tcW w:w="390" w:type="pct"/>
            <w:tcBorders>
              <w:top w:val="single" w:sz="5" w:space="0" w:color="000000"/>
              <w:left w:val="single" w:sz="5" w:space="0" w:color="000000"/>
              <w:bottom w:val="single" w:sz="5" w:space="0" w:color="000000"/>
              <w:right w:val="single" w:sz="5" w:space="0" w:color="000000"/>
            </w:tcBorders>
          </w:tcPr>
          <w:p w:rsidR="003E7A01" w:rsidRPr="003E7A01" w:rsidRDefault="003E7A01" w:rsidP="00ED2A07">
            <w:pPr>
              <w:jc w:val="both"/>
              <w:rPr>
                <w:rFonts w:ascii="Times New Roman" w:hAnsi="Times New Roman" w:cs="Times New Roman"/>
                <w:noProof/>
                <w:sz w:val="20"/>
                <w:szCs w:val="20"/>
              </w:rPr>
            </w:pPr>
          </w:p>
        </w:tc>
        <w:tc>
          <w:tcPr>
            <w:tcW w:w="487" w:type="pct"/>
            <w:tcBorders>
              <w:top w:val="single" w:sz="5" w:space="0" w:color="000000"/>
              <w:left w:val="single" w:sz="5" w:space="0" w:color="000000"/>
              <w:bottom w:val="single" w:sz="5" w:space="0" w:color="000000"/>
              <w:right w:val="single" w:sz="8" w:space="0" w:color="000000"/>
            </w:tcBorders>
          </w:tcPr>
          <w:p w:rsidR="003E7A01" w:rsidRPr="003E7A01" w:rsidRDefault="003E7A01" w:rsidP="00ED2A07">
            <w:pPr>
              <w:jc w:val="both"/>
              <w:rPr>
                <w:rFonts w:ascii="Times New Roman" w:hAnsi="Times New Roman" w:cs="Times New Roman"/>
                <w:noProof/>
                <w:sz w:val="20"/>
                <w:szCs w:val="20"/>
              </w:rPr>
            </w:pPr>
          </w:p>
        </w:tc>
        <w:tc>
          <w:tcPr>
            <w:tcW w:w="617" w:type="pct"/>
            <w:tcBorders>
              <w:top w:val="single" w:sz="5" w:space="0" w:color="000000"/>
              <w:left w:val="single" w:sz="8" w:space="0" w:color="000000"/>
              <w:bottom w:val="single" w:sz="5" w:space="0" w:color="000000"/>
              <w:right w:val="single" w:sz="8" w:space="0" w:color="000000"/>
            </w:tcBorders>
          </w:tcPr>
          <w:p w:rsidR="003E7A01" w:rsidRPr="003E7A01" w:rsidRDefault="003E7A01" w:rsidP="00ED2A07">
            <w:pPr>
              <w:jc w:val="both"/>
              <w:rPr>
                <w:rFonts w:ascii="Times New Roman" w:hAnsi="Times New Roman" w:cs="Times New Roman"/>
                <w:noProof/>
                <w:sz w:val="20"/>
                <w:szCs w:val="20"/>
              </w:rPr>
            </w:pPr>
          </w:p>
        </w:tc>
      </w:tr>
      <w:tr w:rsidR="00ED2A07" w:rsidRPr="003E7A01" w:rsidTr="00ED2A07">
        <w:trPr>
          <w:trHeight w:hRule="exact" w:val="264"/>
        </w:trPr>
        <w:tc>
          <w:tcPr>
            <w:tcW w:w="591" w:type="pct"/>
            <w:tcBorders>
              <w:top w:val="single" w:sz="5" w:space="0" w:color="000000"/>
              <w:left w:val="single" w:sz="8" w:space="0" w:color="000000"/>
              <w:bottom w:val="single" w:sz="5" w:space="0" w:color="000000"/>
              <w:right w:val="single" w:sz="5" w:space="0" w:color="000000"/>
            </w:tcBorders>
          </w:tcPr>
          <w:p w:rsidR="003E7A01" w:rsidRPr="003E7A01" w:rsidRDefault="003E7A01" w:rsidP="00ED2A07">
            <w:pPr>
              <w:jc w:val="both"/>
              <w:rPr>
                <w:rFonts w:ascii="Times New Roman" w:hAnsi="Times New Roman" w:cs="Times New Roman"/>
                <w:noProof/>
                <w:sz w:val="20"/>
                <w:szCs w:val="20"/>
              </w:rPr>
            </w:pPr>
          </w:p>
        </w:tc>
        <w:tc>
          <w:tcPr>
            <w:tcW w:w="682" w:type="pct"/>
            <w:tcBorders>
              <w:top w:val="single" w:sz="5" w:space="0" w:color="000000"/>
              <w:left w:val="single" w:sz="5" w:space="0" w:color="000000"/>
              <w:bottom w:val="single" w:sz="5" w:space="0" w:color="000000"/>
              <w:right w:val="single" w:sz="5" w:space="0" w:color="000000"/>
            </w:tcBorders>
          </w:tcPr>
          <w:p w:rsidR="003E7A01" w:rsidRPr="003E7A01" w:rsidRDefault="003E7A01" w:rsidP="00ED2A07">
            <w:pPr>
              <w:jc w:val="both"/>
              <w:rPr>
                <w:rFonts w:ascii="Times New Roman" w:hAnsi="Times New Roman" w:cs="Times New Roman"/>
                <w:noProof/>
                <w:sz w:val="20"/>
                <w:szCs w:val="20"/>
              </w:rPr>
            </w:pPr>
          </w:p>
        </w:tc>
        <w:tc>
          <w:tcPr>
            <w:tcW w:w="566" w:type="pct"/>
            <w:tcBorders>
              <w:top w:val="single" w:sz="5" w:space="0" w:color="000000"/>
              <w:left w:val="single" w:sz="5" w:space="0" w:color="000000"/>
              <w:bottom w:val="single" w:sz="5" w:space="0" w:color="000000"/>
              <w:right w:val="single" w:sz="5" w:space="0" w:color="000000"/>
            </w:tcBorders>
          </w:tcPr>
          <w:p w:rsidR="003E7A01" w:rsidRPr="003E7A01" w:rsidRDefault="003E7A01" w:rsidP="00ED2A07">
            <w:pPr>
              <w:jc w:val="both"/>
              <w:rPr>
                <w:rFonts w:ascii="Times New Roman" w:hAnsi="Times New Roman" w:cs="Times New Roman"/>
                <w:noProof/>
                <w:sz w:val="20"/>
                <w:szCs w:val="20"/>
              </w:rPr>
            </w:pPr>
          </w:p>
        </w:tc>
        <w:tc>
          <w:tcPr>
            <w:tcW w:w="505" w:type="pct"/>
            <w:tcBorders>
              <w:top w:val="single" w:sz="5" w:space="0" w:color="000000"/>
              <w:left w:val="single" w:sz="5" w:space="0" w:color="000000"/>
              <w:bottom w:val="single" w:sz="5" w:space="0" w:color="000000"/>
              <w:right w:val="single" w:sz="5" w:space="0" w:color="000000"/>
            </w:tcBorders>
          </w:tcPr>
          <w:p w:rsidR="003E7A01" w:rsidRPr="003E7A01" w:rsidRDefault="003E7A01" w:rsidP="00ED2A07">
            <w:pPr>
              <w:jc w:val="both"/>
              <w:rPr>
                <w:rFonts w:ascii="Times New Roman" w:hAnsi="Times New Roman" w:cs="Times New Roman"/>
                <w:noProof/>
                <w:sz w:val="20"/>
                <w:szCs w:val="20"/>
              </w:rPr>
            </w:pPr>
          </w:p>
        </w:tc>
        <w:tc>
          <w:tcPr>
            <w:tcW w:w="146" w:type="pct"/>
            <w:tcBorders>
              <w:top w:val="single" w:sz="5" w:space="0" w:color="000000"/>
              <w:left w:val="single" w:sz="5" w:space="0" w:color="000000"/>
              <w:bottom w:val="single" w:sz="5" w:space="0" w:color="000000"/>
              <w:right w:val="single" w:sz="5" w:space="0" w:color="000000"/>
            </w:tcBorders>
            <w:shd w:val="clear" w:color="auto" w:fill="000000" w:themeFill="text1"/>
          </w:tcPr>
          <w:p w:rsidR="003E7A01" w:rsidRPr="003E7A01" w:rsidRDefault="003E7A01" w:rsidP="00ED2A07">
            <w:pPr>
              <w:jc w:val="both"/>
              <w:rPr>
                <w:rFonts w:ascii="Times New Roman" w:hAnsi="Times New Roman" w:cs="Times New Roman"/>
                <w:noProof/>
                <w:sz w:val="20"/>
                <w:szCs w:val="20"/>
              </w:rPr>
            </w:pPr>
          </w:p>
        </w:tc>
        <w:tc>
          <w:tcPr>
            <w:tcW w:w="599" w:type="pct"/>
            <w:tcBorders>
              <w:top w:val="single" w:sz="5" w:space="0" w:color="000000"/>
              <w:left w:val="single" w:sz="5" w:space="0" w:color="000000"/>
              <w:bottom w:val="single" w:sz="5" w:space="0" w:color="000000"/>
              <w:right w:val="single" w:sz="5" w:space="0" w:color="000000"/>
            </w:tcBorders>
          </w:tcPr>
          <w:p w:rsidR="003E7A01" w:rsidRPr="003E7A01" w:rsidRDefault="003E7A01" w:rsidP="00ED2A07">
            <w:pPr>
              <w:jc w:val="both"/>
              <w:rPr>
                <w:rFonts w:ascii="Times New Roman" w:hAnsi="Times New Roman" w:cs="Times New Roman"/>
                <w:noProof/>
                <w:sz w:val="20"/>
                <w:szCs w:val="20"/>
              </w:rPr>
            </w:pPr>
          </w:p>
        </w:tc>
        <w:tc>
          <w:tcPr>
            <w:tcW w:w="417" w:type="pct"/>
            <w:tcBorders>
              <w:top w:val="single" w:sz="5" w:space="0" w:color="000000"/>
              <w:left w:val="single" w:sz="5" w:space="0" w:color="000000"/>
              <w:bottom w:val="single" w:sz="5" w:space="0" w:color="000000"/>
              <w:right w:val="single" w:sz="5" w:space="0" w:color="000000"/>
            </w:tcBorders>
          </w:tcPr>
          <w:p w:rsidR="003E7A01" w:rsidRPr="003E7A01" w:rsidRDefault="003E7A01" w:rsidP="00ED2A07">
            <w:pPr>
              <w:jc w:val="both"/>
              <w:rPr>
                <w:rFonts w:ascii="Times New Roman" w:hAnsi="Times New Roman" w:cs="Times New Roman"/>
                <w:noProof/>
                <w:sz w:val="20"/>
                <w:szCs w:val="20"/>
              </w:rPr>
            </w:pPr>
          </w:p>
        </w:tc>
        <w:tc>
          <w:tcPr>
            <w:tcW w:w="390" w:type="pct"/>
            <w:tcBorders>
              <w:top w:val="single" w:sz="5" w:space="0" w:color="000000"/>
              <w:left w:val="single" w:sz="5" w:space="0" w:color="000000"/>
              <w:bottom w:val="single" w:sz="5" w:space="0" w:color="000000"/>
              <w:right w:val="single" w:sz="5" w:space="0" w:color="000000"/>
            </w:tcBorders>
          </w:tcPr>
          <w:p w:rsidR="003E7A01" w:rsidRPr="003E7A01" w:rsidRDefault="003E7A01" w:rsidP="00ED2A07">
            <w:pPr>
              <w:jc w:val="both"/>
              <w:rPr>
                <w:rFonts w:ascii="Times New Roman" w:hAnsi="Times New Roman" w:cs="Times New Roman"/>
                <w:noProof/>
                <w:sz w:val="20"/>
                <w:szCs w:val="20"/>
              </w:rPr>
            </w:pPr>
          </w:p>
        </w:tc>
        <w:tc>
          <w:tcPr>
            <w:tcW w:w="487" w:type="pct"/>
            <w:tcBorders>
              <w:top w:val="single" w:sz="5" w:space="0" w:color="000000"/>
              <w:left w:val="single" w:sz="5" w:space="0" w:color="000000"/>
              <w:bottom w:val="single" w:sz="5" w:space="0" w:color="000000"/>
              <w:right w:val="single" w:sz="8" w:space="0" w:color="000000"/>
            </w:tcBorders>
          </w:tcPr>
          <w:p w:rsidR="003E7A01" w:rsidRPr="003E7A01" w:rsidRDefault="003E7A01" w:rsidP="00ED2A07">
            <w:pPr>
              <w:jc w:val="both"/>
              <w:rPr>
                <w:rFonts w:ascii="Times New Roman" w:hAnsi="Times New Roman" w:cs="Times New Roman"/>
                <w:noProof/>
                <w:sz w:val="20"/>
                <w:szCs w:val="20"/>
              </w:rPr>
            </w:pPr>
          </w:p>
        </w:tc>
        <w:tc>
          <w:tcPr>
            <w:tcW w:w="617" w:type="pct"/>
            <w:tcBorders>
              <w:top w:val="single" w:sz="5" w:space="0" w:color="000000"/>
              <w:left w:val="single" w:sz="8" w:space="0" w:color="000000"/>
              <w:bottom w:val="single" w:sz="5" w:space="0" w:color="000000"/>
              <w:right w:val="single" w:sz="8" w:space="0" w:color="000000"/>
            </w:tcBorders>
          </w:tcPr>
          <w:p w:rsidR="003E7A01" w:rsidRPr="003E7A01" w:rsidRDefault="003E7A01" w:rsidP="00ED2A07">
            <w:pPr>
              <w:jc w:val="both"/>
              <w:rPr>
                <w:rFonts w:ascii="Times New Roman" w:hAnsi="Times New Roman" w:cs="Times New Roman"/>
                <w:noProof/>
                <w:sz w:val="20"/>
                <w:szCs w:val="20"/>
              </w:rPr>
            </w:pPr>
          </w:p>
        </w:tc>
      </w:tr>
      <w:tr w:rsidR="00ED2A07" w:rsidRPr="003E7A01" w:rsidTr="00ED2A07">
        <w:trPr>
          <w:trHeight w:hRule="exact" w:val="286"/>
        </w:trPr>
        <w:tc>
          <w:tcPr>
            <w:tcW w:w="591" w:type="pct"/>
            <w:tcBorders>
              <w:top w:val="single" w:sz="5" w:space="0" w:color="000000"/>
              <w:left w:val="single" w:sz="8" w:space="0" w:color="000000"/>
              <w:bottom w:val="single" w:sz="8" w:space="0" w:color="000000"/>
              <w:right w:val="single" w:sz="5" w:space="0" w:color="000000"/>
            </w:tcBorders>
          </w:tcPr>
          <w:p w:rsidR="003E7A01" w:rsidRPr="003E7A01" w:rsidRDefault="003E7A01" w:rsidP="00ED2A07">
            <w:pPr>
              <w:jc w:val="both"/>
              <w:rPr>
                <w:rFonts w:ascii="Times New Roman" w:hAnsi="Times New Roman" w:cs="Times New Roman"/>
                <w:noProof/>
                <w:sz w:val="20"/>
                <w:szCs w:val="20"/>
              </w:rPr>
            </w:pPr>
          </w:p>
        </w:tc>
        <w:tc>
          <w:tcPr>
            <w:tcW w:w="682" w:type="pct"/>
            <w:tcBorders>
              <w:top w:val="single" w:sz="5" w:space="0" w:color="000000"/>
              <w:left w:val="single" w:sz="5" w:space="0" w:color="000000"/>
              <w:bottom w:val="single" w:sz="8" w:space="0" w:color="000000"/>
              <w:right w:val="single" w:sz="5" w:space="0" w:color="000000"/>
            </w:tcBorders>
          </w:tcPr>
          <w:p w:rsidR="003E7A01" w:rsidRPr="003E7A01" w:rsidRDefault="003E7A01" w:rsidP="00ED2A07">
            <w:pPr>
              <w:jc w:val="both"/>
              <w:rPr>
                <w:rFonts w:ascii="Times New Roman" w:hAnsi="Times New Roman" w:cs="Times New Roman"/>
                <w:noProof/>
                <w:sz w:val="20"/>
                <w:szCs w:val="20"/>
              </w:rPr>
            </w:pPr>
          </w:p>
        </w:tc>
        <w:tc>
          <w:tcPr>
            <w:tcW w:w="566" w:type="pct"/>
            <w:tcBorders>
              <w:top w:val="single" w:sz="5" w:space="0" w:color="000000"/>
              <w:left w:val="single" w:sz="5" w:space="0" w:color="000000"/>
              <w:bottom w:val="single" w:sz="8" w:space="0" w:color="000000"/>
              <w:right w:val="single" w:sz="5" w:space="0" w:color="000000"/>
            </w:tcBorders>
          </w:tcPr>
          <w:p w:rsidR="003E7A01" w:rsidRPr="003E7A01" w:rsidRDefault="003E7A01" w:rsidP="00ED2A07">
            <w:pPr>
              <w:jc w:val="both"/>
              <w:rPr>
                <w:rFonts w:ascii="Times New Roman" w:hAnsi="Times New Roman" w:cs="Times New Roman"/>
                <w:noProof/>
                <w:sz w:val="20"/>
                <w:szCs w:val="20"/>
              </w:rPr>
            </w:pPr>
          </w:p>
        </w:tc>
        <w:tc>
          <w:tcPr>
            <w:tcW w:w="505" w:type="pct"/>
            <w:tcBorders>
              <w:top w:val="single" w:sz="5" w:space="0" w:color="000000"/>
              <w:left w:val="single" w:sz="5" w:space="0" w:color="000000"/>
              <w:bottom w:val="single" w:sz="8" w:space="0" w:color="000000"/>
              <w:right w:val="single" w:sz="5" w:space="0" w:color="000000"/>
            </w:tcBorders>
          </w:tcPr>
          <w:p w:rsidR="003E7A01" w:rsidRPr="003E7A01" w:rsidRDefault="003E7A01" w:rsidP="00ED2A07">
            <w:pPr>
              <w:jc w:val="both"/>
              <w:rPr>
                <w:rFonts w:ascii="Times New Roman" w:hAnsi="Times New Roman" w:cs="Times New Roman"/>
                <w:noProof/>
                <w:sz w:val="20"/>
                <w:szCs w:val="20"/>
              </w:rPr>
            </w:pPr>
          </w:p>
        </w:tc>
        <w:tc>
          <w:tcPr>
            <w:tcW w:w="146" w:type="pct"/>
            <w:tcBorders>
              <w:top w:val="single" w:sz="5" w:space="0" w:color="000000"/>
              <w:left w:val="single" w:sz="5" w:space="0" w:color="000000"/>
              <w:bottom w:val="single" w:sz="8" w:space="0" w:color="000000"/>
              <w:right w:val="single" w:sz="5" w:space="0" w:color="000000"/>
            </w:tcBorders>
            <w:shd w:val="clear" w:color="auto" w:fill="000000" w:themeFill="text1"/>
          </w:tcPr>
          <w:p w:rsidR="003E7A01" w:rsidRPr="003E7A01" w:rsidRDefault="003E7A01" w:rsidP="00ED2A07">
            <w:pPr>
              <w:jc w:val="both"/>
              <w:rPr>
                <w:rFonts w:ascii="Times New Roman" w:hAnsi="Times New Roman" w:cs="Times New Roman"/>
                <w:noProof/>
                <w:sz w:val="20"/>
                <w:szCs w:val="20"/>
              </w:rPr>
            </w:pPr>
          </w:p>
        </w:tc>
        <w:tc>
          <w:tcPr>
            <w:tcW w:w="599" w:type="pct"/>
            <w:tcBorders>
              <w:top w:val="single" w:sz="5" w:space="0" w:color="000000"/>
              <w:left w:val="single" w:sz="5" w:space="0" w:color="000000"/>
              <w:bottom w:val="single" w:sz="8" w:space="0" w:color="000000"/>
              <w:right w:val="single" w:sz="5" w:space="0" w:color="000000"/>
            </w:tcBorders>
          </w:tcPr>
          <w:p w:rsidR="003E7A01" w:rsidRPr="003E7A01" w:rsidRDefault="003E7A01" w:rsidP="00ED2A07">
            <w:pPr>
              <w:jc w:val="both"/>
              <w:rPr>
                <w:rFonts w:ascii="Times New Roman" w:hAnsi="Times New Roman" w:cs="Times New Roman"/>
                <w:noProof/>
                <w:sz w:val="20"/>
                <w:szCs w:val="20"/>
              </w:rPr>
            </w:pPr>
          </w:p>
        </w:tc>
        <w:tc>
          <w:tcPr>
            <w:tcW w:w="417" w:type="pct"/>
            <w:tcBorders>
              <w:top w:val="single" w:sz="5" w:space="0" w:color="000000"/>
              <w:left w:val="single" w:sz="5" w:space="0" w:color="000000"/>
              <w:bottom w:val="single" w:sz="8" w:space="0" w:color="000000"/>
              <w:right w:val="single" w:sz="5" w:space="0" w:color="000000"/>
            </w:tcBorders>
          </w:tcPr>
          <w:p w:rsidR="003E7A01" w:rsidRPr="003E7A01" w:rsidRDefault="003E7A01" w:rsidP="00ED2A07">
            <w:pPr>
              <w:jc w:val="both"/>
              <w:rPr>
                <w:rFonts w:ascii="Times New Roman" w:hAnsi="Times New Roman" w:cs="Times New Roman"/>
                <w:noProof/>
                <w:sz w:val="20"/>
                <w:szCs w:val="20"/>
              </w:rPr>
            </w:pPr>
          </w:p>
        </w:tc>
        <w:tc>
          <w:tcPr>
            <w:tcW w:w="390" w:type="pct"/>
            <w:tcBorders>
              <w:top w:val="single" w:sz="5" w:space="0" w:color="000000"/>
              <w:left w:val="single" w:sz="5" w:space="0" w:color="000000"/>
              <w:bottom w:val="single" w:sz="8" w:space="0" w:color="000000"/>
              <w:right w:val="single" w:sz="5" w:space="0" w:color="000000"/>
            </w:tcBorders>
          </w:tcPr>
          <w:p w:rsidR="003E7A01" w:rsidRPr="003E7A01" w:rsidRDefault="003E7A01" w:rsidP="00ED2A07">
            <w:pPr>
              <w:jc w:val="both"/>
              <w:rPr>
                <w:rFonts w:ascii="Times New Roman" w:hAnsi="Times New Roman" w:cs="Times New Roman"/>
                <w:noProof/>
                <w:sz w:val="20"/>
                <w:szCs w:val="20"/>
              </w:rPr>
            </w:pPr>
          </w:p>
        </w:tc>
        <w:tc>
          <w:tcPr>
            <w:tcW w:w="487" w:type="pct"/>
            <w:tcBorders>
              <w:top w:val="single" w:sz="5" w:space="0" w:color="000000"/>
              <w:left w:val="single" w:sz="5" w:space="0" w:color="000000"/>
              <w:bottom w:val="single" w:sz="8" w:space="0" w:color="000000"/>
              <w:right w:val="single" w:sz="8" w:space="0" w:color="000000"/>
            </w:tcBorders>
          </w:tcPr>
          <w:p w:rsidR="003E7A01" w:rsidRPr="003E7A01" w:rsidRDefault="003E7A01" w:rsidP="00ED2A07">
            <w:pPr>
              <w:jc w:val="both"/>
              <w:rPr>
                <w:rFonts w:ascii="Times New Roman" w:hAnsi="Times New Roman" w:cs="Times New Roman"/>
                <w:noProof/>
                <w:sz w:val="20"/>
                <w:szCs w:val="20"/>
              </w:rPr>
            </w:pPr>
          </w:p>
        </w:tc>
        <w:tc>
          <w:tcPr>
            <w:tcW w:w="617" w:type="pct"/>
            <w:tcBorders>
              <w:top w:val="single" w:sz="5" w:space="0" w:color="000000"/>
              <w:left w:val="single" w:sz="8" w:space="0" w:color="000000"/>
              <w:bottom w:val="single" w:sz="8" w:space="0" w:color="000000"/>
              <w:right w:val="single" w:sz="8" w:space="0" w:color="000000"/>
            </w:tcBorders>
          </w:tcPr>
          <w:p w:rsidR="003E7A01" w:rsidRPr="003E7A01" w:rsidRDefault="003E7A01" w:rsidP="00ED2A07">
            <w:pPr>
              <w:jc w:val="both"/>
              <w:rPr>
                <w:rFonts w:ascii="Times New Roman" w:hAnsi="Times New Roman" w:cs="Times New Roman"/>
                <w:noProof/>
                <w:sz w:val="20"/>
                <w:szCs w:val="20"/>
              </w:rPr>
            </w:pPr>
          </w:p>
        </w:tc>
      </w:tr>
      <w:tr w:rsidR="00ED2A07" w:rsidRPr="003E7A01" w:rsidTr="00ED2A07">
        <w:trPr>
          <w:trHeight w:hRule="exact" w:val="290"/>
        </w:trPr>
        <w:tc>
          <w:tcPr>
            <w:tcW w:w="591" w:type="pct"/>
            <w:tcBorders>
              <w:top w:val="single" w:sz="8" w:space="0" w:color="000000"/>
              <w:left w:val="single" w:sz="8" w:space="0" w:color="000000"/>
              <w:bottom w:val="single" w:sz="8" w:space="0" w:color="000000"/>
              <w:right w:val="single" w:sz="5" w:space="0" w:color="000000"/>
            </w:tcBorders>
          </w:tcPr>
          <w:p w:rsidR="003E7A01" w:rsidRPr="003E7A01" w:rsidRDefault="003E7A01" w:rsidP="00ED2A07">
            <w:pPr>
              <w:pStyle w:val="TableParagraph"/>
              <w:jc w:val="both"/>
              <w:rPr>
                <w:rFonts w:ascii="Times New Roman" w:hAnsi="Times New Roman" w:cs="Times New Roman"/>
                <w:b/>
                <w:noProof/>
                <w:sz w:val="20"/>
                <w:szCs w:val="20"/>
              </w:rPr>
            </w:pPr>
            <w:r>
              <w:rPr>
                <w:rFonts w:ascii="Times New Roman" w:hAnsi="Times New Roman"/>
                <w:b/>
                <w:noProof/>
                <w:sz w:val="20"/>
              </w:rPr>
              <w:t>Kopā</w:t>
            </w:r>
          </w:p>
        </w:tc>
        <w:tc>
          <w:tcPr>
            <w:tcW w:w="682" w:type="pct"/>
            <w:tcBorders>
              <w:top w:val="single" w:sz="8" w:space="0" w:color="000000"/>
              <w:left w:val="single" w:sz="5" w:space="0" w:color="000000"/>
              <w:bottom w:val="single" w:sz="8" w:space="0" w:color="000000"/>
              <w:right w:val="single" w:sz="5" w:space="0" w:color="000000"/>
            </w:tcBorders>
          </w:tcPr>
          <w:p w:rsidR="003E7A01" w:rsidRPr="003E7A01" w:rsidRDefault="003E7A01" w:rsidP="00ED2A07">
            <w:pPr>
              <w:jc w:val="both"/>
              <w:rPr>
                <w:rFonts w:ascii="Times New Roman" w:hAnsi="Times New Roman" w:cs="Times New Roman"/>
                <w:noProof/>
                <w:sz w:val="20"/>
                <w:szCs w:val="20"/>
              </w:rPr>
            </w:pPr>
          </w:p>
        </w:tc>
        <w:tc>
          <w:tcPr>
            <w:tcW w:w="566" w:type="pct"/>
            <w:tcBorders>
              <w:top w:val="single" w:sz="8" w:space="0" w:color="000000"/>
              <w:left w:val="single" w:sz="5" w:space="0" w:color="000000"/>
              <w:bottom w:val="single" w:sz="8" w:space="0" w:color="000000"/>
              <w:right w:val="single" w:sz="5" w:space="0" w:color="000000"/>
            </w:tcBorders>
          </w:tcPr>
          <w:p w:rsidR="003E7A01" w:rsidRPr="003E7A01" w:rsidRDefault="003E7A01" w:rsidP="00ED2A07">
            <w:pPr>
              <w:pStyle w:val="TableParagraph"/>
              <w:jc w:val="both"/>
              <w:rPr>
                <w:rFonts w:ascii="Times New Roman" w:hAnsi="Times New Roman" w:cs="Times New Roman"/>
                <w:b/>
                <w:noProof/>
                <w:sz w:val="20"/>
                <w:szCs w:val="20"/>
              </w:rPr>
            </w:pPr>
            <w:r>
              <w:rPr>
                <w:rFonts w:ascii="Times New Roman" w:hAnsi="Times New Roman"/>
                <w:b/>
                <w:noProof/>
                <w:sz w:val="20"/>
              </w:rPr>
              <w:t>0,00</w:t>
            </w:r>
          </w:p>
        </w:tc>
        <w:tc>
          <w:tcPr>
            <w:tcW w:w="505" w:type="pct"/>
            <w:tcBorders>
              <w:top w:val="single" w:sz="8" w:space="0" w:color="000000"/>
              <w:left w:val="single" w:sz="5" w:space="0" w:color="000000"/>
              <w:bottom w:val="single" w:sz="8" w:space="0" w:color="000000"/>
              <w:right w:val="single" w:sz="5" w:space="0" w:color="000000"/>
            </w:tcBorders>
          </w:tcPr>
          <w:p w:rsidR="003E7A01" w:rsidRPr="003E7A01" w:rsidRDefault="00ED2A07" w:rsidP="00ED2A07">
            <w:pPr>
              <w:pStyle w:val="TableParagraph"/>
              <w:jc w:val="both"/>
              <w:rPr>
                <w:rFonts w:ascii="Times New Roman" w:hAnsi="Times New Roman" w:cs="Times New Roman"/>
                <w:b/>
                <w:noProof/>
                <w:sz w:val="20"/>
                <w:szCs w:val="20"/>
              </w:rPr>
            </w:pPr>
            <w:r>
              <w:rPr>
                <w:rFonts w:ascii="Times New Roman" w:hAnsi="Times New Roman"/>
                <w:b/>
                <w:noProof/>
                <w:sz w:val="20"/>
              </w:rPr>
              <w:t>0,00</w:t>
            </w:r>
          </w:p>
        </w:tc>
        <w:tc>
          <w:tcPr>
            <w:tcW w:w="146" w:type="pct"/>
            <w:tcBorders>
              <w:top w:val="single" w:sz="8" w:space="0" w:color="000000"/>
              <w:left w:val="single" w:sz="5" w:space="0" w:color="000000"/>
              <w:bottom w:val="single" w:sz="8" w:space="0" w:color="000000"/>
              <w:right w:val="single" w:sz="5" w:space="0" w:color="000000"/>
            </w:tcBorders>
            <w:shd w:val="clear" w:color="auto" w:fill="000000" w:themeFill="text1"/>
          </w:tcPr>
          <w:p w:rsidR="003E7A01" w:rsidRPr="003E7A01" w:rsidRDefault="003E7A01" w:rsidP="00ED2A07">
            <w:pPr>
              <w:pStyle w:val="TableParagraph"/>
              <w:jc w:val="both"/>
              <w:rPr>
                <w:rFonts w:ascii="Times New Roman" w:hAnsi="Times New Roman" w:cs="Times New Roman"/>
                <w:b/>
                <w:noProof/>
                <w:sz w:val="20"/>
                <w:szCs w:val="20"/>
              </w:rPr>
            </w:pPr>
          </w:p>
        </w:tc>
        <w:tc>
          <w:tcPr>
            <w:tcW w:w="599" w:type="pct"/>
            <w:tcBorders>
              <w:top w:val="single" w:sz="8" w:space="0" w:color="000000"/>
              <w:left w:val="single" w:sz="5" w:space="0" w:color="000000"/>
              <w:bottom w:val="single" w:sz="8" w:space="0" w:color="000000"/>
              <w:right w:val="single" w:sz="5" w:space="0" w:color="000000"/>
            </w:tcBorders>
          </w:tcPr>
          <w:p w:rsidR="003E7A01" w:rsidRPr="003E7A01" w:rsidRDefault="003E7A01" w:rsidP="00ED2A07">
            <w:pPr>
              <w:pStyle w:val="TableParagraph"/>
              <w:jc w:val="both"/>
              <w:rPr>
                <w:rFonts w:ascii="Times New Roman" w:hAnsi="Times New Roman" w:cs="Times New Roman"/>
                <w:b/>
                <w:noProof/>
                <w:sz w:val="20"/>
                <w:szCs w:val="20"/>
              </w:rPr>
            </w:pPr>
          </w:p>
        </w:tc>
        <w:tc>
          <w:tcPr>
            <w:tcW w:w="417" w:type="pct"/>
            <w:tcBorders>
              <w:top w:val="single" w:sz="8" w:space="0" w:color="000000"/>
              <w:left w:val="single" w:sz="5" w:space="0" w:color="000000"/>
              <w:bottom w:val="single" w:sz="8" w:space="0" w:color="000000"/>
              <w:right w:val="single" w:sz="5" w:space="0" w:color="000000"/>
            </w:tcBorders>
          </w:tcPr>
          <w:p w:rsidR="003E7A01" w:rsidRPr="003E7A01" w:rsidRDefault="003E7A01" w:rsidP="00ED2A07">
            <w:pPr>
              <w:pStyle w:val="TableParagraph"/>
              <w:jc w:val="both"/>
              <w:rPr>
                <w:rFonts w:ascii="Times New Roman" w:hAnsi="Times New Roman" w:cs="Times New Roman"/>
                <w:b/>
                <w:noProof/>
                <w:sz w:val="20"/>
                <w:szCs w:val="20"/>
              </w:rPr>
            </w:pPr>
            <w:r>
              <w:rPr>
                <w:rFonts w:ascii="Times New Roman" w:hAnsi="Times New Roman"/>
                <w:b/>
                <w:noProof/>
                <w:sz w:val="20"/>
              </w:rPr>
              <w:t>0,00</w:t>
            </w:r>
          </w:p>
        </w:tc>
        <w:tc>
          <w:tcPr>
            <w:tcW w:w="390" w:type="pct"/>
            <w:tcBorders>
              <w:top w:val="single" w:sz="8" w:space="0" w:color="000000"/>
              <w:left w:val="single" w:sz="5" w:space="0" w:color="000000"/>
              <w:bottom w:val="single" w:sz="8" w:space="0" w:color="000000"/>
              <w:right w:val="single" w:sz="5" w:space="0" w:color="000000"/>
            </w:tcBorders>
          </w:tcPr>
          <w:p w:rsidR="003E7A01" w:rsidRPr="003E7A01" w:rsidRDefault="003E7A01" w:rsidP="00ED2A07">
            <w:pPr>
              <w:pStyle w:val="TableParagraph"/>
              <w:jc w:val="both"/>
              <w:rPr>
                <w:rFonts w:ascii="Times New Roman" w:hAnsi="Times New Roman" w:cs="Times New Roman"/>
                <w:b/>
                <w:noProof/>
                <w:sz w:val="20"/>
                <w:szCs w:val="20"/>
              </w:rPr>
            </w:pPr>
            <w:r>
              <w:rPr>
                <w:rFonts w:ascii="Times New Roman" w:hAnsi="Times New Roman"/>
                <w:b/>
                <w:noProof/>
                <w:sz w:val="20"/>
              </w:rPr>
              <w:t>0,00</w:t>
            </w:r>
          </w:p>
        </w:tc>
        <w:tc>
          <w:tcPr>
            <w:tcW w:w="487" w:type="pct"/>
            <w:tcBorders>
              <w:top w:val="single" w:sz="8" w:space="0" w:color="000000"/>
              <w:left w:val="single" w:sz="5" w:space="0" w:color="000000"/>
              <w:bottom w:val="single" w:sz="8" w:space="0" w:color="000000"/>
              <w:right w:val="single" w:sz="8" w:space="0" w:color="000000"/>
            </w:tcBorders>
          </w:tcPr>
          <w:p w:rsidR="003E7A01" w:rsidRPr="003E7A01" w:rsidRDefault="003E7A01" w:rsidP="00ED2A07">
            <w:pPr>
              <w:pStyle w:val="TableParagraph"/>
              <w:jc w:val="both"/>
              <w:rPr>
                <w:rFonts w:ascii="Times New Roman" w:hAnsi="Times New Roman" w:cs="Times New Roman"/>
                <w:b/>
                <w:noProof/>
                <w:sz w:val="20"/>
                <w:szCs w:val="20"/>
              </w:rPr>
            </w:pPr>
            <w:r>
              <w:rPr>
                <w:rFonts w:ascii="Times New Roman" w:hAnsi="Times New Roman"/>
                <w:b/>
                <w:noProof/>
                <w:sz w:val="20"/>
              </w:rPr>
              <w:t>0,00</w:t>
            </w:r>
          </w:p>
        </w:tc>
        <w:tc>
          <w:tcPr>
            <w:tcW w:w="617" w:type="pct"/>
            <w:tcBorders>
              <w:top w:val="single" w:sz="8" w:space="0" w:color="000000"/>
              <w:left w:val="single" w:sz="8" w:space="0" w:color="000000"/>
              <w:bottom w:val="single" w:sz="8" w:space="0" w:color="000000"/>
              <w:right w:val="single" w:sz="8" w:space="0" w:color="000000"/>
            </w:tcBorders>
          </w:tcPr>
          <w:p w:rsidR="003E7A01" w:rsidRPr="003E7A01" w:rsidRDefault="003E7A01" w:rsidP="00ED2A07">
            <w:pPr>
              <w:jc w:val="both"/>
              <w:rPr>
                <w:rFonts w:ascii="Times New Roman" w:hAnsi="Times New Roman" w:cs="Times New Roman"/>
                <w:noProof/>
                <w:sz w:val="20"/>
                <w:szCs w:val="20"/>
              </w:rPr>
            </w:pPr>
          </w:p>
        </w:tc>
      </w:tr>
    </w:tbl>
    <w:p w:rsidR="00211065" w:rsidRDefault="00211065" w:rsidP="003E628F">
      <w:pPr>
        <w:jc w:val="both"/>
        <w:rPr>
          <w:rFonts w:ascii="Times New Roman" w:eastAsia="Times New Roman" w:hAnsi="Times New Roman" w:cs="Times New Roman"/>
          <w:b/>
          <w:bCs/>
          <w:noProof/>
          <w:sz w:val="24"/>
          <w:szCs w:val="15"/>
        </w:rPr>
      </w:pPr>
    </w:p>
    <w:p w:rsidR="00ED2A07" w:rsidRDefault="00ED2A07" w:rsidP="003E628F">
      <w:pPr>
        <w:jc w:val="both"/>
        <w:rPr>
          <w:rFonts w:ascii="Times New Roman" w:eastAsia="Times New Roman" w:hAnsi="Times New Roman" w:cs="Times New Roman"/>
          <w:b/>
          <w:bCs/>
          <w:noProof/>
          <w:sz w:val="24"/>
          <w:szCs w:val="15"/>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729"/>
        <w:gridCol w:w="2836"/>
        <w:gridCol w:w="1843"/>
        <w:gridCol w:w="2723"/>
      </w:tblGrid>
      <w:tr w:rsidR="00ED2A07" w:rsidRPr="0016289A" w:rsidTr="0016289A">
        <w:tc>
          <w:tcPr>
            <w:tcW w:w="947" w:type="pct"/>
          </w:tcPr>
          <w:p w:rsidR="00ED2A07" w:rsidRPr="0016289A" w:rsidRDefault="00ED2A07" w:rsidP="003E628F">
            <w:pPr>
              <w:jc w:val="both"/>
              <w:rPr>
                <w:rFonts w:ascii="Times New Roman" w:eastAsia="Times New Roman" w:hAnsi="Times New Roman" w:cs="Times New Roman"/>
                <w:b/>
                <w:bCs/>
                <w:noProof/>
                <w:sz w:val="20"/>
                <w:szCs w:val="15"/>
              </w:rPr>
            </w:pPr>
            <w:r w:rsidRPr="0016289A">
              <w:rPr>
                <w:rFonts w:ascii="Times New Roman" w:hAnsi="Times New Roman"/>
                <w:b/>
                <w:noProof/>
                <w:sz w:val="20"/>
              </w:rPr>
              <w:t>Atļaujas sniedzēja dalībvalsts</w:t>
            </w:r>
          </w:p>
        </w:tc>
        <w:tc>
          <w:tcPr>
            <w:tcW w:w="1553" w:type="pct"/>
          </w:tcPr>
          <w:p w:rsidR="00ED2A07" w:rsidRPr="0016289A" w:rsidRDefault="00ED2A07" w:rsidP="003E628F">
            <w:pPr>
              <w:jc w:val="both"/>
              <w:rPr>
                <w:rFonts w:ascii="Times New Roman" w:eastAsia="Times New Roman" w:hAnsi="Times New Roman" w:cs="Times New Roman"/>
                <w:b/>
                <w:bCs/>
                <w:noProof/>
                <w:sz w:val="20"/>
                <w:szCs w:val="15"/>
              </w:rPr>
            </w:pPr>
          </w:p>
        </w:tc>
        <w:tc>
          <w:tcPr>
            <w:tcW w:w="1009" w:type="pct"/>
          </w:tcPr>
          <w:p w:rsidR="00ED2A07" w:rsidRPr="0016289A" w:rsidRDefault="00ED2A07" w:rsidP="003E628F">
            <w:pPr>
              <w:jc w:val="both"/>
              <w:rPr>
                <w:rFonts w:ascii="Times New Roman" w:eastAsia="Times New Roman" w:hAnsi="Times New Roman" w:cs="Times New Roman"/>
                <w:b/>
                <w:bCs/>
                <w:noProof/>
                <w:sz w:val="20"/>
                <w:szCs w:val="15"/>
              </w:rPr>
            </w:pPr>
            <w:r w:rsidRPr="0016289A">
              <w:rPr>
                <w:rFonts w:ascii="Times New Roman" w:hAnsi="Times New Roman"/>
                <w:b/>
                <w:noProof/>
                <w:sz w:val="20"/>
              </w:rPr>
              <w:t>Palīdzības sniedzēja dalībvalsts</w:t>
            </w:r>
          </w:p>
        </w:tc>
        <w:tc>
          <w:tcPr>
            <w:tcW w:w="1491" w:type="pct"/>
          </w:tcPr>
          <w:p w:rsidR="00ED2A07" w:rsidRPr="0016289A" w:rsidRDefault="00ED2A07" w:rsidP="003E628F">
            <w:pPr>
              <w:jc w:val="both"/>
              <w:rPr>
                <w:rFonts w:ascii="Times New Roman" w:eastAsia="Times New Roman" w:hAnsi="Times New Roman" w:cs="Times New Roman"/>
                <w:b/>
                <w:bCs/>
                <w:noProof/>
                <w:sz w:val="20"/>
                <w:szCs w:val="15"/>
              </w:rPr>
            </w:pPr>
          </w:p>
        </w:tc>
      </w:tr>
      <w:tr w:rsidR="00ED2A07" w:rsidRPr="0016289A" w:rsidTr="0016289A">
        <w:trPr>
          <w:trHeight w:val="828"/>
        </w:trPr>
        <w:tc>
          <w:tcPr>
            <w:tcW w:w="947" w:type="pct"/>
          </w:tcPr>
          <w:p w:rsidR="00ED2A07" w:rsidRPr="0016289A" w:rsidRDefault="00ED2A07" w:rsidP="00ED2A07">
            <w:pPr>
              <w:jc w:val="right"/>
              <w:rPr>
                <w:rFonts w:ascii="Times New Roman" w:eastAsia="Times New Roman" w:hAnsi="Times New Roman" w:cs="Times New Roman"/>
                <w:bCs/>
                <w:noProof/>
                <w:sz w:val="20"/>
                <w:szCs w:val="15"/>
              </w:rPr>
            </w:pPr>
          </w:p>
          <w:p w:rsidR="00ED2A07" w:rsidRPr="0016289A" w:rsidRDefault="00ED2A07" w:rsidP="00ED2A07">
            <w:pPr>
              <w:jc w:val="right"/>
              <w:rPr>
                <w:rFonts w:ascii="Times New Roman" w:eastAsia="Times New Roman" w:hAnsi="Times New Roman" w:cs="Times New Roman"/>
                <w:bCs/>
                <w:noProof/>
                <w:sz w:val="20"/>
                <w:szCs w:val="15"/>
              </w:rPr>
            </w:pPr>
            <w:r w:rsidRPr="0016289A">
              <w:rPr>
                <w:rFonts w:ascii="Times New Roman" w:hAnsi="Times New Roman"/>
                <w:noProof/>
                <w:sz w:val="20"/>
              </w:rPr>
              <w:t>No:</w:t>
            </w:r>
          </w:p>
        </w:tc>
        <w:tc>
          <w:tcPr>
            <w:tcW w:w="1553" w:type="pct"/>
          </w:tcPr>
          <w:p w:rsidR="00ED2A07" w:rsidRPr="0016289A" w:rsidRDefault="00ED2A07" w:rsidP="003E628F">
            <w:pPr>
              <w:jc w:val="both"/>
              <w:rPr>
                <w:rFonts w:ascii="Times New Roman" w:eastAsia="Times New Roman" w:hAnsi="Times New Roman" w:cs="Times New Roman"/>
                <w:bCs/>
                <w:i/>
                <w:noProof/>
                <w:sz w:val="20"/>
                <w:szCs w:val="15"/>
              </w:rPr>
            </w:pPr>
            <w:r w:rsidRPr="0016289A">
              <w:rPr>
                <w:rFonts w:ascii="Times New Roman" w:hAnsi="Times New Roman"/>
                <w:i/>
                <w:noProof/>
                <w:sz w:val="20"/>
              </w:rPr>
              <w:t>Muitas</w:t>
            </w:r>
          </w:p>
          <w:p w:rsidR="00ED2A07" w:rsidRPr="0016289A" w:rsidRDefault="00ED2A07" w:rsidP="003E628F">
            <w:pPr>
              <w:jc w:val="both"/>
              <w:rPr>
                <w:rFonts w:ascii="Times New Roman" w:eastAsia="Times New Roman" w:hAnsi="Times New Roman" w:cs="Times New Roman"/>
                <w:bCs/>
                <w:i/>
                <w:noProof/>
                <w:sz w:val="20"/>
                <w:szCs w:val="15"/>
              </w:rPr>
            </w:pPr>
            <w:r w:rsidRPr="0016289A">
              <w:rPr>
                <w:rFonts w:ascii="Times New Roman" w:hAnsi="Times New Roman"/>
                <w:i/>
                <w:noProof/>
                <w:sz w:val="20"/>
              </w:rPr>
              <w:t>dienesta</w:t>
            </w:r>
          </w:p>
          <w:p w:rsidR="00ED2A07" w:rsidRDefault="00ED2A07" w:rsidP="003E628F">
            <w:pPr>
              <w:jc w:val="both"/>
              <w:rPr>
                <w:rFonts w:ascii="Times New Roman" w:hAnsi="Times New Roman"/>
                <w:i/>
                <w:noProof/>
                <w:sz w:val="20"/>
              </w:rPr>
            </w:pPr>
            <w:r w:rsidRPr="0016289A">
              <w:rPr>
                <w:rFonts w:ascii="Times New Roman" w:hAnsi="Times New Roman"/>
                <w:i/>
                <w:noProof/>
                <w:sz w:val="20"/>
              </w:rPr>
              <w:t>adrese</w:t>
            </w:r>
          </w:p>
          <w:p w:rsidR="0016289A" w:rsidRPr="0016289A" w:rsidRDefault="0016289A" w:rsidP="003E628F">
            <w:pPr>
              <w:jc w:val="both"/>
              <w:rPr>
                <w:rFonts w:ascii="Times New Roman" w:eastAsia="Times New Roman" w:hAnsi="Times New Roman" w:cs="Times New Roman"/>
                <w:bCs/>
                <w:i/>
                <w:noProof/>
                <w:sz w:val="20"/>
                <w:szCs w:val="15"/>
              </w:rPr>
            </w:pPr>
          </w:p>
          <w:p w:rsidR="00ED2A07" w:rsidRPr="0016289A" w:rsidRDefault="00ED2A07" w:rsidP="003E628F">
            <w:pPr>
              <w:jc w:val="both"/>
              <w:rPr>
                <w:rFonts w:ascii="Times New Roman" w:eastAsia="Times New Roman" w:hAnsi="Times New Roman" w:cs="Times New Roman"/>
                <w:bCs/>
                <w:i/>
                <w:noProof/>
                <w:sz w:val="20"/>
                <w:szCs w:val="15"/>
              </w:rPr>
            </w:pPr>
            <w:r w:rsidRPr="0016289A">
              <w:rPr>
                <w:rFonts w:ascii="Times New Roman" w:hAnsi="Times New Roman"/>
                <w:i/>
                <w:noProof/>
                <w:sz w:val="20"/>
              </w:rPr>
              <w:t>kompetentā</w:t>
            </w:r>
          </w:p>
          <w:p w:rsidR="00ED2A07" w:rsidRPr="0016289A" w:rsidRDefault="00ED2A07" w:rsidP="003E628F">
            <w:pPr>
              <w:jc w:val="both"/>
              <w:rPr>
                <w:rFonts w:ascii="Times New Roman" w:eastAsia="Times New Roman" w:hAnsi="Times New Roman" w:cs="Times New Roman"/>
                <w:bCs/>
                <w:i/>
                <w:noProof/>
                <w:sz w:val="20"/>
                <w:szCs w:val="15"/>
              </w:rPr>
            </w:pPr>
            <w:r w:rsidRPr="0016289A">
              <w:rPr>
                <w:rFonts w:ascii="Times New Roman" w:hAnsi="Times New Roman"/>
                <w:i/>
                <w:noProof/>
                <w:sz w:val="20"/>
              </w:rPr>
              <w:t>eksperta</w:t>
            </w:r>
          </w:p>
          <w:p w:rsidR="00ED2A07" w:rsidRPr="0016289A" w:rsidRDefault="00ED2A07" w:rsidP="003E628F">
            <w:pPr>
              <w:jc w:val="both"/>
              <w:rPr>
                <w:rFonts w:ascii="Times New Roman" w:eastAsia="Times New Roman" w:hAnsi="Times New Roman" w:cs="Times New Roman"/>
                <w:bCs/>
                <w:i/>
                <w:noProof/>
                <w:sz w:val="20"/>
                <w:szCs w:val="15"/>
              </w:rPr>
            </w:pPr>
            <w:r w:rsidRPr="0016289A">
              <w:rPr>
                <w:rFonts w:ascii="Times New Roman" w:hAnsi="Times New Roman"/>
                <w:i/>
                <w:noProof/>
                <w:sz w:val="20"/>
              </w:rPr>
              <w:t>e-pasts:</w:t>
            </w:r>
          </w:p>
          <w:p w:rsidR="0016289A" w:rsidRDefault="0016289A" w:rsidP="003E628F">
            <w:pPr>
              <w:jc w:val="both"/>
              <w:rPr>
                <w:rFonts w:ascii="Times New Roman" w:hAnsi="Times New Roman"/>
                <w:i/>
                <w:noProof/>
                <w:sz w:val="20"/>
              </w:rPr>
            </w:pPr>
          </w:p>
          <w:p w:rsidR="00ED2A07" w:rsidRPr="0016289A" w:rsidRDefault="00ED2A07" w:rsidP="003E628F">
            <w:pPr>
              <w:jc w:val="both"/>
              <w:rPr>
                <w:rFonts w:ascii="Times New Roman" w:eastAsia="Times New Roman" w:hAnsi="Times New Roman" w:cs="Times New Roman"/>
                <w:bCs/>
                <w:i/>
                <w:noProof/>
                <w:sz w:val="20"/>
                <w:szCs w:val="15"/>
              </w:rPr>
            </w:pPr>
            <w:r w:rsidRPr="0016289A">
              <w:rPr>
                <w:rFonts w:ascii="Times New Roman" w:hAnsi="Times New Roman"/>
                <w:i/>
                <w:noProof/>
                <w:sz w:val="20"/>
              </w:rPr>
              <w:t>fakss:</w:t>
            </w:r>
          </w:p>
        </w:tc>
        <w:tc>
          <w:tcPr>
            <w:tcW w:w="1009" w:type="pct"/>
          </w:tcPr>
          <w:p w:rsidR="00ED2A07" w:rsidRPr="0016289A" w:rsidRDefault="00ED2A07" w:rsidP="00ED2A07">
            <w:pPr>
              <w:jc w:val="right"/>
              <w:rPr>
                <w:rFonts w:ascii="Times New Roman" w:eastAsia="Times New Roman" w:hAnsi="Times New Roman" w:cs="Times New Roman"/>
                <w:bCs/>
                <w:noProof/>
                <w:sz w:val="20"/>
                <w:szCs w:val="15"/>
              </w:rPr>
            </w:pPr>
          </w:p>
          <w:p w:rsidR="00ED2A07" w:rsidRPr="0016289A" w:rsidRDefault="00ED2A07" w:rsidP="00ED2A07">
            <w:pPr>
              <w:jc w:val="right"/>
              <w:rPr>
                <w:rFonts w:ascii="Times New Roman" w:eastAsia="Times New Roman" w:hAnsi="Times New Roman" w:cs="Times New Roman"/>
                <w:bCs/>
                <w:noProof/>
                <w:sz w:val="20"/>
                <w:szCs w:val="15"/>
              </w:rPr>
            </w:pPr>
            <w:r w:rsidRPr="0016289A">
              <w:rPr>
                <w:rFonts w:ascii="Times New Roman" w:hAnsi="Times New Roman"/>
                <w:noProof/>
                <w:sz w:val="20"/>
              </w:rPr>
              <w:t>Kam:</w:t>
            </w:r>
          </w:p>
        </w:tc>
        <w:tc>
          <w:tcPr>
            <w:tcW w:w="1491" w:type="pct"/>
          </w:tcPr>
          <w:p w:rsidR="00ED2A07" w:rsidRPr="0016289A" w:rsidRDefault="00ED2A07" w:rsidP="003E628F">
            <w:pPr>
              <w:jc w:val="both"/>
              <w:rPr>
                <w:rFonts w:ascii="Times New Roman" w:eastAsia="Times New Roman" w:hAnsi="Times New Roman" w:cs="Times New Roman"/>
                <w:bCs/>
                <w:i/>
                <w:noProof/>
                <w:sz w:val="20"/>
                <w:szCs w:val="15"/>
              </w:rPr>
            </w:pPr>
            <w:r w:rsidRPr="0016289A">
              <w:rPr>
                <w:rFonts w:ascii="Times New Roman" w:hAnsi="Times New Roman"/>
                <w:i/>
                <w:noProof/>
                <w:sz w:val="20"/>
              </w:rPr>
              <w:t>Muitas</w:t>
            </w:r>
          </w:p>
          <w:p w:rsidR="00ED2A07" w:rsidRPr="0016289A" w:rsidRDefault="00ED2A07" w:rsidP="003E628F">
            <w:pPr>
              <w:jc w:val="both"/>
              <w:rPr>
                <w:rFonts w:ascii="Times New Roman" w:eastAsia="Times New Roman" w:hAnsi="Times New Roman" w:cs="Times New Roman"/>
                <w:bCs/>
                <w:i/>
                <w:noProof/>
                <w:sz w:val="20"/>
                <w:szCs w:val="15"/>
              </w:rPr>
            </w:pPr>
            <w:r w:rsidRPr="0016289A">
              <w:rPr>
                <w:rFonts w:ascii="Times New Roman" w:hAnsi="Times New Roman"/>
                <w:i/>
                <w:noProof/>
                <w:sz w:val="20"/>
              </w:rPr>
              <w:t>dienesta</w:t>
            </w:r>
          </w:p>
          <w:p w:rsidR="00ED2A07" w:rsidRPr="0016289A" w:rsidRDefault="00ED2A07" w:rsidP="003E628F">
            <w:pPr>
              <w:jc w:val="both"/>
              <w:rPr>
                <w:rFonts w:ascii="Times New Roman" w:eastAsia="Times New Roman" w:hAnsi="Times New Roman" w:cs="Times New Roman"/>
                <w:bCs/>
                <w:i/>
                <w:noProof/>
                <w:sz w:val="20"/>
                <w:szCs w:val="15"/>
              </w:rPr>
            </w:pPr>
            <w:r w:rsidRPr="0016289A">
              <w:rPr>
                <w:rFonts w:ascii="Times New Roman" w:hAnsi="Times New Roman"/>
                <w:i/>
                <w:noProof/>
                <w:sz w:val="20"/>
              </w:rPr>
              <w:t>adrese</w:t>
            </w:r>
          </w:p>
          <w:p w:rsidR="00ED2A07" w:rsidRPr="0016289A" w:rsidRDefault="00ED2A07" w:rsidP="003E628F">
            <w:pPr>
              <w:jc w:val="both"/>
              <w:rPr>
                <w:rFonts w:ascii="Times New Roman" w:eastAsia="Times New Roman" w:hAnsi="Times New Roman" w:cs="Times New Roman"/>
                <w:bCs/>
                <w:i/>
                <w:noProof/>
                <w:sz w:val="20"/>
                <w:szCs w:val="15"/>
              </w:rPr>
            </w:pPr>
          </w:p>
          <w:p w:rsidR="00ED2A07" w:rsidRPr="0016289A" w:rsidRDefault="00ED2A07" w:rsidP="003E628F">
            <w:pPr>
              <w:jc w:val="both"/>
              <w:rPr>
                <w:rFonts w:ascii="Times New Roman" w:eastAsia="Times New Roman" w:hAnsi="Times New Roman" w:cs="Times New Roman"/>
                <w:bCs/>
                <w:i/>
                <w:noProof/>
                <w:sz w:val="20"/>
                <w:szCs w:val="15"/>
              </w:rPr>
            </w:pPr>
            <w:r w:rsidRPr="0016289A">
              <w:rPr>
                <w:rFonts w:ascii="Times New Roman" w:hAnsi="Times New Roman"/>
                <w:i/>
                <w:noProof/>
                <w:sz w:val="20"/>
              </w:rPr>
              <w:t>kompetentā eksperta</w:t>
            </w:r>
          </w:p>
          <w:p w:rsidR="00ED2A07" w:rsidRPr="0016289A" w:rsidRDefault="00ED2A07" w:rsidP="003E628F">
            <w:pPr>
              <w:jc w:val="both"/>
              <w:rPr>
                <w:rFonts w:ascii="Times New Roman" w:eastAsia="Times New Roman" w:hAnsi="Times New Roman" w:cs="Times New Roman"/>
                <w:bCs/>
                <w:i/>
                <w:noProof/>
                <w:sz w:val="20"/>
                <w:szCs w:val="15"/>
              </w:rPr>
            </w:pPr>
            <w:r w:rsidRPr="0016289A">
              <w:rPr>
                <w:rFonts w:ascii="Times New Roman" w:hAnsi="Times New Roman"/>
                <w:i/>
                <w:noProof/>
                <w:sz w:val="20"/>
              </w:rPr>
              <w:t>e-pasts:</w:t>
            </w:r>
          </w:p>
          <w:p w:rsidR="00ED2A07" w:rsidRPr="0016289A" w:rsidRDefault="00ED2A07" w:rsidP="003E628F">
            <w:pPr>
              <w:jc w:val="both"/>
              <w:rPr>
                <w:rFonts w:ascii="Times New Roman" w:eastAsia="Times New Roman" w:hAnsi="Times New Roman" w:cs="Times New Roman"/>
                <w:bCs/>
                <w:i/>
                <w:noProof/>
                <w:sz w:val="20"/>
                <w:szCs w:val="15"/>
              </w:rPr>
            </w:pPr>
          </w:p>
          <w:p w:rsidR="00ED2A07" w:rsidRPr="0016289A" w:rsidRDefault="00ED2A07" w:rsidP="003E628F">
            <w:pPr>
              <w:jc w:val="both"/>
              <w:rPr>
                <w:rFonts w:ascii="Times New Roman" w:eastAsia="Times New Roman" w:hAnsi="Times New Roman" w:cs="Times New Roman"/>
                <w:bCs/>
                <w:noProof/>
                <w:sz w:val="20"/>
                <w:szCs w:val="15"/>
              </w:rPr>
            </w:pPr>
            <w:r w:rsidRPr="0016289A">
              <w:rPr>
                <w:rFonts w:ascii="Times New Roman" w:hAnsi="Times New Roman"/>
                <w:noProof/>
                <w:sz w:val="20"/>
              </w:rPr>
              <w:t>Bankas</w:t>
            </w:r>
          </w:p>
          <w:p w:rsidR="00ED2A07" w:rsidRPr="0016289A" w:rsidRDefault="00ED2A07" w:rsidP="003E628F">
            <w:pPr>
              <w:jc w:val="both"/>
              <w:rPr>
                <w:rFonts w:ascii="Times New Roman" w:eastAsia="Times New Roman" w:hAnsi="Times New Roman" w:cs="Times New Roman"/>
                <w:bCs/>
                <w:noProof/>
                <w:sz w:val="20"/>
                <w:szCs w:val="15"/>
              </w:rPr>
            </w:pPr>
            <w:r w:rsidRPr="0016289A">
              <w:rPr>
                <w:rFonts w:ascii="Times New Roman" w:hAnsi="Times New Roman"/>
                <w:noProof/>
                <w:sz w:val="20"/>
              </w:rPr>
              <w:t>konts:</w:t>
            </w:r>
          </w:p>
          <w:p w:rsidR="00ED2A07" w:rsidRPr="0016289A" w:rsidRDefault="00ED2A07" w:rsidP="003E628F">
            <w:pPr>
              <w:jc w:val="both"/>
              <w:rPr>
                <w:rFonts w:ascii="Times New Roman" w:eastAsia="Times New Roman" w:hAnsi="Times New Roman" w:cs="Times New Roman"/>
                <w:bCs/>
                <w:noProof/>
                <w:sz w:val="20"/>
                <w:szCs w:val="15"/>
              </w:rPr>
            </w:pPr>
            <w:r w:rsidRPr="0016289A">
              <w:rPr>
                <w:rFonts w:ascii="Times New Roman" w:hAnsi="Times New Roman"/>
                <w:i/>
                <w:noProof/>
                <w:sz w:val="20"/>
              </w:rPr>
              <w:t>BIC</w:t>
            </w:r>
            <w:r w:rsidRPr="0016289A">
              <w:rPr>
                <w:rFonts w:ascii="Times New Roman" w:hAnsi="Times New Roman"/>
                <w:noProof/>
                <w:sz w:val="20"/>
              </w:rPr>
              <w:t>:</w:t>
            </w:r>
          </w:p>
          <w:p w:rsidR="00ED2A07" w:rsidRPr="0016289A" w:rsidRDefault="00ED2A07" w:rsidP="003E628F">
            <w:pPr>
              <w:jc w:val="both"/>
              <w:rPr>
                <w:rFonts w:ascii="Times New Roman" w:eastAsia="Times New Roman" w:hAnsi="Times New Roman" w:cs="Times New Roman"/>
                <w:bCs/>
                <w:noProof/>
                <w:sz w:val="20"/>
                <w:szCs w:val="15"/>
              </w:rPr>
            </w:pPr>
            <w:r w:rsidRPr="0016289A">
              <w:rPr>
                <w:rFonts w:ascii="Times New Roman" w:hAnsi="Times New Roman"/>
                <w:i/>
                <w:noProof/>
                <w:sz w:val="20"/>
              </w:rPr>
              <w:t>IBAN</w:t>
            </w:r>
            <w:r w:rsidRPr="0016289A">
              <w:rPr>
                <w:rFonts w:ascii="Times New Roman" w:hAnsi="Times New Roman"/>
                <w:noProof/>
                <w:sz w:val="20"/>
              </w:rPr>
              <w:t>:</w:t>
            </w:r>
          </w:p>
        </w:tc>
      </w:tr>
    </w:tbl>
    <w:p w:rsidR="00ED2A07" w:rsidRDefault="00ED2A07" w:rsidP="003E628F">
      <w:pPr>
        <w:jc w:val="both"/>
        <w:rPr>
          <w:rFonts w:ascii="Times New Roman" w:eastAsia="Times New Roman" w:hAnsi="Times New Roman" w:cs="Times New Roman"/>
          <w:b/>
          <w:bCs/>
          <w:noProof/>
          <w:sz w:val="24"/>
          <w:szCs w:val="15"/>
        </w:rPr>
      </w:pPr>
    </w:p>
    <w:p w:rsidR="00ED2A07" w:rsidRDefault="00ED2A07">
      <w:pPr>
        <w:rPr>
          <w:rFonts w:ascii="Times New Roman" w:eastAsia="Times New Roman" w:hAnsi="Times New Roman" w:cs="Times New Roman"/>
          <w:b/>
          <w:bCs/>
          <w:noProof/>
          <w:sz w:val="24"/>
          <w:szCs w:val="15"/>
        </w:rPr>
      </w:pPr>
      <w:r>
        <w:br w:type="page"/>
      </w:r>
    </w:p>
    <w:p w:rsidR="00211065" w:rsidRPr="0016289A" w:rsidRDefault="00211065" w:rsidP="0016289A">
      <w:pPr>
        <w:pStyle w:val="Virsraksts2"/>
        <w:jc w:val="center"/>
        <w:rPr>
          <w:b/>
        </w:rPr>
      </w:pPr>
      <w:bookmarkStart w:id="216" w:name="_Toc490734362"/>
      <w:r w:rsidRPr="0016289A">
        <w:rPr>
          <w:b/>
        </w:rPr>
        <w:lastRenderedPageBreak/>
        <w:t>II PIELIKUMS</w:t>
      </w:r>
      <w:bookmarkStart w:id="217" w:name="_bookmark76"/>
      <w:bookmarkEnd w:id="217"/>
      <w:r w:rsidR="0016289A" w:rsidRPr="0016289A">
        <w:rPr>
          <w:b/>
        </w:rPr>
        <w:br/>
      </w:r>
      <w:r w:rsidRPr="0016289A">
        <w:rPr>
          <w:b/>
        </w:rPr>
        <w:t>-</w:t>
      </w:r>
      <w:r w:rsidR="0016289A" w:rsidRPr="0016289A">
        <w:rPr>
          <w:b/>
        </w:rPr>
        <w:br/>
      </w:r>
      <w:r w:rsidRPr="0016289A">
        <w:rPr>
          <w:b/>
        </w:rPr>
        <w:t>DALĪBVALSTU GALVENĀS PRASĪBAS ATTIECĪBĀ UZ IMPORTA PVN un STATISTIKAS PRASĪBAS</w:t>
      </w:r>
      <w:bookmarkEnd w:id="216"/>
    </w:p>
    <w:p w:rsidR="00211065" w:rsidRPr="003E628F" w:rsidRDefault="00211065" w:rsidP="003E628F">
      <w:pPr>
        <w:jc w:val="both"/>
        <w:rPr>
          <w:rFonts w:ascii="Times New Roman" w:eastAsia="Times New Roman" w:hAnsi="Times New Roman" w:cs="Times New Roman"/>
          <w:b/>
          <w:bCs/>
          <w:i/>
          <w:noProof/>
          <w:sz w:val="24"/>
          <w:szCs w:val="20"/>
        </w:rPr>
      </w:pPr>
    </w:p>
    <w:p w:rsidR="00211065" w:rsidRPr="003E628F" w:rsidRDefault="00211065" w:rsidP="003E628F">
      <w:pPr>
        <w:jc w:val="both"/>
        <w:rPr>
          <w:rFonts w:ascii="Times New Roman" w:eastAsia="Times New Roman" w:hAnsi="Times New Roman" w:cs="Times New Roman"/>
          <w:b/>
          <w:bCs/>
          <w:i/>
          <w:noProof/>
          <w:sz w:val="24"/>
          <w:szCs w:val="20"/>
        </w:rPr>
      </w:pPr>
    </w:p>
    <w:p w:rsidR="00211065" w:rsidRPr="003E628F" w:rsidRDefault="00211065" w:rsidP="003E628F">
      <w:pPr>
        <w:jc w:val="both"/>
        <w:rPr>
          <w:rFonts w:ascii="Times New Roman" w:eastAsia="Times New Roman" w:hAnsi="Times New Roman" w:cs="Times New Roman"/>
          <w:b/>
          <w:bCs/>
          <w:i/>
          <w:noProof/>
          <w:sz w:val="24"/>
          <w:szCs w:val="26"/>
        </w:rPr>
      </w:pPr>
    </w:p>
    <w:tbl>
      <w:tblPr>
        <w:tblW w:w="5000" w:type="pct"/>
        <w:tblCellMar>
          <w:top w:w="28" w:type="dxa"/>
          <w:left w:w="28" w:type="dxa"/>
          <w:bottom w:w="28" w:type="dxa"/>
          <w:right w:w="28" w:type="dxa"/>
        </w:tblCellMar>
        <w:tblLook w:val="01E0" w:firstRow="1" w:lastRow="1" w:firstColumn="1" w:lastColumn="1" w:noHBand="0" w:noVBand="0"/>
      </w:tblPr>
      <w:tblGrid>
        <w:gridCol w:w="1257"/>
        <w:gridCol w:w="3619"/>
        <w:gridCol w:w="4255"/>
      </w:tblGrid>
      <w:tr w:rsidR="00211065" w:rsidRPr="00D85CB7" w:rsidTr="0016289A">
        <w:trPr>
          <w:trHeight w:val="739"/>
        </w:trPr>
        <w:tc>
          <w:tcPr>
            <w:tcW w:w="0" w:type="auto"/>
            <w:gridSpan w:val="3"/>
            <w:tcBorders>
              <w:top w:val="single" w:sz="5" w:space="0" w:color="000000"/>
              <w:left w:val="single" w:sz="5" w:space="0" w:color="000000"/>
              <w:bottom w:val="single" w:sz="5" w:space="0" w:color="000000"/>
              <w:right w:val="single" w:sz="5" w:space="0" w:color="000000"/>
            </w:tcBorders>
            <w:vAlign w:val="center"/>
          </w:tcPr>
          <w:p w:rsidR="00211065" w:rsidRPr="00D85CB7" w:rsidRDefault="00211065" w:rsidP="00ED2A07">
            <w:pPr>
              <w:pStyle w:val="TableParagraph"/>
              <w:jc w:val="center"/>
              <w:rPr>
                <w:rFonts w:ascii="Times New Roman" w:eastAsia="Times New Roman" w:hAnsi="Times New Roman" w:cs="Times New Roman"/>
                <w:noProof/>
                <w:sz w:val="20"/>
                <w:szCs w:val="20"/>
              </w:rPr>
            </w:pPr>
            <w:r w:rsidRPr="0016289A">
              <w:rPr>
                <w:rFonts w:ascii="Times New Roman" w:hAnsi="Times New Roman"/>
                <w:b/>
                <w:noProof/>
                <w:sz w:val="28"/>
              </w:rPr>
              <w:t xml:space="preserve">PVN un statistikas deklarācijas </w:t>
            </w:r>
            <w:r w:rsidRPr="0016289A">
              <w:rPr>
                <w:rFonts w:ascii="Times New Roman" w:hAnsi="Times New Roman"/>
                <w:b/>
                <w:i/>
                <w:noProof/>
                <w:sz w:val="28"/>
              </w:rPr>
              <w:t>SASP</w:t>
            </w:r>
            <w:r w:rsidRPr="0016289A">
              <w:rPr>
                <w:rFonts w:ascii="Times New Roman" w:hAnsi="Times New Roman"/>
                <w:b/>
                <w:noProof/>
                <w:sz w:val="28"/>
              </w:rPr>
              <w:t xml:space="preserve"> režīmā</w:t>
            </w:r>
            <w:r w:rsidRPr="0016289A">
              <w:rPr>
                <w:rStyle w:val="Vresatsauce"/>
                <w:rFonts w:ascii="Times New Roman" w:hAnsi="Times New Roman"/>
                <w:b/>
                <w:noProof/>
                <w:sz w:val="28"/>
              </w:rPr>
              <w:footnoteReference w:id="4"/>
            </w:r>
          </w:p>
        </w:tc>
      </w:tr>
      <w:tr w:rsidR="00211065" w:rsidRPr="00D85CB7" w:rsidTr="00FF42EE">
        <w:tc>
          <w:tcPr>
            <w:tcW w:w="0" w:type="auto"/>
            <w:tcBorders>
              <w:top w:val="single" w:sz="5" w:space="0" w:color="000000"/>
              <w:left w:val="single" w:sz="5" w:space="0" w:color="000000"/>
              <w:bottom w:val="single" w:sz="5" w:space="0" w:color="000000"/>
              <w:right w:val="single" w:sz="5" w:space="0" w:color="000000"/>
            </w:tcBorders>
          </w:tcPr>
          <w:p w:rsidR="00211065" w:rsidRPr="00D85CB7" w:rsidRDefault="00211065" w:rsidP="00ED2A07">
            <w:pPr>
              <w:pStyle w:val="TableParagraph"/>
              <w:jc w:val="center"/>
              <w:rPr>
                <w:rFonts w:ascii="Times New Roman" w:hAnsi="Times New Roman" w:cs="Times New Roman"/>
                <w:b/>
                <w:noProof/>
                <w:sz w:val="20"/>
                <w:szCs w:val="20"/>
              </w:rPr>
            </w:pPr>
            <w:r>
              <w:rPr>
                <w:rFonts w:ascii="Times New Roman" w:hAnsi="Times New Roman"/>
                <w:b/>
                <w:noProof/>
                <w:sz w:val="20"/>
              </w:rPr>
              <w:t>Dalībvalsts</w:t>
            </w:r>
          </w:p>
        </w:tc>
        <w:tc>
          <w:tcPr>
            <w:tcW w:w="1982" w:type="pct"/>
            <w:tcBorders>
              <w:top w:val="single" w:sz="5" w:space="0" w:color="000000"/>
              <w:left w:val="single" w:sz="5" w:space="0" w:color="000000"/>
              <w:bottom w:val="single" w:sz="5" w:space="0" w:color="000000"/>
              <w:right w:val="single" w:sz="5" w:space="0" w:color="000000"/>
            </w:tcBorders>
          </w:tcPr>
          <w:p w:rsidR="00211065" w:rsidRPr="00D85CB7" w:rsidRDefault="00211065" w:rsidP="00ED2A07">
            <w:pPr>
              <w:pStyle w:val="TableParagraph"/>
              <w:jc w:val="center"/>
              <w:rPr>
                <w:rFonts w:ascii="Times New Roman" w:hAnsi="Times New Roman" w:cs="Times New Roman"/>
                <w:b/>
                <w:noProof/>
                <w:sz w:val="20"/>
                <w:szCs w:val="20"/>
              </w:rPr>
            </w:pPr>
            <w:r>
              <w:rPr>
                <w:rFonts w:ascii="Times New Roman" w:hAnsi="Times New Roman"/>
                <w:b/>
                <w:noProof/>
                <w:sz w:val="20"/>
              </w:rPr>
              <w:t xml:space="preserve">Importa PVN deklarācijas iesniegšana </w:t>
            </w:r>
            <w:r>
              <w:rPr>
                <w:rFonts w:ascii="Times New Roman" w:hAnsi="Times New Roman"/>
                <w:b/>
                <w:i/>
                <w:noProof/>
                <w:sz w:val="20"/>
              </w:rPr>
              <w:t>SASP</w:t>
            </w:r>
            <w:r>
              <w:rPr>
                <w:rFonts w:ascii="Times New Roman" w:hAnsi="Times New Roman"/>
                <w:b/>
                <w:noProof/>
                <w:sz w:val="20"/>
              </w:rPr>
              <w:t xml:space="preserve"> režīmā</w:t>
            </w:r>
          </w:p>
        </w:tc>
        <w:tc>
          <w:tcPr>
            <w:tcW w:w="2330" w:type="pct"/>
            <w:tcBorders>
              <w:top w:val="single" w:sz="5" w:space="0" w:color="000000"/>
              <w:left w:val="single" w:sz="5" w:space="0" w:color="000000"/>
              <w:bottom w:val="single" w:sz="5" w:space="0" w:color="000000"/>
              <w:right w:val="single" w:sz="5" w:space="0" w:color="000000"/>
            </w:tcBorders>
          </w:tcPr>
          <w:p w:rsidR="00211065" w:rsidRPr="00D85CB7" w:rsidRDefault="00211065" w:rsidP="00ED2A07">
            <w:pPr>
              <w:pStyle w:val="TableParagraph"/>
              <w:jc w:val="center"/>
              <w:rPr>
                <w:rFonts w:ascii="Times New Roman" w:hAnsi="Times New Roman" w:cs="Times New Roman"/>
                <w:b/>
                <w:noProof/>
                <w:sz w:val="20"/>
                <w:szCs w:val="20"/>
              </w:rPr>
            </w:pPr>
            <w:r>
              <w:rPr>
                <w:rFonts w:ascii="Times New Roman" w:hAnsi="Times New Roman"/>
                <w:b/>
                <w:noProof/>
                <w:sz w:val="20"/>
              </w:rPr>
              <w:t xml:space="preserve">Statistikas deklarācijas iesniegšana </w:t>
            </w:r>
            <w:r>
              <w:rPr>
                <w:rFonts w:ascii="Times New Roman" w:hAnsi="Times New Roman"/>
                <w:b/>
                <w:i/>
                <w:noProof/>
                <w:sz w:val="20"/>
              </w:rPr>
              <w:t>SASP</w:t>
            </w:r>
            <w:r>
              <w:rPr>
                <w:rFonts w:ascii="Times New Roman" w:hAnsi="Times New Roman"/>
                <w:b/>
                <w:noProof/>
                <w:sz w:val="20"/>
              </w:rPr>
              <w:t xml:space="preserve"> režīmā</w:t>
            </w:r>
          </w:p>
        </w:tc>
      </w:tr>
      <w:tr w:rsidR="00211065" w:rsidRPr="00D85CB7" w:rsidTr="00FF42EE">
        <w:trPr>
          <w:trHeight w:val="5346"/>
        </w:trPr>
        <w:tc>
          <w:tcPr>
            <w:tcW w:w="0" w:type="auto"/>
            <w:tcBorders>
              <w:top w:val="single" w:sz="5" w:space="0" w:color="000000"/>
              <w:left w:val="single" w:sz="5" w:space="0" w:color="000000"/>
              <w:bottom w:val="single" w:sz="5" w:space="0" w:color="000000"/>
              <w:right w:val="single" w:sz="5" w:space="0" w:color="000000"/>
            </w:tcBorders>
          </w:tcPr>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t>Francija</w:t>
            </w:r>
          </w:p>
        </w:tc>
        <w:tc>
          <w:tcPr>
            <w:tcW w:w="1982" w:type="pct"/>
            <w:tcBorders>
              <w:top w:val="single" w:sz="5" w:space="0" w:color="000000"/>
              <w:left w:val="single" w:sz="5" w:space="0" w:color="000000"/>
              <w:bottom w:val="single" w:sz="5" w:space="0" w:color="000000"/>
              <w:right w:val="single" w:sz="5" w:space="0" w:color="000000"/>
            </w:tcBorders>
          </w:tcPr>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t>Kā uzraudzības dalībvalsts</w:t>
            </w:r>
          </w:p>
          <w:p w:rsidR="00211065" w:rsidRPr="00D85CB7" w:rsidRDefault="00211065" w:rsidP="003E628F">
            <w:pPr>
              <w:pStyle w:val="TableParagraph"/>
              <w:jc w:val="both"/>
              <w:rPr>
                <w:rFonts w:ascii="Times New Roman" w:eastAsia="Times New Roman" w:hAnsi="Times New Roman" w:cs="Times New Roman"/>
                <w:b/>
                <w:bCs/>
                <w:i/>
                <w:noProof/>
                <w:sz w:val="20"/>
                <w:szCs w:val="20"/>
              </w:rPr>
            </w:pPr>
          </w:p>
          <w:p w:rsidR="00211065" w:rsidRPr="00D85CB7" w:rsidRDefault="00211065" w:rsidP="003E628F">
            <w:pPr>
              <w:pStyle w:val="TableParagraph"/>
              <w:jc w:val="both"/>
              <w:rPr>
                <w:rFonts w:ascii="Times New Roman" w:hAnsi="Times New Roman" w:cs="Times New Roman"/>
                <w:noProof/>
                <w:sz w:val="20"/>
                <w:szCs w:val="20"/>
              </w:rPr>
            </w:pPr>
            <w:r>
              <w:rPr>
                <w:rFonts w:ascii="Times New Roman" w:hAnsi="Times New Roman"/>
                <w:noProof/>
                <w:sz w:val="20"/>
              </w:rPr>
              <w:t>Kad preces tiek atvestas un ir paredzētas nosūtīšanai uz galamērķi Francijā, PVN ir jāmaksā Francijas muitas dienestam saskaņā ar Vispārējā nodokļu kodeksa 1695. pantu. Iestājas ar nodokli apliekams notikums, un PVN kļūst iekasējams importēšanas laikā vienlaikus ar muitas nodokļiem, proti, brīdī, kad preces tiek importētas.</w:t>
            </w:r>
          </w:p>
          <w:p w:rsidR="00211065" w:rsidRPr="00D85CB7" w:rsidRDefault="00211065" w:rsidP="003E628F">
            <w:pPr>
              <w:pStyle w:val="TableParagraph"/>
              <w:jc w:val="both"/>
              <w:rPr>
                <w:rFonts w:ascii="Times New Roman" w:eastAsia="Times New Roman" w:hAnsi="Times New Roman" w:cs="Times New Roman"/>
                <w:b/>
                <w:bCs/>
                <w:i/>
                <w:noProof/>
                <w:sz w:val="20"/>
                <w:szCs w:val="20"/>
              </w:rPr>
            </w:pPr>
          </w:p>
          <w:p w:rsidR="00211065" w:rsidRPr="00D85CB7" w:rsidRDefault="00211065" w:rsidP="003E628F">
            <w:pPr>
              <w:pStyle w:val="TableParagraph"/>
              <w:jc w:val="both"/>
              <w:rPr>
                <w:rFonts w:ascii="Times New Roman" w:hAnsi="Times New Roman" w:cs="Times New Roman"/>
                <w:noProof/>
                <w:sz w:val="20"/>
                <w:szCs w:val="20"/>
              </w:rPr>
            </w:pPr>
            <w:r>
              <w:rPr>
                <w:rFonts w:ascii="Times New Roman" w:hAnsi="Times New Roman"/>
                <w:noProof/>
                <w:sz w:val="20"/>
              </w:rPr>
              <w:t>Preces tiek atvestas citā dalībvalstī, un Francija ir galamērķa dalībvalsts (t. i., muitas procedūra “42”), PVN ir jāmaksā nodokļu iestādēm Francijā.</w:t>
            </w:r>
          </w:p>
          <w:p w:rsidR="00211065" w:rsidRPr="00D85CB7" w:rsidRDefault="00211065" w:rsidP="003E628F">
            <w:pPr>
              <w:pStyle w:val="TableParagraph"/>
              <w:jc w:val="both"/>
              <w:rPr>
                <w:rFonts w:ascii="Times New Roman" w:eastAsia="Times New Roman" w:hAnsi="Times New Roman" w:cs="Times New Roman"/>
                <w:b/>
                <w:bCs/>
                <w:i/>
                <w:noProof/>
                <w:sz w:val="20"/>
                <w:szCs w:val="20"/>
              </w:rPr>
            </w:pPr>
          </w:p>
          <w:p w:rsidR="00211065" w:rsidRPr="00D85CB7" w:rsidRDefault="00211065" w:rsidP="003E628F">
            <w:pPr>
              <w:pStyle w:val="TableParagraph"/>
              <w:jc w:val="both"/>
              <w:rPr>
                <w:rFonts w:ascii="Times New Roman" w:hAnsi="Times New Roman" w:cs="Times New Roman"/>
                <w:noProof/>
                <w:sz w:val="20"/>
                <w:szCs w:val="20"/>
              </w:rPr>
            </w:pPr>
            <w:r>
              <w:rPr>
                <w:rFonts w:ascii="Times New Roman" w:hAnsi="Times New Roman"/>
                <w:noProof/>
                <w:sz w:val="20"/>
              </w:rPr>
              <w:t>Kad preces tiek atvestas dalībvalstī, kas iesaistīta centralizētā muitošanā, un šajā dalībvalstī atrodas galamērķis, PVN ir jāmaksā šai iesaistītajai dalībvalstij.</w:t>
            </w:r>
          </w:p>
          <w:p w:rsidR="00211065" w:rsidRPr="00D85CB7" w:rsidRDefault="00211065" w:rsidP="003E628F">
            <w:pPr>
              <w:pStyle w:val="TableParagraph"/>
              <w:jc w:val="both"/>
              <w:rPr>
                <w:rFonts w:ascii="Times New Roman" w:eastAsia="Times New Roman" w:hAnsi="Times New Roman" w:cs="Times New Roman"/>
                <w:b/>
                <w:bCs/>
                <w:i/>
                <w:noProof/>
                <w:sz w:val="20"/>
                <w:szCs w:val="20"/>
              </w:rPr>
            </w:pPr>
          </w:p>
          <w:p w:rsidR="00211065" w:rsidRPr="00D85CB7" w:rsidRDefault="00211065" w:rsidP="003E628F">
            <w:pPr>
              <w:pStyle w:val="TableParagraph"/>
              <w:jc w:val="both"/>
              <w:rPr>
                <w:rFonts w:ascii="Times New Roman" w:hAnsi="Times New Roman" w:cs="Times New Roman"/>
                <w:noProof/>
                <w:sz w:val="20"/>
                <w:szCs w:val="20"/>
              </w:rPr>
            </w:pPr>
            <w:r>
              <w:rPr>
                <w:rFonts w:ascii="Times New Roman" w:hAnsi="Times New Roman"/>
                <w:noProof/>
                <w:sz w:val="20"/>
              </w:rPr>
              <w:t xml:space="preserve">Francijas IT sistēma </w:t>
            </w:r>
            <w:r>
              <w:rPr>
                <w:rFonts w:ascii="Times New Roman" w:hAnsi="Times New Roman"/>
                <w:i/>
                <w:noProof/>
                <w:sz w:val="20"/>
              </w:rPr>
              <w:t>Delta</w:t>
            </w:r>
            <w:r>
              <w:rPr>
                <w:rFonts w:ascii="Times New Roman" w:hAnsi="Times New Roman"/>
                <w:noProof/>
                <w:sz w:val="20"/>
              </w:rPr>
              <w:t xml:space="preserve"> piedāvā uzņēmējiem divas iespējas.</w:t>
            </w:r>
          </w:p>
          <w:p w:rsidR="00211065" w:rsidRPr="00D85CB7" w:rsidRDefault="00211065" w:rsidP="003E628F">
            <w:pPr>
              <w:pStyle w:val="TableParagraph"/>
              <w:jc w:val="both"/>
              <w:rPr>
                <w:rFonts w:ascii="Times New Roman" w:eastAsia="Times New Roman" w:hAnsi="Times New Roman" w:cs="Times New Roman"/>
                <w:b/>
                <w:bCs/>
                <w:i/>
                <w:noProof/>
                <w:sz w:val="20"/>
                <w:szCs w:val="20"/>
              </w:rPr>
            </w:pPr>
          </w:p>
          <w:p w:rsidR="00D85CB7" w:rsidRPr="00D85CB7" w:rsidRDefault="00211065" w:rsidP="00D85CB7">
            <w:pPr>
              <w:pStyle w:val="TableParagraph"/>
              <w:jc w:val="both"/>
              <w:rPr>
                <w:rFonts w:ascii="Times New Roman" w:hAnsi="Times New Roman" w:cs="Times New Roman"/>
                <w:noProof/>
                <w:sz w:val="20"/>
                <w:szCs w:val="20"/>
              </w:rPr>
            </w:pPr>
            <w:r>
              <w:rPr>
                <w:rFonts w:ascii="Times New Roman" w:hAnsi="Times New Roman"/>
                <w:noProof/>
                <w:sz w:val="20"/>
              </w:rPr>
              <w:t>- Uzņēmējam ir atļauts iesniegt vienkāršotās deklarācijas (SMK 166. pants): deklarēšana notiek divos posmos. Uzņēmējs nosūta vienkāršoto deklarāciju, un apkopošanas laikposma (kas parasti ilgst vienu mēnesi) beigās uzņēmējs nosūta šim apkopošanas laikposmam atbilstošu papildu deklarāciju. PVN maksājums tiek veikts, pamatojoties uz papildu deklarāciju.</w:t>
            </w:r>
          </w:p>
          <w:p w:rsidR="00D85CB7" w:rsidRPr="00D85CB7" w:rsidRDefault="00D85CB7" w:rsidP="00D85CB7">
            <w:pPr>
              <w:pStyle w:val="TableParagraph"/>
              <w:jc w:val="both"/>
              <w:rPr>
                <w:rFonts w:ascii="Times New Roman" w:eastAsia="Times New Roman" w:hAnsi="Times New Roman" w:cs="Times New Roman"/>
                <w:noProof/>
                <w:sz w:val="20"/>
                <w:szCs w:val="20"/>
              </w:rPr>
            </w:pPr>
          </w:p>
          <w:p w:rsidR="00D85CB7" w:rsidRPr="00D85CB7" w:rsidRDefault="00D85CB7" w:rsidP="00D85CB7">
            <w:pPr>
              <w:pStyle w:val="TableParagraph"/>
              <w:jc w:val="both"/>
              <w:rPr>
                <w:rFonts w:ascii="Times New Roman" w:hAnsi="Times New Roman" w:cs="Times New Roman"/>
                <w:noProof/>
                <w:sz w:val="20"/>
                <w:szCs w:val="20"/>
              </w:rPr>
            </w:pPr>
            <w:r>
              <w:rPr>
                <w:rFonts w:ascii="Times New Roman" w:hAnsi="Times New Roman"/>
                <w:noProof/>
                <w:sz w:val="20"/>
              </w:rPr>
              <w:t>- Uzņēmējs izmanto standarta deklarāciju: iesniegt papildu deklarāciju nav nepieciešams. PVN maksājums tiek veikts, pamatojoties uz katru deklarāciju.</w:t>
            </w:r>
          </w:p>
          <w:p w:rsidR="00D85CB7" w:rsidRPr="00D85CB7" w:rsidRDefault="00D85CB7" w:rsidP="00D85CB7">
            <w:pPr>
              <w:pStyle w:val="TableParagraph"/>
              <w:jc w:val="both"/>
              <w:rPr>
                <w:rFonts w:ascii="Times New Roman" w:eastAsia="Times New Roman" w:hAnsi="Times New Roman" w:cs="Times New Roman"/>
                <w:noProof/>
                <w:sz w:val="20"/>
                <w:szCs w:val="20"/>
              </w:rPr>
            </w:pPr>
          </w:p>
          <w:p w:rsidR="00D85CB7" w:rsidRPr="00D85CB7" w:rsidRDefault="00D85CB7" w:rsidP="00D85CB7">
            <w:pPr>
              <w:pStyle w:val="TableParagraph"/>
              <w:jc w:val="both"/>
              <w:rPr>
                <w:rFonts w:ascii="Times New Roman" w:hAnsi="Times New Roman" w:cs="Times New Roman"/>
                <w:noProof/>
                <w:sz w:val="20"/>
                <w:szCs w:val="20"/>
              </w:rPr>
            </w:pPr>
            <w:r>
              <w:rPr>
                <w:rFonts w:ascii="Times New Roman" w:hAnsi="Times New Roman"/>
                <w:noProof/>
                <w:sz w:val="20"/>
              </w:rPr>
              <w:t xml:space="preserve">Līdz ar to, kad Francija rīkojas kā izsniedzēja dalībvalsts, muitas nodokļu un PVN maksājums tiek veikts, pamatojoties uz vienoto administratīvo dokumentu vai uz </w:t>
            </w:r>
            <w:r>
              <w:rPr>
                <w:rFonts w:ascii="Times New Roman" w:hAnsi="Times New Roman"/>
                <w:noProof/>
                <w:sz w:val="20"/>
              </w:rPr>
              <w:lastRenderedPageBreak/>
              <w:t>papildu deklarāciju atkarībā no uzņēmēja izvēlētā deklarācijas veida, tikai tad, kad preces tiek ievestas Francijā.</w:t>
            </w:r>
          </w:p>
          <w:p w:rsidR="00D85CB7" w:rsidRPr="00D85CB7" w:rsidRDefault="00D85CB7" w:rsidP="00D85CB7">
            <w:pPr>
              <w:pStyle w:val="TableParagraph"/>
              <w:jc w:val="both"/>
              <w:rPr>
                <w:rFonts w:ascii="Times New Roman" w:eastAsia="Times New Roman" w:hAnsi="Times New Roman" w:cs="Times New Roman"/>
                <w:noProof/>
                <w:sz w:val="20"/>
                <w:szCs w:val="20"/>
              </w:rPr>
            </w:pPr>
          </w:p>
          <w:p w:rsidR="00D85CB7" w:rsidRPr="00D85CB7" w:rsidRDefault="00D85CB7" w:rsidP="00D85CB7">
            <w:pPr>
              <w:pStyle w:val="TableParagraph"/>
              <w:jc w:val="both"/>
              <w:rPr>
                <w:rFonts w:ascii="Times New Roman" w:hAnsi="Times New Roman" w:cs="Times New Roman"/>
                <w:noProof/>
                <w:sz w:val="20"/>
                <w:szCs w:val="20"/>
              </w:rPr>
            </w:pPr>
            <w:r>
              <w:rPr>
                <w:rFonts w:ascii="Times New Roman" w:hAnsi="Times New Roman"/>
                <w:noProof/>
                <w:sz w:val="20"/>
              </w:rPr>
              <w:t>Kad preces tiek ievestas uzrādīšanas dalībvalstī, īpašas atzīmes tiek izdarītas ailē</w:t>
            </w:r>
            <w:r w:rsidR="00FF42EE">
              <w:rPr>
                <w:rFonts w:ascii="Times New Roman" w:hAnsi="Times New Roman"/>
                <w:noProof/>
                <w:sz w:val="20"/>
              </w:rPr>
              <w:t xml:space="preserve"> </w:t>
            </w:r>
            <w:r>
              <w:rPr>
                <w:rFonts w:ascii="Times New Roman" w:hAnsi="Times New Roman"/>
                <w:noProof/>
                <w:sz w:val="20"/>
              </w:rPr>
              <w:t>“44” (</w:t>
            </w:r>
            <w:r>
              <w:rPr>
                <w:rFonts w:ascii="Times New Roman" w:hAnsi="Times New Roman"/>
                <w:i/>
                <w:noProof/>
                <w:sz w:val="20"/>
              </w:rPr>
              <w:t>CANA</w:t>
            </w:r>
            <w:r>
              <w:rPr>
                <w:rFonts w:ascii="Times New Roman" w:hAnsi="Times New Roman"/>
                <w:noProof/>
                <w:sz w:val="20"/>
              </w:rPr>
              <w:t xml:space="preserve"> 1025 un </w:t>
            </w:r>
            <w:r>
              <w:rPr>
                <w:rFonts w:ascii="Times New Roman" w:hAnsi="Times New Roman"/>
                <w:i/>
                <w:noProof/>
                <w:sz w:val="20"/>
              </w:rPr>
              <w:t>CANA</w:t>
            </w:r>
            <w:r>
              <w:rPr>
                <w:rFonts w:ascii="Times New Roman" w:hAnsi="Times New Roman"/>
                <w:noProof/>
                <w:sz w:val="20"/>
              </w:rPr>
              <w:t> 1026), lai atceltu PVN aprēķināšanu attiecībā uz šīm precēm un tādējādi nodrošinātu, ka Francija neiekasē importa PVN uzrādīšanas dalībvalsts labā. Attiecībā uz šīm precēm tiek aprēķināti un Francijas muitai samaksāti vienīgi muitas nodokļi.</w:t>
            </w:r>
          </w:p>
          <w:p w:rsidR="00D85CB7" w:rsidRPr="00D85CB7" w:rsidRDefault="00D85CB7" w:rsidP="00D85CB7">
            <w:pPr>
              <w:pStyle w:val="TableParagraph"/>
              <w:jc w:val="both"/>
              <w:rPr>
                <w:rFonts w:ascii="Times New Roman" w:eastAsia="Times New Roman" w:hAnsi="Times New Roman" w:cs="Times New Roman"/>
                <w:noProof/>
                <w:sz w:val="20"/>
                <w:szCs w:val="20"/>
              </w:rPr>
            </w:pPr>
          </w:p>
          <w:p w:rsidR="00211065" w:rsidRPr="00D85CB7" w:rsidRDefault="00D85CB7" w:rsidP="00D85CB7">
            <w:pPr>
              <w:pStyle w:val="TableParagraph"/>
              <w:ind w:firstLine="60"/>
              <w:jc w:val="both"/>
              <w:rPr>
                <w:rFonts w:ascii="Times New Roman" w:eastAsia="Times New Roman" w:hAnsi="Times New Roman" w:cs="Times New Roman"/>
                <w:noProof/>
                <w:sz w:val="20"/>
                <w:szCs w:val="20"/>
              </w:rPr>
            </w:pPr>
            <w:r>
              <w:rPr>
                <w:rFonts w:ascii="Times New Roman" w:hAnsi="Times New Roman"/>
                <w:noProof/>
                <w:sz w:val="20"/>
              </w:rPr>
              <w:t>Francijas uzraudzības muitas iestāde katru mēnesi var nosūtīt papildu muitas deklarācijas kopiju iesaistītajai muitas iestādei dalībvalstī, kas ir iesaistīta centralizētajā muitošanā. Uzrādīšanas dalībvalsts var izmantot šo papildu deklarāciju, lai pārbaudītu importa PVN aprēķina bāzi.</w:t>
            </w:r>
          </w:p>
        </w:tc>
        <w:tc>
          <w:tcPr>
            <w:tcW w:w="2330" w:type="pct"/>
            <w:tcBorders>
              <w:top w:val="single" w:sz="5" w:space="0" w:color="000000"/>
              <w:left w:val="single" w:sz="5" w:space="0" w:color="000000"/>
              <w:bottom w:val="single" w:sz="5" w:space="0" w:color="000000"/>
              <w:right w:val="single" w:sz="5" w:space="0" w:color="000000"/>
            </w:tcBorders>
          </w:tcPr>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lastRenderedPageBreak/>
              <w:t>Kā izsniedzēja dalībvalsts</w:t>
            </w:r>
          </w:p>
          <w:p w:rsidR="00211065" w:rsidRPr="00D85CB7" w:rsidRDefault="00211065" w:rsidP="003E628F">
            <w:pPr>
              <w:pStyle w:val="TableParagraph"/>
              <w:jc w:val="both"/>
              <w:rPr>
                <w:rFonts w:ascii="Times New Roman" w:hAnsi="Times New Roman" w:cs="Times New Roman"/>
                <w:noProof/>
                <w:sz w:val="20"/>
                <w:szCs w:val="20"/>
              </w:rPr>
            </w:pPr>
            <w:r>
              <w:rPr>
                <w:rFonts w:ascii="Times New Roman" w:hAnsi="Times New Roman"/>
                <w:noProof/>
                <w:sz w:val="20"/>
              </w:rPr>
              <w:t xml:space="preserve">Arī statistikas dati tiek nosūtīti Francijas statistikas datu bāzei no </w:t>
            </w:r>
            <w:r>
              <w:rPr>
                <w:rFonts w:ascii="Times New Roman" w:hAnsi="Times New Roman"/>
                <w:i/>
                <w:noProof/>
                <w:sz w:val="20"/>
              </w:rPr>
              <w:t>Delta</w:t>
            </w:r>
            <w:r>
              <w:rPr>
                <w:rFonts w:ascii="Times New Roman" w:hAnsi="Times New Roman"/>
                <w:noProof/>
                <w:sz w:val="20"/>
              </w:rPr>
              <w:t xml:space="preserve"> sistēmas. Ar iesaistītajām dalībvalstīm saistītas preču plūsmas tiek norādītas, izmantojot īpašu atzīmi vienotā administratīvā dokumenta 44. ailē, lai izslēgtu šīs plūsmas no saviem valsts statistikas datiem un noteiktu dalībvalsti, kur preces fiziski atrodas laikā, kad tās tiek laistas muitas procedūrā. Īpašas atzīmes izmantošana ir pagaidu risinājums, ņemot vērā, ka IT sistēmai </w:t>
            </w:r>
            <w:r>
              <w:rPr>
                <w:rFonts w:ascii="Times New Roman" w:hAnsi="Times New Roman"/>
                <w:i/>
                <w:noProof/>
                <w:sz w:val="20"/>
              </w:rPr>
              <w:t>Delta</w:t>
            </w:r>
            <w:r>
              <w:rPr>
                <w:rFonts w:ascii="Times New Roman" w:hAnsi="Times New Roman"/>
                <w:noProof/>
                <w:sz w:val="20"/>
              </w:rPr>
              <w:t xml:space="preserve"> būtu jāsniedz uzņēmējiem iespēja aizpildīt divas jaunas ailes: 15.a un 17.a aili (galamērķa dalībvalsts un faktiskā eksporta dalībvalsts).</w:t>
            </w:r>
          </w:p>
        </w:tc>
      </w:tr>
      <w:tr w:rsidR="00211065" w:rsidRPr="00D85CB7" w:rsidTr="00FF42EE">
        <w:trPr>
          <w:trHeight w:val="4330"/>
        </w:trPr>
        <w:tc>
          <w:tcPr>
            <w:tcW w:w="0" w:type="auto"/>
            <w:tcBorders>
              <w:left w:val="single" w:sz="5" w:space="0" w:color="000000"/>
              <w:bottom w:val="single" w:sz="5" w:space="0" w:color="000000"/>
              <w:right w:val="single" w:sz="5" w:space="0" w:color="000000"/>
            </w:tcBorders>
          </w:tcPr>
          <w:p w:rsidR="00211065" w:rsidRPr="00D85CB7" w:rsidRDefault="00211065" w:rsidP="003E628F">
            <w:pPr>
              <w:jc w:val="both"/>
              <w:rPr>
                <w:rFonts w:ascii="Times New Roman" w:hAnsi="Times New Roman" w:cs="Times New Roman"/>
                <w:noProof/>
                <w:sz w:val="20"/>
                <w:szCs w:val="20"/>
              </w:rPr>
            </w:pPr>
          </w:p>
        </w:tc>
        <w:tc>
          <w:tcPr>
            <w:tcW w:w="1982" w:type="pct"/>
            <w:tcBorders>
              <w:top w:val="single" w:sz="5" w:space="0" w:color="000000"/>
              <w:left w:val="single" w:sz="5" w:space="0" w:color="000000"/>
              <w:bottom w:val="single" w:sz="5" w:space="0" w:color="000000"/>
              <w:right w:val="single" w:sz="5" w:space="0" w:color="000000"/>
            </w:tcBorders>
          </w:tcPr>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t>Kā iesaistītā dalībvalsts</w:t>
            </w:r>
          </w:p>
          <w:p w:rsidR="00211065" w:rsidRPr="00D85CB7" w:rsidRDefault="00211065" w:rsidP="003E628F">
            <w:pPr>
              <w:pStyle w:val="TableParagraph"/>
              <w:jc w:val="both"/>
              <w:rPr>
                <w:rFonts w:ascii="Times New Roman" w:eastAsia="Times New Roman" w:hAnsi="Times New Roman" w:cs="Times New Roman"/>
                <w:noProof/>
                <w:sz w:val="20"/>
                <w:szCs w:val="20"/>
              </w:rPr>
            </w:pPr>
          </w:p>
          <w:p w:rsidR="00211065" w:rsidRPr="00D85CB7" w:rsidRDefault="00211065" w:rsidP="003E628F">
            <w:pPr>
              <w:pStyle w:val="TableParagraph"/>
              <w:jc w:val="both"/>
              <w:rPr>
                <w:rFonts w:ascii="Times New Roman" w:hAnsi="Times New Roman" w:cs="Times New Roman"/>
                <w:noProof/>
                <w:sz w:val="20"/>
                <w:szCs w:val="20"/>
              </w:rPr>
            </w:pPr>
            <w:r>
              <w:rPr>
                <w:rFonts w:ascii="Times New Roman" w:hAnsi="Times New Roman"/>
                <w:noProof/>
                <w:sz w:val="20"/>
              </w:rPr>
              <w:t>Centralizētas muitošanas gadījumā atļaujas sniedzējas dalībvalsts atbalstīto muitas nodokļu iekasēšana ir nošķirta no importa PVN maksājuma, par kuru atbildīga katra iesaistītā dalībvalsts.</w:t>
            </w:r>
          </w:p>
          <w:p w:rsidR="00211065" w:rsidRPr="00D85CB7" w:rsidRDefault="00211065" w:rsidP="003E628F">
            <w:pPr>
              <w:pStyle w:val="TableParagraph"/>
              <w:jc w:val="both"/>
              <w:rPr>
                <w:rFonts w:ascii="Times New Roman" w:eastAsia="Times New Roman" w:hAnsi="Times New Roman" w:cs="Times New Roman"/>
                <w:noProof/>
                <w:sz w:val="20"/>
                <w:szCs w:val="20"/>
              </w:rPr>
            </w:pPr>
          </w:p>
          <w:p w:rsidR="00D85CB7" w:rsidRPr="00D85CB7" w:rsidRDefault="00211065" w:rsidP="00D85CB7">
            <w:pPr>
              <w:pStyle w:val="TableParagraph"/>
              <w:jc w:val="both"/>
              <w:rPr>
                <w:rFonts w:ascii="Times New Roman" w:hAnsi="Times New Roman" w:cs="Times New Roman"/>
                <w:noProof/>
                <w:sz w:val="20"/>
                <w:szCs w:val="20"/>
              </w:rPr>
            </w:pPr>
            <w:r>
              <w:rPr>
                <w:rFonts w:ascii="Times New Roman" w:hAnsi="Times New Roman"/>
                <w:noProof/>
                <w:sz w:val="20"/>
              </w:rPr>
              <w:t>Atļaujas turētājam ir jāiesniedz papildu PVN deklarācija iesaistītajai Francijas muitas iestādei un jāmaksā PVN par visām precēm, kas mēneša laikā importētas Francijā. Viena papildu deklarācija ir nepieciešama katrai procedūrā iesaistītajai muitas iestādei. Tomēr PVN maksājumu veikšanu ir iespējams centralizēt valsts līmenī ap vienu Francijas iesaistīto muitas iestādi, kad centralizētajā muitošanā ir iesaistītas divas vai vairākas Francijas iesaistītās muitas iestādes.</w:t>
            </w:r>
          </w:p>
          <w:p w:rsidR="00D85CB7" w:rsidRPr="00D85CB7" w:rsidRDefault="00D85CB7" w:rsidP="00D85CB7">
            <w:pPr>
              <w:pStyle w:val="TableParagraph"/>
              <w:jc w:val="both"/>
              <w:rPr>
                <w:rFonts w:ascii="Times New Roman" w:eastAsia="Times New Roman" w:hAnsi="Times New Roman" w:cs="Times New Roman"/>
                <w:noProof/>
                <w:sz w:val="20"/>
                <w:szCs w:val="20"/>
              </w:rPr>
            </w:pPr>
          </w:p>
          <w:p w:rsidR="00211065" w:rsidRPr="00D85CB7" w:rsidRDefault="00D85CB7" w:rsidP="00D85CB7">
            <w:pPr>
              <w:pStyle w:val="TableParagraph"/>
              <w:jc w:val="both"/>
              <w:rPr>
                <w:rFonts w:ascii="Times New Roman" w:hAnsi="Times New Roman" w:cs="Times New Roman"/>
                <w:noProof/>
                <w:sz w:val="20"/>
                <w:szCs w:val="20"/>
              </w:rPr>
            </w:pPr>
            <w:r>
              <w:rPr>
                <w:rFonts w:ascii="Times New Roman" w:hAnsi="Times New Roman"/>
                <w:noProof/>
                <w:sz w:val="20"/>
              </w:rPr>
              <w:t>Atļaujas sniedzējai dalībvalstij ir jānosūta papildu muitas deklarācijas ikmēneša kopija Francijas iesaistītajai muitas iestādei, lai tā varētu veikt datu salīdzināšanu.</w:t>
            </w:r>
          </w:p>
        </w:tc>
        <w:tc>
          <w:tcPr>
            <w:tcW w:w="2330" w:type="pct"/>
            <w:tcBorders>
              <w:top w:val="single" w:sz="5" w:space="0" w:color="000000"/>
              <w:left w:val="single" w:sz="5" w:space="0" w:color="000000"/>
              <w:bottom w:val="single" w:sz="5" w:space="0" w:color="000000"/>
              <w:right w:val="single" w:sz="5" w:space="0" w:color="000000"/>
            </w:tcBorders>
          </w:tcPr>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t>Kā iesaistītā dalībvalsts</w:t>
            </w:r>
          </w:p>
          <w:p w:rsidR="00211065" w:rsidRPr="00D85CB7" w:rsidRDefault="00211065" w:rsidP="003E628F">
            <w:pPr>
              <w:pStyle w:val="TableParagraph"/>
              <w:jc w:val="both"/>
              <w:rPr>
                <w:rFonts w:ascii="Times New Roman" w:hAnsi="Times New Roman" w:cs="Times New Roman"/>
                <w:noProof/>
                <w:sz w:val="20"/>
                <w:szCs w:val="20"/>
              </w:rPr>
            </w:pPr>
            <w:r>
              <w:rPr>
                <w:rFonts w:ascii="Times New Roman" w:hAnsi="Times New Roman"/>
                <w:noProof/>
                <w:sz w:val="20"/>
              </w:rPr>
              <w:t>Statistikas vajadzībām mēs kā iesaistītā dalībvalsts lūdzam atļauju saņēmušos uzņēmumus katru mēnesi nosūtīt elektroniskas datnes, tostarp obligātos vienotā administratīvā dokumenta datus, par attiecīgajā mēnesī Francijā fiziski ievestajām precēm.</w:t>
            </w:r>
          </w:p>
        </w:tc>
      </w:tr>
      <w:tr w:rsidR="00211065" w:rsidRPr="00D85CB7" w:rsidTr="00D85CB7">
        <w:tc>
          <w:tcPr>
            <w:tcW w:w="0" w:type="auto"/>
            <w:tcBorders>
              <w:top w:val="single" w:sz="5" w:space="0" w:color="000000"/>
              <w:left w:val="single" w:sz="5" w:space="0" w:color="000000"/>
              <w:bottom w:val="nil"/>
              <w:right w:val="single" w:sz="5" w:space="0" w:color="000000"/>
            </w:tcBorders>
          </w:tcPr>
          <w:p w:rsidR="00211065" w:rsidRPr="00D85CB7" w:rsidRDefault="00211065" w:rsidP="003E628F">
            <w:pPr>
              <w:pStyle w:val="TableParagraph"/>
              <w:ind w:firstLine="132"/>
              <w:jc w:val="both"/>
              <w:rPr>
                <w:rFonts w:ascii="Times New Roman" w:hAnsi="Times New Roman" w:cs="Times New Roman"/>
                <w:b/>
                <w:noProof/>
                <w:sz w:val="20"/>
                <w:szCs w:val="20"/>
              </w:rPr>
            </w:pPr>
            <w:r>
              <w:rPr>
                <w:rFonts w:ascii="Times New Roman" w:hAnsi="Times New Roman"/>
                <w:b/>
                <w:noProof/>
                <w:sz w:val="20"/>
              </w:rPr>
              <w:t>Apvienotā Karaliste</w:t>
            </w:r>
          </w:p>
        </w:tc>
        <w:tc>
          <w:tcPr>
            <w:tcW w:w="0" w:type="auto"/>
            <w:gridSpan w:val="2"/>
            <w:tcBorders>
              <w:top w:val="single" w:sz="5" w:space="0" w:color="000000"/>
              <w:left w:val="single" w:sz="5" w:space="0" w:color="000000"/>
              <w:bottom w:val="single" w:sz="5" w:space="0" w:color="000000"/>
              <w:right w:val="single" w:sz="5" w:space="0" w:color="000000"/>
            </w:tcBorders>
          </w:tcPr>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t>PVN/statistika: Parastā iekasēšanas metode</w:t>
            </w:r>
          </w:p>
          <w:p w:rsidR="00211065" w:rsidRPr="00D85CB7" w:rsidRDefault="00211065" w:rsidP="003E628F">
            <w:pPr>
              <w:pStyle w:val="TableParagraph"/>
              <w:jc w:val="both"/>
              <w:rPr>
                <w:rFonts w:ascii="Times New Roman" w:eastAsia="Times New Roman" w:hAnsi="Times New Roman" w:cs="Times New Roman"/>
                <w:noProof/>
                <w:sz w:val="20"/>
                <w:szCs w:val="20"/>
              </w:rPr>
            </w:pPr>
          </w:p>
          <w:p w:rsidR="00211065" w:rsidRPr="00D85CB7" w:rsidRDefault="00211065" w:rsidP="003E628F">
            <w:pPr>
              <w:pStyle w:val="TableParagraph"/>
              <w:jc w:val="both"/>
              <w:rPr>
                <w:rFonts w:ascii="Times New Roman" w:hAnsi="Times New Roman" w:cs="Times New Roman"/>
                <w:noProof/>
                <w:sz w:val="20"/>
                <w:szCs w:val="20"/>
              </w:rPr>
            </w:pPr>
            <w:r>
              <w:rPr>
                <w:rFonts w:ascii="Times New Roman" w:hAnsi="Times New Roman"/>
                <w:noProof/>
                <w:sz w:val="20"/>
              </w:rPr>
              <w:t>Apvienotajā Karalistē pašlaik izmantotā informācijas sniegšanas sistēma vienkāršotajās procedūrās ir Muitas kravas vienkāršotās procedūras (</w:t>
            </w:r>
            <w:r>
              <w:rPr>
                <w:rFonts w:ascii="Times New Roman" w:hAnsi="Times New Roman"/>
                <w:i/>
                <w:noProof/>
                <w:sz w:val="20"/>
              </w:rPr>
              <w:t>CFSP</w:t>
            </w:r>
            <w:r>
              <w:rPr>
                <w:rFonts w:ascii="Times New Roman" w:hAnsi="Times New Roman"/>
                <w:noProof/>
                <w:sz w:val="20"/>
              </w:rPr>
              <w:t>). Muitas kravas vienkāršotās procedūras ir divu posmu elektroniskās deklarēšanas metode. Tā piedāvā uzņēmējam dažādas procedūras, kuras atbilstīgi uzņēmēja vajadzībām var piemērot atsevišķi vai apvienoti.</w:t>
            </w:r>
          </w:p>
          <w:p w:rsidR="00211065" w:rsidRPr="00D85CB7" w:rsidRDefault="00211065" w:rsidP="003E628F">
            <w:pPr>
              <w:pStyle w:val="TableParagraph"/>
              <w:jc w:val="both"/>
              <w:rPr>
                <w:rFonts w:ascii="Times New Roman" w:eastAsia="Times New Roman" w:hAnsi="Times New Roman" w:cs="Times New Roman"/>
                <w:noProof/>
                <w:sz w:val="20"/>
                <w:szCs w:val="20"/>
              </w:rPr>
            </w:pPr>
          </w:p>
          <w:p w:rsidR="00211065" w:rsidRPr="00D85CB7" w:rsidRDefault="00211065" w:rsidP="003E628F">
            <w:pPr>
              <w:pStyle w:val="TableParagraph"/>
              <w:jc w:val="both"/>
              <w:rPr>
                <w:rFonts w:ascii="Times New Roman" w:hAnsi="Times New Roman" w:cs="Times New Roman"/>
                <w:noProof/>
                <w:sz w:val="20"/>
                <w:szCs w:val="20"/>
              </w:rPr>
            </w:pPr>
            <w:r>
              <w:rPr>
                <w:rFonts w:ascii="Times New Roman" w:hAnsi="Times New Roman"/>
                <w:noProof/>
                <w:sz w:val="20"/>
              </w:rPr>
              <w:t>Uzņēmējs var izvēlēties izmantot vienkāršotās deklarēšanas procedūru (</w:t>
            </w:r>
            <w:r>
              <w:rPr>
                <w:rFonts w:ascii="Times New Roman" w:hAnsi="Times New Roman"/>
                <w:i/>
                <w:noProof/>
                <w:sz w:val="20"/>
              </w:rPr>
              <w:t>SDP</w:t>
            </w:r>
            <w:r>
              <w:rPr>
                <w:rFonts w:ascii="Times New Roman" w:hAnsi="Times New Roman"/>
                <w:noProof/>
                <w:sz w:val="20"/>
              </w:rPr>
              <w:t>) vai vietējās muitošanas procedūru (</w:t>
            </w:r>
            <w:r>
              <w:rPr>
                <w:rFonts w:ascii="Times New Roman" w:hAnsi="Times New Roman"/>
                <w:i/>
                <w:noProof/>
                <w:sz w:val="20"/>
              </w:rPr>
              <w:t>LCP</w:t>
            </w:r>
            <w:r>
              <w:rPr>
                <w:rFonts w:ascii="Times New Roman" w:hAnsi="Times New Roman"/>
                <w:noProof/>
                <w:sz w:val="20"/>
              </w:rPr>
              <w:t>), vai abas šīs procedūras. Abos gadījumos importa deklarācija tiek iesniegta divos posmos. Sākotnējā ziņojumā muitai tiek sniegti minimālie dati, pamatojoties uz kuriem tiek izlaistas preces. Šo ziņojumu var sniegt vienkāršotas robežu deklarācijas (</w:t>
            </w:r>
            <w:r>
              <w:rPr>
                <w:rFonts w:ascii="Times New Roman" w:hAnsi="Times New Roman"/>
                <w:i/>
                <w:noProof/>
                <w:sz w:val="20"/>
              </w:rPr>
              <w:t>SFD</w:t>
            </w:r>
            <w:r>
              <w:rPr>
                <w:rFonts w:ascii="Times New Roman" w:hAnsi="Times New Roman"/>
                <w:noProof/>
                <w:sz w:val="20"/>
              </w:rPr>
              <w:t xml:space="preserve">) formā, ko iesniedz muitai uz robežas (vienkāršotas deklarēšanas procedūra), vai kā ierakstu </w:t>
            </w:r>
            <w:r>
              <w:rPr>
                <w:rFonts w:ascii="Times New Roman" w:hAnsi="Times New Roman"/>
                <w:noProof/>
                <w:sz w:val="20"/>
              </w:rPr>
              <w:lastRenderedPageBreak/>
              <w:t>uzņēmēja komercreģistros (vietējās muitošanas procedūra).</w:t>
            </w:r>
          </w:p>
          <w:p w:rsidR="00211065" w:rsidRPr="00D85CB7" w:rsidRDefault="00211065" w:rsidP="003E628F">
            <w:pPr>
              <w:pStyle w:val="TableParagraph"/>
              <w:jc w:val="both"/>
              <w:rPr>
                <w:rFonts w:ascii="Times New Roman" w:eastAsia="Times New Roman" w:hAnsi="Times New Roman" w:cs="Times New Roman"/>
                <w:noProof/>
                <w:sz w:val="20"/>
                <w:szCs w:val="20"/>
              </w:rPr>
            </w:pPr>
          </w:p>
          <w:p w:rsidR="00211065" w:rsidRPr="00D85CB7" w:rsidRDefault="00211065" w:rsidP="00FF42EE">
            <w:pPr>
              <w:pStyle w:val="TableParagraph"/>
              <w:jc w:val="both"/>
              <w:rPr>
                <w:rFonts w:ascii="Times New Roman" w:hAnsi="Times New Roman" w:cs="Times New Roman"/>
                <w:noProof/>
                <w:sz w:val="20"/>
                <w:szCs w:val="20"/>
              </w:rPr>
            </w:pPr>
            <w:r>
              <w:rPr>
                <w:rFonts w:ascii="Times New Roman" w:hAnsi="Times New Roman"/>
                <w:noProof/>
                <w:sz w:val="20"/>
              </w:rPr>
              <w:t xml:space="preserve">Pēc tam vienkāršotajai deklarācijai seko elektronisks vienotais administratīvais dokuments, kurā norādīti pilnīgi fiskālie un statistikas dati. Šī papildu deklarācija ir jāiesniedz līdz ceturtās darba dienas beigām pēc </w:t>
            </w:r>
            <w:r>
              <w:rPr>
                <w:rFonts w:ascii="Times New Roman" w:hAnsi="Times New Roman"/>
                <w:b/>
                <w:noProof/>
                <w:sz w:val="20"/>
              </w:rPr>
              <w:t>ziņošanas perioda beigām</w:t>
            </w:r>
            <w:r>
              <w:rPr>
                <w:rFonts w:ascii="Times New Roman" w:hAnsi="Times New Roman"/>
                <w:noProof/>
                <w:sz w:val="20"/>
              </w:rPr>
              <w:t>, kurā pieņemta vienkāršotā deklarācija. Pēc tam mūsu centrālā muitas</w:t>
            </w:r>
            <w:r w:rsidR="00FF42EE">
              <w:rPr>
                <w:rFonts w:ascii="Times New Roman" w:hAnsi="Times New Roman"/>
                <w:noProof/>
                <w:sz w:val="20"/>
              </w:rPr>
              <w:t xml:space="preserve"> </w:t>
            </w:r>
            <w:r>
              <w:rPr>
                <w:rFonts w:ascii="Times New Roman" w:hAnsi="Times New Roman"/>
                <w:noProof/>
                <w:sz w:val="20"/>
              </w:rPr>
              <w:t xml:space="preserve">datorsistēma </w:t>
            </w:r>
            <w:r>
              <w:rPr>
                <w:rFonts w:ascii="Times New Roman" w:hAnsi="Times New Roman"/>
                <w:i/>
                <w:noProof/>
                <w:sz w:val="20"/>
              </w:rPr>
              <w:t>CHIEF</w:t>
            </w:r>
            <w:r>
              <w:rPr>
                <w:rFonts w:ascii="Times New Roman" w:hAnsi="Times New Roman"/>
                <w:noProof/>
                <w:sz w:val="20"/>
              </w:rPr>
              <w:t xml:space="preserve"> aprēķina maksājamo nodokli un PVN, un maksājums tiek iekasēts saskaņā ar nodokļu atliktās maksāšanas režīmu. Arī statistikas dati statistikas datu bāzei tiek nosūtīti no </w:t>
            </w:r>
            <w:r>
              <w:rPr>
                <w:rFonts w:ascii="Times New Roman" w:hAnsi="Times New Roman"/>
                <w:i/>
                <w:noProof/>
                <w:sz w:val="20"/>
              </w:rPr>
              <w:t>CHIEF</w:t>
            </w:r>
            <w:r>
              <w:rPr>
                <w:rFonts w:ascii="Times New Roman" w:hAnsi="Times New Roman"/>
                <w:noProof/>
                <w:sz w:val="20"/>
              </w:rPr>
              <w:t xml:space="preserve"> sistēmas.</w:t>
            </w:r>
          </w:p>
        </w:tc>
      </w:tr>
      <w:tr w:rsidR="00211065" w:rsidRPr="00D85CB7" w:rsidTr="00D85CB7">
        <w:tc>
          <w:tcPr>
            <w:tcW w:w="0" w:type="auto"/>
            <w:tcBorders>
              <w:top w:val="nil"/>
              <w:left w:val="single" w:sz="5" w:space="0" w:color="000000"/>
              <w:bottom w:val="single" w:sz="5" w:space="0" w:color="000000"/>
              <w:right w:val="single" w:sz="5" w:space="0" w:color="000000"/>
            </w:tcBorders>
          </w:tcPr>
          <w:p w:rsidR="00211065" w:rsidRPr="00D85CB7" w:rsidRDefault="00211065" w:rsidP="003E628F">
            <w:pPr>
              <w:jc w:val="both"/>
              <w:rPr>
                <w:rFonts w:ascii="Times New Roman" w:hAnsi="Times New Roman" w:cs="Times New Roman"/>
                <w:noProof/>
                <w:sz w:val="20"/>
                <w:szCs w:val="20"/>
              </w:rPr>
            </w:pPr>
          </w:p>
        </w:tc>
        <w:tc>
          <w:tcPr>
            <w:tcW w:w="0" w:type="auto"/>
            <w:gridSpan w:val="2"/>
            <w:tcBorders>
              <w:top w:val="single" w:sz="5" w:space="0" w:color="000000"/>
              <w:left w:val="single" w:sz="5" w:space="0" w:color="000000"/>
              <w:bottom w:val="single" w:sz="5" w:space="0" w:color="000000"/>
              <w:right w:val="single" w:sz="5" w:space="0" w:color="000000"/>
            </w:tcBorders>
          </w:tcPr>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t>PVN/statistika: Kā izsniedzēja dalībvalsts</w:t>
            </w:r>
          </w:p>
          <w:p w:rsidR="00211065" w:rsidRPr="00D85CB7" w:rsidRDefault="00211065" w:rsidP="003E628F">
            <w:pPr>
              <w:pStyle w:val="TableParagraph"/>
              <w:jc w:val="both"/>
              <w:rPr>
                <w:rFonts w:ascii="Times New Roman" w:hAnsi="Times New Roman" w:cs="Times New Roman"/>
                <w:noProof/>
                <w:sz w:val="20"/>
                <w:szCs w:val="20"/>
              </w:rPr>
            </w:pPr>
            <w:r>
              <w:rPr>
                <w:rFonts w:ascii="Times New Roman" w:hAnsi="Times New Roman"/>
                <w:noProof/>
                <w:sz w:val="20"/>
              </w:rPr>
              <w:t>Uzņēmējs iesniedz vienoto administratīvo dokumentu Apvienotajā Karalistē gan attiecībā uz Apvienotā Karalistes importu, gan uz citu dalībvalstu importu. Importa PVN tiek iekasēts un statistika tiek apkopota parastā veidā attiecībā uz Apvienotajā Karalistē importētajām precēm.</w:t>
            </w:r>
          </w:p>
          <w:p w:rsidR="00211065" w:rsidRPr="00D85CB7" w:rsidRDefault="00211065" w:rsidP="003E628F">
            <w:pPr>
              <w:pStyle w:val="TableParagraph"/>
              <w:jc w:val="both"/>
              <w:rPr>
                <w:rFonts w:ascii="Times New Roman" w:eastAsia="Times New Roman" w:hAnsi="Times New Roman" w:cs="Times New Roman"/>
                <w:noProof/>
                <w:sz w:val="20"/>
                <w:szCs w:val="20"/>
              </w:rPr>
            </w:pPr>
          </w:p>
          <w:p w:rsidR="00211065" w:rsidRPr="00D85CB7" w:rsidRDefault="00211065" w:rsidP="003E628F">
            <w:pPr>
              <w:pStyle w:val="TableParagraph"/>
              <w:jc w:val="both"/>
              <w:rPr>
                <w:rFonts w:ascii="Times New Roman" w:hAnsi="Times New Roman" w:cs="Times New Roman"/>
                <w:noProof/>
                <w:sz w:val="20"/>
                <w:szCs w:val="20"/>
              </w:rPr>
            </w:pPr>
            <w:r>
              <w:rPr>
                <w:rFonts w:ascii="Times New Roman" w:hAnsi="Times New Roman"/>
                <w:noProof/>
                <w:sz w:val="20"/>
              </w:rPr>
              <w:t xml:space="preserve">Attiecībā uz tādu preču importu, kas fiziski atrodas citā dalībvalstī, uzņēmējam muitas deklarācijā būs jānorāda </w:t>
            </w:r>
            <w:r>
              <w:rPr>
                <w:rFonts w:ascii="Times New Roman" w:hAnsi="Times New Roman"/>
                <w:i/>
                <w:noProof/>
                <w:sz w:val="20"/>
              </w:rPr>
              <w:t>ISO</w:t>
            </w:r>
            <w:r>
              <w:rPr>
                <w:rFonts w:ascii="Times New Roman" w:hAnsi="Times New Roman"/>
                <w:noProof/>
                <w:sz w:val="20"/>
              </w:rPr>
              <w:t xml:space="preserve"> valsts burtu kods 30. ailē, maksājuma metodes kods 47. ailē, lai apslēptu maksājamo importa PVN, un kods 44. ailē, lai norādītu dalībvalsti, kur atrodas preces. Tādējādi tiek nodrošināts, ka Apvienotā Karaliste neiekasē importa PVN un nevāc statistikas informāciju, kas pienākas iesaistītajai dalībvalstij.</w:t>
            </w:r>
          </w:p>
          <w:p w:rsidR="00211065" w:rsidRPr="00D85CB7" w:rsidRDefault="00211065" w:rsidP="003E628F">
            <w:pPr>
              <w:pStyle w:val="TableParagraph"/>
              <w:jc w:val="both"/>
              <w:rPr>
                <w:rFonts w:ascii="Times New Roman" w:eastAsia="Times New Roman" w:hAnsi="Times New Roman" w:cs="Times New Roman"/>
                <w:noProof/>
                <w:sz w:val="20"/>
                <w:szCs w:val="20"/>
              </w:rPr>
            </w:pPr>
          </w:p>
          <w:p w:rsidR="00211065" w:rsidRPr="00D85CB7" w:rsidRDefault="00211065" w:rsidP="003E628F">
            <w:pPr>
              <w:pStyle w:val="TableParagraph"/>
              <w:jc w:val="both"/>
              <w:rPr>
                <w:rFonts w:ascii="Times New Roman" w:hAnsi="Times New Roman" w:cs="Times New Roman"/>
                <w:noProof/>
                <w:sz w:val="20"/>
                <w:szCs w:val="20"/>
              </w:rPr>
            </w:pPr>
            <w:r>
              <w:rPr>
                <w:rFonts w:ascii="Times New Roman" w:hAnsi="Times New Roman"/>
                <w:noProof/>
                <w:sz w:val="20"/>
              </w:rPr>
              <w:t>Uzņēmējiem ir iespēja iesniegt apkopotu mēneša deklarāciju vai atsevišķas deklarācijas visa mēneša laikā.</w:t>
            </w:r>
          </w:p>
        </w:tc>
      </w:tr>
      <w:tr w:rsidR="00211065" w:rsidRPr="00D85CB7" w:rsidTr="00D85CB7">
        <w:tc>
          <w:tcPr>
            <w:tcW w:w="0" w:type="auto"/>
            <w:tcBorders>
              <w:top w:val="single" w:sz="5" w:space="0" w:color="000000"/>
              <w:left w:val="single" w:sz="5" w:space="0" w:color="000000"/>
              <w:bottom w:val="single" w:sz="5" w:space="0" w:color="000000"/>
              <w:right w:val="single" w:sz="5" w:space="0" w:color="000000"/>
            </w:tcBorders>
          </w:tcPr>
          <w:p w:rsidR="00211065" w:rsidRPr="00D85CB7" w:rsidRDefault="00211065" w:rsidP="003E628F">
            <w:pPr>
              <w:jc w:val="both"/>
              <w:rPr>
                <w:rFonts w:ascii="Times New Roman" w:hAnsi="Times New Roman" w:cs="Times New Roman"/>
                <w:noProof/>
                <w:sz w:val="20"/>
                <w:szCs w:val="20"/>
              </w:rPr>
            </w:pPr>
          </w:p>
        </w:tc>
        <w:tc>
          <w:tcPr>
            <w:tcW w:w="0" w:type="auto"/>
            <w:gridSpan w:val="2"/>
            <w:tcBorders>
              <w:top w:val="single" w:sz="5" w:space="0" w:color="000000"/>
              <w:left w:val="single" w:sz="5" w:space="0" w:color="000000"/>
              <w:bottom w:val="single" w:sz="5" w:space="0" w:color="000000"/>
              <w:right w:val="single" w:sz="5" w:space="0" w:color="000000"/>
            </w:tcBorders>
          </w:tcPr>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t>PVN/statistika: Kā iesaistītā dalībvalsts</w:t>
            </w:r>
          </w:p>
          <w:p w:rsidR="00211065" w:rsidRPr="00D85CB7" w:rsidRDefault="00211065" w:rsidP="003E628F">
            <w:pPr>
              <w:pStyle w:val="TableParagraph"/>
              <w:jc w:val="both"/>
              <w:rPr>
                <w:rFonts w:ascii="Times New Roman" w:hAnsi="Times New Roman" w:cs="Times New Roman"/>
                <w:noProof/>
                <w:sz w:val="20"/>
                <w:szCs w:val="20"/>
              </w:rPr>
            </w:pPr>
            <w:r>
              <w:rPr>
                <w:rFonts w:ascii="Times New Roman" w:hAnsi="Times New Roman"/>
                <w:noProof/>
                <w:sz w:val="20"/>
              </w:rPr>
              <w:t>Apvienotajā Karalistē mēs esam nolēmuši izmantot mūsu pastāvošo elektronisko ziņošanas sistēmu vienkāršotām procedūrām kā pamatu, ko uzņēmēji var izmantot importa PVN un statistikas paziņošanai. Uzņēmējiem ir iespēja iesniegt apkopotu mēneša deklarāciju vai atsevišķas deklarācijas visa mēneša laikā.</w:t>
            </w:r>
          </w:p>
          <w:p w:rsidR="00211065" w:rsidRPr="00D85CB7" w:rsidRDefault="00211065" w:rsidP="003E628F">
            <w:pPr>
              <w:pStyle w:val="TableParagraph"/>
              <w:jc w:val="both"/>
              <w:rPr>
                <w:rFonts w:ascii="Times New Roman" w:eastAsia="Times New Roman" w:hAnsi="Times New Roman" w:cs="Times New Roman"/>
                <w:noProof/>
                <w:sz w:val="20"/>
                <w:szCs w:val="20"/>
              </w:rPr>
            </w:pPr>
          </w:p>
          <w:p w:rsidR="00211065" w:rsidRPr="00D85CB7" w:rsidRDefault="00211065" w:rsidP="003E628F">
            <w:pPr>
              <w:pStyle w:val="TableParagraph"/>
              <w:jc w:val="both"/>
              <w:rPr>
                <w:rFonts w:ascii="Times New Roman" w:hAnsi="Times New Roman" w:cs="Times New Roman"/>
                <w:noProof/>
                <w:sz w:val="20"/>
                <w:szCs w:val="20"/>
              </w:rPr>
            </w:pPr>
            <w:r>
              <w:rPr>
                <w:rFonts w:ascii="Times New Roman" w:hAnsi="Times New Roman"/>
                <w:noProof/>
                <w:sz w:val="20"/>
              </w:rPr>
              <w:t>Uzņēmējs iesniegs Apvienotās Karalistes muitai derīgas papildu PVN un statistikas deklarācijas un nodrošinās to, ka jebkuri nesekmīgi ziņojumi ir pamanīti, izlaboti un atkārtoti iesniegti līdz tā mēneša ceturtajai darba dienai, kas seko nodokļa norādīšanas brīdim un/vai bāzes datumam, proti, vienkāršotās robežas deklarācijas pieņemšanas datumam vai ar datumu un laiku apzīmētam ierakstam vietējās muitošanas reģistrā.</w:t>
            </w:r>
          </w:p>
          <w:p w:rsidR="00211065" w:rsidRPr="00D85CB7" w:rsidRDefault="00211065" w:rsidP="003E628F">
            <w:pPr>
              <w:pStyle w:val="TableParagraph"/>
              <w:jc w:val="both"/>
              <w:rPr>
                <w:rFonts w:ascii="Times New Roman" w:hAnsi="Times New Roman" w:cs="Times New Roman"/>
                <w:noProof/>
                <w:sz w:val="20"/>
                <w:szCs w:val="20"/>
              </w:rPr>
            </w:pPr>
          </w:p>
          <w:p w:rsidR="00211065" w:rsidRPr="00D85CB7" w:rsidRDefault="00211065" w:rsidP="003E628F">
            <w:pPr>
              <w:pStyle w:val="TableParagraph"/>
              <w:jc w:val="both"/>
              <w:rPr>
                <w:rFonts w:ascii="Times New Roman" w:hAnsi="Times New Roman" w:cs="Times New Roman"/>
                <w:noProof/>
                <w:sz w:val="20"/>
                <w:szCs w:val="20"/>
              </w:rPr>
            </w:pPr>
            <w:r>
              <w:rPr>
                <w:rFonts w:ascii="Times New Roman" w:hAnsi="Times New Roman"/>
                <w:noProof/>
                <w:sz w:val="20"/>
              </w:rPr>
              <w:t xml:space="preserve">Papildu deklarācija tiks noformēta tāpat kā parastā elektroniskā deklarācija vienkāršotajām procedūrām, bet maksājuma metodes kods būs jāiekļauj 47. ailē, lai apslēptu muitas nodokli, jo tas tiks maksāts atļaujas sniedzējā dalībvalstī, un būs jāiekļauj kods 44. ailē, lai norādītu </w:t>
            </w:r>
            <w:r>
              <w:rPr>
                <w:rFonts w:ascii="Times New Roman" w:hAnsi="Times New Roman"/>
                <w:i/>
                <w:noProof/>
                <w:sz w:val="20"/>
              </w:rPr>
              <w:t>SASP</w:t>
            </w:r>
            <w:r>
              <w:rPr>
                <w:rFonts w:ascii="Times New Roman" w:hAnsi="Times New Roman"/>
                <w:noProof/>
                <w:sz w:val="20"/>
              </w:rPr>
              <w:t xml:space="preserve"> izsniegšanas dalībvalsti. Tādējādi tiek nodrošināts, ka tiek iekasēts atbilstošais importa PVN un paziņota atbilstošā statistika.</w:t>
            </w:r>
          </w:p>
          <w:p w:rsidR="00211065" w:rsidRPr="00D85CB7" w:rsidRDefault="00211065" w:rsidP="003E628F">
            <w:pPr>
              <w:pStyle w:val="TableParagraph"/>
              <w:jc w:val="both"/>
              <w:rPr>
                <w:rFonts w:ascii="Times New Roman" w:eastAsia="Times New Roman" w:hAnsi="Times New Roman" w:cs="Times New Roman"/>
                <w:noProof/>
                <w:sz w:val="20"/>
                <w:szCs w:val="20"/>
              </w:rPr>
            </w:pPr>
          </w:p>
          <w:p w:rsidR="00211065" w:rsidRPr="00D85CB7" w:rsidRDefault="00211065" w:rsidP="003E628F">
            <w:pPr>
              <w:pStyle w:val="TableParagraph"/>
              <w:jc w:val="both"/>
              <w:rPr>
                <w:rFonts w:ascii="Times New Roman" w:eastAsia="Times New Roman" w:hAnsi="Times New Roman" w:cs="Times New Roman"/>
                <w:noProof/>
                <w:sz w:val="20"/>
                <w:szCs w:val="20"/>
              </w:rPr>
            </w:pPr>
            <w:r>
              <w:rPr>
                <w:rFonts w:ascii="Times New Roman" w:hAnsi="Times New Roman"/>
                <w:noProof/>
                <w:sz w:val="20"/>
              </w:rPr>
              <w:t>Pēc tam uzņēmējs iesniegs galīgo papildu deklarāciju (</w:t>
            </w:r>
            <w:r>
              <w:rPr>
                <w:rFonts w:ascii="Times New Roman" w:hAnsi="Times New Roman"/>
                <w:i/>
                <w:noProof/>
                <w:sz w:val="20"/>
              </w:rPr>
              <w:t>FSD</w:t>
            </w:r>
            <w:r>
              <w:rPr>
                <w:rFonts w:ascii="Times New Roman" w:hAnsi="Times New Roman"/>
                <w:noProof/>
                <w:sz w:val="20"/>
              </w:rPr>
              <w:t xml:space="preserve">) Apvienotās Karalistes muitai katra ziņošanas perioda beigās, apstiprinot pabeigtās papildu PVN un statistikas deklarāciju skaitu un katra šāda deklarācijas veida skaitu attiecīgajā laika posmā kopā ar iepriekšējos periodos nenokārtoto papildu PVN un statistikas deklarāciju skaitu. Ir nepieciešamas nulles deklarācijas. Galīgajai papildu deklarācijai jābūt iesniegtai un pieņemtai </w:t>
            </w:r>
            <w:r>
              <w:rPr>
                <w:rFonts w:ascii="Times New Roman" w:hAnsi="Times New Roman"/>
                <w:i/>
                <w:noProof/>
                <w:sz w:val="20"/>
              </w:rPr>
              <w:t>CHIEF</w:t>
            </w:r>
            <w:r>
              <w:rPr>
                <w:rFonts w:ascii="Times New Roman" w:hAnsi="Times New Roman"/>
                <w:noProof/>
                <w:sz w:val="20"/>
              </w:rPr>
              <w:t xml:space="preserve"> sistēmā, ievērojot ceturtās darba dienas termiņu.</w:t>
            </w:r>
          </w:p>
        </w:tc>
      </w:tr>
      <w:tr w:rsidR="00211065" w:rsidRPr="00D85CB7" w:rsidTr="00FF42EE">
        <w:tc>
          <w:tcPr>
            <w:tcW w:w="0" w:type="auto"/>
            <w:vMerge w:val="restart"/>
            <w:tcBorders>
              <w:top w:val="single" w:sz="5" w:space="0" w:color="000000"/>
              <w:left w:val="single" w:sz="5" w:space="0" w:color="000000"/>
              <w:right w:val="single" w:sz="5" w:space="0" w:color="000000"/>
            </w:tcBorders>
          </w:tcPr>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t>Itālija</w:t>
            </w:r>
          </w:p>
        </w:tc>
        <w:tc>
          <w:tcPr>
            <w:tcW w:w="1982" w:type="pct"/>
            <w:tcBorders>
              <w:top w:val="single" w:sz="5" w:space="0" w:color="000000"/>
              <w:left w:val="single" w:sz="5" w:space="0" w:color="000000"/>
              <w:bottom w:val="single" w:sz="5" w:space="0" w:color="000000"/>
              <w:right w:val="single" w:sz="5" w:space="0" w:color="000000"/>
            </w:tcBorders>
          </w:tcPr>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t>Kā izsniedzēja dalībvalsts</w:t>
            </w:r>
          </w:p>
          <w:p w:rsidR="00211065" w:rsidRPr="00D85CB7" w:rsidRDefault="00211065" w:rsidP="003E628F">
            <w:pPr>
              <w:pStyle w:val="TableParagraph"/>
              <w:jc w:val="both"/>
              <w:rPr>
                <w:rFonts w:ascii="Times New Roman" w:hAnsi="Times New Roman" w:cs="Times New Roman"/>
                <w:noProof/>
                <w:sz w:val="20"/>
                <w:szCs w:val="20"/>
              </w:rPr>
            </w:pPr>
            <w:r>
              <w:rPr>
                <w:rFonts w:ascii="Times New Roman" w:hAnsi="Times New Roman"/>
                <w:noProof/>
                <w:sz w:val="20"/>
              </w:rPr>
              <w:t>Iespējamie risinājumi tiek apspriesti valsts līmenī</w:t>
            </w:r>
          </w:p>
        </w:tc>
        <w:tc>
          <w:tcPr>
            <w:tcW w:w="2330" w:type="pct"/>
            <w:tcBorders>
              <w:top w:val="single" w:sz="5" w:space="0" w:color="000000"/>
              <w:left w:val="single" w:sz="5" w:space="0" w:color="000000"/>
              <w:bottom w:val="single" w:sz="5" w:space="0" w:color="000000"/>
              <w:right w:val="single" w:sz="5" w:space="0" w:color="000000"/>
            </w:tcBorders>
          </w:tcPr>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t>Kā izsniedzēja dalībvalsts</w:t>
            </w:r>
          </w:p>
          <w:p w:rsidR="00211065" w:rsidRPr="00D85CB7" w:rsidRDefault="00211065" w:rsidP="003E628F">
            <w:pPr>
              <w:pStyle w:val="TableParagraph"/>
              <w:jc w:val="both"/>
              <w:rPr>
                <w:rFonts w:ascii="Times New Roman" w:hAnsi="Times New Roman" w:cs="Times New Roman"/>
                <w:noProof/>
                <w:sz w:val="20"/>
                <w:szCs w:val="20"/>
              </w:rPr>
            </w:pPr>
            <w:r>
              <w:rPr>
                <w:rFonts w:ascii="Times New Roman" w:hAnsi="Times New Roman"/>
                <w:noProof/>
                <w:sz w:val="20"/>
              </w:rPr>
              <w:t>Iespējamie risinājumi tiek apspriesti valsts līmenī</w:t>
            </w:r>
          </w:p>
        </w:tc>
      </w:tr>
      <w:tr w:rsidR="00211065" w:rsidRPr="00D85CB7" w:rsidTr="00FF42EE">
        <w:tc>
          <w:tcPr>
            <w:tcW w:w="0" w:type="auto"/>
            <w:vMerge/>
            <w:tcBorders>
              <w:left w:val="single" w:sz="5" w:space="0" w:color="000000"/>
              <w:bottom w:val="single" w:sz="5" w:space="0" w:color="000000"/>
              <w:right w:val="single" w:sz="5" w:space="0" w:color="000000"/>
            </w:tcBorders>
          </w:tcPr>
          <w:p w:rsidR="00211065" w:rsidRPr="00D85CB7" w:rsidRDefault="00211065" w:rsidP="003E628F">
            <w:pPr>
              <w:jc w:val="both"/>
              <w:rPr>
                <w:rFonts w:ascii="Times New Roman" w:hAnsi="Times New Roman" w:cs="Times New Roman"/>
                <w:noProof/>
                <w:sz w:val="20"/>
                <w:szCs w:val="20"/>
              </w:rPr>
            </w:pPr>
          </w:p>
        </w:tc>
        <w:tc>
          <w:tcPr>
            <w:tcW w:w="1982" w:type="pct"/>
            <w:tcBorders>
              <w:top w:val="single" w:sz="5" w:space="0" w:color="000000"/>
              <w:left w:val="single" w:sz="5" w:space="0" w:color="000000"/>
              <w:bottom w:val="single" w:sz="5" w:space="0" w:color="000000"/>
              <w:right w:val="single" w:sz="5" w:space="0" w:color="000000"/>
            </w:tcBorders>
          </w:tcPr>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t>Kā iesaistītā dalībvalsts</w:t>
            </w:r>
          </w:p>
          <w:p w:rsidR="00211065" w:rsidRPr="00D85CB7" w:rsidRDefault="00211065" w:rsidP="003E628F">
            <w:pPr>
              <w:pStyle w:val="TableParagraph"/>
              <w:jc w:val="both"/>
              <w:rPr>
                <w:rFonts w:ascii="Times New Roman" w:hAnsi="Times New Roman" w:cs="Times New Roman"/>
                <w:noProof/>
                <w:sz w:val="20"/>
                <w:szCs w:val="20"/>
              </w:rPr>
            </w:pPr>
            <w:r>
              <w:rPr>
                <w:rFonts w:ascii="Times New Roman" w:hAnsi="Times New Roman"/>
                <w:noProof/>
                <w:sz w:val="20"/>
              </w:rPr>
              <w:t>Iespējamie risinājumi tiek apspriesti valsts līmenī</w:t>
            </w:r>
          </w:p>
        </w:tc>
        <w:tc>
          <w:tcPr>
            <w:tcW w:w="2330" w:type="pct"/>
            <w:tcBorders>
              <w:top w:val="single" w:sz="5" w:space="0" w:color="000000"/>
              <w:left w:val="single" w:sz="5" w:space="0" w:color="000000"/>
              <w:bottom w:val="single" w:sz="5" w:space="0" w:color="000000"/>
              <w:right w:val="single" w:sz="5" w:space="0" w:color="000000"/>
            </w:tcBorders>
          </w:tcPr>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t>Kā iesaistītā dalībvalsts</w:t>
            </w:r>
          </w:p>
          <w:p w:rsidR="00211065" w:rsidRPr="00D85CB7" w:rsidRDefault="00211065" w:rsidP="003E628F">
            <w:pPr>
              <w:pStyle w:val="TableParagraph"/>
              <w:jc w:val="both"/>
              <w:rPr>
                <w:rFonts w:ascii="Times New Roman" w:hAnsi="Times New Roman" w:cs="Times New Roman"/>
                <w:noProof/>
                <w:sz w:val="20"/>
                <w:szCs w:val="20"/>
              </w:rPr>
            </w:pPr>
            <w:r>
              <w:rPr>
                <w:rFonts w:ascii="Times New Roman" w:hAnsi="Times New Roman"/>
                <w:noProof/>
                <w:sz w:val="20"/>
              </w:rPr>
              <w:t>Iespējamie risinājumi tiek apspriesti valsts līmenī</w:t>
            </w:r>
          </w:p>
        </w:tc>
      </w:tr>
      <w:tr w:rsidR="00211065" w:rsidRPr="00D85CB7" w:rsidTr="00FF42EE">
        <w:trPr>
          <w:trHeight w:val="4495"/>
        </w:trPr>
        <w:tc>
          <w:tcPr>
            <w:tcW w:w="0" w:type="auto"/>
            <w:tcBorders>
              <w:top w:val="single" w:sz="5" w:space="0" w:color="000000"/>
              <w:left w:val="single" w:sz="5" w:space="0" w:color="000000"/>
              <w:bottom w:val="single" w:sz="5" w:space="0" w:color="000000"/>
              <w:right w:val="single" w:sz="5" w:space="0" w:color="000000"/>
            </w:tcBorders>
          </w:tcPr>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lastRenderedPageBreak/>
              <w:t>Īrija</w:t>
            </w:r>
          </w:p>
        </w:tc>
        <w:tc>
          <w:tcPr>
            <w:tcW w:w="1982" w:type="pct"/>
            <w:tcBorders>
              <w:top w:val="single" w:sz="5" w:space="0" w:color="000000"/>
              <w:left w:val="single" w:sz="5" w:space="0" w:color="000000"/>
              <w:bottom w:val="single" w:sz="5" w:space="0" w:color="000000"/>
              <w:right w:val="single" w:sz="5" w:space="0" w:color="000000"/>
            </w:tcBorders>
          </w:tcPr>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t>Kā izsniedzēja dalībvalsts</w:t>
            </w:r>
          </w:p>
          <w:p w:rsidR="00211065" w:rsidRPr="00D85CB7" w:rsidRDefault="00211065" w:rsidP="003E628F">
            <w:pPr>
              <w:pStyle w:val="TableParagraph"/>
              <w:jc w:val="both"/>
              <w:rPr>
                <w:rFonts w:ascii="Times New Roman" w:hAnsi="Times New Roman" w:cs="Times New Roman"/>
                <w:noProof/>
                <w:sz w:val="20"/>
                <w:szCs w:val="20"/>
              </w:rPr>
            </w:pPr>
            <w:r>
              <w:rPr>
                <w:rFonts w:ascii="Times New Roman" w:hAnsi="Times New Roman"/>
                <w:noProof/>
                <w:sz w:val="20"/>
              </w:rPr>
              <w:t>Turpmāk izklāstīts process, kas Īrijā kā izsniedzējā dalībvalstī tiek piemērots importa PVN deklarāciju iesniegšanai.</w:t>
            </w:r>
          </w:p>
          <w:p w:rsidR="00211065" w:rsidRPr="00D85CB7" w:rsidRDefault="00211065" w:rsidP="003E628F">
            <w:pPr>
              <w:pStyle w:val="TableParagraph"/>
              <w:jc w:val="both"/>
              <w:rPr>
                <w:rFonts w:ascii="Times New Roman" w:eastAsia="Times New Roman" w:hAnsi="Times New Roman" w:cs="Times New Roman"/>
                <w:noProof/>
                <w:sz w:val="20"/>
                <w:szCs w:val="20"/>
              </w:rPr>
            </w:pPr>
          </w:p>
          <w:p w:rsidR="00211065" w:rsidRPr="00D85CB7" w:rsidRDefault="00211065" w:rsidP="003E628F">
            <w:pPr>
              <w:pStyle w:val="TableParagraph"/>
              <w:jc w:val="both"/>
              <w:rPr>
                <w:rFonts w:ascii="Times New Roman" w:hAnsi="Times New Roman" w:cs="Times New Roman"/>
                <w:noProof/>
                <w:sz w:val="20"/>
                <w:szCs w:val="20"/>
              </w:rPr>
            </w:pPr>
            <w:r>
              <w:rPr>
                <w:rFonts w:ascii="Times New Roman" w:hAnsi="Times New Roman"/>
                <w:noProof/>
                <w:sz w:val="20"/>
              </w:rPr>
              <w:t>Uzņēmēja nodrošinājums attiecībā uz muitas nodokli un PVN. Importa PVN deklarāciju importam Īrijā sniedz vienlaikus ar muitas deklarāciju.</w:t>
            </w:r>
          </w:p>
          <w:p w:rsidR="00211065" w:rsidRPr="00D85CB7" w:rsidRDefault="00211065" w:rsidP="003E628F">
            <w:pPr>
              <w:pStyle w:val="TableParagraph"/>
              <w:jc w:val="both"/>
              <w:rPr>
                <w:rFonts w:ascii="Times New Roman" w:eastAsia="Times New Roman" w:hAnsi="Times New Roman" w:cs="Times New Roman"/>
                <w:noProof/>
                <w:sz w:val="20"/>
                <w:szCs w:val="20"/>
              </w:rPr>
            </w:pPr>
          </w:p>
          <w:p w:rsidR="00D85CB7" w:rsidRPr="00D85CB7" w:rsidRDefault="00211065" w:rsidP="00D85CB7">
            <w:pPr>
              <w:pStyle w:val="TableParagraph"/>
              <w:jc w:val="both"/>
              <w:rPr>
                <w:rFonts w:ascii="Times New Roman" w:hAnsi="Times New Roman" w:cs="Times New Roman"/>
                <w:noProof/>
                <w:sz w:val="20"/>
                <w:szCs w:val="20"/>
              </w:rPr>
            </w:pPr>
            <w:r>
              <w:rPr>
                <w:rFonts w:ascii="Times New Roman" w:hAnsi="Times New Roman"/>
                <w:noProof/>
                <w:sz w:val="20"/>
              </w:rPr>
              <w:t>Iepriekš autentificēts izlaišanas paziņojums (</w:t>
            </w:r>
            <w:r>
              <w:rPr>
                <w:rFonts w:ascii="Times New Roman" w:hAnsi="Times New Roman"/>
                <w:i/>
                <w:noProof/>
                <w:sz w:val="20"/>
              </w:rPr>
              <w:t>PARN</w:t>
            </w:r>
            <w:r>
              <w:rPr>
                <w:rFonts w:ascii="Times New Roman" w:hAnsi="Times New Roman"/>
                <w:noProof/>
                <w:sz w:val="20"/>
              </w:rPr>
              <w:t>) tiek iesniegts ar e-pasta palīdzību attiecīgajiem muitas dienestiem Īrijā. Iepriekš autentificēta izlaišanas paziņojuma ieraksts signalizē par to, ka tūlīt tiks atvestas preces, un ļauj apsvērt riska analīzi. Tiek veikts ieraksts uzņēmēja reģistros, kam ir tāds pats spēks kā parastam muitas ierakstam.</w:t>
            </w:r>
          </w:p>
          <w:p w:rsidR="00D85CB7" w:rsidRPr="00D85CB7" w:rsidRDefault="00D85CB7" w:rsidP="00D85CB7">
            <w:pPr>
              <w:pStyle w:val="TableParagraph"/>
              <w:jc w:val="both"/>
              <w:rPr>
                <w:rFonts w:ascii="Times New Roman" w:eastAsia="Times New Roman" w:hAnsi="Times New Roman" w:cs="Times New Roman"/>
                <w:noProof/>
                <w:sz w:val="20"/>
                <w:szCs w:val="20"/>
              </w:rPr>
            </w:pPr>
          </w:p>
          <w:p w:rsidR="00D85CB7" w:rsidRPr="00D85CB7" w:rsidRDefault="00D85CB7" w:rsidP="00D85CB7">
            <w:pPr>
              <w:pStyle w:val="TableParagraph"/>
              <w:jc w:val="both"/>
              <w:rPr>
                <w:rFonts w:ascii="Times New Roman" w:eastAsia="Times New Roman" w:hAnsi="Times New Roman" w:cs="Times New Roman"/>
                <w:noProof/>
                <w:sz w:val="20"/>
                <w:szCs w:val="20"/>
              </w:rPr>
            </w:pPr>
          </w:p>
          <w:p w:rsidR="00D85CB7" w:rsidRPr="00D85CB7" w:rsidRDefault="00D85CB7" w:rsidP="00D85CB7">
            <w:pPr>
              <w:pStyle w:val="TableParagraph"/>
              <w:jc w:val="both"/>
              <w:rPr>
                <w:rFonts w:ascii="Times New Roman" w:hAnsi="Times New Roman" w:cs="Times New Roman"/>
                <w:noProof/>
                <w:sz w:val="20"/>
                <w:szCs w:val="20"/>
              </w:rPr>
            </w:pPr>
            <w:r>
              <w:rPr>
                <w:rFonts w:ascii="Times New Roman" w:hAnsi="Times New Roman"/>
                <w:noProof/>
                <w:sz w:val="20"/>
              </w:rPr>
              <w:t>Papildu deklarācija ir iesniegta par attiecīgo mēnesi, kad ir oficiāli deklarēti visi Īrijā piemērojamie maksājumi, tostarp PVN. Pastāv divas iespējas:</w:t>
            </w:r>
          </w:p>
          <w:p w:rsidR="00D85CB7" w:rsidRPr="00D85CB7" w:rsidRDefault="00D85CB7" w:rsidP="00D85CB7">
            <w:pPr>
              <w:pStyle w:val="TableParagraph"/>
              <w:jc w:val="both"/>
              <w:rPr>
                <w:rFonts w:ascii="Times New Roman" w:eastAsia="Times New Roman" w:hAnsi="Times New Roman" w:cs="Times New Roman"/>
                <w:noProof/>
                <w:sz w:val="20"/>
                <w:szCs w:val="20"/>
              </w:rPr>
            </w:pPr>
          </w:p>
          <w:p w:rsidR="00D85CB7" w:rsidRPr="00D85CB7" w:rsidRDefault="00D85CB7" w:rsidP="00D85CB7">
            <w:pPr>
              <w:pStyle w:val="Sarakstarindkopa"/>
              <w:numPr>
                <w:ilvl w:val="0"/>
                <w:numId w:val="12"/>
              </w:numPr>
              <w:tabs>
                <w:tab w:val="left" w:pos="825"/>
                <w:tab w:val="left" w:pos="2724"/>
              </w:tabs>
              <w:ind w:left="0" w:firstLine="0"/>
              <w:jc w:val="both"/>
              <w:rPr>
                <w:rFonts w:ascii="Times New Roman" w:hAnsi="Times New Roman" w:cs="Times New Roman"/>
                <w:noProof/>
                <w:sz w:val="20"/>
                <w:szCs w:val="20"/>
              </w:rPr>
            </w:pPr>
            <w:r>
              <w:rPr>
                <w:rFonts w:ascii="Times New Roman" w:hAnsi="Times New Roman"/>
                <w:noProof/>
                <w:sz w:val="20"/>
              </w:rPr>
              <w:t>iesniedz atsevišķas papildu deklarācijas par katra sūtījuma precēm;</w:t>
            </w:r>
          </w:p>
          <w:p w:rsidR="00D85CB7" w:rsidRPr="00D85CB7" w:rsidRDefault="00D85CB7" w:rsidP="00D85CB7">
            <w:pPr>
              <w:pStyle w:val="TableParagraph"/>
              <w:jc w:val="both"/>
              <w:rPr>
                <w:rFonts w:ascii="Times New Roman" w:eastAsia="Times New Roman" w:hAnsi="Times New Roman" w:cs="Times New Roman"/>
                <w:noProof/>
                <w:sz w:val="20"/>
                <w:szCs w:val="20"/>
              </w:rPr>
            </w:pPr>
          </w:p>
          <w:p w:rsidR="00D85CB7" w:rsidRPr="00D85CB7" w:rsidRDefault="00D85CB7" w:rsidP="00D85CB7">
            <w:pPr>
              <w:pStyle w:val="Sarakstarindkopa"/>
              <w:numPr>
                <w:ilvl w:val="0"/>
                <w:numId w:val="12"/>
              </w:numPr>
              <w:tabs>
                <w:tab w:val="left" w:pos="825"/>
              </w:tabs>
              <w:ind w:left="0" w:firstLine="0"/>
              <w:jc w:val="both"/>
              <w:rPr>
                <w:rFonts w:ascii="Times New Roman" w:eastAsia="Times New Roman" w:hAnsi="Times New Roman" w:cs="Times New Roman"/>
                <w:noProof/>
                <w:sz w:val="20"/>
                <w:szCs w:val="20"/>
              </w:rPr>
            </w:pPr>
            <w:r>
              <w:rPr>
                <w:rFonts w:ascii="Times New Roman" w:hAnsi="Times New Roman"/>
                <w:noProof/>
                <w:sz w:val="20"/>
              </w:rPr>
              <w:t>iesniedz kopēju deklarāciju, kurā norādītas visas vienas pozīcijas preces par katru sūtījumu attiecīgajā mēnesī un kura jāiesniedz līdz nākamā mēneša piektajai dienā.</w:t>
            </w:r>
          </w:p>
          <w:p w:rsidR="00D85CB7" w:rsidRPr="00D85CB7" w:rsidRDefault="00D85CB7" w:rsidP="00D85CB7">
            <w:pPr>
              <w:pStyle w:val="TableParagraph"/>
              <w:jc w:val="both"/>
              <w:rPr>
                <w:rFonts w:ascii="Times New Roman" w:hAnsi="Times New Roman" w:cs="Times New Roman"/>
                <w:noProof/>
                <w:sz w:val="20"/>
                <w:szCs w:val="20"/>
              </w:rPr>
            </w:pPr>
            <w:r>
              <w:rPr>
                <w:rFonts w:ascii="Times New Roman" w:hAnsi="Times New Roman"/>
                <w:noProof/>
                <w:sz w:val="20"/>
              </w:rPr>
              <w:t>Līdz nākamā mēneša piektajai dienai uzņēmējs sniedz pilnu informāciju par visu iepriekšējā mēnesī veikto darbību. Šis ziņojums kopā ar iesniegtajiem iepriekš autentificētajiem izlaišanas paziņojumiem veido pamatu manuālai pēcmuitošanas norakstīšanai atbilstīgi iesniegtajām papildu deklarācijām.</w:t>
            </w:r>
          </w:p>
          <w:p w:rsidR="00211065" w:rsidRPr="00D85CB7" w:rsidRDefault="00D85CB7" w:rsidP="00D85CB7">
            <w:pPr>
              <w:pStyle w:val="TableParagraph"/>
              <w:jc w:val="both"/>
              <w:rPr>
                <w:rFonts w:ascii="Times New Roman" w:hAnsi="Times New Roman" w:cs="Times New Roman"/>
                <w:noProof/>
                <w:sz w:val="20"/>
                <w:szCs w:val="20"/>
              </w:rPr>
            </w:pPr>
            <w:r>
              <w:rPr>
                <w:rFonts w:ascii="Times New Roman" w:hAnsi="Times New Roman"/>
                <w:noProof/>
                <w:sz w:val="20"/>
              </w:rPr>
              <w:t>Līdz nākamā mēneša 15. dienai muitas nodoklis un PVN par atsauces mēnesi tiek noņemts no uzņēmēja konta, izmantojot atliktā maksājuma iespēju. Ik pēc 30 mēnešiem jāveic audits attiecībā uz PVN ievešanas vietā.</w:t>
            </w:r>
          </w:p>
        </w:tc>
        <w:tc>
          <w:tcPr>
            <w:tcW w:w="2330" w:type="pct"/>
            <w:tcBorders>
              <w:top w:val="single" w:sz="5" w:space="0" w:color="000000"/>
              <w:left w:val="single" w:sz="5" w:space="0" w:color="000000"/>
              <w:bottom w:val="single" w:sz="5" w:space="0" w:color="000000"/>
              <w:right w:val="single" w:sz="5" w:space="0" w:color="000000"/>
            </w:tcBorders>
          </w:tcPr>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t>Kā izsniedzēja dalībvalsts</w:t>
            </w:r>
          </w:p>
          <w:p w:rsidR="00211065" w:rsidRPr="00D85CB7" w:rsidRDefault="00211065" w:rsidP="003E628F">
            <w:pPr>
              <w:pStyle w:val="TableParagraph"/>
              <w:jc w:val="both"/>
              <w:rPr>
                <w:rFonts w:ascii="Times New Roman" w:hAnsi="Times New Roman" w:cs="Times New Roman"/>
                <w:noProof/>
                <w:sz w:val="20"/>
                <w:szCs w:val="20"/>
              </w:rPr>
            </w:pPr>
            <w:r>
              <w:rPr>
                <w:rFonts w:ascii="Times New Roman" w:hAnsi="Times New Roman"/>
                <w:noProof/>
                <w:sz w:val="20"/>
              </w:rPr>
              <w:t>Papildu deklarācija, kas iesniegta par attiecīgo mēnesi par visām deklarācijām un maksājumiem, tostarp par Īrijā piemērojamo PVN, veido statistikas datu pamatu.</w:t>
            </w:r>
          </w:p>
        </w:tc>
      </w:tr>
      <w:tr w:rsidR="00FF42EE" w:rsidRPr="00D85CB7" w:rsidTr="00FF42EE">
        <w:tc>
          <w:tcPr>
            <w:tcW w:w="0" w:type="auto"/>
            <w:tcBorders>
              <w:left w:val="single" w:sz="5" w:space="0" w:color="000000"/>
              <w:bottom w:val="single" w:sz="5" w:space="0" w:color="000000"/>
              <w:right w:val="single" w:sz="5" w:space="0" w:color="000000"/>
            </w:tcBorders>
          </w:tcPr>
          <w:p w:rsidR="00FF42EE" w:rsidRPr="00D85CB7" w:rsidRDefault="00FF42EE" w:rsidP="003E628F">
            <w:pPr>
              <w:jc w:val="both"/>
              <w:rPr>
                <w:rFonts w:ascii="Times New Roman" w:hAnsi="Times New Roman" w:cs="Times New Roman"/>
                <w:noProof/>
                <w:sz w:val="20"/>
                <w:szCs w:val="20"/>
              </w:rPr>
            </w:pPr>
          </w:p>
        </w:tc>
        <w:tc>
          <w:tcPr>
            <w:tcW w:w="1982" w:type="pct"/>
            <w:vMerge w:val="restart"/>
            <w:tcBorders>
              <w:top w:val="single" w:sz="5" w:space="0" w:color="000000"/>
              <w:left w:val="single" w:sz="5" w:space="0" w:color="000000"/>
              <w:right w:val="single" w:sz="5" w:space="0" w:color="000000"/>
            </w:tcBorders>
          </w:tcPr>
          <w:p w:rsidR="00FF42EE" w:rsidRPr="00D85CB7" w:rsidRDefault="00FF42EE" w:rsidP="003E628F">
            <w:pPr>
              <w:pStyle w:val="TableParagraph"/>
              <w:jc w:val="both"/>
              <w:rPr>
                <w:rFonts w:ascii="Times New Roman" w:hAnsi="Times New Roman" w:cs="Times New Roman"/>
                <w:b/>
                <w:noProof/>
                <w:sz w:val="20"/>
                <w:szCs w:val="20"/>
              </w:rPr>
            </w:pPr>
            <w:r>
              <w:rPr>
                <w:rFonts w:ascii="Times New Roman" w:hAnsi="Times New Roman"/>
                <w:b/>
                <w:noProof/>
                <w:sz w:val="20"/>
              </w:rPr>
              <w:t>Kā iesaistītā dalībvalsts</w:t>
            </w:r>
          </w:p>
          <w:p w:rsidR="00FF42EE" w:rsidRPr="00D85CB7" w:rsidRDefault="00FF42EE" w:rsidP="003E628F">
            <w:pPr>
              <w:pStyle w:val="TableParagraph"/>
              <w:jc w:val="both"/>
              <w:rPr>
                <w:rFonts w:ascii="Times New Roman" w:hAnsi="Times New Roman" w:cs="Times New Roman"/>
                <w:noProof/>
                <w:sz w:val="20"/>
                <w:szCs w:val="20"/>
              </w:rPr>
            </w:pPr>
            <w:r>
              <w:rPr>
                <w:rFonts w:ascii="Times New Roman" w:hAnsi="Times New Roman"/>
                <w:noProof/>
                <w:sz w:val="20"/>
              </w:rPr>
              <w:t>Turpmāk izklāstīts process, kas Īrijā kā iesaistītajā dalībvalstī tiek piemērots importa PVN deklarāciju iesniegšanai.</w:t>
            </w:r>
          </w:p>
          <w:p w:rsidR="00FF42EE" w:rsidRPr="00D85CB7" w:rsidRDefault="00FF42EE" w:rsidP="003E628F">
            <w:pPr>
              <w:pStyle w:val="TableParagraph"/>
              <w:jc w:val="both"/>
              <w:rPr>
                <w:rFonts w:ascii="Times New Roman" w:eastAsia="Times New Roman" w:hAnsi="Times New Roman" w:cs="Times New Roman"/>
                <w:noProof/>
                <w:sz w:val="20"/>
                <w:szCs w:val="20"/>
              </w:rPr>
            </w:pPr>
          </w:p>
          <w:p w:rsidR="00FF42EE" w:rsidRPr="00D85CB7" w:rsidRDefault="00FF42EE" w:rsidP="003E628F">
            <w:pPr>
              <w:pStyle w:val="TableParagraph"/>
              <w:jc w:val="both"/>
              <w:rPr>
                <w:rFonts w:ascii="Times New Roman" w:hAnsi="Times New Roman" w:cs="Times New Roman"/>
                <w:noProof/>
                <w:sz w:val="20"/>
                <w:szCs w:val="20"/>
              </w:rPr>
            </w:pPr>
            <w:r>
              <w:rPr>
                <w:rFonts w:ascii="Times New Roman" w:hAnsi="Times New Roman"/>
                <w:noProof/>
                <w:sz w:val="20"/>
              </w:rPr>
              <w:t>Uzņēmēja nodrošinājums attiecībā uz importa PVN Īrijā. Uzņēmējs sniedz iepriekš autentificētu izlaišanas paziņojumu par precēm, kas importētas Īrijā. Katram sūtījumam jāpiešķir iepriekš noteiktam formātam atbilstoši unikālie sūtījuma numuri (</w:t>
            </w:r>
            <w:r>
              <w:rPr>
                <w:rFonts w:ascii="Times New Roman" w:hAnsi="Times New Roman"/>
                <w:i/>
                <w:noProof/>
                <w:sz w:val="20"/>
              </w:rPr>
              <w:t>UCRN</w:t>
            </w:r>
            <w:r>
              <w:rPr>
                <w:rFonts w:ascii="Times New Roman" w:hAnsi="Times New Roman"/>
                <w:noProof/>
                <w:sz w:val="20"/>
              </w:rPr>
              <w:t xml:space="preserve">). Tas, ka šie unikālie </w:t>
            </w:r>
            <w:r>
              <w:rPr>
                <w:rFonts w:ascii="Times New Roman" w:hAnsi="Times New Roman"/>
                <w:noProof/>
                <w:sz w:val="20"/>
              </w:rPr>
              <w:lastRenderedPageBreak/>
              <w:t>sūtījuma numuri ir norādīti galīgās papildu deklarācijas 44. ailē, nodrošina mijnorādi ar sākotnējiem iepriekš autentificētajiem izlaišanas paziņojumiem.</w:t>
            </w:r>
          </w:p>
          <w:p w:rsidR="00FF42EE" w:rsidRPr="00D85CB7" w:rsidRDefault="00FF42EE" w:rsidP="003E628F">
            <w:pPr>
              <w:pStyle w:val="TableParagraph"/>
              <w:jc w:val="both"/>
              <w:rPr>
                <w:rFonts w:ascii="Times New Roman" w:hAnsi="Times New Roman" w:cs="Times New Roman"/>
                <w:noProof/>
                <w:sz w:val="20"/>
                <w:szCs w:val="20"/>
              </w:rPr>
            </w:pPr>
            <w:r>
              <w:rPr>
                <w:rFonts w:ascii="Times New Roman" w:hAnsi="Times New Roman"/>
                <w:noProof/>
                <w:sz w:val="20"/>
              </w:rPr>
              <w:t>Iepriekš autentificētu izlaišanas paziņojumu kopijas tiek nodotas visām attiecīgajām Īrijas importēšanas stacijām un visām muitas amatpersonām, lai varētu veikt riska analīzi, ja tāda tiek uzskatīta par nepieciešamu.</w:t>
            </w:r>
          </w:p>
          <w:p w:rsidR="00FF42EE" w:rsidRPr="00D85CB7" w:rsidRDefault="00FF42EE" w:rsidP="003E628F">
            <w:pPr>
              <w:pStyle w:val="TableParagraph"/>
              <w:jc w:val="both"/>
              <w:rPr>
                <w:rFonts w:ascii="Times New Roman" w:hAnsi="Times New Roman" w:cs="Times New Roman"/>
                <w:noProof/>
                <w:sz w:val="20"/>
                <w:szCs w:val="20"/>
              </w:rPr>
            </w:pPr>
            <w:r>
              <w:rPr>
                <w:rFonts w:ascii="Times New Roman" w:hAnsi="Times New Roman"/>
                <w:noProof/>
                <w:sz w:val="20"/>
              </w:rPr>
              <w:t>Līdz attiecīgā mēneša beigām PVN papildu deklarācija tiks sagatavota, izmantojot Īrijas automātiskās ierakstu apstrādes (</w:t>
            </w:r>
            <w:r>
              <w:rPr>
                <w:rFonts w:ascii="Times New Roman" w:hAnsi="Times New Roman"/>
                <w:i/>
                <w:noProof/>
                <w:sz w:val="20"/>
              </w:rPr>
              <w:t>AEP</w:t>
            </w:r>
            <w:r>
              <w:rPr>
                <w:rFonts w:ascii="Times New Roman" w:hAnsi="Times New Roman"/>
                <w:noProof/>
                <w:sz w:val="20"/>
              </w:rPr>
              <w:t>) muitošanas sistēmu.</w:t>
            </w:r>
          </w:p>
          <w:p w:rsidR="00FF42EE" w:rsidRPr="00D85CB7" w:rsidRDefault="00FF42EE" w:rsidP="003E628F">
            <w:pPr>
              <w:pStyle w:val="TableParagraph"/>
              <w:jc w:val="both"/>
              <w:rPr>
                <w:rFonts w:ascii="Times New Roman" w:hAnsi="Times New Roman" w:cs="Times New Roman"/>
                <w:noProof/>
                <w:sz w:val="20"/>
                <w:szCs w:val="20"/>
              </w:rPr>
            </w:pPr>
            <w:r>
              <w:rPr>
                <w:rFonts w:ascii="Times New Roman" w:hAnsi="Times New Roman"/>
                <w:noProof/>
                <w:sz w:val="20"/>
              </w:rPr>
              <w:t>Līdz nākamā mēneša 15. dienai PVN tiek noņemts no uzņēmēja konta, izmantojot atliktā maksājuma iespēju.</w:t>
            </w:r>
          </w:p>
        </w:tc>
        <w:tc>
          <w:tcPr>
            <w:tcW w:w="2330" w:type="pct"/>
            <w:vMerge w:val="restart"/>
            <w:tcBorders>
              <w:top w:val="single" w:sz="5" w:space="0" w:color="000000"/>
              <w:left w:val="single" w:sz="5" w:space="0" w:color="000000"/>
              <w:right w:val="single" w:sz="5" w:space="0" w:color="000000"/>
            </w:tcBorders>
          </w:tcPr>
          <w:p w:rsidR="00FF42EE" w:rsidRPr="00D85CB7" w:rsidRDefault="00FF42EE" w:rsidP="003E628F">
            <w:pPr>
              <w:pStyle w:val="TableParagraph"/>
              <w:jc w:val="both"/>
              <w:rPr>
                <w:rFonts w:ascii="Times New Roman" w:hAnsi="Times New Roman" w:cs="Times New Roman"/>
                <w:b/>
                <w:noProof/>
                <w:sz w:val="20"/>
                <w:szCs w:val="20"/>
              </w:rPr>
            </w:pPr>
            <w:r>
              <w:rPr>
                <w:rFonts w:ascii="Times New Roman" w:hAnsi="Times New Roman"/>
                <w:b/>
                <w:noProof/>
                <w:sz w:val="20"/>
              </w:rPr>
              <w:lastRenderedPageBreak/>
              <w:t>Kā iesaistītā dalībvalsts</w:t>
            </w:r>
          </w:p>
          <w:p w:rsidR="00FF42EE" w:rsidRPr="00D85CB7" w:rsidRDefault="00FF42EE" w:rsidP="003E628F">
            <w:pPr>
              <w:pStyle w:val="TableParagraph"/>
              <w:jc w:val="both"/>
              <w:rPr>
                <w:rFonts w:ascii="Times New Roman" w:hAnsi="Times New Roman" w:cs="Times New Roman"/>
                <w:noProof/>
                <w:sz w:val="20"/>
                <w:szCs w:val="20"/>
              </w:rPr>
            </w:pPr>
            <w:r>
              <w:rPr>
                <w:rFonts w:ascii="Times New Roman" w:hAnsi="Times New Roman"/>
                <w:noProof/>
                <w:sz w:val="20"/>
              </w:rPr>
              <w:t>Statistikas datu pamatu veido papildu deklarācija, kas iesniegta par attiecīgo mēnesi par Īrijā piemērojamo PVN.</w:t>
            </w:r>
          </w:p>
        </w:tc>
      </w:tr>
      <w:tr w:rsidR="00FF42EE" w:rsidRPr="00D85CB7" w:rsidTr="00FF42EE">
        <w:tc>
          <w:tcPr>
            <w:tcW w:w="0" w:type="auto"/>
            <w:tcBorders>
              <w:top w:val="single" w:sz="5" w:space="0" w:color="000000"/>
              <w:left w:val="single" w:sz="5" w:space="0" w:color="000000"/>
              <w:bottom w:val="single" w:sz="5" w:space="0" w:color="000000"/>
              <w:right w:val="single" w:sz="5" w:space="0" w:color="000000"/>
            </w:tcBorders>
          </w:tcPr>
          <w:p w:rsidR="00FF42EE" w:rsidRPr="00D85CB7" w:rsidRDefault="00FF42EE" w:rsidP="003E628F">
            <w:pPr>
              <w:jc w:val="both"/>
              <w:rPr>
                <w:rFonts w:ascii="Times New Roman" w:hAnsi="Times New Roman" w:cs="Times New Roman"/>
                <w:noProof/>
                <w:sz w:val="20"/>
                <w:szCs w:val="20"/>
              </w:rPr>
            </w:pPr>
          </w:p>
        </w:tc>
        <w:tc>
          <w:tcPr>
            <w:tcW w:w="1982" w:type="pct"/>
            <w:vMerge/>
            <w:tcBorders>
              <w:left w:val="single" w:sz="5" w:space="0" w:color="000000"/>
              <w:bottom w:val="single" w:sz="5" w:space="0" w:color="000000"/>
              <w:right w:val="single" w:sz="5" w:space="0" w:color="000000"/>
            </w:tcBorders>
          </w:tcPr>
          <w:p w:rsidR="00FF42EE" w:rsidRPr="00D85CB7" w:rsidRDefault="00FF42EE" w:rsidP="003E628F">
            <w:pPr>
              <w:pStyle w:val="TableParagraph"/>
              <w:jc w:val="both"/>
              <w:rPr>
                <w:rFonts w:ascii="Times New Roman" w:eastAsia="Times New Roman" w:hAnsi="Times New Roman" w:cs="Times New Roman"/>
                <w:noProof/>
                <w:sz w:val="20"/>
                <w:szCs w:val="20"/>
              </w:rPr>
            </w:pPr>
          </w:p>
        </w:tc>
        <w:tc>
          <w:tcPr>
            <w:tcW w:w="2330" w:type="pct"/>
            <w:vMerge/>
            <w:tcBorders>
              <w:left w:val="single" w:sz="5" w:space="0" w:color="000000"/>
              <w:bottom w:val="single" w:sz="5" w:space="0" w:color="000000"/>
              <w:right w:val="single" w:sz="5" w:space="0" w:color="000000"/>
            </w:tcBorders>
          </w:tcPr>
          <w:p w:rsidR="00FF42EE" w:rsidRPr="00D85CB7" w:rsidRDefault="00FF42EE" w:rsidP="003E628F">
            <w:pPr>
              <w:jc w:val="both"/>
              <w:rPr>
                <w:rFonts w:ascii="Times New Roman" w:hAnsi="Times New Roman" w:cs="Times New Roman"/>
                <w:noProof/>
                <w:sz w:val="20"/>
                <w:szCs w:val="20"/>
              </w:rPr>
            </w:pPr>
          </w:p>
        </w:tc>
      </w:tr>
      <w:tr w:rsidR="00211065" w:rsidRPr="00D85CB7" w:rsidTr="00FF42EE">
        <w:tc>
          <w:tcPr>
            <w:tcW w:w="0" w:type="auto"/>
            <w:tcBorders>
              <w:top w:val="single" w:sz="5" w:space="0" w:color="000000"/>
              <w:left w:val="single" w:sz="5" w:space="0" w:color="000000"/>
              <w:bottom w:val="nil"/>
              <w:right w:val="single" w:sz="5" w:space="0" w:color="000000"/>
            </w:tcBorders>
          </w:tcPr>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t>Igaunija</w:t>
            </w:r>
          </w:p>
        </w:tc>
        <w:tc>
          <w:tcPr>
            <w:tcW w:w="1982" w:type="pct"/>
            <w:tcBorders>
              <w:top w:val="single" w:sz="5" w:space="0" w:color="000000"/>
              <w:left w:val="single" w:sz="5" w:space="0" w:color="000000"/>
              <w:bottom w:val="single" w:sz="5" w:space="0" w:color="000000"/>
              <w:right w:val="single" w:sz="5" w:space="0" w:color="000000"/>
            </w:tcBorders>
          </w:tcPr>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t>Kā izsniedzēja dalībvalsts</w:t>
            </w:r>
          </w:p>
          <w:p w:rsidR="00211065" w:rsidRPr="00D85CB7" w:rsidRDefault="00211065" w:rsidP="003E628F">
            <w:pPr>
              <w:pStyle w:val="TableParagraph"/>
              <w:jc w:val="both"/>
              <w:rPr>
                <w:rFonts w:ascii="Times New Roman" w:hAnsi="Times New Roman" w:cs="Times New Roman"/>
                <w:noProof/>
                <w:sz w:val="20"/>
                <w:szCs w:val="20"/>
              </w:rPr>
            </w:pPr>
            <w:r>
              <w:rPr>
                <w:rFonts w:ascii="Times New Roman" w:hAnsi="Times New Roman"/>
                <w:noProof/>
                <w:sz w:val="20"/>
              </w:rPr>
              <w:t xml:space="preserve">Nav pieredzes ar </w:t>
            </w:r>
            <w:r>
              <w:rPr>
                <w:rFonts w:ascii="Times New Roman" w:hAnsi="Times New Roman"/>
                <w:i/>
                <w:noProof/>
                <w:sz w:val="20"/>
              </w:rPr>
              <w:t>SASP</w:t>
            </w:r>
            <w:r>
              <w:rPr>
                <w:rFonts w:ascii="Times New Roman" w:hAnsi="Times New Roman"/>
                <w:noProof/>
                <w:sz w:val="20"/>
              </w:rPr>
              <w:t>.</w:t>
            </w:r>
          </w:p>
        </w:tc>
        <w:tc>
          <w:tcPr>
            <w:tcW w:w="2330" w:type="pct"/>
            <w:tcBorders>
              <w:top w:val="single" w:sz="5" w:space="0" w:color="000000"/>
              <w:left w:val="single" w:sz="5" w:space="0" w:color="000000"/>
              <w:bottom w:val="single" w:sz="5" w:space="0" w:color="000000"/>
              <w:right w:val="single" w:sz="5" w:space="0" w:color="000000"/>
            </w:tcBorders>
          </w:tcPr>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t>Kā izsniedzēja dalībvalsts</w:t>
            </w:r>
          </w:p>
          <w:p w:rsidR="00211065" w:rsidRPr="00D85CB7" w:rsidRDefault="00211065" w:rsidP="003E628F">
            <w:pPr>
              <w:pStyle w:val="TableParagraph"/>
              <w:jc w:val="both"/>
              <w:rPr>
                <w:rFonts w:ascii="Times New Roman" w:hAnsi="Times New Roman" w:cs="Times New Roman"/>
                <w:noProof/>
                <w:sz w:val="20"/>
                <w:szCs w:val="20"/>
              </w:rPr>
            </w:pPr>
            <w:r>
              <w:rPr>
                <w:rFonts w:ascii="Times New Roman" w:hAnsi="Times New Roman"/>
                <w:noProof/>
                <w:sz w:val="20"/>
              </w:rPr>
              <w:t xml:space="preserve">Nav pieredzes ar </w:t>
            </w:r>
            <w:r>
              <w:rPr>
                <w:rFonts w:ascii="Times New Roman" w:hAnsi="Times New Roman"/>
                <w:i/>
                <w:noProof/>
                <w:sz w:val="20"/>
              </w:rPr>
              <w:t>SASP</w:t>
            </w:r>
            <w:r>
              <w:rPr>
                <w:rFonts w:ascii="Times New Roman" w:hAnsi="Times New Roman"/>
                <w:noProof/>
                <w:sz w:val="20"/>
              </w:rPr>
              <w:t>.</w:t>
            </w:r>
          </w:p>
        </w:tc>
      </w:tr>
      <w:tr w:rsidR="00211065" w:rsidRPr="00D85CB7" w:rsidTr="00FF42EE">
        <w:tc>
          <w:tcPr>
            <w:tcW w:w="0" w:type="auto"/>
            <w:tcBorders>
              <w:top w:val="nil"/>
              <w:left w:val="single" w:sz="5" w:space="0" w:color="000000"/>
              <w:bottom w:val="single" w:sz="5" w:space="0" w:color="000000"/>
              <w:right w:val="single" w:sz="5" w:space="0" w:color="000000"/>
            </w:tcBorders>
          </w:tcPr>
          <w:p w:rsidR="00211065" w:rsidRPr="00D85CB7" w:rsidRDefault="00211065" w:rsidP="003E628F">
            <w:pPr>
              <w:jc w:val="both"/>
              <w:rPr>
                <w:rFonts w:ascii="Times New Roman" w:hAnsi="Times New Roman" w:cs="Times New Roman"/>
                <w:noProof/>
                <w:sz w:val="20"/>
                <w:szCs w:val="20"/>
              </w:rPr>
            </w:pPr>
          </w:p>
        </w:tc>
        <w:tc>
          <w:tcPr>
            <w:tcW w:w="1982" w:type="pct"/>
            <w:tcBorders>
              <w:top w:val="single" w:sz="5" w:space="0" w:color="000000"/>
              <w:left w:val="single" w:sz="5" w:space="0" w:color="000000"/>
              <w:bottom w:val="single" w:sz="5" w:space="0" w:color="000000"/>
              <w:right w:val="single" w:sz="5" w:space="0" w:color="000000"/>
            </w:tcBorders>
          </w:tcPr>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t>Kā iesaistītā dalībvalsts</w:t>
            </w:r>
          </w:p>
          <w:p w:rsidR="00211065" w:rsidRPr="00D85CB7" w:rsidRDefault="00211065" w:rsidP="003E628F">
            <w:pPr>
              <w:pStyle w:val="TableParagraph"/>
              <w:jc w:val="both"/>
              <w:rPr>
                <w:rFonts w:ascii="Times New Roman" w:hAnsi="Times New Roman" w:cs="Times New Roman"/>
                <w:noProof/>
                <w:sz w:val="20"/>
                <w:szCs w:val="20"/>
              </w:rPr>
            </w:pPr>
            <w:r>
              <w:rPr>
                <w:rFonts w:ascii="Times New Roman" w:hAnsi="Times New Roman"/>
                <w:noProof/>
                <w:sz w:val="20"/>
              </w:rPr>
              <w:t xml:space="preserve">Nav pieredzes ar </w:t>
            </w:r>
            <w:r>
              <w:rPr>
                <w:rFonts w:ascii="Times New Roman" w:hAnsi="Times New Roman"/>
                <w:i/>
                <w:noProof/>
                <w:sz w:val="20"/>
              </w:rPr>
              <w:t>SASP</w:t>
            </w:r>
            <w:r>
              <w:rPr>
                <w:rFonts w:ascii="Times New Roman" w:hAnsi="Times New Roman"/>
                <w:noProof/>
                <w:sz w:val="20"/>
              </w:rPr>
              <w:t>.</w:t>
            </w:r>
          </w:p>
        </w:tc>
        <w:tc>
          <w:tcPr>
            <w:tcW w:w="2330" w:type="pct"/>
            <w:tcBorders>
              <w:top w:val="single" w:sz="5" w:space="0" w:color="000000"/>
              <w:left w:val="single" w:sz="5" w:space="0" w:color="000000"/>
              <w:bottom w:val="single" w:sz="5" w:space="0" w:color="000000"/>
              <w:right w:val="single" w:sz="5" w:space="0" w:color="000000"/>
            </w:tcBorders>
          </w:tcPr>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t>Kā iesaistītā dalībvalsts</w:t>
            </w:r>
          </w:p>
          <w:p w:rsidR="00211065" w:rsidRPr="00D85CB7" w:rsidRDefault="00211065" w:rsidP="003E628F">
            <w:pPr>
              <w:pStyle w:val="TableParagraph"/>
              <w:jc w:val="both"/>
              <w:rPr>
                <w:rFonts w:ascii="Times New Roman" w:hAnsi="Times New Roman" w:cs="Times New Roman"/>
                <w:noProof/>
                <w:sz w:val="20"/>
                <w:szCs w:val="20"/>
              </w:rPr>
            </w:pPr>
            <w:r>
              <w:rPr>
                <w:rFonts w:ascii="Times New Roman" w:hAnsi="Times New Roman"/>
                <w:noProof/>
                <w:sz w:val="20"/>
              </w:rPr>
              <w:t xml:space="preserve">Nav pieredzes ar </w:t>
            </w:r>
            <w:r>
              <w:rPr>
                <w:rFonts w:ascii="Times New Roman" w:hAnsi="Times New Roman"/>
                <w:i/>
                <w:noProof/>
                <w:sz w:val="20"/>
              </w:rPr>
              <w:t>SASP</w:t>
            </w:r>
            <w:r>
              <w:rPr>
                <w:rFonts w:ascii="Times New Roman" w:hAnsi="Times New Roman"/>
                <w:noProof/>
                <w:sz w:val="20"/>
              </w:rPr>
              <w:t>.</w:t>
            </w:r>
          </w:p>
        </w:tc>
      </w:tr>
      <w:tr w:rsidR="00211065" w:rsidRPr="00D85CB7" w:rsidTr="00FF42EE">
        <w:tc>
          <w:tcPr>
            <w:tcW w:w="0" w:type="auto"/>
            <w:tcBorders>
              <w:top w:val="single" w:sz="5" w:space="0" w:color="000000"/>
              <w:left w:val="single" w:sz="5" w:space="0" w:color="000000"/>
              <w:bottom w:val="nil"/>
              <w:right w:val="single" w:sz="5" w:space="0" w:color="000000"/>
            </w:tcBorders>
          </w:tcPr>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t>Zviedrija</w:t>
            </w:r>
          </w:p>
        </w:tc>
        <w:tc>
          <w:tcPr>
            <w:tcW w:w="1982" w:type="pct"/>
            <w:tcBorders>
              <w:top w:val="single" w:sz="5" w:space="0" w:color="000000"/>
              <w:left w:val="single" w:sz="5" w:space="0" w:color="000000"/>
              <w:bottom w:val="single" w:sz="5" w:space="0" w:color="000000"/>
              <w:right w:val="single" w:sz="5" w:space="0" w:color="000000"/>
            </w:tcBorders>
          </w:tcPr>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t>Kā izsniedzēja dalībvalsts</w:t>
            </w:r>
          </w:p>
          <w:p w:rsidR="00211065" w:rsidRPr="00D85CB7" w:rsidRDefault="00211065" w:rsidP="003E628F">
            <w:pPr>
              <w:pStyle w:val="TableParagraph"/>
              <w:jc w:val="both"/>
              <w:rPr>
                <w:rFonts w:ascii="Times New Roman" w:hAnsi="Times New Roman" w:cs="Times New Roman"/>
                <w:noProof/>
                <w:sz w:val="20"/>
                <w:szCs w:val="20"/>
              </w:rPr>
            </w:pPr>
            <w:r>
              <w:rPr>
                <w:rFonts w:ascii="Times New Roman" w:hAnsi="Times New Roman"/>
                <w:noProof/>
                <w:sz w:val="20"/>
              </w:rPr>
              <w:t xml:space="preserve">Nav pieredzes ar </w:t>
            </w:r>
            <w:r>
              <w:rPr>
                <w:rFonts w:ascii="Times New Roman" w:hAnsi="Times New Roman"/>
                <w:i/>
                <w:noProof/>
                <w:sz w:val="20"/>
              </w:rPr>
              <w:t>SASP</w:t>
            </w:r>
            <w:r>
              <w:rPr>
                <w:rFonts w:ascii="Times New Roman" w:hAnsi="Times New Roman"/>
                <w:noProof/>
                <w:sz w:val="20"/>
              </w:rPr>
              <w:t>.</w:t>
            </w:r>
          </w:p>
        </w:tc>
        <w:tc>
          <w:tcPr>
            <w:tcW w:w="2330" w:type="pct"/>
            <w:tcBorders>
              <w:top w:val="single" w:sz="5" w:space="0" w:color="000000"/>
              <w:left w:val="single" w:sz="5" w:space="0" w:color="000000"/>
              <w:bottom w:val="single" w:sz="5" w:space="0" w:color="000000"/>
              <w:right w:val="single" w:sz="5" w:space="0" w:color="000000"/>
            </w:tcBorders>
          </w:tcPr>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t>Kā izsniedzēja dalībvalsts</w:t>
            </w:r>
          </w:p>
          <w:p w:rsidR="00211065" w:rsidRPr="00D85CB7" w:rsidRDefault="00211065" w:rsidP="003E628F">
            <w:pPr>
              <w:pStyle w:val="TableParagraph"/>
              <w:jc w:val="both"/>
              <w:rPr>
                <w:rFonts w:ascii="Times New Roman" w:hAnsi="Times New Roman" w:cs="Times New Roman"/>
                <w:noProof/>
                <w:sz w:val="20"/>
                <w:szCs w:val="20"/>
              </w:rPr>
            </w:pPr>
            <w:r>
              <w:rPr>
                <w:rFonts w:ascii="Times New Roman" w:hAnsi="Times New Roman"/>
                <w:noProof/>
                <w:sz w:val="20"/>
              </w:rPr>
              <w:t xml:space="preserve">Nav pieredzes ar </w:t>
            </w:r>
            <w:r>
              <w:rPr>
                <w:rFonts w:ascii="Times New Roman" w:hAnsi="Times New Roman"/>
                <w:i/>
                <w:noProof/>
                <w:sz w:val="20"/>
              </w:rPr>
              <w:t>SASP</w:t>
            </w:r>
            <w:r>
              <w:rPr>
                <w:rFonts w:ascii="Times New Roman" w:hAnsi="Times New Roman"/>
                <w:noProof/>
                <w:sz w:val="20"/>
              </w:rPr>
              <w:t>.</w:t>
            </w:r>
          </w:p>
        </w:tc>
      </w:tr>
      <w:tr w:rsidR="00211065" w:rsidRPr="00D85CB7" w:rsidTr="00FF42EE">
        <w:tc>
          <w:tcPr>
            <w:tcW w:w="0" w:type="auto"/>
            <w:tcBorders>
              <w:top w:val="nil"/>
              <w:left w:val="single" w:sz="5" w:space="0" w:color="000000"/>
              <w:bottom w:val="single" w:sz="5" w:space="0" w:color="000000"/>
              <w:right w:val="single" w:sz="5" w:space="0" w:color="000000"/>
            </w:tcBorders>
          </w:tcPr>
          <w:p w:rsidR="00211065" w:rsidRPr="00D85CB7" w:rsidRDefault="00211065" w:rsidP="003E628F">
            <w:pPr>
              <w:jc w:val="both"/>
              <w:rPr>
                <w:rFonts w:ascii="Times New Roman" w:hAnsi="Times New Roman" w:cs="Times New Roman"/>
                <w:noProof/>
                <w:sz w:val="20"/>
                <w:szCs w:val="20"/>
              </w:rPr>
            </w:pPr>
          </w:p>
        </w:tc>
        <w:tc>
          <w:tcPr>
            <w:tcW w:w="1982" w:type="pct"/>
            <w:tcBorders>
              <w:top w:val="single" w:sz="5" w:space="0" w:color="000000"/>
              <w:left w:val="single" w:sz="5" w:space="0" w:color="000000"/>
              <w:bottom w:val="single" w:sz="5" w:space="0" w:color="000000"/>
              <w:right w:val="single" w:sz="5" w:space="0" w:color="000000"/>
            </w:tcBorders>
          </w:tcPr>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t>Kā iesaistītā dalībvalsts</w:t>
            </w:r>
          </w:p>
          <w:p w:rsidR="00211065" w:rsidRPr="00D85CB7" w:rsidRDefault="00211065" w:rsidP="003E628F">
            <w:pPr>
              <w:pStyle w:val="TableParagraph"/>
              <w:jc w:val="both"/>
              <w:rPr>
                <w:rFonts w:ascii="Times New Roman" w:hAnsi="Times New Roman" w:cs="Times New Roman"/>
                <w:noProof/>
                <w:sz w:val="20"/>
                <w:szCs w:val="20"/>
              </w:rPr>
            </w:pPr>
            <w:r>
              <w:rPr>
                <w:rFonts w:ascii="Times New Roman" w:hAnsi="Times New Roman"/>
                <w:noProof/>
                <w:sz w:val="20"/>
              </w:rPr>
              <w:t xml:space="preserve">Nav pieredzes ar </w:t>
            </w:r>
            <w:r>
              <w:rPr>
                <w:rFonts w:ascii="Times New Roman" w:hAnsi="Times New Roman"/>
                <w:i/>
                <w:noProof/>
                <w:sz w:val="20"/>
              </w:rPr>
              <w:t>SASP</w:t>
            </w:r>
            <w:r>
              <w:rPr>
                <w:rFonts w:ascii="Times New Roman" w:hAnsi="Times New Roman"/>
                <w:noProof/>
                <w:sz w:val="20"/>
              </w:rPr>
              <w:t>.</w:t>
            </w:r>
          </w:p>
        </w:tc>
        <w:tc>
          <w:tcPr>
            <w:tcW w:w="2330" w:type="pct"/>
            <w:tcBorders>
              <w:top w:val="single" w:sz="5" w:space="0" w:color="000000"/>
              <w:left w:val="single" w:sz="5" w:space="0" w:color="000000"/>
              <w:bottom w:val="single" w:sz="5" w:space="0" w:color="000000"/>
              <w:right w:val="single" w:sz="5" w:space="0" w:color="000000"/>
            </w:tcBorders>
          </w:tcPr>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t>Kā iesaistītā dalībvalsts</w:t>
            </w:r>
          </w:p>
          <w:p w:rsidR="00211065" w:rsidRPr="00D85CB7" w:rsidRDefault="00211065" w:rsidP="003E628F">
            <w:pPr>
              <w:pStyle w:val="TableParagraph"/>
              <w:jc w:val="both"/>
              <w:rPr>
                <w:rFonts w:ascii="Times New Roman" w:hAnsi="Times New Roman" w:cs="Times New Roman"/>
                <w:noProof/>
                <w:sz w:val="20"/>
                <w:szCs w:val="20"/>
              </w:rPr>
            </w:pPr>
            <w:r>
              <w:rPr>
                <w:rFonts w:ascii="Times New Roman" w:hAnsi="Times New Roman"/>
                <w:noProof/>
                <w:sz w:val="20"/>
              </w:rPr>
              <w:t xml:space="preserve">Nav pieredzes ar </w:t>
            </w:r>
            <w:r>
              <w:rPr>
                <w:rFonts w:ascii="Times New Roman" w:hAnsi="Times New Roman"/>
                <w:i/>
                <w:noProof/>
                <w:sz w:val="20"/>
              </w:rPr>
              <w:t>SASP</w:t>
            </w:r>
            <w:r>
              <w:rPr>
                <w:rFonts w:ascii="Times New Roman" w:hAnsi="Times New Roman"/>
                <w:noProof/>
                <w:sz w:val="20"/>
              </w:rPr>
              <w:t>.</w:t>
            </w:r>
          </w:p>
        </w:tc>
      </w:tr>
      <w:tr w:rsidR="00211065" w:rsidRPr="00D85CB7" w:rsidTr="00FF42EE">
        <w:tc>
          <w:tcPr>
            <w:tcW w:w="0" w:type="auto"/>
            <w:tcBorders>
              <w:top w:val="single" w:sz="5" w:space="0" w:color="000000"/>
              <w:left w:val="single" w:sz="5" w:space="0" w:color="000000"/>
              <w:bottom w:val="nil"/>
              <w:right w:val="single" w:sz="5" w:space="0" w:color="000000"/>
            </w:tcBorders>
          </w:tcPr>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t>Lietuva</w:t>
            </w:r>
          </w:p>
        </w:tc>
        <w:tc>
          <w:tcPr>
            <w:tcW w:w="1982" w:type="pct"/>
            <w:tcBorders>
              <w:top w:val="single" w:sz="5" w:space="0" w:color="000000"/>
              <w:left w:val="single" w:sz="5" w:space="0" w:color="000000"/>
              <w:bottom w:val="single" w:sz="5" w:space="0" w:color="000000"/>
              <w:right w:val="single" w:sz="5" w:space="0" w:color="000000"/>
            </w:tcBorders>
          </w:tcPr>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t>Kā izsniedzēja dalībvalsts</w:t>
            </w:r>
          </w:p>
          <w:p w:rsidR="00211065" w:rsidRPr="00D85CB7" w:rsidRDefault="00211065" w:rsidP="003E628F">
            <w:pPr>
              <w:pStyle w:val="TableParagraph"/>
              <w:jc w:val="both"/>
              <w:rPr>
                <w:rFonts w:ascii="Times New Roman" w:hAnsi="Times New Roman" w:cs="Times New Roman"/>
                <w:noProof/>
                <w:sz w:val="20"/>
                <w:szCs w:val="20"/>
              </w:rPr>
            </w:pPr>
            <w:r>
              <w:rPr>
                <w:rFonts w:ascii="Times New Roman" w:hAnsi="Times New Roman"/>
                <w:noProof/>
                <w:sz w:val="20"/>
              </w:rPr>
              <w:t xml:space="preserve">Nav pieredzes ar </w:t>
            </w:r>
            <w:r>
              <w:rPr>
                <w:rFonts w:ascii="Times New Roman" w:hAnsi="Times New Roman"/>
                <w:i/>
                <w:noProof/>
                <w:sz w:val="20"/>
              </w:rPr>
              <w:t>SASP</w:t>
            </w:r>
            <w:r>
              <w:rPr>
                <w:rFonts w:ascii="Times New Roman" w:hAnsi="Times New Roman"/>
                <w:noProof/>
                <w:sz w:val="20"/>
              </w:rPr>
              <w:t>.</w:t>
            </w:r>
          </w:p>
        </w:tc>
        <w:tc>
          <w:tcPr>
            <w:tcW w:w="2330" w:type="pct"/>
            <w:tcBorders>
              <w:top w:val="single" w:sz="5" w:space="0" w:color="000000"/>
              <w:left w:val="single" w:sz="5" w:space="0" w:color="000000"/>
              <w:bottom w:val="single" w:sz="5" w:space="0" w:color="000000"/>
              <w:right w:val="single" w:sz="5" w:space="0" w:color="000000"/>
            </w:tcBorders>
          </w:tcPr>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t>Kā izsniedzēja dalībvalsts</w:t>
            </w:r>
          </w:p>
          <w:p w:rsidR="00211065" w:rsidRPr="00D85CB7" w:rsidRDefault="00211065" w:rsidP="003E628F">
            <w:pPr>
              <w:pStyle w:val="TableParagraph"/>
              <w:jc w:val="both"/>
              <w:rPr>
                <w:rFonts w:ascii="Times New Roman" w:hAnsi="Times New Roman" w:cs="Times New Roman"/>
                <w:noProof/>
                <w:sz w:val="20"/>
                <w:szCs w:val="20"/>
              </w:rPr>
            </w:pPr>
            <w:r>
              <w:rPr>
                <w:rFonts w:ascii="Times New Roman" w:hAnsi="Times New Roman"/>
                <w:noProof/>
                <w:sz w:val="20"/>
              </w:rPr>
              <w:t xml:space="preserve">Nav pieredzes ar </w:t>
            </w:r>
            <w:r>
              <w:rPr>
                <w:rFonts w:ascii="Times New Roman" w:hAnsi="Times New Roman"/>
                <w:i/>
                <w:noProof/>
                <w:sz w:val="20"/>
              </w:rPr>
              <w:t>SASP</w:t>
            </w:r>
            <w:r>
              <w:rPr>
                <w:rFonts w:ascii="Times New Roman" w:hAnsi="Times New Roman"/>
                <w:noProof/>
                <w:sz w:val="20"/>
              </w:rPr>
              <w:t>.</w:t>
            </w:r>
          </w:p>
        </w:tc>
      </w:tr>
      <w:tr w:rsidR="00211065" w:rsidRPr="00D85CB7" w:rsidTr="00FF42EE">
        <w:tc>
          <w:tcPr>
            <w:tcW w:w="0" w:type="auto"/>
            <w:tcBorders>
              <w:top w:val="nil"/>
              <w:left w:val="single" w:sz="5" w:space="0" w:color="000000"/>
              <w:bottom w:val="single" w:sz="5" w:space="0" w:color="000000"/>
              <w:right w:val="single" w:sz="5" w:space="0" w:color="000000"/>
            </w:tcBorders>
          </w:tcPr>
          <w:p w:rsidR="00211065" w:rsidRPr="00D85CB7" w:rsidRDefault="00211065" w:rsidP="003E628F">
            <w:pPr>
              <w:jc w:val="both"/>
              <w:rPr>
                <w:rFonts w:ascii="Times New Roman" w:hAnsi="Times New Roman" w:cs="Times New Roman"/>
                <w:noProof/>
                <w:sz w:val="20"/>
                <w:szCs w:val="20"/>
              </w:rPr>
            </w:pPr>
          </w:p>
        </w:tc>
        <w:tc>
          <w:tcPr>
            <w:tcW w:w="1982" w:type="pct"/>
            <w:tcBorders>
              <w:top w:val="single" w:sz="5" w:space="0" w:color="000000"/>
              <w:left w:val="single" w:sz="5" w:space="0" w:color="000000"/>
              <w:bottom w:val="single" w:sz="5" w:space="0" w:color="000000"/>
              <w:right w:val="single" w:sz="5" w:space="0" w:color="000000"/>
            </w:tcBorders>
          </w:tcPr>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t>Kā iesaistītā dalībvalsts</w:t>
            </w:r>
          </w:p>
          <w:p w:rsidR="00211065" w:rsidRPr="00D85CB7" w:rsidRDefault="00211065" w:rsidP="003E628F">
            <w:pPr>
              <w:pStyle w:val="TableParagraph"/>
              <w:jc w:val="both"/>
              <w:rPr>
                <w:rFonts w:ascii="Times New Roman" w:hAnsi="Times New Roman" w:cs="Times New Roman"/>
                <w:noProof/>
                <w:sz w:val="20"/>
                <w:szCs w:val="20"/>
              </w:rPr>
            </w:pPr>
            <w:r>
              <w:rPr>
                <w:rFonts w:ascii="Times New Roman" w:hAnsi="Times New Roman"/>
                <w:noProof/>
                <w:sz w:val="20"/>
              </w:rPr>
              <w:t xml:space="preserve">Nav pieredzes ar </w:t>
            </w:r>
            <w:r>
              <w:rPr>
                <w:rFonts w:ascii="Times New Roman" w:hAnsi="Times New Roman"/>
                <w:i/>
                <w:noProof/>
                <w:sz w:val="20"/>
              </w:rPr>
              <w:t>SASP</w:t>
            </w:r>
            <w:r>
              <w:rPr>
                <w:rFonts w:ascii="Times New Roman" w:hAnsi="Times New Roman"/>
                <w:noProof/>
                <w:sz w:val="20"/>
              </w:rPr>
              <w:t>.</w:t>
            </w:r>
          </w:p>
        </w:tc>
        <w:tc>
          <w:tcPr>
            <w:tcW w:w="2330" w:type="pct"/>
            <w:tcBorders>
              <w:top w:val="single" w:sz="5" w:space="0" w:color="000000"/>
              <w:left w:val="single" w:sz="5" w:space="0" w:color="000000"/>
              <w:bottom w:val="single" w:sz="5" w:space="0" w:color="000000"/>
              <w:right w:val="single" w:sz="5" w:space="0" w:color="000000"/>
            </w:tcBorders>
          </w:tcPr>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t>Kā iesaistītā dalībvalsts</w:t>
            </w:r>
          </w:p>
          <w:p w:rsidR="00211065" w:rsidRPr="00D85CB7" w:rsidRDefault="00211065" w:rsidP="003E628F">
            <w:pPr>
              <w:pStyle w:val="TableParagraph"/>
              <w:jc w:val="both"/>
              <w:rPr>
                <w:rFonts w:ascii="Times New Roman" w:hAnsi="Times New Roman" w:cs="Times New Roman"/>
                <w:noProof/>
                <w:sz w:val="20"/>
                <w:szCs w:val="20"/>
              </w:rPr>
            </w:pPr>
            <w:r>
              <w:rPr>
                <w:rFonts w:ascii="Times New Roman" w:hAnsi="Times New Roman"/>
                <w:noProof/>
                <w:sz w:val="20"/>
              </w:rPr>
              <w:t xml:space="preserve">Nav pieredzes ar </w:t>
            </w:r>
            <w:r>
              <w:rPr>
                <w:rFonts w:ascii="Times New Roman" w:hAnsi="Times New Roman"/>
                <w:i/>
                <w:noProof/>
                <w:sz w:val="20"/>
              </w:rPr>
              <w:t>SASP</w:t>
            </w:r>
            <w:r>
              <w:rPr>
                <w:rFonts w:ascii="Times New Roman" w:hAnsi="Times New Roman"/>
                <w:noProof/>
                <w:sz w:val="20"/>
              </w:rPr>
              <w:t>.</w:t>
            </w:r>
          </w:p>
        </w:tc>
      </w:tr>
      <w:tr w:rsidR="00211065" w:rsidRPr="00D85CB7" w:rsidTr="00FF42EE">
        <w:tc>
          <w:tcPr>
            <w:tcW w:w="0" w:type="auto"/>
            <w:tcBorders>
              <w:top w:val="single" w:sz="5" w:space="0" w:color="000000"/>
              <w:left w:val="single" w:sz="5" w:space="0" w:color="000000"/>
              <w:bottom w:val="nil"/>
              <w:right w:val="single" w:sz="5" w:space="0" w:color="000000"/>
            </w:tcBorders>
          </w:tcPr>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t>Grieķija</w:t>
            </w:r>
          </w:p>
        </w:tc>
        <w:tc>
          <w:tcPr>
            <w:tcW w:w="1982" w:type="pct"/>
            <w:tcBorders>
              <w:top w:val="single" w:sz="5" w:space="0" w:color="000000"/>
              <w:left w:val="single" w:sz="5" w:space="0" w:color="000000"/>
              <w:bottom w:val="single" w:sz="5" w:space="0" w:color="000000"/>
              <w:right w:val="single" w:sz="5" w:space="0" w:color="000000"/>
            </w:tcBorders>
          </w:tcPr>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t>Kā izsniedzēja dalībvalsts</w:t>
            </w:r>
          </w:p>
          <w:p w:rsidR="00211065" w:rsidRPr="00D85CB7" w:rsidRDefault="00211065" w:rsidP="003E628F">
            <w:pPr>
              <w:pStyle w:val="TableParagraph"/>
              <w:jc w:val="both"/>
              <w:rPr>
                <w:rFonts w:ascii="Times New Roman" w:hAnsi="Times New Roman" w:cs="Times New Roman"/>
                <w:noProof/>
                <w:sz w:val="20"/>
                <w:szCs w:val="20"/>
              </w:rPr>
            </w:pPr>
            <w:r>
              <w:rPr>
                <w:rFonts w:ascii="Times New Roman" w:hAnsi="Times New Roman"/>
                <w:noProof/>
                <w:sz w:val="20"/>
              </w:rPr>
              <w:t xml:space="preserve">Nav pieredzes ar </w:t>
            </w:r>
            <w:r>
              <w:rPr>
                <w:rFonts w:ascii="Times New Roman" w:hAnsi="Times New Roman"/>
                <w:i/>
                <w:noProof/>
                <w:sz w:val="20"/>
              </w:rPr>
              <w:t>SASP</w:t>
            </w:r>
            <w:r>
              <w:rPr>
                <w:rFonts w:ascii="Times New Roman" w:hAnsi="Times New Roman"/>
                <w:noProof/>
                <w:sz w:val="20"/>
              </w:rPr>
              <w:t>.</w:t>
            </w:r>
          </w:p>
        </w:tc>
        <w:tc>
          <w:tcPr>
            <w:tcW w:w="2330" w:type="pct"/>
            <w:tcBorders>
              <w:top w:val="single" w:sz="5" w:space="0" w:color="000000"/>
              <w:left w:val="single" w:sz="5" w:space="0" w:color="000000"/>
              <w:bottom w:val="single" w:sz="5" w:space="0" w:color="000000"/>
              <w:right w:val="single" w:sz="5" w:space="0" w:color="000000"/>
            </w:tcBorders>
          </w:tcPr>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t>Kā izsniedzēja dalībvalsts</w:t>
            </w:r>
          </w:p>
          <w:p w:rsidR="00211065" w:rsidRPr="00D85CB7" w:rsidRDefault="00211065" w:rsidP="003E628F">
            <w:pPr>
              <w:pStyle w:val="TableParagraph"/>
              <w:jc w:val="both"/>
              <w:rPr>
                <w:rFonts w:ascii="Times New Roman" w:hAnsi="Times New Roman" w:cs="Times New Roman"/>
                <w:noProof/>
                <w:sz w:val="20"/>
                <w:szCs w:val="20"/>
              </w:rPr>
            </w:pPr>
            <w:r>
              <w:rPr>
                <w:rFonts w:ascii="Times New Roman" w:hAnsi="Times New Roman"/>
                <w:noProof/>
                <w:sz w:val="20"/>
              </w:rPr>
              <w:t xml:space="preserve">Nav pieredzes ar </w:t>
            </w:r>
            <w:r>
              <w:rPr>
                <w:rFonts w:ascii="Times New Roman" w:hAnsi="Times New Roman"/>
                <w:i/>
                <w:noProof/>
                <w:sz w:val="20"/>
              </w:rPr>
              <w:t>SASP</w:t>
            </w:r>
            <w:r>
              <w:rPr>
                <w:rFonts w:ascii="Times New Roman" w:hAnsi="Times New Roman"/>
                <w:noProof/>
                <w:sz w:val="20"/>
              </w:rPr>
              <w:t>.</w:t>
            </w:r>
          </w:p>
        </w:tc>
      </w:tr>
      <w:tr w:rsidR="00211065" w:rsidRPr="00D85CB7" w:rsidTr="00FF42EE">
        <w:tc>
          <w:tcPr>
            <w:tcW w:w="0" w:type="auto"/>
            <w:tcBorders>
              <w:top w:val="nil"/>
              <w:left w:val="single" w:sz="5" w:space="0" w:color="000000"/>
              <w:bottom w:val="single" w:sz="5" w:space="0" w:color="000000"/>
              <w:right w:val="single" w:sz="5" w:space="0" w:color="000000"/>
            </w:tcBorders>
          </w:tcPr>
          <w:p w:rsidR="00211065" w:rsidRPr="00D85CB7" w:rsidRDefault="00211065" w:rsidP="003E628F">
            <w:pPr>
              <w:jc w:val="both"/>
              <w:rPr>
                <w:rFonts w:ascii="Times New Roman" w:hAnsi="Times New Roman" w:cs="Times New Roman"/>
                <w:noProof/>
                <w:sz w:val="20"/>
                <w:szCs w:val="20"/>
              </w:rPr>
            </w:pPr>
          </w:p>
        </w:tc>
        <w:tc>
          <w:tcPr>
            <w:tcW w:w="1982" w:type="pct"/>
            <w:tcBorders>
              <w:top w:val="single" w:sz="5" w:space="0" w:color="000000"/>
              <w:left w:val="single" w:sz="5" w:space="0" w:color="000000"/>
              <w:bottom w:val="single" w:sz="5" w:space="0" w:color="000000"/>
              <w:right w:val="single" w:sz="5" w:space="0" w:color="000000"/>
            </w:tcBorders>
          </w:tcPr>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t>Kā iesaistītā dalībvalsts</w:t>
            </w:r>
          </w:p>
          <w:p w:rsidR="00211065" w:rsidRPr="00D85CB7" w:rsidRDefault="00211065" w:rsidP="003E628F">
            <w:pPr>
              <w:pStyle w:val="TableParagraph"/>
              <w:jc w:val="both"/>
              <w:rPr>
                <w:rFonts w:ascii="Times New Roman" w:hAnsi="Times New Roman" w:cs="Times New Roman"/>
                <w:noProof/>
                <w:sz w:val="20"/>
                <w:szCs w:val="20"/>
              </w:rPr>
            </w:pPr>
            <w:r>
              <w:rPr>
                <w:rFonts w:ascii="Times New Roman" w:hAnsi="Times New Roman"/>
                <w:noProof/>
                <w:sz w:val="20"/>
              </w:rPr>
              <w:t xml:space="preserve">Nav pieredzes ar </w:t>
            </w:r>
            <w:r>
              <w:rPr>
                <w:rFonts w:ascii="Times New Roman" w:hAnsi="Times New Roman"/>
                <w:i/>
                <w:noProof/>
                <w:sz w:val="20"/>
              </w:rPr>
              <w:t>SASP</w:t>
            </w:r>
            <w:r>
              <w:rPr>
                <w:rFonts w:ascii="Times New Roman" w:hAnsi="Times New Roman"/>
                <w:noProof/>
                <w:sz w:val="20"/>
              </w:rPr>
              <w:t>.</w:t>
            </w:r>
          </w:p>
        </w:tc>
        <w:tc>
          <w:tcPr>
            <w:tcW w:w="2330" w:type="pct"/>
            <w:tcBorders>
              <w:top w:val="single" w:sz="5" w:space="0" w:color="000000"/>
              <w:left w:val="single" w:sz="5" w:space="0" w:color="000000"/>
              <w:bottom w:val="single" w:sz="5" w:space="0" w:color="000000"/>
              <w:right w:val="single" w:sz="5" w:space="0" w:color="000000"/>
            </w:tcBorders>
          </w:tcPr>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t>Kā iesaistītā dalībvalsts</w:t>
            </w:r>
          </w:p>
          <w:p w:rsidR="00211065" w:rsidRPr="00D85CB7" w:rsidRDefault="00211065" w:rsidP="003E628F">
            <w:pPr>
              <w:pStyle w:val="TableParagraph"/>
              <w:jc w:val="both"/>
              <w:rPr>
                <w:rFonts w:ascii="Times New Roman" w:hAnsi="Times New Roman" w:cs="Times New Roman"/>
                <w:noProof/>
                <w:sz w:val="20"/>
                <w:szCs w:val="20"/>
              </w:rPr>
            </w:pPr>
            <w:r>
              <w:rPr>
                <w:rFonts w:ascii="Times New Roman" w:hAnsi="Times New Roman"/>
                <w:noProof/>
                <w:sz w:val="20"/>
              </w:rPr>
              <w:t xml:space="preserve">Nav pieredzes ar </w:t>
            </w:r>
            <w:r>
              <w:rPr>
                <w:rFonts w:ascii="Times New Roman" w:hAnsi="Times New Roman"/>
                <w:i/>
                <w:noProof/>
                <w:sz w:val="20"/>
              </w:rPr>
              <w:t>SASP</w:t>
            </w:r>
            <w:r>
              <w:rPr>
                <w:rFonts w:ascii="Times New Roman" w:hAnsi="Times New Roman"/>
                <w:noProof/>
                <w:sz w:val="20"/>
              </w:rPr>
              <w:t>.</w:t>
            </w:r>
          </w:p>
        </w:tc>
      </w:tr>
      <w:tr w:rsidR="00211065" w:rsidRPr="00D85CB7" w:rsidTr="00FF42EE">
        <w:trPr>
          <w:trHeight w:val="2044"/>
        </w:trPr>
        <w:tc>
          <w:tcPr>
            <w:tcW w:w="0" w:type="auto"/>
            <w:tcBorders>
              <w:top w:val="single" w:sz="5" w:space="0" w:color="000000"/>
              <w:left w:val="single" w:sz="5" w:space="0" w:color="000000"/>
              <w:bottom w:val="single" w:sz="5" w:space="0" w:color="000000"/>
              <w:right w:val="single" w:sz="5" w:space="0" w:color="000000"/>
            </w:tcBorders>
          </w:tcPr>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t>Austrija</w:t>
            </w:r>
          </w:p>
        </w:tc>
        <w:tc>
          <w:tcPr>
            <w:tcW w:w="1982" w:type="pct"/>
            <w:tcBorders>
              <w:top w:val="single" w:sz="5" w:space="0" w:color="000000"/>
              <w:left w:val="single" w:sz="5" w:space="0" w:color="000000"/>
              <w:bottom w:val="single" w:sz="5" w:space="0" w:color="000000"/>
              <w:right w:val="single" w:sz="5" w:space="0" w:color="000000"/>
            </w:tcBorders>
          </w:tcPr>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t>Kā izsniedzēja dalībvalsts</w:t>
            </w:r>
          </w:p>
          <w:p w:rsidR="00D85CB7" w:rsidRPr="00D85CB7" w:rsidRDefault="00211065" w:rsidP="00D85CB7">
            <w:pPr>
              <w:pStyle w:val="TableParagraph"/>
              <w:jc w:val="both"/>
              <w:rPr>
                <w:rFonts w:ascii="Times New Roman" w:hAnsi="Times New Roman" w:cs="Times New Roman"/>
                <w:noProof/>
                <w:sz w:val="20"/>
                <w:szCs w:val="20"/>
              </w:rPr>
            </w:pPr>
            <w:r>
              <w:rPr>
                <w:rFonts w:ascii="Times New Roman" w:hAnsi="Times New Roman"/>
                <w:noProof/>
                <w:sz w:val="20"/>
              </w:rPr>
              <w:t>Nodokļa (tostarp PVN, akcīzes nodokļa u. c.) aprēķinu valsts vienkāršoto procedūru atļaujām vienmēr veic muitas administrācija, pamatojoties uz muitas papildu deklarāciju.</w:t>
            </w:r>
          </w:p>
          <w:p w:rsidR="00D85CB7" w:rsidRPr="00D85CB7" w:rsidRDefault="00D85CB7" w:rsidP="00D85CB7">
            <w:pPr>
              <w:pStyle w:val="TableParagraph"/>
              <w:jc w:val="both"/>
              <w:rPr>
                <w:rFonts w:ascii="Times New Roman" w:eastAsia="Times New Roman" w:hAnsi="Times New Roman" w:cs="Times New Roman"/>
                <w:noProof/>
                <w:sz w:val="20"/>
                <w:szCs w:val="20"/>
              </w:rPr>
            </w:pPr>
          </w:p>
          <w:p w:rsidR="00D85CB7" w:rsidRPr="00D85CB7" w:rsidRDefault="00D85CB7" w:rsidP="00D85CB7">
            <w:pPr>
              <w:pStyle w:val="TableParagraph"/>
              <w:jc w:val="both"/>
              <w:rPr>
                <w:rFonts w:ascii="Times New Roman" w:hAnsi="Times New Roman" w:cs="Times New Roman"/>
                <w:noProof/>
                <w:sz w:val="20"/>
                <w:szCs w:val="20"/>
              </w:rPr>
            </w:pPr>
            <w:r>
              <w:rPr>
                <w:rFonts w:ascii="Times New Roman" w:hAnsi="Times New Roman"/>
                <w:noProof/>
                <w:sz w:val="20"/>
              </w:rPr>
              <w:t xml:space="preserve">Attiecībā uz importu, kas tiek veikts, pamatojoties uz </w:t>
            </w:r>
            <w:r>
              <w:rPr>
                <w:rFonts w:ascii="Times New Roman" w:hAnsi="Times New Roman"/>
                <w:i/>
                <w:noProof/>
                <w:sz w:val="20"/>
              </w:rPr>
              <w:t>SASP</w:t>
            </w:r>
            <w:r>
              <w:rPr>
                <w:rFonts w:ascii="Times New Roman" w:hAnsi="Times New Roman"/>
                <w:noProof/>
                <w:sz w:val="20"/>
              </w:rPr>
              <w:t xml:space="preserve"> atļauju, uzņēmējam ir jānorāda vieta, kur preces fiziski izlaistas.</w:t>
            </w:r>
          </w:p>
          <w:p w:rsidR="00211065" w:rsidRPr="00D85CB7" w:rsidRDefault="00D85CB7" w:rsidP="00D85CB7">
            <w:pPr>
              <w:pStyle w:val="TableParagraph"/>
              <w:jc w:val="both"/>
              <w:rPr>
                <w:rFonts w:ascii="Times New Roman" w:eastAsia="Times New Roman" w:hAnsi="Times New Roman" w:cs="Times New Roman"/>
                <w:noProof/>
                <w:sz w:val="20"/>
                <w:szCs w:val="20"/>
              </w:rPr>
            </w:pPr>
            <w:r>
              <w:rPr>
                <w:rFonts w:ascii="Times New Roman" w:hAnsi="Times New Roman"/>
                <w:noProof/>
                <w:sz w:val="20"/>
              </w:rPr>
              <w:t>Ja preces ir izlaistas citā dalībvalstī, aprēķina tikai muitas nodokļus; PVN iekasē attiecīgā(-ās) iesaistītā(-ās) dalībvalsts(-is).</w:t>
            </w:r>
          </w:p>
        </w:tc>
        <w:tc>
          <w:tcPr>
            <w:tcW w:w="2330" w:type="pct"/>
            <w:tcBorders>
              <w:top w:val="single" w:sz="5" w:space="0" w:color="000000"/>
              <w:left w:val="single" w:sz="5" w:space="0" w:color="000000"/>
              <w:bottom w:val="single" w:sz="5" w:space="0" w:color="000000"/>
              <w:right w:val="single" w:sz="5" w:space="0" w:color="000000"/>
            </w:tcBorders>
          </w:tcPr>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t>Kā izsniedzēja dalībvalsts</w:t>
            </w:r>
          </w:p>
          <w:p w:rsidR="00D85CB7" w:rsidRPr="00D85CB7" w:rsidRDefault="00211065" w:rsidP="00D85CB7">
            <w:pPr>
              <w:pStyle w:val="TableParagraph"/>
              <w:jc w:val="both"/>
              <w:rPr>
                <w:rFonts w:ascii="Times New Roman" w:hAnsi="Times New Roman" w:cs="Times New Roman"/>
                <w:noProof/>
                <w:sz w:val="20"/>
                <w:szCs w:val="20"/>
              </w:rPr>
            </w:pPr>
            <w:r>
              <w:rPr>
                <w:rFonts w:ascii="Times New Roman" w:hAnsi="Times New Roman"/>
                <w:noProof/>
                <w:sz w:val="20"/>
              </w:rPr>
              <w:t>Saistībā ar valstu atļaujām izmantot vienkāršotās procedūras muitas administrācija vienmēr sniedz statistikas dienestiem datus, pamatojoties uz muitas papildu deklarācijām.</w:t>
            </w:r>
          </w:p>
          <w:p w:rsidR="00D85CB7" w:rsidRPr="00D85CB7" w:rsidRDefault="00D85CB7" w:rsidP="00D85CB7">
            <w:pPr>
              <w:pStyle w:val="TableParagraph"/>
              <w:jc w:val="both"/>
              <w:rPr>
                <w:rFonts w:ascii="Times New Roman" w:eastAsia="Times New Roman" w:hAnsi="Times New Roman" w:cs="Times New Roman"/>
                <w:noProof/>
                <w:sz w:val="20"/>
                <w:szCs w:val="20"/>
              </w:rPr>
            </w:pPr>
          </w:p>
          <w:p w:rsidR="00D85CB7" w:rsidRPr="00D85CB7" w:rsidRDefault="00D85CB7" w:rsidP="00D85CB7">
            <w:pPr>
              <w:pStyle w:val="TableParagraph"/>
              <w:jc w:val="both"/>
              <w:rPr>
                <w:rFonts w:ascii="Times New Roman" w:hAnsi="Times New Roman" w:cs="Times New Roman"/>
                <w:noProof/>
                <w:sz w:val="20"/>
                <w:szCs w:val="20"/>
              </w:rPr>
            </w:pPr>
            <w:r>
              <w:rPr>
                <w:rFonts w:ascii="Times New Roman" w:hAnsi="Times New Roman"/>
                <w:noProof/>
                <w:sz w:val="20"/>
              </w:rPr>
              <w:t xml:space="preserve">Attiecībā uz importu, kas tiek veikts, pamatojoties uz </w:t>
            </w:r>
            <w:r>
              <w:rPr>
                <w:rFonts w:ascii="Times New Roman" w:hAnsi="Times New Roman"/>
                <w:i/>
                <w:noProof/>
                <w:sz w:val="20"/>
              </w:rPr>
              <w:t>SASP</w:t>
            </w:r>
            <w:r>
              <w:rPr>
                <w:rFonts w:ascii="Times New Roman" w:hAnsi="Times New Roman"/>
                <w:noProof/>
                <w:sz w:val="20"/>
              </w:rPr>
              <w:t xml:space="preserve"> atļauju, uzņēmējam ir jānorāda vieta, kur preces ir fiziski izlaistas.</w:t>
            </w:r>
          </w:p>
          <w:p w:rsidR="00D85CB7" w:rsidRPr="00D85CB7" w:rsidRDefault="00D85CB7" w:rsidP="00D85CB7">
            <w:pPr>
              <w:pStyle w:val="TableParagraph"/>
              <w:jc w:val="both"/>
              <w:rPr>
                <w:rFonts w:ascii="Times New Roman" w:eastAsia="Times New Roman" w:hAnsi="Times New Roman" w:cs="Times New Roman"/>
                <w:noProof/>
                <w:sz w:val="20"/>
                <w:szCs w:val="20"/>
              </w:rPr>
            </w:pPr>
            <w:r>
              <w:rPr>
                <w:rFonts w:ascii="Times New Roman" w:hAnsi="Times New Roman"/>
                <w:noProof/>
                <w:sz w:val="20"/>
              </w:rPr>
              <w:t>Ja preces ir izlaistas citā dalībvalstī, statistikas dati netiek vākti; atļaujas turētājam ir jāpaziņo statistikas dati norādītajiem dienestiem (muitas dienestam, statistikas dienestam u. c.) attiecīgajā(-ās) iesaistītajā(-ās) dalībvalstī(-īs).</w:t>
            </w:r>
          </w:p>
          <w:p w:rsidR="00D85CB7" w:rsidRPr="00D85CB7" w:rsidRDefault="00D85CB7" w:rsidP="00D85CB7">
            <w:pPr>
              <w:pStyle w:val="TableParagraph"/>
              <w:jc w:val="both"/>
              <w:rPr>
                <w:rFonts w:ascii="Times New Roman" w:eastAsia="Times New Roman" w:hAnsi="Times New Roman" w:cs="Times New Roman"/>
                <w:noProof/>
                <w:sz w:val="20"/>
                <w:szCs w:val="20"/>
              </w:rPr>
            </w:pPr>
          </w:p>
          <w:p w:rsidR="00211065" w:rsidRPr="00D85CB7" w:rsidRDefault="00D85CB7" w:rsidP="00D85CB7">
            <w:pPr>
              <w:pStyle w:val="TableParagraph"/>
              <w:jc w:val="both"/>
              <w:rPr>
                <w:rFonts w:ascii="Times New Roman" w:hAnsi="Times New Roman" w:cs="Times New Roman"/>
                <w:noProof/>
                <w:sz w:val="20"/>
                <w:szCs w:val="20"/>
              </w:rPr>
            </w:pPr>
            <w:r>
              <w:rPr>
                <w:rFonts w:ascii="Times New Roman" w:hAnsi="Times New Roman"/>
                <w:noProof/>
                <w:sz w:val="20"/>
              </w:rPr>
              <w:t xml:space="preserve">Saistībā ar </w:t>
            </w:r>
            <w:r>
              <w:rPr>
                <w:rFonts w:ascii="Times New Roman" w:hAnsi="Times New Roman"/>
                <w:i/>
                <w:noProof/>
                <w:sz w:val="20"/>
              </w:rPr>
              <w:t>SASP</w:t>
            </w:r>
            <w:r>
              <w:rPr>
                <w:rFonts w:ascii="Times New Roman" w:hAnsi="Times New Roman"/>
                <w:noProof/>
                <w:sz w:val="20"/>
              </w:rPr>
              <w:t xml:space="preserve"> procedūru ar Slovēniju papildu muitas deklarācijas dati tiek elektroniski nosūtīti Slovēnijas muitas administrācijai (ar e-pasta starpniecību); Slovēnijas muitas administrācija izgūst būtiskos statistikas datus un sniedz tos statistikas dienestiem.</w:t>
            </w:r>
          </w:p>
        </w:tc>
      </w:tr>
      <w:tr w:rsidR="00211065" w:rsidRPr="00D85CB7" w:rsidTr="00FF42EE">
        <w:tc>
          <w:tcPr>
            <w:tcW w:w="0" w:type="auto"/>
            <w:tcBorders>
              <w:top w:val="nil"/>
              <w:left w:val="single" w:sz="5" w:space="0" w:color="000000"/>
              <w:bottom w:val="single" w:sz="5" w:space="0" w:color="000000"/>
              <w:right w:val="single" w:sz="5" w:space="0" w:color="000000"/>
            </w:tcBorders>
          </w:tcPr>
          <w:p w:rsidR="00211065" w:rsidRPr="00D85CB7" w:rsidRDefault="00211065" w:rsidP="003E628F">
            <w:pPr>
              <w:jc w:val="both"/>
              <w:rPr>
                <w:rFonts w:ascii="Times New Roman" w:hAnsi="Times New Roman" w:cs="Times New Roman"/>
                <w:noProof/>
                <w:sz w:val="20"/>
                <w:szCs w:val="20"/>
              </w:rPr>
            </w:pPr>
          </w:p>
        </w:tc>
        <w:tc>
          <w:tcPr>
            <w:tcW w:w="1982" w:type="pct"/>
            <w:tcBorders>
              <w:top w:val="single" w:sz="5" w:space="0" w:color="000000"/>
              <w:left w:val="single" w:sz="5" w:space="0" w:color="000000"/>
              <w:bottom w:val="single" w:sz="5" w:space="0" w:color="000000"/>
              <w:right w:val="single" w:sz="5" w:space="0" w:color="000000"/>
            </w:tcBorders>
          </w:tcPr>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t>Kā iesaistītā dalībvalsts</w:t>
            </w:r>
          </w:p>
          <w:p w:rsidR="00211065" w:rsidRPr="00D85CB7" w:rsidRDefault="00211065" w:rsidP="003E628F">
            <w:pPr>
              <w:pStyle w:val="TableParagraph"/>
              <w:jc w:val="both"/>
              <w:rPr>
                <w:rFonts w:ascii="Times New Roman" w:hAnsi="Times New Roman" w:cs="Times New Roman"/>
                <w:noProof/>
                <w:sz w:val="20"/>
                <w:szCs w:val="20"/>
              </w:rPr>
            </w:pPr>
            <w:r>
              <w:rPr>
                <w:rFonts w:ascii="Times New Roman" w:hAnsi="Times New Roman"/>
                <w:noProof/>
                <w:sz w:val="20"/>
              </w:rPr>
              <w:t xml:space="preserve">Saistībā ar importa PVN uzņēmējam ir jāiesniedz pieteikums atļaujas saņemšanai </w:t>
            </w:r>
            <w:r>
              <w:rPr>
                <w:rFonts w:ascii="Times New Roman" w:hAnsi="Times New Roman"/>
                <w:noProof/>
                <w:sz w:val="20"/>
              </w:rPr>
              <w:lastRenderedPageBreak/>
              <w:t>par vienkāršoto PVN deklarāciju; šī ir vispārēja deklarācija, kas ir jāiesniedz par mēnesi ilgu laika posmu līdz nākamā mēneša 12. dienai.</w:t>
            </w:r>
          </w:p>
          <w:p w:rsidR="00211065" w:rsidRPr="00D85CB7" w:rsidRDefault="00211065" w:rsidP="003E628F">
            <w:pPr>
              <w:pStyle w:val="TableParagraph"/>
              <w:jc w:val="both"/>
              <w:rPr>
                <w:rFonts w:ascii="Times New Roman" w:eastAsia="Times New Roman" w:hAnsi="Times New Roman" w:cs="Times New Roman"/>
                <w:noProof/>
                <w:sz w:val="20"/>
                <w:szCs w:val="20"/>
              </w:rPr>
            </w:pPr>
          </w:p>
          <w:p w:rsidR="00211065" w:rsidRPr="00D85CB7" w:rsidRDefault="00211065" w:rsidP="003E628F">
            <w:pPr>
              <w:pStyle w:val="TableParagraph"/>
              <w:jc w:val="both"/>
              <w:rPr>
                <w:rFonts w:ascii="Times New Roman" w:hAnsi="Times New Roman" w:cs="Times New Roman"/>
                <w:noProof/>
                <w:sz w:val="20"/>
                <w:szCs w:val="20"/>
              </w:rPr>
            </w:pPr>
            <w:r>
              <w:rPr>
                <w:rFonts w:ascii="Times New Roman" w:hAnsi="Times New Roman"/>
                <w:noProof/>
                <w:sz w:val="20"/>
              </w:rPr>
              <w:t>Šajā vienkāršotajā PVN deklarācijā sniegta šāda informācija par Austrijā izlaistajām precēm (attiecībā uz mēnešu periodu, sadalītu atbilstīgi 2 piemērojamām nodokļu likmēm):</w:t>
            </w:r>
          </w:p>
          <w:p w:rsidR="00211065" w:rsidRPr="00D85CB7" w:rsidRDefault="00211065" w:rsidP="003E628F">
            <w:pPr>
              <w:pStyle w:val="TableParagraph"/>
              <w:jc w:val="both"/>
              <w:rPr>
                <w:rFonts w:ascii="Times New Roman" w:eastAsia="Times New Roman" w:hAnsi="Times New Roman" w:cs="Times New Roman"/>
                <w:noProof/>
                <w:sz w:val="20"/>
                <w:szCs w:val="20"/>
              </w:rPr>
            </w:pPr>
          </w:p>
          <w:p w:rsidR="00211065" w:rsidRPr="00D85CB7" w:rsidRDefault="00211065" w:rsidP="00D85CB7">
            <w:pPr>
              <w:pStyle w:val="Sarakstarindkopa"/>
              <w:numPr>
                <w:ilvl w:val="0"/>
                <w:numId w:val="11"/>
              </w:numPr>
              <w:tabs>
                <w:tab w:val="left" w:pos="825"/>
              </w:tabs>
              <w:ind w:left="476" w:hanging="425"/>
              <w:jc w:val="both"/>
              <w:rPr>
                <w:rFonts w:ascii="Times New Roman" w:hAnsi="Times New Roman" w:cs="Times New Roman"/>
                <w:noProof/>
                <w:sz w:val="20"/>
                <w:szCs w:val="20"/>
              </w:rPr>
            </w:pPr>
            <w:r>
              <w:rPr>
                <w:rFonts w:ascii="Times New Roman" w:hAnsi="Times New Roman"/>
                <w:noProof/>
                <w:sz w:val="20"/>
              </w:rPr>
              <w:t>muitas vērtība;</w:t>
            </w:r>
          </w:p>
          <w:p w:rsidR="00211065" w:rsidRPr="00D85CB7" w:rsidRDefault="00211065" w:rsidP="00D85CB7">
            <w:pPr>
              <w:pStyle w:val="Sarakstarindkopa"/>
              <w:numPr>
                <w:ilvl w:val="0"/>
                <w:numId w:val="11"/>
              </w:numPr>
              <w:tabs>
                <w:tab w:val="left" w:pos="825"/>
              </w:tabs>
              <w:ind w:left="476" w:hanging="425"/>
              <w:jc w:val="both"/>
              <w:rPr>
                <w:rFonts w:ascii="Times New Roman" w:hAnsi="Times New Roman" w:cs="Times New Roman"/>
                <w:noProof/>
                <w:sz w:val="20"/>
                <w:szCs w:val="20"/>
              </w:rPr>
            </w:pPr>
            <w:r>
              <w:rPr>
                <w:rFonts w:ascii="Times New Roman" w:hAnsi="Times New Roman"/>
                <w:noProof/>
                <w:sz w:val="20"/>
              </w:rPr>
              <w:t>importa muitas nodokļu summa;</w:t>
            </w:r>
          </w:p>
          <w:p w:rsidR="00211065" w:rsidRPr="00D85CB7" w:rsidRDefault="00211065" w:rsidP="00D85CB7">
            <w:pPr>
              <w:pStyle w:val="Sarakstarindkopa"/>
              <w:numPr>
                <w:ilvl w:val="0"/>
                <w:numId w:val="11"/>
              </w:numPr>
              <w:tabs>
                <w:tab w:val="left" w:pos="825"/>
              </w:tabs>
              <w:ind w:left="476" w:hanging="425"/>
              <w:jc w:val="both"/>
              <w:rPr>
                <w:rFonts w:ascii="Times New Roman" w:hAnsi="Times New Roman" w:cs="Times New Roman"/>
                <w:noProof/>
                <w:sz w:val="20"/>
                <w:szCs w:val="20"/>
              </w:rPr>
            </w:pPr>
            <w:r>
              <w:rPr>
                <w:rFonts w:ascii="Times New Roman" w:hAnsi="Times New Roman"/>
                <w:noProof/>
                <w:sz w:val="20"/>
              </w:rPr>
              <w:t>Austrijā piemērojamo papildu maksājumu summa;</w:t>
            </w:r>
          </w:p>
          <w:p w:rsidR="00211065" w:rsidRDefault="00211065" w:rsidP="00D85CB7">
            <w:pPr>
              <w:pStyle w:val="Sarakstarindkopa"/>
              <w:numPr>
                <w:ilvl w:val="0"/>
                <w:numId w:val="11"/>
              </w:numPr>
              <w:tabs>
                <w:tab w:val="left" w:pos="825"/>
              </w:tabs>
              <w:ind w:left="476" w:hanging="425"/>
              <w:jc w:val="both"/>
              <w:rPr>
                <w:rFonts w:ascii="Times New Roman" w:hAnsi="Times New Roman" w:cs="Times New Roman"/>
                <w:noProof/>
                <w:sz w:val="20"/>
                <w:szCs w:val="20"/>
              </w:rPr>
            </w:pPr>
            <w:r>
              <w:rPr>
                <w:rFonts w:ascii="Times New Roman" w:hAnsi="Times New Roman"/>
                <w:noProof/>
                <w:sz w:val="20"/>
              </w:rPr>
              <w:t>piemērojamā nodokļu likme;</w:t>
            </w:r>
          </w:p>
          <w:p w:rsidR="00D85CB7" w:rsidRPr="00D85CB7" w:rsidRDefault="00D85CB7" w:rsidP="00D85CB7">
            <w:pPr>
              <w:pStyle w:val="Sarakstarindkopa"/>
              <w:numPr>
                <w:ilvl w:val="0"/>
                <w:numId w:val="11"/>
              </w:numPr>
              <w:tabs>
                <w:tab w:val="left" w:pos="825"/>
              </w:tabs>
              <w:ind w:left="476" w:hanging="425"/>
              <w:jc w:val="both"/>
              <w:rPr>
                <w:rFonts w:ascii="Times New Roman" w:hAnsi="Times New Roman" w:cs="Times New Roman"/>
                <w:noProof/>
                <w:sz w:val="20"/>
                <w:szCs w:val="20"/>
              </w:rPr>
            </w:pPr>
            <w:r>
              <w:rPr>
                <w:rFonts w:ascii="Times New Roman" w:hAnsi="Times New Roman"/>
                <w:noProof/>
                <w:sz w:val="20"/>
              </w:rPr>
              <w:t>uzņēmēja noteiktā PVN summa.</w:t>
            </w:r>
          </w:p>
        </w:tc>
        <w:tc>
          <w:tcPr>
            <w:tcW w:w="2330" w:type="pct"/>
            <w:tcBorders>
              <w:top w:val="single" w:sz="5" w:space="0" w:color="000000"/>
              <w:left w:val="single" w:sz="5" w:space="0" w:color="000000"/>
              <w:bottom w:val="single" w:sz="5" w:space="0" w:color="000000"/>
              <w:right w:val="single" w:sz="5" w:space="0" w:color="000000"/>
            </w:tcBorders>
          </w:tcPr>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lastRenderedPageBreak/>
              <w:t>Kā iesaistītā dalībvalsts</w:t>
            </w:r>
          </w:p>
          <w:p w:rsidR="00211065" w:rsidRPr="00D85CB7" w:rsidRDefault="00211065" w:rsidP="003E628F">
            <w:pPr>
              <w:pStyle w:val="TableParagraph"/>
              <w:jc w:val="both"/>
              <w:rPr>
                <w:rFonts w:ascii="Times New Roman" w:hAnsi="Times New Roman" w:cs="Times New Roman"/>
                <w:noProof/>
                <w:sz w:val="20"/>
                <w:szCs w:val="20"/>
              </w:rPr>
            </w:pPr>
            <w:r>
              <w:rPr>
                <w:rFonts w:ascii="Times New Roman" w:hAnsi="Times New Roman"/>
                <w:noProof/>
                <w:sz w:val="20"/>
              </w:rPr>
              <w:t xml:space="preserve">Statistikas deklarācijas ir jāiesniedz tieši statistikas dienestiem; līdz ar to pieteikuma iesniedzējam, kas </w:t>
            </w:r>
            <w:r>
              <w:rPr>
                <w:rFonts w:ascii="Times New Roman" w:hAnsi="Times New Roman"/>
                <w:noProof/>
                <w:sz w:val="20"/>
              </w:rPr>
              <w:lastRenderedPageBreak/>
              <w:t xml:space="preserve">vēlas saņemt </w:t>
            </w:r>
            <w:r>
              <w:rPr>
                <w:rFonts w:ascii="Times New Roman" w:hAnsi="Times New Roman"/>
                <w:i/>
                <w:noProof/>
                <w:sz w:val="20"/>
              </w:rPr>
              <w:t>SASP</w:t>
            </w:r>
            <w:r>
              <w:rPr>
                <w:rFonts w:ascii="Times New Roman" w:hAnsi="Times New Roman"/>
                <w:noProof/>
                <w:sz w:val="20"/>
              </w:rPr>
              <w:t xml:space="preserve"> atļauju, ir jāpiesakās atsevišķai statistikas atļaujai. Pieteikuma iesniedzējam un statistikas dienestiem ir iepriekš jāvienojas par to, kāda forma un datu nesējs tiks izmantots statistikas deklarācijas nosūtīšanai tieši statistikas dienestiem.</w:t>
            </w:r>
          </w:p>
          <w:p w:rsidR="00211065" w:rsidRPr="00D85CB7" w:rsidRDefault="00211065" w:rsidP="003E628F">
            <w:pPr>
              <w:pStyle w:val="TableParagraph"/>
              <w:jc w:val="both"/>
              <w:rPr>
                <w:rFonts w:ascii="Times New Roman" w:eastAsia="Times New Roman" w:hAnsi="Times New Roman" w:cs="Times New Roman"/>
                <w:noProof/>
                <w:sz w:val="20"/>
                <w:szCs w:val="20"/>
              </w:rPr>
            </w:pPr>
          </w:p>
          <w:p w:rsidR="00211065" w:rsidRPr="00D85CB7" w:rsidRDefault="00211065" w:rsidP="003E628F">
            <w:pPr>
              <w:pStyle w:val="TableParagraph"/>
              <w:jc w:val="both"/>
              <w:rPr>
                <w:rFonts w:ascii="Times New Roman" w:hAnsi="Times New Roman" w:cs="Times New Roman"/>
                <w:noProof/>
                <w:sz w:val="20"/>
                <w:szCs w:val="20"/>
              </w:rPr>
            </w:pPr>
            <w:r>
              <w:rPr>
                <w:rFonts w:ascii="Times New Roman" w:hAnsi="Times New Roman"/>
                <w:noProof/>
                <w:sz w:val="20"/>
              </w:rPr>
              <w:t xml:space="preserve">Piekrišanu </w:t>
            </w:r>
            <w:r>
              <w:rPr>
                <w:rFonts w:ascii="Times New Roman" w:hAnsi="Times New Roman"/>
                <w:i/>
                <w:noProof/>
                <w:sz w:val="20"/>
              </w:rPr>
              <w:t>SASP</w:t>
            </w:r>
            <w:r>
              <w:rPr>
                <w:rFonts w:ascii="Times New Roman" w:hAnsi="Times New Roman"/>
                <w:noProof/>
                <w:sz w:val="20"/>
              </w:rPr>
              <w:t xml:space="preserve"> atļaujas izdošanai var dot vienīgi tad, ja ir piešķirta statistikas atļauja.</w:t>
            </w:r>
          </w:p>
        </w:tc>
      </w:tr>
      <w:tr w:rsidR="00211065" w:rsidRPr="00D85CB7" w:rsidTr="00FF42EE">
        <w:tc>
          <w:tcPr>
            <w:tcW w:w="0" w:type="auto"/>
            <w:tcBorders>
              <w:top w:val="single" w:sz="5" w:space="0" w:color="000000"/>
              <w:left w:val="single" w:sz="5" w:space="0" w:color="000000"/>
              <w:bottom w:val="nil"/>
              <w:right w:val="single" w:sz="5" w:space="0" w:color="000000"/>
            </w:tcBorders>
          </w:tcPr>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lastRenderedPageBreak/>
              <w:t>Somija</w:t>
            </w:r>
          </w:p>
        </w:tc>
        <w:tc>
          <w:tcPr>
            <w:tcW w:w="1982" w:type="pct"/>
            <w:tcBorders>
              <w:top w:val="single" w:sz="5" w:space="0" w:color="000000"/>
              <w:left w:val="single" w:sz="5" w:space="0" w:color="000000"/>
              <w:bottom w:val="single" w:sz="5" w:space="0" w:color="000000"/>
              <w:right w:val="single" w:sz="5" w:space="0" w:color="000000"/>
            </w:tcBorders>
          </w:tcPr>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t>Kā izsniedzēja dalībvalsts</w:t>
            </w:r>
          </w:p>
        </w:tc>
        <w:tc>
          <w:tcPr>
            <w:tcW w:w="2330" w:type="pct"/>
            <w:tcBorders>
              <w:top w:val="single" w:sz="5" w:space="0" w:color="000000"/>
              <w:left w:val="single" w:sz="5" w:space="0" w:color="000000"/>
              <w:bottom w:val="single" w:sz="5" w:space="0" w:color="000000"/>
              <w:right w:val="single" w:sz="5" w:space="0" w:color="000000"/>
            </w:tcBorders>
          </w:tcPr>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t>Kā izsniedzēja dalībvalsts</w:t>
            </w:r>
          </w:p>
        </w:tc>
      </w:tr>
      <w:tr w:rsidR="00211065" w:rsidRPr="00D85CB7" w:rsidTr="00FF42EE">
        <w:tc>
          <w:tcPr>
            <w:tcW w:w="0" w:type="auto"/>
            <w:tcBorders>
              <w:top w:val="nil"/>
              <w:left w:val="single" w:sz="5" w:space="0" w:color="000000"/>
              <w:bottom w:val="single" w:sz="5" w:space="0" w:color="000000"/>
              <w:right w:val="single" w:sz="5" w:space="0" w:color="000000"/>
            </w:tcBorders>
          </w:tcPr>
          <w:p w:rsidR="00211065" w:rsidRPr="00D85CB7" w:rsidRDefault="00211065" w:rsidP="003E628F">
            <w:pPr>
              <w:jc w:val="both"/>
              <w:rPr>
                <w:rFonts w:ascii="Times New Roman" w:hAnsi="Times New Roman" w:cs="Times New Roman"/>
                <w:noProof/>
                <w:sz w:val="20"/>
                <w:szCs w:val="20"/>
              </w:rPr>
            </w:pPr>
          </w:p>
        </w:tc>
        <w:tc>
          <w:tcPr>
            <w:tcW w:w="1982" w:type="pct"/>
            <w:tcBorders>
              <w:top w:val="single" w:sz="5" w:space="0" w:color="000000"/>
              <w:left w:val="single" w:sz="5" w:space="0" w:color="000000"/>
              <w:bottom w:val="single" w:sz="5" w:space="0" w:color="000000"/>
              <w:right w:val="single" w:sz="5" w:space="0" w:color="000000"/>
            </w:tcBorders>
          </w:tcPr>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t>Kā iesaistītā dalībvalsts</w:t>
            </w:r>
          </w:p>
          <w:p w:rsidR="00211065" w:rsidRPr="00D85CB7" w:rsidRDefault="00211065" w:rsidP="00D85CB7">
            <w:pPr>
              <w:pStyle w:val="Sarakstarindkopa"/>
              <w:numPr>
                <w:ilvl w:val="0"/>
                <w:numId w:val="10"/>
              </w:numPr>
              <w:tabs>
                <w:tab w:val="left" w:pos="465"/>
              </w:tabs>
              <w:ind w:left="476" w:hanging="425"/>
              <w:jc w:val="both"/>
              <w:rPr>
                <w:rFonts w:ascii="Times New Roman" w:hAnsi="Times New Roman" w:cs="Times New Roman"/>
                <w:noProof/>
                <w:sz w:val="20"/>
                <w:szCs w:val="20"/>
              </w:rPr>
            </w:pPr>
            <w:r>
              <w:rPr>
                <w:rFonts w:ascii="Times New Roman" w:hAnsi="Times New Roman"/>
                <w:noProof/>
                <w:sz w:val="20"/>
              </w:rPr>
              <w:t xml:space="preserve">Beļģijas muita nosūta muitas muitošanas deklarācijas informāciju </w:t>
            </w:r>
            <w:r>
              <w:rPr>
                <w:rFonts w:ascii="Times New Roman" w:hAnsi="Times New Roman"/>
                <w:i/>
                <w:noProof/>
                <w:sz w:val="20"/>
              </w:rPr>
              <w:t>DVD</w:t>
            </w:r>
            <w:r>
              <w:rPr>
                <w:rFonts w:ascii="Times New Roman" w:hAnsi="Times New Roman"/>
                <w:noProof/>
                <w:sz w:val="20"/>
              </w:rPr>
              <w:t xml:space="preserve"> diskā.</w:t>
            </w:r>
          </w:p>
          <w:p w:rsidR="00211065" w:rsidRPr="00D85CB7" w:rsidRDefault="00211065" w:rsidP="00D85CB7">
            <w:pPr>
              <w:pStyle w:val="Sarakstarindkopa"/>
              <w:numPr>
                <w:ilvl w:val="0"/>
                <w:numId w:val="10"/>
              </w:numPr>
              <w:tabs>
                <w:tab w:val="left" w:pos="465"/>
              </w:tabs>
              <w:ind w:left="476" w:hanging="425"/>
              <w:jc w:val="both"/>
              <w:rPr>
                <w:rFonts w:ascii="Times New Roman" w:hAnsi="Times New Roman" w:cs="Times New Roman"/>
                <w:noProof/>
                <w:sz w:val="20"/>
                <w:szCs w:val="20"/>
              </w:rPr>
            </w:pPr>
            <w:r>
              <w:rPr>
                <w:rFonts w:ascii="Times New Roman" w:hAnsi="Times New Roman"/>
                <w:noProof/>
                <w:sz w:val="20"/>
              </w:rPr>
              <w:t>Atļaujas turētājs sniedz ikmēneša periodisko deklarāciju Somijas muitas iestādei Vantā [</w:t>
            </w:r>
            <w:r>
              <w:rPr>
                <w:rFonts w:ascii="Times New Roman" w:hAnsi="Times New Roman"/>
                <w:i/>
                <w:noProof/>
                <w:sz w:val="20"/>
              </w:rPr>
              <w:t>Vantaa</w:t>
            </w:r>
            <w:r>
              <w:rPr>
                <w:rFonts w:ascii="Times New Roman" w:hAnsi="Times New Roman"/>
                <w:noProof/>
                <w:sz w:val="20"/>
              </w:rPr>
              <w:t>], izmantojot vienotā administratīvā dokumenta veidlapu.</w:t>
            </w:r>
          </w:p>
          <w:p w:rsidR="00211065" w:rsidRPr="00D85CB7" w:rsidRDefault="00211065" w:rsidP="00D85CB7">
            <w:pPr>
              <w:pStyle w:val="Sarakstarindkopa"/>
              <w:numPr>
                <w:ilvl w:val="0"/>
                <w:numId w:val="10"/>
              </w:numPr>
              <w:tabs>
                <w:tab w:val="left" w:pos="465"/>
              </w:tabs>
              <w:ind w:left="476" w:hanging="425"/>
              <w:jc w:val="both"/>
              <w:rPr>
                <w:rFonts w:ascii="Times New Roman" w:hAnsi="Times New Roman" w:cs="Times New Roman"/>
                <w:noProof/>
                <w:sz w:val="20"/>
                <w:szCs w:val="20"/>
              </w:rPr>
            </w:pPr>
            <w:r>
              <w:rPr>
                <w:rFonts w:ascii="Times New Roman" w:hAnsi="Times New Roman"/>
                <w:noProof/>
                <w:sz w:val="20"/>
              </w:rPr>
              <w:t>Somijas muitas iestāde salīdzina Beļģijas muitas muitošanas informāciju ar ikmēneša periodisko deklarāciju.</w:t>
            </w:r>
          </w:p>
          <w:p w:rsidR="00211065" w:rsidRPr="00D85CB7" w:rsidRDefault="00211065" w:rsidP="00D85CB7">
            <w:pPr>
              <w:pStyle w:val="Sarakstarindkopa"/>
              <w:numPr>
                <w:ilvl w:val="0"/>
                <w:numId w:val="10"/>
              </w:numPr>
              <w:tabs>
                <w:tab w:val="left" w:pos="465"/>
              </w:tabs>
              <w:ind w:left="476" w:hanging="425"/>
              <w:jc w:val="both"/>
              <w:rPr>
                <w:rFonts w:ascii="Times New Roman" w:hAnsi="Times New Roman" w:cs="Times New Roman"/>
                <w:noProof/>
                <w:sz w:val="20"/>
                <w:szCs w:val="20"/>
              </w:rPr>
            </w:pPr>
            <w:r>
              <w:rPr>
                <w:rFonts w:ascii="Times New Roman" w:hAnsi="Times New Roman"/>
                <w:noProof/>
                <w:sz w:val="20"/>
              </w:rPr>
              <w:t>Somijas muitas muitošanas sistēma aprēķina PVN summu.</w:t>
            </w:r>
          </w:p>
          <w:p w:rsidR="00211065" w:rsidRPr="00D85CB7" w:rsidRDefault="00211065" w:rsidP="00D85CB7">
            <w:pPr>
              <w:pStyle w:val="Sarakstarindkopa"/>
              <w:numPr>
                <w:ilvl w:val="0"/>
                <w:numId w:val="10"/>
              </w:numPr>
              <w:tabs>
                <w:tab w:val="left" w:pos="465"/>
              </w:tabs>
              <w:ind w:left="476" w:hanging="425"/>
              <w:jc w:val="both"/>
              <w:rPr>
                <w:rFonts w:ascii="Times New Roman" w:hAnsi="Times New Roman" w:cs="Times New Roman"/>
                <w:noProof/>
                <w:sz w:val="20"/>
                <w:szCs w:val="20"/>
              </w:rPr>
            </w:pPr>
            <w:r>
              <w:rPr>
                <w:rFonts w:ascii="Times New Roman" w:hAnsi="Times New Roman"/>
                <w:noProof/>
                <w:sz w:val="20"/>
              </w:rPr>
              <w:t xml:space="preserve">Somijas muitas iestāde nosūta PVN lēmumu </w:t>
            </w:r>
            <w:r>
              <w:rPr>
                <w:rFonts w:ascii="Times New Roman" w:hAnsi="Times New Roman"/>
                <w:i/>
                <w:noProof/>
                <w:sz w:val="20"/>
              </w:rPr>
              <w:t>Toyota</w:t>
            </w:r>
            <w:r>
              <w:rPr>
                <w:rFonts w:ascii="Times New Roman" w:hAnsi="Times New Roman"/>
                <w:noProof/>
                <w:sz w:val="20"/>
              </w:rPr>
              <w:t xml:space="preserve"> uzņēmumam.</w:t>
            </w:r>
          </w:p>
          <w:p w:rsidR="00211065" w:rsidRPr="00D85CB7" w:rsidRDefault="00211065" w:rsidP="00D85CB7">
            <w:pPr>
              <w:pStyle w:val="TableParagraph"/>
              <w:ind w:left="51"/>
              <w:jc w:val="both"/>
              <w:rPr>
                <w:rFonts w:ascii="Times New Roman" w:hAnsi="Times New Roman" w:cs="Times New Roman"/>
                <w:noProof/>
                <w:sz w:val="20"/>
                <w:szCs w:val="20"/>
              </w:rPr>
            </w:pPr>
            <w:r>
              <w:rPr>
                <w:rFonts w:ascii="Times New Roman" w:hAnsi="Times New Roman"/>
                <w:noProof/>
                <w:sz w:val="20"/>
              </w:rPr>
              <w:t>Deklarāciju un PVN lēmumu kopija tiek nosūtīta Beļģijas muitai, bet oriģināli tiek arhivēti Somijas muitā Vantā.</w:t>
            </w:r>
          </w:p>
        </w:tc>
        <w:tc>
          <w:tcPr>
            <w:tcW w:w="2330" w:type="pct"/>
            <w:tcBorders>
              <w:top w:val="single" w:sz="5" w:space="0" w:color="000000"/>
              <w:left w:val="single" w:sz="5" w:space="0" w:color="000000"/>
              <w:bottom w:val="single" w:sz="5" w:space="0" w:color="000000"/>
              <w:right w:val="single" w:sz="5" w:space="0" w:color="000000"/>
            </w:tcBorders>
          </w:tcPr>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t>Kā iesaistītā dalībvalsts</w:t>
            </w:r>
          </w:p>
          <w:p w:rsidR="00905F59" w:rsidRDefault="00905F59" w:rsidP="003E628F">
            <w:pPr>
              <w:pStyle w:val="TableParagraph"/>
              <w:jc w:val="both"/>
              <w:rPr>
                <w:rFonts w:ascii="Times New Roman" w:hAnsi="Times New Roman" w:cs="Times New Roman"/>
                <w:noProof/>
                <w:sz w:val="20"/>
                <w:szCs w:val="20"/>
              </w:rPr>
            </w:pPr>
          </w:p>
          <w:p w:rsidR="00211065" w:rsidRPr="00D85CB7" w:rsidRDefault="00211065" w:rsidP="003E628F">
            <w:pPr>
              <w:pStyle w:val="TableParagraph"/>
              <w:jc w:val="both"/>
              <w:rPr>
                <w:rFonts w:ascii="Times New Roman" w:hAnsi="Times New Roman" w:cs="Times New Roman"/>
                <w:noProof/>
                <w:sz w:val="20"/>
                <w:szCs w:val="20"/>
              </w:rPr>
            </w:pPr>
            <w:r>
              <w:rPr>
                <w:rFonts w:ascii="Times New Roman" w:hAnsi="Times New Roman"/>
                <w:noProof/>
                <w:sz w:val="20"/>
              </w:rPr>
              <w:t>Nav atsevišķu statistikas deklarāciju; Somijas muita iegūst statistikas informāciju no PVN deklarācijām.</w:t>
            </w:r>
          </w:p>
          <w:p w:rsidR="00211065" w:rsidRPr="00D85CB7" w:rsidRDefault="00211065" w:rsidP="003E628F">
            <w:pPr>
              <w:pStyle w:val="TableParagraph"/>
              <w:jc w:val="both"/>
              <w:rPr>
                <w:rFonts w:ascii="Times New Roman" w:eastAsia="Times New Roman" w:hAnsi="Times New Roman" w:cs="Times New Roman"/>
                <w:noProof/>
                <w:sz w:val="20"/>
                <w:szCs w:val="20"/>
              </w:rPr>
            </w:pPr>
          </w:p>
          <w:p w:rsidR="00211065" w:rsidRPr="00D85CB7" w:rsidRDefault="00211065" w:rsidP="003E628F">
            <w:pPr>
              <w:pStyle w:val="TableParagraph"/>
              <w:jc w:val="both"/>
              <w:rPr>
                <w:rFonts w:ascii="Times New Roman" w:hAnsi="Times New Roman" w:cs="Times New Roman"/>
                <w:noProof/>
                <w:sz w:val="20"/>
                <w:szCs w:val="20"/>
              </w:rPr>
            </w:pPr>
            <w:r>
              <w:rPr>
                <w:rFonts w:ascii="Times New Roman" w:hAnsi="Times New Roman"/>
                <w:noProof/>
                <w:sz w:val="20"/>
              </w:rPr>
              <w:t>Somijā muita darbojas arī kā statistikas dienests.</w:t>
            </w:r>
          </w:p>
        </w:tc>
      </w:tr>
      <w:tr w:rsidR="00211065" w:rsidRPr="00D85CB7" w:rsidTr="00FF42EE">
        <w:tc>
          <w:tcPr>
            <w:tcW w:w="0" w:type="auto"/>
            <w:tcBorders>
              <w:top w:val="single" w:sz="5" w:space="0" w:color="000000"/>
              <w:left w:val="single" w:sz="5" w:space="0" w:color="000000"/>
              <w:bottom w:val="nil"/>
              <w:right w:val="single" w:sz="5" w:space="0" w:color="000000"/>
            </w:tcBorders>
          </w:tcPr>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t>Bulgārija</w:t>
            </w:r>
          </w:p>
        </w:tc>
        <w:tc>
          <w:tcPr>
            <w:tcW w:w="1982" w:type="pct"/>
            <w:tcBorders>
              <w:top w:val="single" w:sz="5" w:space="0" w:color="000000"/>
              <w:left w:val="single" w:sz="5" w:space="0" w:color="000000"/>
              <w:bottom w:val="single" w:sz="5" w:space="0" w:color="000000"/>
              <w:right w:val="single" w:sz="5" w:space="0" w:color="000000"/>
            </w:tcBorders>
          </w:tcPr>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t>Kā izsniedzēja dalībvalsts</w:t>
            </w:r>
          </w:p>
          <w:p w:rsidR="00211065" w:rsidRPr="00D85CB7" w:rsidRDefault="00211065" w:rsidP="003E628F">
            <w:pPr>
              <w:pStyle w:val="TableParagraph"/>
              <w:jc w:val="both"/>
              <w:rPr>
                <w:rFonts w:ascii="Times New Roman" w:hAnsi="Times New Roman" w:cs="Times New Roman"/>
                <w:noProof/>
                <w:sz w:val="20"/>
                <w:szCs w:val="20"/>
              </w:rPr>
            </w:pPr>
            <w:r>
              <w:rPr>
                <w:rFonts w:ascii="Times New Roman" w:hAnsi="Times New Roman"/>
                <w:noProof/>
                <w:sz w:val="20"/>
              </w:rPr>
              <w:t xml:space="preserve">Nav pieredzes ar </w:t>
            </w:r>
            <w:r>
              <w:rPr>
                <w:rFonts w:ascii="Times New Roman" w:hAnsi="Times New Roman"/>
                <w:i/>
                <w:noProof/>
                <w:sz w:val="20"/>
              </w:rPr>
              <w:t>SASP</w:t>
            </w:r>
            <w:r>
              <w:rPr>
                <w:rFonts w:ascii="Times New Roman" w:hAnsi="Times New Roman"/>
                <w:noProof/>
                <w:sz w:val="20"/>
              </w:rPr>
              <w:t>.</w:t>
            </w:r>
          </w:p>
        </w:tc>
        <w:tc>
          <w:tcPr>
            <w:tcW w:w="2330" w:type="pct"/>
            <w:tcBorders>
              <w:top w:val="single" w:sz="5" w:space="0" w:color="000000"/>
              <w:left w:val="single" w:sz="5" w:space="0" w:color="000000"/>
              <w:bottom w:val="single" w:sz="5" w:space="0" w:color="000000"/>
              <w:right w:val="single" w:sz="5" w:space="0" w:color="000000"/>
            </w:tcBorders>
          </w:tcPr>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t>Kā izsniedzēja dalībvalsts</w:t>
            </w:r>
          </w:p>
          <w:p w:rsidR="00211065" w:rsidRPr="00D85CB7" w:rsidRDefault="00211065" w:rsidP="003E628F">
            <w:pPr>
              <w:pStyle w:val="TableParagraph"/>
              <w:jc w:val="both"/>
              <w:rPr>
                <w:rFonts w:ascii="Times New Roman" w:hAnsi="Times New Roman" w:cs="Times New Roman"/>
                <w:noProof/>
                <w:sz w:val="20"/>
                <w:szCs w:val="20"/>
              </w:rPr>
            </w:pPr>
            <w:r>
              <w:rPr>
                <w:rFonts w:ascii="Times New Roman" w:hAnsi="Times New Roman"/>
                <w:noProof/>
                <w:sz w:val="20"/>
              </w:rPr>
              <w:t xml:space="preserve">Nav pieredzes ar </w:t>
            </w:r>
            <w:r>
              <w:rPr>
                <w:rFonts w:ascii="Times New Roman" w:hAnsi="Times New Roman"/>
                <w:i/>
                <w:noProof/>
                <w:sz w:val="20"/>
              </w:rPr>
              <w:t>SASP</w:t>
            </w:r>
            <w:r>
              <w:rPr>
                <w:rFonts w:ascii="Times New Roman" w:hAnsi="Times New Roman"/>
                <w:noProof/>
                <w:sz w:val="20"/>
              </w:rPr>
              <w:t>.</w:t>
            </w:r>
          </w:p>
        </w:tc>
      </w:tr>
      <w:tr w:rsidR="00211065" w:rsidRPr="00D85CB7" w:rsidTr="00FF42EE">
        <w:tc>
          <w:tcPr>
            <w:tcW w:w="0" w:type="auto"/>
            <w:tcBorders>
              <w:top w:val="nil"/>
              <w:left w:val="single" w:sz="5" w:space="0" w:color="000000"/>
              <w:bottom w:val="single" w:sz="5" w:space="0" w:color="000000"/>
              <w:right w:val="single" w:sz="5" w:space="0" w:color="000000"/>
            </w:tcBorders>
          </w:tcPr>
          <w:p w:rsidR="00211065" w:rsidRPr="00D85CB7" w:rsidRDefault="00211065" w:rsidP="003E628F">
            <w:pPr>
              <w:jc w:val="both"/>
              <w:rPr>
                <w:rFonts w:ascii="Times New Roman" w:hAnsi="Times New Roman" w:cs="Times New Roman"/>
                <w:noProof/>
                <w:sz w:val="20"/>
                <w:szCs w:val="20"/>
              </w:rPr>
            </w:pPr>
          </w:p>
        </w:tc>
        <w:tc>
          <w:tcPr>
            <w:tcW w:w="1982" w:type="pct"/>
            <w:tcBorders>
              <w:top w:val="single" w:sz="5" w:space="0" w:color="000000"/>
              <w:left w:val="single" w:sz="5" w:space="0" w:color="000000"/>
              <w:bottom w:val="single" w:sz="5" w:space="0" w:color="000000"/>
              <w:right w:val="single" w:sz="5" w:space="0" w:color="000000"/>
            </w:tcBorders>
          </w:tcPr>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t>Kā iesaistītā dalībvalsts</w:t>
            </w:r>
          </w:p>
          <w:p w:rsidR="00211065" w:rsidRPr="00D85CB7" w:rsidRDefault="00211065" w:rsidP="003E628F">
            <w:pPr>
              <w:pStyle w:val="TableParagraph"/>
              <w:jc w:val="both"/>
              <w:rPr>
                <w:rFonts w:ascii="Times New Roman" w:hAnsi="Times New Roman" w:cs="Times New Roman"/>
                <w:noProof/>
                <w:sz w:val="20"/>
                <w:szCs w:val="20"/>
              </w:rPr>
            </w:pPr>
            <w:r>
              <w:rPr>
                <w:rFonts w:ascii="Times New Roman" w:hAnsi="Times New Roman"/>
                <w:noProof/>
                <w:sz w:val="20"/>
              </w:rPr>
              <w:t xml:space="preserve">Nav pieredzes ar </w:t>
            </w:r>
            <w:r>
              <w:rPr>
                <w:rFonts w:ascii="Times New Roman" w:hAnsi="Times New Roman"/>
                <w:i/>
                <w:noProof/>
                <w:sz w:val="20"/>
              </w:rPr>
              <w:t>SASP</w:t>
            </w:r>
            <w:r>
              <w:rPr>
                <w:rFonts w:ascii="Times New Roman" w:hAnsi="Times New Roman"/>
                <w:noProof/>
                <w:sz w:val="20"/>
              </w:rPr>
              <w:t>.</w:t>
            </w:r>
          </w:p>
        </w:tc>
        <w:tc>
          <w:tcPr>
            <w:tcW w:w="2330" w:type="pct"/>
            <w:tcBorders>
              <w:top w:val="single" w:sz="5" w:space="0" w:color="000000"/>
              <w:left w:val="single" w:sz="5" w:space="0" w:color="000000"/>
              <w:bottom w:val="single" w:sz="5" w:space="0" w:color="000000"/>
              <w:right w:val="single" w:sz="5" w:space="0" w:color="000000"/>
            </w:tcBorders>
          </w:tcPr>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t>Kā iesaistītā dalībvalsts</w:t>
            </w:r>
          </w:p>
          <w:p w:rsidR="00211065" w:rsidRPr="00D85CB7" w:rsidRDefault="00211065" w:rsidP="003E628F">
            <w:pPr>
              <w:pStyle w:val="TableParagraph"/>
              <w:jc w:val="both"/>
              <w:rPr>
                <w:rFonts w:ascii="Times New Roman" w:hAnsi="Times New Roman" w:cs="Times New Roman"/>
                <w:noProof/>
                <w:sz w:val="20"/>
                <w:szCs w:val="20"/>
              </w:rPr>
            </w:pPr>
            <w:r>
              <w:rPr>
                <w:rFonts w:ascii="Times New Roman" w:hAnsi="Times New Roman"/>
                <w:noProof/>
                <w:sz w:val="20"/>
              </w:rPr>
              <w:t xml:space="preserve">Nav pieredzes ar </w:t>
            </w:r>
            <w:r>
              <w:rPr>
                <w:rFonts w:ascii="Times New Roman" w:hAnsi="Times New Roman"/>
                <w:i/>
                <w:noProof/>
                <w:sz w:val="20"/>
              </w:rPr>
              <w:t>SASP</w:t>
            </w:r>
            <w:r>
              <w:rPr>
                <w:rFonts w:ascii="Times New Roman" w:hAnsi="Times New Roman"/>
                <w:noProof/>
                <w:sz w:val="20"/>
              </w:rPr>
              <w:t>.</w:t>
            </w:r>
          </w:p>
        </w:tc>
      </w:tr>
      <w:tr w:rsidR="00211065" w:rsidRPr="00D85CB7" w:rsidTr="00FF42EE">
        <w:tc>
          <w:tcPr>
            <w:tcW w:w="0" w:type="auto"/>
            <w:tcBorders>
              <w:top w:val="single" w:sz="5" w:space="0" w:color="000000"/>
              <w:left w:val="single" w:sz="5" w:space="0" w:color="000000"/>
              <w:bottom w:val="nil"/>
              <w:right w:val="single" w:sz="5" w:space="0" w:color="000000"/>
            </w:tcBorders>
          </w:tcPr>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t>Latvija</w:t>
            </w:r>
          </w:p>
        </w:tc>
        <w:tc>
          <w:tcPr>
            <w:tcW w:w="1982" w:type="pct"/>
            <w:tcBorders>
              <w:top w:val="single" w:sz="5" w:space="0" w:color="000000"/>
              <w:left w:val="single" w:sz="5" w:space="0" w:color="000000"/>
              <w:bottom w:val="single" w:sz="5" w:space="0" w:color="000000"/>
              <w:right w:val="single" w:sz="5" w:space="0" w:color="000000"/>
            </w:tcBorders>
          </w:tcPr>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t>Kā izsniedzēja dalībvalsts</w:t>
            </w:r>
          </w:p>
          <w:p w:rsidR="00211065" w:rsidRPr="00D85CB7" w:rsidRDefault="00211065" w:rsidP="003E628F">
            <w:pPr>
              <w:pStyle w:val="TableParagraph"/>
              <w:jc w:val="both"/>
              <w:rPr>
                <w:rFonts w:ascii="Times New Roman" w:hAnsi="Times New Roman" w:cs="Times New Roman"/>
                <w:noProof/>
                <w:sz w:val="20"/>
                <w:szCs w:val="20"/>
              </w:rPr>
            </w:pPr>
            <w:r>
              <w:rPr>
                <w:rFonts w:ascii="Times New Roman" w:hAnsi="Times New Roman"/>
                <w:noProof/>
                <w:sz w:val="20"/>
              </w:rPr>
              <w:t xml:space="preserve">Nav pieredzes ar </w:t>
            </w:r>
            <w:r>
              <w:rPr>
                <w:rFonts w:ascii="Times New Roman" w:hAnsi="Times New Roman"/>
                <w:i/>
                <w:noProof/>
                <w:sz w:val="20"/>
              </w:rPr>
              <w:t>SASP</w:t>
            </w:r>
            <w:r>
              <w:rPr>
                <w:rFonts w:ascii="Times New Roman" w:hAnsi="Times New Roman"/>
                <w:noProof/>
                <w:sz w:val="20"/>
              </w:rPr>
              <w:t>.</w:t>
            </w:r>
          </w:p>
        </w:tc>
        <w:tc>
          <w:tcPr>
            <w:tcW w:w="2330" w:type="pct"/>
            <w:tcBorders>
              <w:top w:val="single" w:sz="5" w:space="0" w:color="000000"/>
              <w:left w:val="single" w:sz="5" w:space="0" w:color="000000"/>
              <w:bottom w:val="single" w:sz="5" w:space="0" w:color="000000"/>
              <w:right w:val="single" w:sz="5" w:space="0" w:color="000000"/>
            </w:tcBorders>
          </w:tcPr>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t>Kā izsniedzēja dalībvalsts</w:t>
            </w:r>
          </w:p>
          <w:p w:rsidR="00211065" w:rsidRPr="00D85CB7" w:rsidRDefault="00211065" w:rsidP="003E628F">
            <w:pPr>
              <w:pStyle w:val="TableParagraph"/>
              <w:jc w:val="both"/>
              <w:rPr>
                <w:rFonts w:ascii="Times New Roman" w:hAnsi="Times New Roman" w:cs="Times New Roman"/>
                <w:noProof/>
                <w:sz w:val="20"/>
                <w:szCs w:val="20"/>
              </w:rPr>
            </w:pPr>
            <w:r>
              <w:rPr>
                <w:rFonts w:ascii="Times New Roman" w:hAnsi="Times New Roman"/>
                <w:noProof/>
                <w:sz w:val="20"/>
              </w:rPr>
              <w:t xml:space="preserve">Nav pieredzes ar </w:t>
            </w:r>
            <w:r>
              <w:rPr>
                <w:rFonts w:ascii="Times New Roman" w:hAnsi="Times New Roman"/>
                <w:i/>
                <w:noProof/>
                <w:sz w:val="20"/>
              </w:rPr>
              <w:t>SASP</w:t>
            </w:r>
            <w:r>
              <w:rPr>
                <w:rFonts w:ascii="Times New Roman" w:hAnsi="Times New Roman"/>
                <w:noProof/>
                <w:sz w:val="20"/>
              </w:rPr>
              <w:t>.</w:t>
            </w:r>
          </w:p>
        </w:tc>
      </w:tr>
      <w:tr w:rsidR="00211065" w:rsidRPr="00D85CB7" w:rsidTr="00FF42EE">
        <w:tc>
          <w:tcPr>
            <w:tcW w:w="0" w:type="auto"/>
            <w:tcBorders>
              <w:top w:val="nil"/>
              <w:left w:val="single" w:sz="5" w:space="0" w:color="000000"/>
              <w:bottom w:val="single" w:sz="5" w:space="0" w:color="000000"/>
              <w:right w:val="single" w:sz="5" w:space="0" w:color="000000"/>
            </w:tcBorders>
          </w:tcPr>
          <w:p w:rsidR="00211065" w:rsidRPr="00D85CB7" w:rsidRDefault="00211065" w:rsidP="003E628F">
            <w:pPr>
              <w:jc w:val="both"/>
              <w:rPr>
                <w:rFonts w:ascii="Times New Roman" w:hAnsi="Times New Roman" w:cs="Times New Roman"/>
                <w:noProof/>
                <w:sz w:val="20"/>
                <w:szCs w:val="20"/>
              </w:rPr>
            </w:pPr>
          </w:p>
        </w:tc>
        <w:tc>
          <w:tcPr>
            <w:tcW w:w="1982" w:type="pct"/>
            <w:tcBorders>
              <w:top w:val="single" w:sz="5" w:space="0" w:color="000000"/>
              <w:left w:val="single" w:sz="5" w:space="0" w:color="000000"/>
              <w:bottom w:val="single" w:sz="5" w:space="0" w:color="000000"/>
              <w:right w:val="single" w:sz="5" w:space="0" w:color="000000"/>
            </w:tcBorders>
          </w:tcPr>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t>Kā iesaistītā dalībvalsts</w:t>
            </w:r>
          </w:p>
          <w:p w:rsidR="00211065" w:rsidRPr="00D85CB7" w:rsidRDefault="00211065" w:rsidP="003E628F">
            <w:pPr>
              <w:pStyle w:val="TableParagraph"/>
              <w:jc w:val="both"/>
              <w:rPr>
                <w:rFonts w:ascii="Times New Roman" w:hAnsi="Times New Roman" w:cs="Times New Roman"/>
                <w:noProof/>
                <w:sz w:val="20"/>
                <w:szCs w:val="20"/>
              </w:rPr>
            </w:pPr>
            <w:r>
              <w:rPr>
                <w:rFonts w:ascii="Times New Roman" w:hAnsi="Times New Roman"/>
                <w:noProof/>
                <w:sz w:val="20"/>
              </w:rPr>
              <w:t xml:space="preserve">Nav pieredzes ar </w:t>
            </w:r>
            <w:r>
              <w:rPr>
                <w:rFonts w:ascii="Times New Roman" w:hAnsi="Times New Roman"/>
                <w:i/>
                <w:noProof/>
                <w:sz w:val="20"/>
              </w:rPr>
              <w:t>SASP</w:t>
            </w:r>
            <w:r>
              <w:rPr>
                <w:rFonts w:ascii="Times New Roman" w:hAnsi="Times New Roman"/>
                <w:noProof/>
                <w:sz w:val="20"/>
              </w:rPr>
              <w:t>.</w:t>
            </w:r>
          </w:p>
        </w:tc>
        <w:tc>
          <w:tcPr>
            <w:tcW w:w="2330" w:type="pct"/>
            <w:tcBorders>
              <w:top w:val="single" w:sz="5" w:space="0" w:color="000000"/>
              <w:left w:val="single" w:sz="5" w:space="0" w:color="000000"/>
              <w:bottom w:val="single" w:sz="5" w:space="0" w:color="000000"/>
              <w:right w:val="single" w:sz="5" w:space="0" w:color="000000"/>
            </w:tcBorders>
          </w:tcPr>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t>Kā iesaistītā dalībvalsts</w:t>
            </w:r>
          </w:p>
          <w:p w:rsidR="00211065" w:rsidRPr="00D85CB7" w:rsidRDefault="00211065" w:rsidP="003E628F">
            <w:pPr>
              <w:pStyle w:val="TableParagraph"/>
              <w:jc w:val="both"/>
              <w:rPr>
                <w:rFonts w:ascii="Times New Roman" w:hAnsi="Times New Roman" w:cs="Times New Roman"/>
                <w:noProof/>
                <w:sz w:val="20"/>
                <w:szCs w:val="20"/>
              </w:rPr>
            </w:pPr>
            <w:r>
              <w:rPr>
                <w:rFonts w:ascii="Times New Roman" w:hAnsi="Times New Roman"/>
                <w:noProof/>
                <w:sz w:val="20"/>
              </w:rPr>
              <w:t xml:space="preserve">Nav pieredzes ar </w:t>
            </w:r>
            <w:r>
              <w:rPr>
                <w:rFonts w:ascii="Times New Roman" w:hAnsi="Times New Roman"/>
                <w:i/>
                <w:noProof/>
                <w:sz w:val="20"/>
              </w:rPr>
              <w:t>SASP</w:t>
            </w:r>
            <w:r>
              <w:rPr>
                <w:rFonts w:ascii="Times New Roman" w:hAnsi="Times New Roman"/>
                <w:noProof/>
                <w:sz w:val="20"/>
              </w:rPr>
              <w:t>.</w:t>
            </w:r>
          </w:p>
        </w:tc>
      </w:tr>
      <w:tr w:rsidR="00211065" w:rsidRPr="00D85CB7" w:rsidTr="00FF42EE">
        <w:tc>
          <w:tcPr>
            <w:tcW w:w="0" w:type="auto"/>
            <w:tcBorders>
              <w:top w:val="single" w:sz="5" w:space="0" w:color="000000"/>
              <w:left w:val="single" w:sz="5" w:space="0" w:color="000000"/>
              <w:bottom w:val="nil"/>
              <w:right w:val="single" w:sz="5" w:space="0" w:color="000000"/>
            </w:tcBorders>
          </w:tcPr>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t>Slovākija</w:t>
            </w:r>
          </w:p>
        </w:tc>
        <w:tc>
          <w:tcPr>
            <w:tcW w:w="1982" w:type="pct"/>
            <w:tcBorders>
              <w:top w:val="single" w:sz="5" w:space="0" w:color="000000"/>
              <w:left w:val="single" w:sz="5" w:space="0" w:color="000000"/>
              <w:bottom w:val="single" w:sz="5" w:space="0" w:color="000000"/>
              <w:right w:val="single" w:sz="5" w:space="0" w:color="000000"/>
            </w:tcBorders>
          </w:tcPr>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t>Kā izsniedzēja dalībvalsts</w:t>
            </w:r>
          </w:p>
          <w:p w:rsidR="00211065" w:rsidRPr="00D85CB7" w:rsidRDefault="00211065" w:rsidP="003E628F">
            <w:pPr>
              <w:pStyle w:val="TableParagraph"/>
              <w:jc w:val="both"/>
              <w:rPr>
                <w:rFonts w:ascii="Times New Roman" w:hAnsi="Times New Roman" w:cs="Times New Roman"/>
                <w:noProof/>
                <w:sz w:val="20"/>
                <w:szCs w:val="20"/>
              </w:rPr>
            </w:pPr>
            <w:r>
              <w:rPr>
                <w:rFonts w:ascii="Times New Roman" w:hAnsi="Times New Roman"/>
                <w:noProof/>
                <w:sz w:val="20"/>
              </w:rPr>
              <w:t xml:space="preserve">Nav pieredzes ar </w:t>
            </w:r>
            <w:r>
              <w:rPr>
                <w:rFonts w:ascii="Times New Roman" w:hAnsi="Times New Roman"/>
                <w:i/>
                <w:noProof/>
                <w:sz w:val="20"/>
              </w:rPr>
              <w:t>SASP</w:t>
            </w:r>
            <w:r>
              <w:rPr>
                <w:rFonts w:ascii="Times New Roman" w:hAnsi="Times New Roman"/>
                <w:noProof/>
                <w:sz w:val="20"/>
              </w:rPr>
              <w:t>.</w:t>
            </w:r>
          </w:p>
        </w:tc>
        <w:tc>
          <w:tcPr>
            <w:tcW w:w="2330" w:type="pct"/>
            <w:tcBorders>
              <w:top w:val="single" w:sz="5" w:space="0" w:color="000000"/>
              <w:left w:val="single" w:sz="5" w:space="0" w:color="000000"/>
              <w:bottom w:val="single" w:sz="5" w:space="0" w:color="000000"/>
              <w:right w:val="single" w:sz="5" w:space="0" w:color="000000"/>
            </w:tcBorders>
          </w:tcPr>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t>Kā izsniedzēja dalībvalsts</w:t>
            </w:r>
          </w:p>
          <w:p w:rsidR="00211065" w:rsidRPr="00D85CB7" w:rsidRDefault="00211065" w:rsidP="003E628F">
            <w:pPr>
              <w:pStyle w:val="TableParagraph"/>
              <w:jc w:val="both"/>
              <w:rPr>
                <w:rFonts w:ascii="Times New Roman" w:hAnsi="Times New Roman" w:cs="Times New Roman"/>
                <w:noProof/>
                <w:sz w:val="20"/>
                <w:szCs w:val="20"/>
              </w:rPr>
            </w:pPr>
            <w:r>
              <w:rPr>
                <w:rFonts w:ascii="Times New Roman" w:hAnsi="Times New Roman"/>
                <w:noProof/>
                <w:sz w:val="20"/>
              </w:rPr>
              <w:t xml:space="preserve">Nav pieredzes ar </w:t>
            </w:r>
            <w:r>
              <w:rPr>
                <w:rFonts w:ascii="Times New Roman" w:hAnsi="Times New Roman"/>
                <w:i/>
                <w:noProof/>
                <w:sz w:val="20"/>
              </w:rPr>
              <w:t>SASP</w:t>
            </w:r>
            <w:r>
              <w:rPr>
                <w:rFonts w:ascii="Times New Roman" w:hAnsi="Times New Roman"/>
                <w:noProof/>
                <w:sz w:val="20"/>
              </w:rPr>
              <w:t>.</w:t>
            </w:r>
          </w:p>
        </w:tc>
      </w:tr>
      <w:tr w:rsidR="00211065" w:rsidRPr="00D85CB7" w:rsidTr="00FF42EE">
        <w:tc>
          <w:tcPr>
            <w:tcW w:w="0" w:type="auto"/>
            <w:tcBorders>
              <w:top w:val="nil"/>
              <w:left w:val="single" w:sz="5" w:space="0" w:color="000000"/>
              <w:bottom w:val="single" w:sz="5" w:space="0" w:color="000000"/>
              <w:right w:val="single" w:sz="5" w:space="0" w:color="000000"/>
            </w:tcBorders>
          </w:tcPr>
          <w:p w:rsidR="00211065" w:rsidRPr="00D85CB7" w:rsidRDefault="00211065" w:rsidP="003E628F">
            <w:pPr>
              <w:jc w:val="both"/>
              <w:rPr>
                <w:rFonts w:ascii="Times New Roman" w:hAnsi="Times New Roman" w:cs="Times New Roman"/>
                <w:noProof/>
                <w:sz w:val="20"/>
                <w:szCs w:val="20"/>
              </w:rPr>
            </w:pPr>
          </w:p>
        </w:tc>
        <w:tc>
          <w:tcPr>
            <w:tcW w:w="1982" w:type="pct"/>
            <w:tcBorders>
              <w:top w:val="single" w:sz="5" w:space="0" w:color="000000"/>
              <w:left w:val="single" w:sz="5" w:space="0" w:color="000000"/>
              <w:bottom w:val="single" w:sz="5" w:space="0" w:color="000000"/>
              <w:right w:val="single" w:sz="5" w:space="0" w:color="000000"/>
            </w:tcBorders>
          </w:tcPr>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t>Kā iesaistītā dalībvalsts</w:t>
            </w:r>
          </w:p>
          <w:p w:rsidR="00211065" w:rsidRPr="00D85CB7" w:rsidRDefault="00211065" w:rsidP="003E628F">
            <w:pPr>
              <w:pStyle w:val="TableParagraph"/>
              <w:jc w:val="both"/>
              <w:rPr>
                <w:rFonts w:ascii="Times New Roman" w:hAnsi="Times New Roman" w:cs="Times New Roman"/>
                <w:noProof/>
                <w:sz w:val="20"/>
                <w:szCs w:val="20"/>
              </w:rPr>
            </w:pPr>
            <w:r>
              <w:rPr>
                <w:rFonts w:ascii="Times New Roman" w:hAnsi="Times New Roman"/>
                <w:noProof/>
                <w:sz w:val="20"/>
              </w:rPr>
              <w:t xml:space="preserve">Nav pieredzes ar </w:t>
            </w:r>
            <w:r>
              <w:rPr>
                <w:rFonts w:ascii="Times New Roman" w:hAnsi="Times New Roman"/>
                <w:i/>
                <w:noProof/>
                <w:sz w:val="20"/>
              </w:rPr>
              <w:t>SASP</w:t>
            </w:r>
            <w:r>
              <w:rPr>
                <w:rFonts w:ascii="Times New Roman" w:hAnsi="Times New Roman"/>
                <w:noProof/>
                <w:sz w:val="20"/>
              </w:rPr>
              <w:t>.</w:t>
            </w:r>
          </w:p>
        </w:tc>
        <w:tc>
          <w:tcPr>
            <w:tcW w:w="2330" w:type="pct"/>
            <w:tcBorders>
              <w:top w:val="single" w:sz="5" w:space="0" w:color="000000"/>
              <w:left w:val="single" w:sz="5" w:space="0" w:color="000000"/>
              <w:bottom w:val="single" w:sz="5" w:space="0" w:color="000000"/>
              <w:right w:val="single" w:sz="5" w:space="0" w:color="000000"/>
            </w:tcBorders>
          </w:tcPr>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t>Kā iesaistītā dalībvalsts</w:t>
            </w:r>
          </w:p>
          <w:p w:rsidR="00211065" w:rsidRPr="00D85CB7" w:rsidRDefault="00211065" w:rsidP="003E628F">
            <w:pPr>
              <w:pStyle w:val="TableParagraph"/>
              <w:jc w:val="both"/>
              <w:rPr>
                <w:rFonts w:ascii="Times New Roman" w:hAnsi="Times New Roman" w:cs="Times New Roman"/>
                <w:noProof/>
                <w:sz w:val="20"/>
                <w:szCs w:val="20"/>
              </w:rPr>
            </w:pPr>
            <w:r>
              <w:rPr>
                <w:rFonts w:ascii="Times New Roman" w:hAnsi="Times New Roman"/>
                <w:noProof/>
                <w:sz w:val="20"/>
              </w:rPr>
              <w:t xml:space="preserve">Nav pieredzes ar </w:t>
            </w:r>
            <w:r>
              <w:rPr>
                <w:rFonts w:ascii="Times New Roman" w:hAnsi="Times New Roman"/>
                <w:i/>
                <w:noProof/>
                <w:sz w:val="20"/>
              </w:rPr>
              <w:t>SASP</w:t>
            </w:r>
            <w:r>
              <w:rPr>
                <w:rFonts w:ascii="Times New Roman" w:hAnsi="Times New Roman"/>
                <w:noProof/>
                <w:sz w:val="20"/>
              </w:rPr>
              <w:t>.</w:t>
            </w:r>
          </w:p>
        </w:tc>
      </w:tr>
      <w:tr w:rsidR="00211065" w:rsidRPr="00D85CB7" w:rsidTr="00FF42EE">
        <w:tc>
          <w:tcPr>
            <w:tcW w:w="0" w:type="auto"/>
            <w:tcBorders>
              <w:top w:val="single" w:sz="5" w:space="0" w:color="000000"/>
              <w:left w:val="single" w:sz="5" w:space="0" w:color="000000"/>
              <w:bottom w:val="single" w:sz="5" w:space="0" w:color="000000"/>
              <w:right w:val="single" w:sz="5" w:space="0" w:color="000000"/>
            </w:tcBorders>
          </w:tcPr>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t>Slovēnija</w:t>
            </w:r>
          </w:p>
        </w:tc>
        <w:tc>
          <w:tcPr>
            <w:tcW w:w="1982" w:type="pct"/>
            <w:tcBorders>
              <w:top w:val="single" w:sz="5" w:space="0" w:color="000000"/>
              <w:left w:val="single" w:sz="5" w:space="0" w:color="000000"/>
              <w:bottom w:val="single" w:sz="5" w:space="0" w:color="000000"/>
              <w:right w:val="single" w:sz="5" w:space="0" w:color="000000"/>
            </w:tcBorders>
          </w:tcPr>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t>Kā izsniedzēja dalībvalsts</w:t>
            </w:r>
          </w:p>
        </w:tc>
        <w:tc>
          <w:tcPr>
            <w:tcW w:w="2330" w:type="pct"/>
            <w:tcBorders>
              <w:top w:val="single" w:sz="5" w:space="0" w:color="000000"/>
              <w:left w:val="single" w:sz="5" w:space="0" w:color="000000"/>
              <w:bottom w:val="single" w:sz="5" w:space="0" w:color="000000"/>
              <w:right w:val="single" w:sz="5" w:space="0" w:color="000000"/>
            </w:tcBorders>
          </w:tcPr>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t>Kā izsniedzēja dalībvalsts</w:t>
            </w:r>
          </w:p>
        </w:tc>
      </w:tr>
      <w:tr w:rsidR="00211065" w:rsidRPr="00D85CB7" w:rsidTr="00FF42EE">
        <w:tc>
          <w:tcPr>
            <w:tcW w:w="0" w:type="auto"/>
            <w:tcBorders>
              <w:top w:val="single" w:sz="5" w:space="0" w:color="000000"/>
              <w:left w:val="single" w:sz="5" w:space="0" w:color="000000"/>
              <w:bottom w:val="nil"/>
              <w:right w:val="single" w:sz="5" w:space="0" w:color="000000"/>
            </w:tcBorders>
          </w:tcPr>
          <w:p w:rsidR="00211065" w:rsidRPr="00D85CB7" w:rsidRDefault="00211065" w:rsidP="003E628F">
            <w:pPr>
              <w:jc w:val="both"/>
              <w:rPr>
                <w:rFonts w:ascii="Times New Roman" w:hAnsi="Times New Roman" w:cs="Times New Roman"/>
                <w:noProof/>
                <w:sz w:val="20"/>
                <w:szCs w:val="20"/>
              </w:rPr>
            </w:pPr>
          </w:p>
        </w:tc>
        <w:tc>
          <w:tcPr>
            <w:tcW w:w="1982" w:type="pct"/>
            <w:tcBorders>
              <w:top w:val="single" w:sz="5" w:space="0" w:color="000000"/>
              <w:left w:val="single" w:sz="5" w:space="0" w:color="000000"/>
              <w:bottom w:val="single" w:sz="5" w:space="0" w:color="000000"/>
              <w:right w:val="single" w:sz="5" w:space="0" w:color="000000"/>
            </w:tcBorders>
          </w:tcPr>
          <w:p w:rsidR="00211065" w:rsidRPr="00D85CB7" w:rsidRDefault="00211065" w:rsidP="003E628F">
            <w:pPr>
              <w:pStyle w:val="TableParagraph"/>
              <w:jc w:val="both"/>
              <w:rPr>
                <w:rFonts w:ascii="Times New Roman" w:hAnsi="Times New Roman" w:cs="Times New Roman"/>
                <w:noProof/>
                <w:sz w:val="20"/>
                <w:szCs w:val="20"/>
              </w:rPr>
            </w:pPr>
            <w:r>
              <w:rPr>
                <w:rFonts w:ascii="Times New Roman" w:hAnsi="Times New Roman"/>
                <w:noProof/>
                <w:sz w:val="20"/>
              </w:rPr>
              <w:t xml:space="preserve">Nav pieredzes ar </w:t>
            </w:r>
            <w:r>
              <w:rPr>
                <w:rFonts w:ascii="Times New Roman" w:hAnsi="Times New Roman"/>
                <w:i/>
                <w:noProof/>
                <w:sz w:val="20"/>
              </w:rPr>
              <w:t>SASP</w:t>
            </w:r>
            <w:r>
              <w:rPr>
                <w:rFonts w:ascii="Times New Roman" w:hAnsi="Times New Roman"/>
                <w:noProof/>
                <w:sz w:val="20"/>
              </w:rPr>
              <w:t>.</w:t>
            </w:r>
          </w:p>
        </w:tc>
        <w:tc>
          <w:tcPr>
            <w:tcW w:w="2330" w:type="pct"/>
            <w:tcBorders>
              <w:top w:val="single" w:sz="5" w:space="0" w:color="000000"/>
              <w:left w:val="single" w:sz="5" w:space="0" w:color="000000"/>
              <w:bottom w:val="single" w:sz="5" w:space="0" w:color="000000"/>
              <w:right w:val="single" w:sz="5" w:space="0" w:color="000000"/>
            </w:tcBorders>
          </w:tcPr>
          <w:p w:rsidR="00211065" w:rsidRPr="00D85CB7" w:rsidRDefault="00211065" w:rsidP="003E628F">
            <w:pPr>
              <w:pStyle w:val="TableParagraph"/>
              <w:jc w:val="both"/>
              <w:rPr>
                <w:rFonts w:ascii="Times New Roman" w:hAnsi="Times New Roman" w:cs="Times New Roman"/>
                <w:noProof/>
                <w:sz w:val="20"/>
                <w:szCs w:val="20"/>
              </w:rPr>
            </w:pPr>
            <w:r>
              <w:rPr>
                <w:rFonts w:ascii="Times New Roman" w:hAnsi="Times New Roman"/>
                <w:noProof/>
                <w:sz w:val="20"/>
              </w:rPr>
              <w:t xml:space="preserve">Nav pieredzes ar </w:t>
            </w:r>
            <w:r>
              <w:rPr>
                <w:rFonts w:ascii="Times New Roman" w:hAnsi="Times New Roman"/>
                <w:i/>
                <w:noProof/>
                <w:sz w:val="20"/>
              </w:rPr>
              <w:t>SASP</w:t>
            </w:r>
            <w:r>
              <w:rPr>
                <w:rFonts w:ascii="Times New Roman" w:hAnsi="Times New Roman"/>
                <w:noProof/>
                <w:sz w:val="20"/>
              </w:rPr>
              <w:t>.</w:t>
            </w:r>
          </w:p>
        </w:tc>
      </w:tr>
      <w:tr w:rsidR="00211065" w:rsidRPr="00D85CB7" w:rsidTr="00FF42EE">
        <w:tc>
          <w:tcPr>
            <w:tcW w:w="0" w:type="auto"/>
            <w:tcBorders>
              <w:top w:val="nil"/>
              <w:left w:val="single" w:sz="5" w:space="0" w:color="000000"/>
              <w:bottom w:val="single" w:sz="5" w:space="0" w:color="000000"/>
              <w:right w:val="single" w:sz="5" w:space="0" w:color="000000"/>
            </w:tcBorders>
          </w:tcPr>
          <w:p w:rsidR="00211065" w:rsidRPr="00D85CB7" w:rsidRDefault="00211065" w:rsidP="003E628F">
            <w:pPr>
              <w:jc w:val="both"/>
              <w:rPr>
                <w:rFonts w:ascii="Times New Roman" w:hAnsi="Times New Roman" w:cs="Times New Roman"/>
                <w:noProof/>
                <w:sz w:val="20"/>
                <w:szCs w:val="20"/>
              </w:rPr>
            </w:pPr>
          </w:p>
        </w:tc>
        <w:tc>
          <w:tcPr>
            <w:tcW w:w="1982" w:type="pct"/>
            <w:tcBorders>
              <w:top w:val="single" w:sz="5" w:space="0" w:color="000000"/>
              <w:left w:val="single" w:sz="5" w:space="0" w:color="000000"/>
              <w:bottom w:val="single" w:sz="5" w:space="0" w:color="000000"/>
              <w:right w:val="single" w:sz="5" w:space="0" w:color="000000"/>
            </w:tcBorders>
          </w:tcPr>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t>Kā iesaistītā dalībvalsts</w:t>
            </w:r>
          </w:p>
          <w:p w:rsidR="00211065" w:rsidRPr="00D85CB7" w:rsidRDefault="00211065" w:rsidP="003E628F">
            <w:pPr>
              <w:pStyle w:val="TableParagraph"/>
              <w:jc w:val="both"/>
              <w:rPr>
                <w:rFonts w:ascii="Times New Roman" w:hAnsi="Times New Roman" w:cs="Times New Roman"/>
                <w:noProof/>
                <w:sz w:val="20"/>
                <w:szCs w:val="20"/>
              </w:rPr>
            </w:pPr>
            <w:r>
              <w:rPr>
                <w:rFonts w:ascii="Times New Roman" w:hAnsi="Times New Roman"/>
                <w:noProof/>
                <w:sz w:val="20"/>
              </w:rPr>
              <w:t>Procedūras Nr. 42 dēļ PVN deklarācija nav nepieciešama.</w:t>
            </w:r>
          </w:p>
        </w:tc>
        <w:tc>
          <w:tcPr>
            <w:tcW w:w="2330" w:type="pct"/>
            <w:tcBorders>
              <w:top w:val="single" w:sz="5" w:space="0" w:color="000000"/>
              <w:left w:val="single" w:sz="5" w:space="0" w:color="000000"/>
              <w:bottom w:val="single" w:sz="5" w:space="0" w:color="000000"/>
              <w:right w:val="single" w:sz="5" w:space="0" w:color="000000"/>
            </w:tcBorders>
          </w:tcPr>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t>Kā iesaistītā dalībvalsts</w:t>
            </w:r>
          </w:p>
          <w:p w:rsidR="00211065" w:rsidRPr="00D85CB7" w:rsidRDefault="00211065" w:rsidP="00905F59">
            <w:pPr>
              <w:pStyle w:val="Sarakstarindkopa"/>
              <w:numPr>
                <w:ilvl w:val="0"/>
                <w:numId w:val="9"/>
              </w:numPr>
              <w:tabs>
                <w:tab w:val="left" w:pos="465"/>
              </w:tabs>
              <w:ind w:left="397" w:hanging="283"/>
              <w:jc w:val="both"/>
              <w:rPr>
                <w:rFonts w:ascii="Times New Roman" w:hAnsi="Times New Roman" w:cs="Times New Roman"/>
                <w:noProof/>
                <w:sz w:val="20"/>
                <w:szCs w:val="20"/>
              </w:rPr>
            </w:pPr>
            <w:r>
              <w:rPr>
                <w:rFonts w:ascii="Times New Roman" w:hAnsi="Times New Roman"/>
                <w:noProof/>
                <w:sz w:val="20"/>
              </w:rPr>
              <w:t>Procedūras Nr. 42 dēļ nepieciešams mazāks datu apjoms.</w:t>
            </w:r>
          </w:p>
          <w:p w:rsidR="00211065" w:rsidRPr="00D85CB7" w:rsidRDefault="00211065" w:rsidP="00905F59">
            <w:pPr>
              <w:pStyle w:val="Sarakstarindkopa"/>
              <w:numPr>
                <w:ilvl w:val="0"/>
                <w:numId w:val="9"/>
              </w:numPr>
              <w:tabs>
                <w:tab w:val="left" w:pos="465"/>
              </w:tabs>
              <w:ind w:left="397" w:hanging="283"/>
              <w:jc w:val="both"/>
              <w:rPr>
                <w:rFonts w:ascii="Times New Roman" w:hAnsi="Times New Roman" w:cs="Times New Roman"/>
                <w:noProof/>
                <w:sz w:val="20"/>
                <w:szCs w:val="20"/>
              </w:rPr>
            </w:pPr>
            <w:r>
              <w:rPr>
                <w:rFonts w:ascii="Times New Roman" w:hAnsi="Times New Roman"/>
                <w:noProof/>
                <w:sz w:val="20"/>
              </w:rPr>
              <w:lastRenderedPageBreak/>
              <w:t>Slovēnijas Republikas muitas administrācija ir noslēgusi vienošanos ar statistikas administrāciju par nepieciešamajiem datiem un to nosūtīšanas veidu. Nepieciešamie dati tiek saņemti no Austrijas papildu deklarācijas (datu pārraidi nodrošina mūsu IT pakalpojumu sniedzējs).</w:t>
            </w:r>
          </w:p>
        </w:tc>
      </w:tr>
      <w:tr w:rsidR="00211065" w:rsidRPr="00D85CB7" w:rsidTr="00FF42EE">
        <w:tc>
          <w:tcPr>
            <w:tcW w:w="0" w:type="auto"/>
            <w:tcBorders>
              <w:top w:val="single" w:sz="5" w:space="0" w:color="000000"/>
              <w:left w:val="single" w:sz="5" w:space="0" w:color="000000"/>
              <w:bottom w:val="nil"/>
              <w:right w:val="single" w:sz="5" w:space="0" w:color="000000"/>
            </w:tcBorders>
          </w:tcPr>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lastRenderedPageBreak/>
              <w:t>Ungārija</w:t>
            </w:r>
          </w:p>
        </w:tc>
        <w:tc>
          <w:tcPr>
            <w:tcW w:w="1982" w:type="pct"/>
            <w:tcBorders>
              <w:top w:val="single" w:sz="5" w:space="0" w:color="000000"/>
              <w:left w:val="single" w:sz="5" w:space="0" w:color="000000"/>
              <w:bottom w:val="single" w:sz="5" w:space="0" w:color="000000"/>
              <w:right w:val="single" w:sz="5" w:space="0" w:color="000000"/>
            </w:tcBorders>
          </w:tcPr>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t>Kā izsniedzēja dalībvalsts</w:t>
            </w:r>
          </w:p>
          <w:p w:rsidR="00211065" w:rsidRPr="00D85CB7" w:rsidRDefault="00211065" w:rsidP="003E628F">
            <w:pPr>
              <w:pStyle w:val="TableParagraph"/>
              <w:jc w:val="both"/>
              <w:rPr>
                <w:rFonts w:ascii="Times New Roman" w:hAnsi="Times New Roman" w:cs="Times New Roman"/>
                <w:noProof/>
                <w:sz w:val="20"/>
                <w:szCs w:val="20"/>
              </w:rPr>
            </w:pPr>
            <w:r>
              <w:rPr>
                <w:rFonts w:ascii="Times New Roman" w:hAnsi="Times New Roman"/>
                <w:noProof/>
                <w:sz w:val="20"/>
              </w:rPr>
              <w:t>Nav īpašu noteikumu: importa PVN tiek aprēķināts un iekasēts, pamatojoties uz papildu deklarācijas datu elementiem.</w:t>
            </w:r>
          </w:p>
        </w:tc>
        <w:tc>
          <w:tcPr>
            <w:tcW w:w="2330" w:type="pct"/>
            <w:tcBorders>
              <w:top w:val="single" w:sz="5" w:space="0" w:color="000000"/>
              <w:left w:val="single" w:sz="5" w:space="0" w:color="000000"/>
              <w:bottom w:val="single" w:sz="5" w:space="0" w:color="000000"/>
              <w:right w:val="single" w:sz="5" w:space="0" w:color="000000"/>
            </w:tcBorders>
          </w:tcPr>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t>Kā izsniedzēja dalībvalsts</w:t>
            </w:r>
          </w:p>
          <w:p w:rsidR="00211065" w:rsidRPr="00D85CB7" w:rsidRDefault="00211065" w:rsidP="003E628F">
            <w:pPr>
              <w:pStyle w:val="TableParagraph"/>
              <w:jc w:val="both"/>
              <w:rPr>
                <w:rFonts w:ascii="Times New Roman" w:hAnsi="Times New Roman" w:cs="Times New Roman"/>
                <w:noProof/>
                <w:sz w:val="20"/>
                <w:szCs w:val="20"/>
              </w:rPr>
            </w:pPr>
            <w:r>
              <w:rPr>
                <w:rFonts w:ascii="Times New Roman" w:hAnsi="Times New Roman"/>
                <w:noProof/>
                <w:sz w:val="20"/>
              </w:rPr>
              <w:t>Statistikas dati tiek vākti, pamatojoties uz papildu deklarācijas datu elementiem.</w:t>
            </w:r>
          </w:p>
        </w:tc>
      </w:tr>
      <w:tr w:rsidR="00211065" w:rsidRPr="00D85CB7" w:rsidTr="00FF42EE">
        <w:tc>
          <w:tcPr>
            <w:tcW w:w="0" w:type="auto"/>
            <w:tcBorders>
              <w:top w:val="nil"/>
              <w:left w:val="single" w:sz="5" w:space="0" w:color="000000"/>
              <w:bottom w:val="single" w:sz="5" w:space="0" w:color="000000"/>
              <w:right w:val="single" w:sz="5" w:space="0" w:color="000000"/>
            </w:tcBorders>
          </w:tcPr>
          <w:p w:rsidR="00211065" w:rsidRPr="00D85CB7" w:rsidRDefault="00211065" w:rsidP="003E628F">
            <w:pPr>
              <w:jc w:val="both"/>
              <w:rPr>
                <w:rFonts w:ascii="Times New Roman" w:hAnsi="Times New Roman" w:cs="Times New Roman"/>
                <w:noProof/>
                <w:sz w:val="20"/>
                <w:szCs w:val="20"/>
              </w:rPr>
            </w:pPr>
          </w:p>
        </w:tc>
        <w:tc>
          <w:tcPr>
            <w:tcW w:w="1982" w:type="pct"/>
            <w:tcBorders>
              <w:top w:val="single" w:sz="5" w:space="0" w:color="000000"/>
              <w:left w:val="single" w:sz="5" w:space="0" w:color="000000"/>
              <w:bottom w:val="single" w:sz="5" w:space="0" w:color="000000"/>
              <w:right w:val="single" w:sz="5" w:space="0" w:color="000000"/>
            </w:tcBorders>
          </w:tcPr>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t>Kā iesaistītā dalībvalsts</w:t>
            </w:r>
          </w:p>
          <w:p w:rsidR="00211065" w:rsidRPr="00905F59" w:rsidRDefault="00211065" w:rsidP="003E628F">
            <w:pPr>
              <w:pStyle w:val="TableParagraph"/>
              <w:jc w:val="both"/>
              <w:rPr>
                <w:rFonts w:ascii="Times New Roman" w:eastAsia="Times New Roman" w:hAnsi="Times New Roman" w:cs="Times New Roman"/>
                <w:noProof/>
                <w:sz w:val="20"/>
                <w:szCs w:val="20"/>
              </w:rPr>
            </w:pPr>
            <w:r>
              <w:rPr>
                <w:rFonts w:ascii="Times New Roman" w:hAnsi="Times New Roman"/>
                <w:noProof/>
                <w:sz w:val="20"/>
              </w:rPr>
              <w:t>Atļaujas turētājs sniedz turpmāk norādīto informāciju PVN deklarācijas veidā PVN summas noteikšanai līdz katra kalendārā mēneša 10. dienai par darījumiem, kas saistīti ar laišanu brīvā apgrozībā, ievešanu pārstrādei (nodokļu atmaksas sistēma) un galapatēriņu (ja vien tam nav atļaujas maksāt PVN, izmantojot pašdeklarēšanu):</w:t>
            </w:r>
          </w:p>
          <w:p w:rsidR="00905F59" w:rsidRPr="00D85CB7" w:rsidRDefault="00905F59" w:rsidP="003E628F">
            <w:pPr>
              <w:pStyle w:val="TableParagraph"/>
              <w:jc w:val="both"/>
              <w:rPr>
                <w:rFonts w:ascii="Times New Roman" w:hAnsi="Times New Roman" w:cs="Times New Roman"/>
                <w:noProof/>
                <w:sz w:val="20"/>
                <w:szCs w:val="20"/>
              </w:rPr>
            </w:pPr>
          </w:p>
          <w:p w:rsidR="00211065" w:rsidRPr="00D85CB7" w:rsidRDefault="00211065" w:rsidP="00905F59">
            <w:pPr>
              <w:pStyle w:val="Sarakstarindkopa"/>
              <w:numPr>
                <w:ilvl w:val="0"/>
                <w:numId w:val="8"/>
              </w:numPr>
              <w:ind w:left="334" w:hanging="283"/>
              <w:jc w:val="both"/>
              <w:rPr>
                <w:rFonts w:ascii="Times New Roman" w:hAnsi="Times New Roman" w:cs="Times New Roman"/>
                <w:noProof/>
                <w:sz w:val="20"/>
                <w:szCs w:val="20"/>
              </w:rPr>
            </w:pPr>
            <w:r>
              <w:rPr>
                <w:rFonts w:ascii="Times New Roman" w:hAnsi="Times New Roman"/>
                <w:noProof/>
                <w:sz w:val="20"/>
              </w:rPr>
              <w:t>parādnieka identifikācija:</w:t>
            </w:r>
          </w:p>
          <w:p w:rsidR="00211065" w:rsidRPr="00D85CB7" w:rsidRDefault="00211065" w:rsidP="00905F59">
            <w:pPr>
              <w:pStyle w:val="Sarakstarindkopa"/>
              <w:numPr>
                <w:ilvl w:val="0"/>
                <w:numId w:val="8"/>
              </w:numPr>
              <w:ind w:left="334" w:hanging="283"/>
              <w:jc w:val="both"/>
              <w:rPr>
                <w:rFonts w:ascii="Times New Roman" w:hAnsi="Times New Roman" w:cs="Times New Roman"/>
                <w:noProof/>
                <w:sz w:val="20"/>
                <w:szCs w:val="20"/>
              </w:rPr>
            </w:pPr>
            <w:r>
              <w:rPr>
                <w:rFonts w:ascii="Times New Roman" w:hAnsi="Times New Roman"/>
                <w:noProof/>
                <w:sz w:val="20"/>
              </w:rPr>
              <w:t>faktūrrēķina numurs un datums;</w:t>
            </w:r>
          </w:p>
          <w:p w:rsidR="00211065" w:rsidRPr="00D85CB7" w:rsidRDefault="00211065" w:rsidP="00905F59">
            <w:pPr>
              <w:pStyle w:val="Sarakstarindkopa"/>
              <w:numPr>
                <w:ilvl w:val="0"/>
                <w:numId w:val="8"/>
              </w:numPr>
              <w:ind w:left="334" w:hanging="283"/>
              <w:jc w:val="both"/>
              <w:rPr>
                <w:rFonts w:ascii="Times New Roman" w:hAnsi="Times New Roman" w:cs="Times New Roman"/>
                <w:noProof/>
                <w:sz w:val="20"/>
                <w:szCs w:val="20"/>
              </w:rPr>
            </w:pPr>
            <w:r>
              <w:rPr>
                <w:rFonts w:ascii="Times New Roman" w:hAnsi="Times New Roman"/>
                <w:noProof/>
                <w:sz w:val="20"/>
              </w:rPr>
              <w:t>norāde uz papildu deklarāciju;</w:t>
            </w:r>
          </w:p>
          <w:p w:rsidR="00211065" w:rsidRPr="00D85CB7" w:rsidRDefault="00211065" w:rsidP="00905F59">
            <w:pPr>
              <w:pStyle w:val="Sarakstarindkopa"/>
              <w:numPr>
                <w:ilvl w:val="0"/>
                <w:numId w:val="8"/>
              </w:numPr>
              <w:ind w:left="334" w:hanging="283"/>
              <w:jc w:val="both"/>
              <w:rPr>
                <w:rFonts w:ascii="Times New Roman" w:hAnsi="Times New Roman" w:cs="Times New Roman"/>
                <w:noProof/>
                <w:sz w:val="20"/>
                <w:szCs w:val="20"/>
              </w:rPr>
            </w:pPr>
            <w:r>
              <w:rPr>
                <w:rFonts w:ascii="Times New Roman" w:hAnsi="Times New Roman"/>
                <w:noProof/>
                <w:sz w:val="20"/>
              </w:rPr>
              <w:t>muitas vērtība;</w:t>
            </w:r>
          </w:p>
          <w:p w:rsidR="00211065" w:rsidRPr="00D85CB7" w:rsidRDefault="00211065" w:rsidP="00905F59">
            <w:pPr>
              <w:pStyle w:val="Sarakstarindkopa"/>
              <w:numPr>
                <w:ilvl w:val="0"/>
                <w:numId w:val="8"/>
              </w:numPr>
              <w:ind w:left="334" w:hanging="283"/>
              <w:jc w:val="both"/>
              <w:rPr>
                <w:rFonts w:ascii="Times New Roman" w:hAnsi="Times New Roman" w:cs="Times New Roman"/>
                <w:noProof/>
                <w:sz w:val="20"/>
                <w:szCs w:val="20"/>
              </w:rPr>
            </w:pPr>
            <w:r>
              <w:rPr>
                <w:rFonts w:ascii="Times New Roman" w:hAnsi="Times New Roman"/>
                <w:noProof/>
                <w:sz w:val="20"/>
              </w:rPr>
              <w:t>muitas nodokļu summa;</w:t>
            </w:r>
          </w:p>
          <w:p w:rsidR="00211065" w:rsidRPr="00D85CB7" w:rsidRDefault="00211065" w:rsidP="00905F59">
            <w:pPr>
              <w:pStyle w:val="Sarakstarindkopa"/>
              <w:numPr>
                <w:ilvl w:val="0"/>
                <w:numId w:val="8"/>
              </w:numPr>
              <w:ind w:left="334" w:hanging="283"/>
              <w:jc w:val="both"/>
              <w:rPr>
                <w:rFonts w:ascii="Times New Roman" w:hAnsi="Times New Roman" w:cs="Times New Roman"/>
                <w:noProof/>
                <w:sz w:val="20"/>
                <w:szCs w:val="20"/>
              </w:rPr>
            </w:pPr>
            <w:r>
              <w:rPr>
                <w:rFonts w:ascii="Times New Roman" w:hAnsi="Times New Roman"/>
                <w:noProof/>
                <w:sz w:val="20"/>
              </w:rPr>
              <w:t>izmaksas, kas rodas līdz iekšzemes galamērķim un kas ir jāiekļauj PVN bāzē;</w:t>
            </w:r>
          </w:p>
          <w:p w:rsidR="00211065" w:rsidRPr="00D85CB7" w:rsidRDefault="00211065" w:rsidP="00905F59">
            <w:pPr>
              <w:pStyle w:val="Sarakstarindkopa"/>
              <w:numPr>
                <w:ilvl w:val="0"/>
                <w:numId w:val="8"/>
              </w:numPr>
              <w:ind w:left="334" w:hanging="283"/>
              <w:jc w:val="both"/>
              <w:rPr>
                <w:rFonts w:ascii="Times New Roman" w:hAnsi="Times New Roman" w:cs="Times New Roman"/>
                <w:noProof/>
                <w:sz w:val="20"/>
                <w:szCs w:val="20"/>
              </w:rPr>
            </w:pPr>
            <w:r>
              <w:rPr>
                <w:rFonts w:ascii="Times New Roman" w:hAnsi="Times New Roman"/>
                <w:noProof/>
                <w:sz w:val="20"/>
              </w:rPr>
              <w:t>PVN bāze, likme un summa.</w:t>
            </w:r>
          </w:p>
        </w:tc>
        <w:tc>
          <w:tcPr>
            <w:tcW w:w="2330" w:type="pct"/>
            <w:tcBorders>
              <w:top w:val="single" w:sz="5" w:space="0" w:color="000000"/>
              <w:left w:val="single" w:sz="5" w:space="0" w:color="000000"/>
              <w:bottom w:val="single" w:sz="5" w:space="0" w:color="000000"/>
              <w:right w:val="single" w:sz="5" w:space="0" w:color="000000"/>
            </w:tcBorders>
          </w:tcPr>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t>Kā iesaistītā dalībvalsts</w:t>
            </w:r>
          </w:p>
          <w:p w:rsidR="00211065" w:rsidRPr="00D85CB7" w:rsidRDefault="00211065" w:rsidP="003E628F">
            <w:pPr>
              <w:pStyle w:val="TableParagraph"/>
              <w:jc w:val="both"/>
              <w:rPr>
                <w:rFonts w:ascii="Times New Roman" w:hAnsi="Times New Roman" w:cs="Times New Roman"/>
                <w:noProof/>
                <w:sz w:val="20"/>
                <w:szCs w:val="20"/>
              </w:rPr>
            </w:pPr>
            <w:r>
              <w:rPr>
                <w:rFonts w:ascii="Times New Roman" w:hAnsi="Times New Roman"/>
                <w:noProof/>
                <w:sz w:val="20"/>
              </w:rPr>
              <w:t>Ungārijas Centrālais statistikas birojs tieši sazinās ar atļaujas turētāju.</w:t>
            </w:r>
          </w:p>
        </w:tc>
      </w:tr>
      <w:tr w:rsidR="00211065" w:rsidRPr="00D85CB7" w:rsidTr="00FF42EE">
        <w:tc>
          <w:tcPr>
            <w:tcW w:w="0" w:type="auto"/>
            <w:tcBorders>
              <w:top w:val="single" w:sz="5" w:space="0" w:color="000000"/>
              <w:left w:val="single" w:sz="5" w:space="0" w:color="000000"/>
              <w:bottom w:val="nil"/>
              <w:right w:val="single" w:sz="5" w:space="0" w:color="000000"/>
            </w:tcBorders>
          </w:tcPr>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t>Portugāle</w:t>
            </w:r>
          </w:p>
        </w:tc>
        <w:tc>
          <w:tcPr>
            <w:tcW w:w="1982" w:type="pct"/>
            <w:tcBorders>
              <w:top w:val="single" w:sz="5" w:space="0" w:color="000000"/>
              <w:left w:val="single" w:sz="5" w:space="0" w:color="000000"/>
              <w:bottom w:val="single" w:sz="5" w:space="0" w:color="000000"/>
              <w:right w:val="single" w:sz="5" w:space="0" w:color="000000"/>
            </w:tcBorders>
          </w:tcPr>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t>Kā izsniedzēja dalībvalsts</w:t>
            </w:r>
          </w:p>
          <w:p w:rsidR="00211065" w:rsidRPr="00D85CB7" w:rsidRDefault="00211065" w:rsidP="003E628F">
            <w:pPr>
              <w:pStyle w:val="TableParagraph"/>
              <w:jc w:val="both"/>
              <w:rPr>
                <w:rFonts w:ascii="Times New Roman" w:hAnsi="Times New Roman" w:cs="Times New Roman"/>
                <w:noProof/>
                <w:sz w:val="20"/>
                <w:szCs w:val="20"/>
              </w:rPr>
            </w:pPr>
            <w:r>
              <w:rPr>
                <w:rFonts w:ascii="Times New Roman" w:hAnsi="Times New Roman"/>
                <w:noProof/>
                <w:sz w:val="20"/>
              </w:rPr>
              <w:t xml:space="preserve">Nav pieredzes ar </w:t>
            </w:r>
            <w:r>
              <w:rPr>
                <w:rFonts w:ascii="Times New Roman" w:hAnsi="Times New Roman"/>
                <w:i/>
                <w:noProof/>
                <w:sz w:val="20"/>
              </w:rPr>
              <w:t>SASP</w:t>
            </w:r>
            <w:r>
              <w:rPr>
                <w:rFonts w:ascii="Times New Roman" w:hAnsi="Times New Roman"/>
                <w:noProof/>
                <w:sz w:val="20"/>
              </w:rPr>
              <w:t>.</w:t>
            </w:r>
          </w:p>
        </w:tc>
        <w:tc>
          <w:tcPr>
            <w:tcW w:w="2330" w:type="pct"/>
            <w:tcBorders>
              <w:top w:val="single" w:sz="5" w:space="0" w:color="000000"/>
              <w:left w:val="single" w:sz="5" w:space="0" w:color="000000"/>
              <w:bottom w:val="single" w:sz="5" w:space="0" w:color="000000"/>
              <w:right w:val="single" w:sz="5" w:space="0" w:color="000000"/>
            </w:tcBorders>
          </w:tcPr>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t>Kā izsniedzēja dalībvalsts</w:t>
            </w:r>
          </w:p>
          <w:p w:rsidR="00211065" w:rsidRPr="00D85CB7" w:rsidRDefault="00211065" w:rsidP="003E628F">
            <w:pPr>
              <w:pStyle w:val="TableParagraph"/>
              <w:jc w:val="both"/>
              <w:rPr>
                <w:rFonts w:ascii="Times New Roman" w:hAnsi="Times New Roman" w:cs="Times New Roman"/>
                <w:noProof/>
                <w:sz w:val="20"/>
                <w:szCs w:val="20"/>
              </w:rPr>
            </w:pPr>
            <w:r>
              <w:rPr>
                <w:rFonts w:ascii="Times New Roman" w:hAnsi="Times New Roman"/>
                <w:noProof/>
                <w:sz w:val="20"/>
              </w:rPr>
              <w:t xml:space="preserve">Nav pieredzes ar </w:t>
            </w:r>
            <w:r>
              <w:rPr>
                <w:rFonts w:ascii="Times New Roman" w:hAnsi="Times New Roman"/>
                <w:i/>
                <w:noProof/>
                <w:sz w:val="20"/>
              </w:rPr>
              <w:t>SASP</w:t>
            </w:r>
            <w:r>
              <w:rPr>
                <w:rFonts w:ascii="Times New Roman" w:hAnsi="Times New Roman"/>
                <w:noProof/>
                <w:sz w:val="20"/>
              </w:rPr>
              <w:t>.</w:t>
            </w:r>
          </w:p>
        </w:tc>
      </w:tr>
      <w:tr w:rsidR="00211065" w:rsidRPr="00D85CB7" w:rsidTr="00FF42EE">
        <w:tc>
          <w:tcPr>
            <w:tcW w:w="0" w:type="auto"/>
            <w:tcBorders>
              <w:top w:val="nil"/>
              <w:left w:val="single" w:sz="5" w:space="0" w:color="000000"/>
              <w:bottom w:val="single" w:sz="5" w:space="0" w:color="000000"/>
              <w:right w:val="single" w:sz="5" w:space="0" w:color="000000"/>
            </w:tcBorders>
          </w:tcPr>
          <w:p w:rsidR="00211065" w:rsidRPr="00D85CB7" w:rsidRDefault="00211065" w:rsidP="003E628F">
            <w:pPr>
              <w:jc w:val="both"/>
              <w:rPr>
                <w:rFonts w:ascii="Times New Roman" w:hAnsi="Times New Roman" w:cs="Times New Roman"/>
                <w:noProof/>
                <w:sz w:val="20"/>
                <w:szCs w:val="20"/>
              </w:rPr>
            </w:pPr>
          </w:p>
        </w:tc>
        <w:tc>
          <w:tcPr>
            <w:tcW w:w="1982" w:type="pct"/>
            <w:tcBorders>
              <w:top w:val="single" w:sz="5" w:space="0" w:color="000000"/>
              <w:left w:val="single" w:sz="5" w:space="0" w:color="000000"/>
              <w:bottom w:val="single" w:sz="5" w:space="0" w:color="000000"/>
              <w:right w:val="single" w:sz="5" w:space="0" w:color="000000"/>
            </w:tcBorders>
          </w:tcPr>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t>Kā iesaistītā dalībvalsts</w:t>
            </w:r>
          </w:p>
          <w:p w:rsidR="00211065" w:rsidRPr="00D85CB7" w:rsidRDefault="00211065" w:rsidP="003E628F">
            <w:pPr>
              <w:pStyle w:val="TableParagraph"/>
              <w:jc w:val="both"/>
              <w:rPr>
                <w:rFonts w:ascii="Times New Roman" w:hAnsi="Times New Roman" w:cs="Times New Roman"/>
                <w:noProof/>
                <w:sz w:val="20"/>
                <w:szCs w:val="20"/>
              </w:rPr>
            </w:pPr>
            <w:r>
              <w:rPr>
                <w:rFonts w:ascii="Times New Roman" w:hAnsi="Times New Roman"/>
                <w:noProof/>
                <w:sz w:val="20"/>
              </w:rPr>
              <w:t xml:space="preserve">Nav pieredzes ar </w:t>
            </w:r>
            <w:r>
              <w:rPr>
                <w:rFonts w:ascii="Times New Roman" w:hAnsi="Times New Roman"/>
                <w:i/>
                <w:noProof/>
                <w:sz w:val="20"/>
              </w:rPr>
              <w:t>SASP</w:t>
            </w:r>
            <w:r>
              <w:rPr>
                <w:rFonts w:ascii="Times New Roman" w:hAnsi="Times New Roman"/>
                <w:noProof/>
                <w:sz w:val="20"/>
              </w:rPr>
              <w:t>.</w:t>
            </w:r>
          </w:p>
        </w:tc>
        <w:tc>
          <w:tcPr>
            <w:tcW w:w="2330" w:type="pct"/>
            <w:tcBorders>
              <w:top w:val="single" w:sz="5" w:space="0" w:color="000000"/>
              <w:left w:val="single" w:sz="5" w:space="0" w:color="000000"/>
              <w:bottom w:val="single" w:sz="5" w:space="0" w:color="000000"/>
              <w:right w:val="single" w:sz="5" w:space="0" w:color="000000"/>
            </w:tcBorders>
          </w:tcPr>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t>Kā iesaistītā dalībvalsts</w:t>
            </w:r>
          </w:p>
          <w:p w:rsidR="00211065" w:rsidRPr="00D85CB7" w:rsidRDefault="00211065" w:rsidP="003E628F">
            <w:pPr>
              <w:pStyle w:val="TableParagraph"/>
              <w:jc w:val="both"/>
              <w:rPr>
                <w:rFonts w:ascii="Times New Roman" w:hAnsi="Times New Roman" w:cs="Times New Roman"/>
                <w:noProof/>
                <w:sz w:val="20"/>
                <w:szCs w:val="20"/>
              </w:rPr>
            </w:pPr>
            <w:r>
              <w:rPr>
                <w:rFonts w:ascii="Times New Roman" w:hAnsi="Times New Roman"/>
                <w:noProof/>
                <w:sz w:val="20"/>
              </w:rPr>
              <w:t xml:space="preserve">Nav pieredzes ar </w:t>
            </w:r>
            <w:r>
              <w:rPr>
                <w:rFonts w:ascii="Times New Roman" w:hAnsi="Times New Roman"/>
                <w:i/>
                <w:noProof/>
                <w:sz w:val="20"/>
              </w:rPr>
              <w:t>SASP</w:t>
            </w:r>
            <w:r>
              <w:rPr>
                <w:rFonts w:ascii="Times New Roman" w:hAnsi="Times New Roman"/>
                <w:noProof/>
                <w:sz w:val="20"/>
              </w:rPr>
              <w:t>.</w:t>
            </w:r>
          </w:p>
        </w:tc>
      </w:tr>
      <w:tr w:rsidR="00211065" w:rsidRPr="00D85CB7" w:rsidTr="00FF42EE">
        <w:tc>
          <w:tcPr>
            <w:tcW w:w="0" w:type="auto"/>
            <w:tcBorders>
              <w:top w:val="single" w:sz="5" w:space="0" w:color="000000"/>
              <w:left w:val="single" w:sz="5" w:space="0" w:color="000000"/>
              <w:bottom w:val="nil"/>
              <w:right w:val="single" w:sz="5" w:space="0" w:color="000000"/>
            </w:tcBorders>
          </w:tcPr>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t>Nīderlande</w:t>
            </w:r>
          </w:p>
        </w:tc>
        <w:tc>
          <w:tcPr>
            <w:tcW w:w="1982" w:type="pct"/>
            <w:tcBorders>
              <w:top w:val="single" w:sz="5" w:space="0" w:color="000000"/>
              <w:left w:val="single" w:sz="5" w:space="0" w:color="000000"/>
              <w:bottom w:val="single" w:sz="5" w:space="0" w:color="000000"/>
              <w:right w:val="single" w:sz="5" w:space="0" w:color="000000"/>
            </w:tcBorders>
          </w:tcPr>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t>Kā izsniedzēja dalībvalsts</w:t>
            </w:r>
          </w:p>
          <w:p w:rsidR="00211065" w:rsidRPr="00D85CB7" w:rsidRDefault="00211065" w:rsidP="003E628F">
            <w:pPr>
              <w:pStyle w:val="TableParagraph"/>
              <w:jc w:val="both"/>
              <w:rPr>
                <w:rFonts w:ascii="Times New Roman" w:hAnsi="Times New Roman" w:cs="Times New Roman"/>
                <w:noProof/>
                <w:sz w:val="20"/>
                <w:szCs w:val="20"/>
              </w:rPr>
            </w:pPr>
            <w:r>
              <w:rPr>
                <w:rFonts w:ascii="Times New Roman" w:hAnsi="Times New Roman"/>
                <w:noProof/>
                <w:sz w:val="20"/>
              </w:rPr>
              <w:t xml:space="preserve">Uzņēmumam, kas iesniedz pieteikumu </w:t>
            </w:r>
            <w:r>
              <w:rPr>
                <w:rFonts w:ascii="Times New Roman" w:hAnsi="Times New Roman"/>
                <w:i/>
                <w:noProof/>
                <w:sz w:val="20"/>
              </w:rPr>
              <w:t>SASP</w:t>
            </w:r>
            <w:r>
              <w:rPr>
                <w:rFonts w:ascii="Times New Roman" w:hAnsi="Times New Roman"/>
                <w:noProof/>
                <w:sz w:val="20"/>
              </w:rPr>
              <w:t xml:space="preserve"> saņemšanai, pirms atļaujas piešķiršanas ir jāizpilda PVN paziņošanas un maksāšanas noteikumi katrā iesaistītajā dalībvalstī.</w:t>
            </w:r>
          </w:p>
        </w:tc>
        <w:tc>
          <w:tcPr>
            <w:tcW w:w="2330" w:type="pct"/>
            <w:tcBorders>
              <w:top w:val="single" w:sz="5" w:space="0" w:color="000000"/>
              <w:left w:val="single" w:sz="5" w:space="0" w:color="000000"/>
              <w:bottom w:val="single" w:sz="5" w:space="0" w:color="000000"/>
              <w:right w:val="single" w:sz="5" w:space="0" w:color="000000"/>
            </w:tcBorders>
          </w:tcPr>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t>Kā izsniedzēja dalībvalsts</w:t>
            </w:r>
          </w:p>
          <w:p w:rsidR="00211065" w:rsidRPr="00D85CB7" w:rsidRDefault="00211065" w:rsidP="003E628F">
            <w:pPr>
              <w:pStyle w:val="TableParagraph"/>
              <w:jc w:val="both"/>
              <w:rPr>
                <w:rFonts w:ascii="Times New Roman" w:hAnsi="Times New Roman" w:cs="Times New Roman"/>
                <w:noProof/>
                <w:sz w:val="20"/>
                <w:szCs w:val="20"/>
              </w:rPr>
            </w:pPr>
            <w:r>
              <w:rPr>
                <w:rFonts w:ascii="Times New Roman" w:hAnsi="Times New Roman"/>
                <w:noProof/>
                <w:sz w:val="20"/>
              </w:rPr>
              <w:t xml:space="preserve">Uzņēmumam, kas iesniedz pieteikumu </w:t>
            </w:r>
            <w:r>
              <w:rPr>
                <w:rFonts w:ascii="Times New Roman" w:hAnsi="Times New Roman"/>
                <w:i/>
                <w:noProof/>
                <w:sz w:val="20"/>
              </w:rPr>
              <w:t>SASP</w:t>
            </w:r>
            <w:r>
              <w:rPr>
                <w:rFonts w:ascii="Times New Roman" w:hAnsi="Times New Roman"/>
                <w:noProof/>
                <w:sz w:val="20"/>
              </w:rPr>
              <w:t xml:space="preserve"> saņemšanai, pirms atļaujas piešķiršanas ir jāizpilda statistikas datu sniegšanas noteikumi katrā iesaistītajā dalībvalstī.</w:t>
            </w:r>
          </w:p>
        </w:tc>
      </w:tr>
      <w:tr w:rsidR="00211065" w:rsidRPr="00D85CB7" w:rsidTr="00FF42EE">
        <w:tc>
          <w:tcPr>
            <w:tcW w:w="0" w:type="auto"/>
            <w:tcBorders>
              <w:top w:val="nil"/>
              <w:left w:val="single" w:sz="5" w:space="0" w:color="000000"/>
              <w:bottom w:val="single" w:sz="5" w:space="0" w:color="000000"/>
              <w:right w:val="single" w:sz="5" w:space="0" w:color="000000"/>
            </w:tcBorders>
          </w:tcPr>
          <w:p w:rsidR="00211065" w:rsidRPr="00D85CB7" w:rsidRDefault="00211065" w:rsidP="003E628F">
            <w:pPr>
              <w:jc w:val="both"/>
              <w:rPr>
                <w:rFonts w:ascii="Times New Roman" w:hAnsi="Times New Roman" w:cs="Times New Roman"/>
                <w:noProof/>
                <w:sz w:val="20"/>
                <w:szCs w:val="20"/>
              </w:rPr>
            </w:pPr>
          </w:p>
        </w:tc>
        <w:tc>
          <w:tcPr>
            <w:tcW w:w="1982" w:type="pct"/>
            <w:tcBorders>
              <w:top w:val="single" w:sz="5" w:space="0" w:color="000000"/>
              <w:left w:val="single" w:sz="5" w:space="0" w:color="000000"/>
              <w:bottom w:val="single" w:sz="5" w:space="0" w:color="000000"/>
              <w:right w:val="single" w:sz="5" w:space="0" w:color="000000"/>
            </w:tcBorders>
          </w:tcPr>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t>Kā iesaistītā dalībvalsts</w:t>
            </w:r>
          </w:p>
          <w:p w:rsidR="00211065" w:rsidRPr="00D85CB7" w:rsidRDefault="00211065" w:rsidP="003E628F">
            <w:pPr>
              <w:pStyle w:val="TableParagraph"/>
              <w:jc w:val="both"/>
              <w:rPr>
                <w:rFonts w:ascii="Times New Roman" w:hAnsi="Times New Roman" w:cs="Times New Roman"/>
                <w:noProof/>
                <w:sz w:val="20"/>
                <w:szCs w:val="20"/>
              </w:rPr>
            </w:pPr>
            <w:r>
              <w:rPr>
                <w:rFonts w:ascii="Times New Roman" w:hAnsi="Times New Roman"/>
                <w:noProof/>
                <w:sz w:val="20"/>
              </w:rPr>
              <w:t xml:space="preserve">Attiecībā uz preču importu Nīderlandē, ko veic, izmantojot citā dalībvalstī piešķirtu </w:t>
            </w:r>
            <w:r>
              <w:rPr>
                <w:rFonts w:ascii="Times New Roman" w:hAnsi="Times New Roman"/>
                <w:i/>
                <w:noProof/>
                <w:sz w:val="20"/>
              </w:rPr>
              <w:t>SASP</w:t>
            </w:r>
            <w:r>
              <w:rPr>
                <w:rFonts w:ascii="Times New Roman" w:hAnsi="Times New Roman"/>
                <w:noProof/>
                <w:sz w:val="20"/>
              </w:rPr>
              <w:t>, PVN tiek piemērots Nīderlandē. PVN ir jāaprēķina attiecībā uz importēto preču muitas vērtību. Saistībā ar PVN piemērošanu muitas vērtībā ir jāietver:</w:t>
            </w:r>
          </w:p>
          <w:p w:rsidR="00211065" w:rsidRPr="00D85CB7" w:rsidRDefault="00905F59" w:rsidP="00905F59">
            <w:pPr>
              <w:pStyle w:val="Sarakstarindkopa"/>
              <w:tabs>
                <w:tab w:val="left" w:pos="465"/>
              </w:tabs>
              <w:jc w:val="both"/>
              <w:rPr>
                <w:rFonts w:ascii="Times New Roman" w:hAnsi="Times New Roman" w:cs="Times New Roman"/>
                <w:noProof/>
                <w:sz w:val="20"/>
                <w:szCs w:val="20"/>
              </w:rPr>
            </w:pPr>
            <w:r>
              <w:rPr>
                <w:rFonts w:ascii="Times New Roman" w:hAnsi="Times New Roman"/>
                <w:noProof/>
                <w:sz w:val="20"/>
              </w:rPr>
              <w:t>1. importa nodevas, nodokļi un maksājumi;</w:t>
            </w:r>
          </w:p>
          <w:p w:rsidR="00211065" w:rsidRPr="00D85CB7" w:rsidRDefault="00905F59" w:rsidP="00905F59">
            <w:pPr>
              <w:pStyle w:val="Sarakstarindkopa"/>
              <w:tabs>
                <w:tab w:val="left" w:pos="465"/>
              </w:tabs>
              <w:jc w:val="both"/>
              <w:rPr>
                <w:rFonts w:ascii="Times New Roman" w:hAnsi="Times New Roman" w:cs="Times New Roman"/>
                <w:noProof/>
                <w:sz w:val="20"/>
                <w:szCs w:val="20"/>
              </w:rPr>
            </w:pPr>
            <w:r>
              <w:rPr>
                <w:rFonts w:ascii="Times New Roman" w:hAnsi="Times New Roman"/>
                <w:noProof/>
                <w:sz w:val="20"/>
              </w:rPr>
              <w:t>2. papildu izmaksas, piemēram, komisijas maksa, iepakošanas izmaksas, maksa par transportēšanu uz galamērķi un ar to saistīto apdrošināšanu.</w:t>
            </w:r>
          </w:p>
          <w:p w:rsidR="00211065" w:rsidRPr="00D85CB7" w:rsidRDefault="00211065" w:rsidP="003E628F">
            <w:pPr>
              <w:pStyle w:val="TableParagraph"/>
              <w:jc w:val="both"/>
              <w:rPr>
                <w:rFonts w:ascii="Times New Roman" w:eastAsia="Times New Roman" w:hAnsi="Times New Roman" w:cs="Times New Roman"/>
                <w:noProof/>
                <w:sz w:val="20"/>
                <w:szCs w:val="20"/>
              </w:rPr>
            </w:pPr>
            <w:r>
              <w:rPr>
                <w:rFonts w:ascii="Times New Roman" w:hAnsi="Times New Roman"/>
                <w:i/>
                <w:noProof/>
                <w:sz w:val="20"/>
              </w:rPr>
              <w:t>Wet op de omzetbelasting</w:t>
            </w:r>
            <w:r>
              <w:rPr>
                <w:rFonts w:ascii="Times New Roman" w:hAnsi="Times New Roman"/>
                <w:noProof/>
                <w:sz w:val="20"/>
              </w:rPr>
              <w:t xml:space="preserve"> (1968) (turpmāk – PVN likums) 23. pantā paredzēta iespēja piemērot PVN attiecībā uz tādu preču importu, kas tiek nosūtītas apstiprinātiem uzņēmējiem no šiem apstiprinātajiem </w:t>
            </w:r>
            <w:r>
              <w:rPr>
                <w:rFonts w:ascii="Times New Roman" w:hAnsi="Times New Roman"/>
                <w:noProof/>
                <w:sz w:val="20"/>
              </w:rPr>
              <w:lastRenderedPageBreak/>
              <w:t xml:space="preserve">uzņēmējiem. Uzņēmēji tiek apstiprināti pēc pieprasījuma, pamatojoties uz nodokļa inspektora lēmumu. Kad šāds pieprasījums tiek izpildīts, iesniedzējam tiek piešķirts </w:t>
            </w:r>
            <w:r>
              <w:rPr>
                <w:rFonts w:ascii="Times New Roman" w:hAnsi="Times New Roman"/>
                <w:i/>
                <w:noProof/>
                <w:sz w:val="20"/>
              </w:rPr>
              <w:t>BTW-identificatie nummer</w:t>
            </w:r>
            <w:r>
              <w:rPr>
                <w:rFonts w:ascii="Times New Roman" w:hAnsi="Times New Roman"/>
                <w:noProof/>
                <w:sz w:val="20"/>
              </w:rPr>
              <w:t xml:space="preserve"> (PVN identifikācijas numurs). Izmantojot PVN likuma 23. pantā minēto procedūru, PVN piemērošana tiek pārcelta (vai atlikta) no importa deklarācijas uz periodisku (parasti ikmēneša) PVN deklarāciju, ko iesniedz apstiprinātais uzņēmējs par periodu, kurā ir noticis preču imports. Atšķirībā no deklarētāja (KMK 201. pants), pamatojoties uz PVN likuma 23. pantu, apstiprinātais uzņēmējs ir PVN parādnieks. Šī procedūra tiek dēvēta par </w:t>
            </w:r>
            <w:r>
              <w:rPr>
                <w:rFonts w:ascii="Times New Roman" w:hAnsi="Times New Roman"/>
                <w:i/>
                <w:noProof/>
                <w:sz w:val="20"/>
              </w:rPr>
              <w:t>verleggingsregeling artikel 23</w:t>
            </w:r>
            <w:r>
              <w:rPr>
                <w:rFonts w:ascii="Times New Roman" w:hAnsi="Times New Roman"/>
                <w:noProof/>
                <w:sz w:val="20"/>
              </w:rPr>
              <w:t xml:space="preserve"> (23. panta atlikšanas procedūra).</w:t>
            </w:r>
          </w:p>
          <w:p w:rsidR="00211065" w:rsidRPr="00D85CB7" w:rsidRDefault="00211065" w:rsidP="003E628F">
            <w:pPr>
              <w:pStyle w:val="TableParagraph"/>
              <w:jc w:val="both"/>
              <w:rPr>
                <w:rFonts w:ascii="Times New Roman" w:hAnsi="Times New Roman" w:cs="Times New Roman"/>
                <w:noProof/>
                <w:sz w:val="20"/>
                <w:szCs w:val="20"/>
              </w:rPr>
            </w:pPr>
            <w:r>
              <w:rPr>
                <w:rFonts w:ascii="Times New Roman" w:hAnsi="Times New Roman"/>
                <w:noProof/>
                <w:sz w:val="20"/>
              </w:rPr>
              <w:t xml:space="preserve">Šī 23. pantā noteiktā atlikšanas procedūra ir obligāta gadījumos, kad preces, kas importēšanas laikā fiziski atrodas Nīderlandē, tiek laistas brīvā apgrozībā, izmantojot citā dalībvalstī izsniegtu </w:t>
            </w:r>
            <w:r>
              <w:rPr>
                <w:rFonts w:ascii="Times New Roman" w:hAnsi="Times New Roman"/>
                <w:i/>
                <w:noProof/>
                <w:sz w:val="20"/>
              </w:rPr>
              <w:t>SASP</w:t>
            </w:r>
            <w:r>
              <w:rPr>
                <w:rFonts w:ascii="Times New Roman" w:hAnsi="Times New Roman"/>
                <w:noProof/>
                <w:sz w:val="20"/>
              </w:rPr>
              <w:t xml:space="preserve">. </w:t>
            </w:r>
            <w:r>
              <w:rPr>
                <w:rFonts w:ascii="Times New Roman" w:hAnsi="Times New Roman"/>
                <w:i/>
                <w:noProof/>
                <w:sz w:val="20"/>
              </w:rPr>
              <w:t>SASP</w:t>
            </w:r>
            <w:r>
              <w:rPr>
                <w:rFonts w:ascii="Times New Roman" w:hAnsi="Times New Roman"/>
                <w:noProof/>
                <w:sz w:val="20"/>
              </w:rPr>
              <w:t xml:space="preserve"> atļaujas turētājam importa deklarācijā ir jānorāda apstiprinātā uzņēmēja PVN reģistrācijas numurs. Uzņēmēja apstiprināšanas lēmuma kopija tiek pievienota </w:t>
            </w:r>
            <w:r>
              <w:rPr>
                <w:rFonts w:ascii="Times New Roman" w:hAnsi="Times New Roman"/>
                <w:i/>
                <w:noProof/>
                <w:sz w:val="20"/>
              </w:rPr>
              <w:t>SASP</w:t>
            </w:r>
            <w:r>
              <w:rPr>
                <w:rFonts w:ascii="Times New Roman" w:hAnsi="Times New Roman"/>
                <w:noProof/>
                <w:sz w:val="20"/>
              </w:rPr>
              <w:t xml:space="preserve"> pielikumā.</w:t>
            </w:r>
          </w:p>
        </w:tc>
        <w:tc>
          <w:tcPr>
            <w:tcW w:w="2330" w:type="pct"/>
            <w:tcBorders>
              <w:top w:val="single" w:sz="5" w:space="0" w:color="000000"/>
              <w:left w:val="single" w:sz="5" w:space="0" w:color="000000"/>
              <w:bottom w:val="single" w:sz="5" w:space="0" w:color="000000"/>
              <w:right w:val="single" w:sz="5" w:space="0" w:color="000000"/>
            </w:tcBorders>
          </w:tcPr>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lastRenderedPageBreak/>
              <w:t>Kā iesaistītā dalībvalsts</w:t>
            </w:r>
          </w:p>
          <w:p w:rsidR="00211065" w:rsidRPr="00D85CB7" w:rsidRDefault="00211065" w:rsidP="003E628F">
            <w:pPr>
              <w:pStyle w:val="TableParagraph"/>
              <w:jc w:val="both"/>
              <w:rPr>
                <w:rFonts w:ascii="Times New Roman" w:hAnsi="Times New Roman" w:cs="Times New Roman"/>
                <w:noProof/>
                <w:sz w:val="20"/>
                <w:szCs w:val="20"/>
              </w:rPr>
            </w:pPr>
            <w:r>
              <w:rPr>
                <w:rFonts w:ascii="Times New Roman" w:hAnsi="Times New Roman"/>
                <w:i/>
                <w:noProof/>
                <w:sz w:val="20"/>
              </w:rPr>
              <w:t>SASP</w:t>
            </w:r>
            <w:r>
              <w:rPr>
                <w:rFonts w:ascii="Times New Roman" w:hAnsi="Times New Roman"/>
                <w:noProof/>
                <w:sz w:val="20"/>
              </w:rPr>
              <w:t xml:space="preserve"> atļaujas turētājam ir jānosūta būtiskie statistikas dati par preču plūsmu Nīderlandē tieši Centrālajam statistikas birojam (</w:t>
            </w:r>
            <w:r>
              <w:rPr>
                <w:rFonts w:ascii="Times New Roman" w:hAnsi="Times New Roman"/>
                <w:i/>
                <w:noProof/>
                <w:sz w:val="20"/>
              </w:rPr>
              <w:t>C.B.S.</w:t>
            </w:r>
            <w:r>
              <w:rPr>
                <w:rFonts w:ascii="Times New Roman" w:hAnsi="Times New Roman"/>
                <w:noProof/>
                <w:sz w:val="20"/>
              </w:rPr>
              <w:t xml:space="preserve">). </w:t>
            </w:r>
            <w:r>
              <w:rPr>
                <w:rFonts w:ascii="Times New Roman" w:hAnsi="Times New Roman"/>
                <w:i/>
                <w:noProof/>
                <w:sz w:val="20"/>
              </w:rPr>
              <w:t>SASP</w:t>
            </w:r>
            <w:r>
              <w:rPr>
                <w:rFonts w:ascii="Times New Roman" w:hAnsi="Times New Roman"/>
                <w:noProof/>
                <w:sz w:val="20"/>
              </w:rPr>
              <w:t xml:space="preserve"> atļaujas turētājam ir pašam jānoslēdz nepieciešamās vienošanās ar Centrālo statistikas biroju.</w:t>
            </w:r>
          </w:p>
        </w:tc>
      </w:tr>
      <w:tr w:rsidR="00211065" w:rsidRPr="00D85CB7" w:rsidTr="00FF42EE">
        <w:tc>
          <w:tcPr>
            <w:tcW w:w="0" w:type="auto"/>
            <w:tcBorders>
              <w:top w:val="single" w:sz="5" w:space="0" w:color="000000"/>
              <w:left w:val="single" w:sz="5" w:space="0" w:color="000000"/>
              <w:bottom w:val="nil"/>
              <w:right w:val="single" w:sz="5" w:space="0" w:color="000000"/>
            </w:tcBorders>
          </w:tcPr>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t>Polija</w:t>
            </w:r>
          </w:p>
        </w:tc>
        <w:tc>
          <w:tcPr>
            <w:tcW w:w="1982" w:type="pct"/>
            <w:tcBorders>
              <w:top w:val="single" w:sz="5" w:space="0" w:color="000000"/>
              <w:left w:val="single" w:sz="5" w:space="0" w:color="000000"/>
              <w:bottom w:val="single" w:sz="5" w:space="0" w:color="000000"/>
              <w:right w:val="single" w:sz="5" w:space="0" w:color="000000"/>
            </w:tcBorders>
          </w:tcPr>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t>Kā izsniedzēja dalībvalsts</w:t>
            </w:r>
          </w:p>
          <w:p w:rsidR="00211065" w:rsidRPr="00D85CB7" w:rsidRDefault="00211065" w:rsidP="003E628F">
            <w:pPr>
              <w:pStyle w:val="TableParagraph"/>
              <w:jc w:val="both"/>
              <w:rPr>
                <w:rFonts w:ascii="Times New Roman" w:hAnsi="Times New Roman" w:cs="Times New Roman"/>
                <w:noProof/>
                <w:sz w:val="20"/>
                <w:szCs w:val="20"/>
              </w:rPr>
            </w:pPr>
            <w:r>
              <w:rPr>
                <w:rFonts w:ascii="Times New Roman" w:hAnsi="Times New Roman"/>
                <w:noProof/>
                <w:sz w:val="20"/>
              </w:rPr>
              <w:t>Importa PVN tiek piemērots, kad preces tiek laistas brīvā apgrozībā, tajā dalībvalstī, kur preces atrodas. Tā ir vieta iesaistītajā dalībvalstī.</w:t>
            </w:r>
          </w:p>
          <w:p w:rsidR="00211065" w:rsidRPr="00D85CB7" w:rsidRDefault="00211065" w:rsidP="003E628F">
            <w:pPr>
              <w:pStyle w:val="TableParagraph"/>
              <w:jc w:val="both"/>
              <w:rPr>
                <w:rFonts w:ascii="Times New Roman" w:hAnsi="Times New Roman" w:cs="Times New Roman"/>
                <w:noProof/>
                <w:sz w:val="20"/>
                <w:szCs w:val="20"/>
              </w:rPr>
            </w:pPr>
            <w:r>
              <w:rPr>
                <w:rFonts w:ascii="Times New Roman" w:hAnsi="Times New Roman"/>
                <w:noProof/>
                <w:sz w:val="20"/>
              </w:rPr>
              <w:t xml:space="preserve">Šādā gadījumā atļaujas izsniegšanas procesā Polijas muitas dienesti apspriešanās procedūrā vienojas par prasībām attiecībā uz PVN iesaistītajā dalībvalstī. Pēc tam Polijas muitas dienesti iekļauj šīs PVN prasības </w:t>
            </w:r>
            <w:r>
              <w:rPr>
                <w:rFonts w:ascii="Times New Roman" w:hAnsi="Times New Roman"/>
                <w:i/>
                <w:noProof/>
                <w:sz w:val="20"/>
              </w:rPr>
              <w:t>SASP</w:t>
            </w:r>
            <w:r>
              <w:rPr>
                <w:rFonts w:ascii="Times New Roman" w:hAnsi="Times New Roman"/>
                <w:noProof/>
                <w:sz w:val="20"/>
              </w:rPr>
              <w:t xml:space="preserve"> atļaujā un norāda tās kopīgajā kontroles plānā.</w:t>
            </w:r>
          </w:p>
        </w:tc>
        <w:tc>
          <w:tcPr>
            <w:tcW w:w="2330" w:type="pct"/>
            <w:tcBorders>
              <w:top w:val="single" w:sz="5" w:space="0" w:color="000000"/>
              <w:left w:val="single" w:sz="5" w:space="0" w:color="000000"/>
              <w:bottom w:val="single" w:sz="5" w:space="0" w:color="000000"/>
              <w:right w:val="single" w:sz="5" w:space="0" w:color="000000"/>
            </w:tcBorders>
          </w:tcPr>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t>Kā izsniedzēja dalībvalsts</w:t>
            </w:r>
          </w:p>
          <w:p w:rsidR="00211065" w:rsidRPr="00D85CB7" w:rsidRDefault="00211065" w:rsidP="003E628F">
            <w:pPr>
              <w:pStyle w:val="TableParagraph"/>
              <w:jc w:val="both"/>
              <w:rPr>
                <w:rFonts w:ascii="Times New Roman" w:hAnsi="Times New Roman" w:cs="Times New Roman"/>
                <w:noProof/>
                <w:sz w:val="20"/>
                <w:szCs w:val="20"/>
              </w:rPr>
            </w:pPr>
            <w:r>
              <w:rPr>
                <w:rFonts w:ascii="Times New Roman" w:hAnsi="Times New Roman"/>
                <w:noProof/>
                <w:sz w:val="20"/>
              </w:rPr>
              <w:t>Polija kā izsniedzēja dalībvalsts vāc statistikas datus tieši no papildu deklarācijas, kas jāiesniedz elektroniski.</w:t>
            </w:r>
          </w:p>
          <w:p w:rsidR="00211065" w:rsidRPr="00D85CB7" w:rsidRDefault="00211065" w:rsidP="003E628F">
            <w:pPr>
              <w:pStyle w:val="TableParagraph"/>
              <w:jc w:val="both"/>
              <w:rPr>
                <w:rFonts w:ascii="Times New Roman" w:hAnsi="Times New Roman" w:cs="Times New Roman"/>
                <w:noProof/>
                <w:sz w:val="20"/>
                <w:szCs w:val="20"/>
              </w:rPr>
            </w:pPr>
            <w:r>
              <w:rPr>
                <w:rFonts w:ascii="Times New Roman" w:hAnsi="Times New Roman"/>
                <w:noProof/>
                <w:sz w:val="20"/>
              </w:rPr>
              <w:t>Saskaņā ar mūsu valsts tiesību aktiem mēs pieprasām papildu deklarācijā sniegt papildu informāciju:</w:t>
            </w:r>
          </w:p>
          <w:p w:rsidR="00211065" w:rsidRPr="00D85CB7" w:rsidRDefault="00211065" w:rsidP="003E628F">
            <w:pPr>
              <w:pStyle w:val="TableParagraph"/>
              <w:jc w:val="both"/>
              <w:rPr>
                <w:rFonts w:ascii="Times New Roman" w:eastAsia="Times New Roman" w:hAnsi="Times New Roman" w:cs="Times New Roman"/>
                <w:noProof/>
                <w:sz w:val="20"/>
                <w:szCs w:val="20"/>
              </w:rPr>
            </w:pPr>
            <w:r>
              <w:rPr>
                <w:rFonts w:ascii="Times New Roman" w:hAnsi="Times New Roman"/>
                <w:noProof/>
                <w:sz w:val="20"/>
              </w:rPr>
              <w:t>- 15.a aile – faktiskā eksporta dalībvalsts;</w:t>
            </w:r>
          </w:p>
          <w:p w:rsidR="00211065" w:rsidRPr="00D85CB7" w:rsidRDefault="00211065" w:rsidP="003E628F">
            <w:pPr>
              <w:pStyle w:val="TableParagraph"/>
              <w:jc w:val="both"/>
              <w:rPr>
                <w:rFonts w:ascii="Times New Roman" w:hAnsi="Times New Roman" w:cs="Times New Roman"/>
                <w:noProof/>
                <w:sz w:val="20"/>
                <w:szCs w:val="20"/>
              </w:rPr>
            </w:pPr>
            <w:r>
              <w:rPr>
                <w:rFonts w:ascii="Times New Roman" w:hAnsi="Times New Roman"/>
                <w:noProof/>
                <w:sz w:val="20"/>
              </w:rPr>
              <w:t>- 17.a aile – galamērķa dalībvalsts.</w:t>
            </w:r>
          </w:p>
          <w:p w:rsidR="00211065" w:rsidRPr="00D85CB7" w:rsidRDefault="00211065" w:rsidP="003E628F">
            <w:pPr>
              <w:pStyle w:val="TableParagraph"/>
              <w:jc w:val="both"/>
              <w:rPr>
                <w:rFonts w:ascii="Times New Roman" w:hAnsi="Times New Roman" w:cs="Times New Roman"/>
                <w:noProof/>
                <w:sz w:val="20"/>
                <w:szCs w:val="20"/>
              </w:rPr>
            </w:pPr>
            <w:r>
              <w:rPr>
                <w:rFonts w:ascii="Times New Roman" w:hAnsi="Times New Roman"/>
                <w:noProof/>
                <w:sz w:val="20"/>
              </w:rPr>
              <w:t>Šie noteikumi ir jāiekļauj arī atļaujā.</w:t>
            </w:r>
          </w:p>
          <w:p w:rsidR="00211065" w:rsidRPr="00D85CB7" w:rsidRDefault="00211065" w:rsidP="003E628F">
            <w:pPr>
              <w:pStyle w:val="TableParagraph"/>
              <w:jc w:val="both"/>
              <w:rPr>
                <w:rFonts w:ascii="Times New Roman" w:eastAsia="Times New Roman" w:hAnsi="Times New Roman" w:cs="Times New Roman"/>
                <w:noProof/>
                <w:sz w:val="20"/>
                <w:szCs w:val="20"/>
              </w:rPr>
            </w:pPr>
          </w:p>
          <w:p w:rsidR="00211065" w:rsidRPr="00D85CB7" w:rsidRDefault="00211065" w:rsidP="003E628F">
            <w:pPr>
              <w:pStyle w:val="TableParagraph"/>
              <w:jc w:val="both"/>
              <w:rPr>
                <w:rFonts w:ascii="Times New Roman" w:hAnsi="Times New Roman" w:cs="Times New Roman"/>
                <w:noProof/>
                <w:sz w:val="20"/>
                <w:szCs w:val="20"/>
              </w:rPr>
            </w:pPr>
            <w:r>
              <w:rPr>
                <w:rFonts w:ascii="Times New Roman" w:hAnsi="Times New Roman"/>
                <w:noProof/>
                <w:sz w:val="20"/>
              </w:rPr>
              <w:t xml:space="preserve">Statistikas dati, kas tiek iegūti no papildu deklarācijas, tiek sniegti </w:t>
            </w:r>
            <w:r>
              <w:rPr>
                <w:rFonts w:ascii="Times New Roman" w:hAnsi="Times New Roman"/>
                <w:i/>
                <w:noProof/>
                <w:sz w:val="20"/>
              </w:rPr>
              <w:t>EUROSTAT</w:t>
            </w:r>
            <w:r>
              <w:rPr>
                <w:rFonts w:ascii="Times New Roman" w:hAnsi="Times New Roman"/>
                <w:noProof/>
                <w:sz w:val="20"/>
              </w:rPr>
              <w:t xml:space="preserve"> kā </w:t>
            </w:r>
            <w:r>
              <w:rPr>
                <w:rFonts w:ascii="Times New Roman" w:hAnsi="Times New Roman"/>
                <w:i/>
                <w:noProof/>
                <w:sz w:val="20"/>
              </w:rPr>
              <w:t>Extrastat</w:t>
            </w:r>
            <w:r>
              <w:rPr>
                <w:rFonts w:ascii="Times New Roman" w:hAnsi="Times New Roman"/>
                <w:noProof/>
                <w:sz w:val="20"/>
              </w:rPr>
              <w:t xml:space="preserve"> statistika.</w:t>
            </w:r>
          </w:p>
          <w:p w:rsidR="00211065" w:rsidRPr="00D85CB7" w:rsidRDefault="00211065" w:rsidP="003E628F">
            <w:pPr>
              <w:pStyle w:val="TableParagraph"/>
              <w:jc w:val="both"/>
              <w:rPr>
                <w:rFonts w:ascii="Times New Roman" w:eastAsia="Times New Roman" w:hAnsi="Times New Roman" w:cs="Times New Roman"/>
                <w:noProof/>
                <w:sz w:val="20"/>
                <w:szCs w:val="20"/>
              </w:rPr>
            </w:pPr>
          </w:p>
          <w:p w:rsidR="00211065" w:rsidRPr="00D85CB7" w:rsidRDefault="00211065" w:rsidP="003E628F">
            <w:pPr>
              <w:pStyle w:val="TableParagraph"/>
              <w:jc w:val="both"/>
              <w:rPr>
                <w:rFonts w:ascii="Times New Roman" w:hAnsi="Times New Roman" w:cs="Times New Roman"/>
                <w:noProof/>
                <w:sz w:val="20"/>
                <w:szCs w:val="20"/>
              </w:rPr>
            </w:pPr>
            <w:r>
              <w:rPr>
                <w:rFonts w:ascii="Times New Roman" w:hAnsi="Times New Roman"/>
                <w:noProof/>
                <w:sz w:val="20"/>
              </w:rPr>
              <w:t xml:space="preserve">Uzņēmējam vai tā pārstāvim nav jāizpilda nekādi citi papildu </w:t>
            </w:r>
            <w:r>
              <w:rPr>
                <w:rFonts w:ascii="Times New Roman" w:hAnsi="Times New Roman"/>
                <w:i/>
                <w:noProof/>
                <w:sz w:val="20"/>
              </w:rPr>
              <w:t>Extrastat</w:t>
            </w:r>
            <w:r>
              <w:rPr>
                <w:rFonts w:ascii="Times New Roman" w:hAnsi="Times New Roman"/>
                <w:noProof/>
                <w:sz w:val="20"/>
              </w:rPr>
              <w:t xml:space="preserve"> statistikas noteikumi.</w:t>
            </w:r>
          </w:p>
        </w:tc>
      </w:tr>
      <w:tr w:rsidR="00211065" w:rsidRPr="00D85CB7" w:rsidTr="00FF42EE">
        <w:tc>
          <w:tcPr>
            <w:tcW w:w="0" w:type="auto"/>
            <w:tcBorders>
              <w:top w:val="nil"/>
              <w:left w:val="single" w:sz="5" w:space="0" w:color="000000"/>
              <w:bottom w:val="single" w:sz="5" w:space="0" w:color="000000"/>
              <w:right w:val="single" w:sz="5" w:space="0" w:color="000000"/>
            </w:tcBorders>
          </w:tcPr>
          <w:p w:rsidR="00211065" w:rsidRPr="00D85CB7" w:rsidRDefault="00211065" w:rsidP="003E628F">
            <w:pPr>
              <w:jc w:val="both"/>
              <w:rPr>
                <w:rFonts w:ascii="Times New Roman" w:hAnsi="Times New Roman" w:cs="Times New Roman"/>
                <w:noProof/>
                <w:sz w:val="20"/>
                <w:szCs w:val="20"/>
              </w:rPr>
            </w:pPr>
          </w:p>
        </w:tc>
        <w:tc>
          <w:tcPr>
            <w:tcW w:w="1982" w:type="pct"/>
            <w:tcBorders>
              <w:top w:val="single" w:sz="5" w:space="0" w:color="000000"/>
              <w:left w:val="single" w:sz="5" w:space="0" w:color="000000"/>
              <w:bottom w:val="single" w:sz="5" w:space="0" w:color="000000"/>
              <w:right w:val="single" w:sz="5" w:space="0" w:color="000000"/>
            </w:tcBorders>
          </w:tcPr>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t>Kā iesaistītā dalībvalsts</w:t>
            </w:r>
          </w:p>
          <w:p w:rsidR="00211065" w:rsidRPr="00D85CB7" w:rsidRDefault="00211065" w:rsidP="003E628F">
            <w:pPr>
              <w:pStyle w:val="TableParagraph"/>
              <w:jc w:val="both"/>
              <w:rPr>
                <w:rFonts w:ascii="Times New Roman" w:hAnsi="Times New Roman" w:cs="Times New Roman"/>
                <w:noProof/>
                <w:sz w:val="20"/>
                <w:szCs w:val="20"/>
              </w:rPr>
            </w:pPr>
            <w:r>
              <w:rPr>
                <w:rFonts w:ascii="Times New Roman" w:hAnsi="Times New Roman"/>
                <w:noProof/>
                <w:sz w:val="20"/>
              </w:rPr>
              <w:t>Importa PVN tiek piemērots iesaistītajā dalībvalstī. Polijā uzņēmējam (saskaņā ar valsts tiesību aktiem) ir pienākums reģistrēties nodokļu iestādē un iesniegt importa PVN deklarāciju vietējā muitas iestādē.</w:t>
            </w:r>
          </w:p>
          <w:p w:rsidR="00211065" w:rsidRPr="00D85CB7" w:rsidRDefault="00211065" w:rsidP="003E628F">
            <w:pPr>
              <w:pStyle w:val="TableParagraph"/>
              <w:jc w:val="both"/>
              <w:rPr>
                <w:rFonts w:ascii="Times New Roman" w:hAnsi="Times New Roman" w:cs="Times New Roman"/>
                <w:noProof/>
                <w:sz w:val="20"/>
                <w:szCs w:val="20"/>
              </w:rPr>
            </w:pPr>
            <w:r>
              <w:rPr>
                <w:rFonts w:ascii="Times New Roman" w:hAnsi="Times New Roman"/>
                <w:noProof/>
                <w:sz w:val="20"/>
              </w:rPr>
              <w:t>Importa PVN deklarācijas veidlapa, grafiks, vienkāršojumi, par iesniegšanu atbildīgie dienesti ir noteikti Polijas tiesību aktos.</w:t>
            </w:r>
          </w:p>
          <w:p w:rsidR="00211065" w:rsidRPr="00D85CB7" w:rsidRDefault="00211065" w:rsidP="003E628F">
            <w:pPr>
              <w:pStyle w:val="TableParagraph"/>
              <w:jc w:val="both"/>
              <w:rPr>
                <w:rFonts w:ascii="Times New Roman" w:hAnsi="Times New Roman" w:cs="Times New Roman"/>
                <w:noProof/>
                <w:sz w:val="20"/>
                <w:szCs w:val="20"/>
              </w:rPr>
            </w:pPr>
            <w:r>
              <w:rPr>
                <w:rFonts w:ascii="Times New Roman" w:hAnsi="Times New Roman"/>
                <w:noProof/>
                <w:sz w:val="20"/>
              </w:rPr>
              <w:t xml:space="preserve">Importa PVN deklarācijā sniedzamo datu pamatā ir dati, kas iekļauti papildu deklarācijā (ko iesniedz iesniegšanas dalībvalstī). Importa PVN deklarācija ir jāiesniedz līdz nākamā mēneša 16. dienai pēc mēneša, kurā ir piemēroti importa </w:t>
            </w:r>
            <w:r>
              <w:rPr>
                <w:rFonts w:ascii="Times New Roman" w:hAnsi="Times New Roman"/>
                <w:noProof/>
                <w:sz w:val="20"/>
              </w:rPr>
              <w:lastRenderedPageBreak/>
              <w:t>nodokļa maksājumi.</w:t>
            </w:r>
          </w:p>
          <w:p w:rsidR="00211065" w:rsidRPr="00D85CB7" w:rsidRDefault="00211065" w:rsidP="003E628F">
            <w:pPr>
              <w:pStyle w:val="TableParagraph"/>
              <w:jc w:val="both"/>
              <w:rPr>
                <w:rFonts w:ascii="Times New Roman" w:eastAsia="Times New Roman" w:hAnsi="Times New Roman" w:cs="Times New Roman"/>
                <w:noProof/>
                <w:sz w:val="20"/>
                <w:szCs w:val="20"/>
              </w:rPr>
            </w:pPr>
          </w:p>
          <w:p w:rsidR="00905F59" w:rsidRPr="00D85CB7" w:rsidRDefault="00211065" w:rsidP="00905F59">
            <w:pPr>
              <w:pStyle w:val="TableParagraph"/>
              <w:jc w:val="both"/>
              <w:rPr>
                <w:rFonts w:ascii="Times New Roman" w:hAnsi="Times New Roman" w:cs="Times New Roman"/>
                <w:noProof/>
                <w:sz w:val="20"/>
                <w:szCs w:val="20"/>
              </w:rPr>
            </w:pPr>
            <w:r>
              <w:rPr>
                <w:rFonts w:ascii="Times New Roman" w:hAnsi="Times New Roman"/>
                <w:noProof/>
                <w:sz w:val="20"/>
              </w:rPr>
              <w:t>Polija kā iesaistītā dalībvalsts vienojas par PVN jautājumu ar atļaujas izsniedzēju dalībvalsti apspriešanās procedūrā.</w:t>
            </w:r>
          </w:p>
          <w:p w:rsidR="00905F59" w:rsidRPr="00D85CB7" w:rsidRDefault="00905F59" w:rsidP="00905F59">
            <w:pPr>
              <w:pStyle w:val="TableParagraph"/>
              <w:jc w:val="both"/>
              <w:rPr>
                <w:rFonts w:ascii="Times New Roman" w:hAnsi="Times New Roman" w:cs="Times New Roman"/>
                <w:noProof/>
                <w:sz w:val="20"/>
                <w:szCs w:val="20"/>
              </w:rPr>
            </w:pPr>
            <w:r>
              <w:rPr>
                <w:rFonts w:ascii="Times New Roman" w:hAnsi="Times New Roman"/>
                <w:noProof/>
                <w:sz w:val="20"/>
              </w:rPr>
              <w:t>Tā kā iesaistītajai dalībvalstij nav papildu deklarācijas, ir ļoti svarīgi vienoties par informācijas apmaiņu starp iesaistīto dalībvalsti un iesniegšanas dalībvalsti. Tam būtu jāļauj muitas dienestiem uzraudzīt importa PVN deklarācijas pareizību un identificēt jebkādu neatbilstību. Kopīgajā kontroles plānā ir jāiekļauj PVN jautājums.</w:t>
            </w:r>
          </w:p>
          <w:p w:rsidR="00211065" w:rsidRPr="00D85CB7" w:rsidRDefault="00905F59" w:rsidP="00905F59">
            <w:pPr>
              <w:pStyle w:val="TableParagraph"/>
              <w:jc w:val="both"/>
              <w:rPr>
                <w:rFonts w:ascii="Times New Roman" w:hAnsi="Times New Roman" w:cs="Times New Roman"/>
                <w:noProof/>
                <w:sz w:val="20"/>
                <w:szCs w:val="20"/>
              </w:rPr>
            </w:pPr>
            <w:r>
              <w:rPr>
                <w:rFonts w:ascii="Times New Roman" w:hAnsi="Times New Roman"/>
                <w:noProof/>
                <w:sz w:val="20"/>
              </w:rPr>
              <w:t>Uzņēmējam ir jāiesniedz PVN galvojums.</w:t>
            </w:r>
          </w:p>
        </w:tc>
        <w:tc>
          <w:tcPr>
            <w:tcW w:w="2330" w:type="pct"/>
            <w:tcBorders>
              <w:top w:val="single" w:sz="5" w:space="0" w:color="000000"/>
              <w:left w:val="single" w:sz="5" w:space="0" w:color="000000"/>
              <w:bottom w:val="single" w:sz="5" w:space="0" w:color="000000"/>
              <w:right w:val="single" w:sz="5" w:space="0" w:color="000000"/>
            </w:tcBorders>
          </w:tcPr>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lastRenderedPageBreak/>
              <w:t>Kā iesaistītā dalībvalsts</w:t>
            </w:r>
          </w:p>
          <w:p w:rsidR="00211065" w:rsidRPr="00D85CB7" w:rsidRDefault="00211065" w:rsidP="003E628F">
            <w:pPr>
              <w:pStyle w:val="TableParagraph"/>
              <w:jc w:val="both"/>
              <w:rPr>
                <w:rFonts w:ascii="Times New Roman" w:hAnsi="Times New Roman" w:cs="Times New Roman"/>
                <w:noProof/>
                <w:sz w:val="20"/>
                <w:szCs w:val="20"/>
              </w:rPr>
            </w:pPr>
            <w:r>
              <w:rPr>
                <w:rFonts w:ascii="Times New Roman" w:hAnsi="Times New Roman"/>
                <w:noProof/>
                <w:sz w:val="20"/>
              </w:rPr>
              <w:t>Polija kā iesaistītā dalībvalsts pieprasa statistikas datus no uzņēmēja vai tā pārstāvja vienīgi savām vajadzībām.</w:t>
            </w:r>
          </w:p>
          <w:p w:rsidR="00211065" w:rsidRPr="00D85CB7" w:rsidRDefault="00211065" w:rsidP="003E628F">
            <w:pPr>
              <w:pStyle w:val="TableParagraph"/>
              <w:jc w:val="both"/>
              <w:rPr>
                <w:rFonts w:ascii="Times New Roman" w:hAnsi="Times New Roman" w:cs="Times New Roman"/>
                <w:noProof/>
                <w:sz w:val="20"/>
                <w:szCs w:val="20"/>
              </w:rPr>
            </w:pPr>
            <w:r>
              <w:rPr>
                <w:rFonts w:ascii="Times New Roman" w:hAnsi="Times New Roman"/>
                <w:noProof/>
                <w:sz w:val="20"/>
              </w:rPr>
              <w:t xml:space="preserve">Šie statistikas dati netiek nosūtīti </w:t>
            </w:r>
            <w:r>
              <w:rPr>
                <w:rFonts w:ascii="Times New Roman" w:hAnsi="Times New Roman"/>
                <w:i/>
                <w:noProof/>
                <w:sz w:val="20"/>
              </w:rPr>
              <w:t>EUROSTAT</w:t>
            </w:r>
            <w:r>
              <w:rPr>
                <w:rFonts w:ascii="Times New Roman" w:hAnsi="Times New Roman"/>
                <w:noProof/>
                <w:sz w:val="20"/>
              </w:rPr>
              <w:t>.</w:t>
            </w:r>
          </w:p>
          <w:p w:rsidR="00211065" w:rsidRPr="00D85CB7" w:rsidRDefault="00211065" w:rsidP="003E628F">
            <w:pPr>
              <w:pStyle w:val="TableParagraph"/>
              <w:jc w:val="both"/>
              <w:rPr>
                <w:rFonts w:ascii="Times New Roman" w:eastAsia="Times New Roman" w:hAnsi="Times New Roman" w:cs="Times New Roman"/>
                <w:noProof/>
                <w:sz w:val="20"/>
                <w:szCs w:val="20"/>
              </w:rPr>
            </w:pPr>
          </w:p>
          <w:p w:rsidR="00211065" w:rsidRPr="00D85CB7" w:rsidRDefault="00211065" w:rsidP="003E628F">
            <w:pPr>
              <w:pStyle w:val="TableParagraph"/>
              <w:jc w:val="both"/>
              <w:rPr>
                <w:rFonts w:ascii="Times New Roman" w:hAnsi="Times New Roman" w:cs="Times New Roman"/>
                <w:noProof/>
                <w:sz w:val="20"/>
                <w:szCs w:val="20"/>
              </w:rPr>
            </w:pPr>
            <w:r>
              <w:rPr>
                <w:rFonts w:ascii="Times New Roman" w:hAnsi="Times New Roman"/>
                <w:noProof/>
                <w:sz w:val="20"/>
              </w:rPr>
              <w:t>Noteikumi attiecībā uz:</w:t>
            </w:r>
          </w:p>
          <w:p w:rsidR="00211065" w:rsidRPr="00D85CB7" w:rsidRDefault="00905F59" w:rsidP="00905F59">
            <w:pPr>
              <w:pStyle w:val="Sarakstarindkopa"/>
              <w:tabs>
                <w:tab w:val="left" w:pos="245"/>
              </w:tabs>
              <w:jc w:val="both"/>
              <w:rPr>
                <w:rFonts w:ascii="Times New Roman" w:hAnsi="Times New Roman" w:cs="Times New Roman"/>
                <w:noProof/>
                <w:sz w:val="20"/>
                <w:szCs w:val="20"/>
              </w:rPr>
            </w:pPr>
            <w:r>
              <w:rPr>
                <w:rFonts w:ascii="Times New Roman" w:hAnsi="Times New Roman"/>
                <w:noProof/>
                <w:sz w:val="20"/>
              </w:rPr>
              <w:t>- statistikas deklarācijas veidlapu;</w:t>
            </w:r>
          </w:p>
          <w:p w:rsidR="00211065" w:rsidRPr="00D85CB7" w:rsidRDefault="00211065" w:rsidP="00905F59">
            <w:pPr>
              <w:pStyle w:val="TableParagraph"/>
              <w:jc w:val="both"/>
              <w:rPr>
                <w:rFonts w:ascii="Times New Roman" w:hAnsi="Times New Roman" w:cs="Times New Roman"/>
                <w:noProof/>
                <w:sz w:val="20"/>
                <w:szCs w:val="20"/>
              </w:rPr>
            </w:pPr>
            <w:r>
              <w:rPr>
                <w:rFonts w:ascii="Times New Roman" w:hAnsi="Times New Roman"/>
                <w:noProof/>
                <w:sz w:val="20"/>
              </w:rPr>
              <w:t>- datu elementu diapazonu;</w:t>
            </w:r>
          </w:p>
          <w:p w:rsidR="00211065" w:rsidRPr="00D85CB7" w:rsidRDefault="00905F59" w:rsidP="00905F59">
            <w:pPr>
              <w:pStyle w:val="Sarakstarindkopa"/>
              <w:tabs>
                <w:tab w:val="left" w:pos="245"/>
              </w:tabs>
              <w:jc w:val="both"/>
              <w:rPr>
                <w:rFonts w:ascii="Times New Roman" w:hAnsi="Times New Roman" w:cs="Times New Roman"/>
                <w:noProof/>
                <w:sz w:val="20"/>
                <w:szCs w:val="20"/>
              </w:rPr>
            </w:pPr>
            <w:r>
              <w:rPr>
                <w:rFonts w:ascii="Times New Roman" w:hAnsi="Times New Roman"/>
                <w:noProof/>
                <w:sz w:val="20"/>
              </w:rPr>
              <w:t>- grafiku;</w:t>
            </w:r>
          </w:p>
          <w:p w:rsidR="00211065" w:rsidRPr="00D85CB7" w:rsidRDefault="00211065" w:rsidP="00905F59">
            <w:pPr>
              <w:pStyle w:val="TableParagraph"/>
              <w:jc w:val="both"/>
              <w:rPr>
                <w:rFonts w:ascii="Times New Roman" w:hAnsi="Times New Roman" w:cs="Times New Roman"/>
                <w:noProof/>
                <w:sz w:val="20"/>
                <w:szCs w:val="20"/>
              </w:rPr>
            </w:pPr>
            <w:r>
              <w:rPr>
                <w:rFonts w:ascii="Times New Roman" w:hAnsi="Times New Roman"/>
                <w:noProof/>
                <w:sz w:val="20"/>
              </w:rPr>
              <w:t>- kompetentajiem dienestiem</w:t>
            </w:r>
          </w:p>
          <w:p w:rsidR="00211065" w:rsidRPr="00D85CB7" w:rsidRDefault="00211065" w:rsidP="00905F59">
            <w:pPr>
              <w:pStyle w:val="TableParagraph"/>
              <w:jc w:val="both"/>
              <w:rPr>
                <w:rFonts w:ascii="Times New Roman" w:eastAsia="Times New Roman" w:hAnsi="Times New Roman" w:cs="Times New Roman"/>
                <w:noProof/>
                <w:sz w:val="20"/>
                <w:szCs w:val="20"/>
              </w:rPr>
            </w:pPr>
            <w:r>
              <w:rPr>
                <w:rFonts w:ascii="Times New Roman" w:hAnsi="Times New Roman"/>
                <w:noProof/>
                <w:sz w:val="20"/>
              </w:rPr>
              <w:t xml:space="preserve">tiek apkopoti un publicēti mūsu tīmekļa vietnē (tikai poļu valodā): </w:t>
            </w:r>
            <w:r>
              <w:rPr>
                <w:rFonts w:ascii="Times New Roman" w:hAnsi="Times New Roman"/>
                <w:noProof/>
                <w:color w:val="0000FF"/>
                <w:sz w:val="20"/>
                <w:u w:val="single" w:color="0000FF"/>
              </w:rPr>
              <w:t>http://www.mf.gov.pl/dokument.php?const</w:t>
            </w:r>
          </w:p>
          <w:p w:rsidR="00211065" w:rsidRPr="00D85CB7" w:rsidRDefault="00211065" w:rsidP="003E628F">
            <w:pPr>
              <w:pStyle w:val="TableParagraph"/>
              <w:jc w:val="both"/>
              <w:rPr>
                <w:rFonts w:ascii="Times New Roman" w:eastAsia="Times New Roman" w:hAnsi="Times New Roman" w:cs="Times New Roman"/>
                <w:noProof/>
                <w:sz w:val="20"/>
                <w:szCs w:val="20"/>
              </w:rPr>
            </w:pPr>
            <w:r>
              <w:rPr>
                <w:rFonts w:ascii="Times New Roman" w:hAnsi="Times New Roman"/>
                <w:noProof/>
                <w:color w:val="0000FF"/>
                <w:sz w:val="20"/>
                <w:u w:val="single" w:color="0000FF"/>
              </w:rPr>
              <w:t>=2&amp;dzial=529&amp;id=155935</w:t>
            </w:r>
          </w:p>
          <w:p w:rsidR="00211065" w:rsidRPr="00D85CB7" w:rsidRDefault="00211065" w:rsidP="003E628F">
            <w:pPr>
              <w:pStyle w:val="TableParagraph"/>
              <w:jc w:val="both"/>
              <w:rPr>
                <w:rFonts w:ascii="Times New Roman" w:eastAsia="Times New Roman" w:hAnsi="Times New Roman" w:cs="Times New Roman"/>
                <w:noProof/>
                <w:sz w:val="20"/>
                <w:szCs w:val="20"/>
              </w:rPr>
            </w:pPr>
          </w:p>
          <w:p w:rsidR="00905F59" w:rsidRPr="00D85CB7" w:rsidRDefault="00211065" w:rsidP="00905F59">
            <w:pPr>
              <w:pStyle w:val="TableParagraph"/>
              <w:jc w:val="both"/>
              <w:rPr>
                <w:rFonts w:ascii="Times New Roman" w:hAnsi="Times New Roman" w:cs="Times New Roman"/>
                <w:noProof/>
                <w:sz w:val="20"/>
                <w:szCs w:val="20"/>
              </w:rPr>
            </w:pPr>
            <w:r>
              <w:rPr>
                <w:rFonts w:ascii="Times New Roman" w:hAnsi="Times New Roman"/>
                <w:noProof/>
                <w:sz w:val="20"/>
              </w:rPr>
              <w:lastRenderedPageBreak/>
              <w:t>Saskaņā ar šiem noteikumiem statistikas deklarāciju jāiesniedz tikai elektroniski. Šī deklarācija ir jāiesniedz līdz katra nākamā mēneša 20. datumam pēc statistikas perioda mēneša.</w:t>
            </w:r>
          </w:p>
          <w:p w:rsidR="00211065" w:rsidRPr="00D85CB7" w:rsidRDefault="00905F59" w:rsidP="00905F59">
            <w:pPr>
              <w:pStyle w:val="TableParagraph"/>
              <w:jc w:val="both"/>
              <w:rPr>
                <w:rFonts w:ascii="Times New Roman" w:eastAsia="Times New Roman" w:hAnsi="Times New Roman" w:cs="Times New Roman"/>
                <w:noProof/>
                <w:sz w:val="20"/>
                <w:szCs w:val="20"/>
              </w:rPr>
            </w:pPr>
            <w:r>
              <w:rPr>
                <w:rFonts w:ascii="Times New Roman" w:hAnsi="Times New Roman"/>
                <w:noProof/>
                <w:sz w:val="20"/>
              </w:rPr>
              <w:t>Par šiem statistikas noteikumiem jāvienojas ar atļaujas sniedzēju dalībvalsti apspriešanās procedūrā, un tie ir jāiekļauj atļaujā un kopīgajā kontroles plānā.</w:t>
            </w:r>
          </w:p>
        </w:tc>
      </w:tr>
      <w:tr w:rsidR="00211065" w:rsidRPr="00D85CB7" w:rsidTr="00FF42EE">
        <w:tc>
          <w:tcPr>
            <w:tcW w:w="0" w:type="auto"/>
            <w:tcBorders>
              <w:top w:val="single" w:sz="5" w:space="0" w:color="000000"/>
              <w:left w:val="single" w:sz="5" w:space="0" w:color="000000"/>
              <w:bottom w:val="nil"/>
              <w:right w:val="single" w:sz="5" w:space="0" w:color="000000"/>
            </w:tcBorders>
          </w:tcPr>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lastRenderedPageBreak/>
              <w:t>Čehijas Republika</w:t>
            </w:r>
          </w:p>
        </w:tc>
        <w:tc>
          <w:tcPr>
            <w:tcW w:w="1982" w:type="pct"/>
            <w:tcBorders>
              <w:top w:val="single" w:sz="5" w:space="0" w:color="000000"/>
              <w:left w:val="single" w:sz="5" w:space="0" w:color="000000"/>
              <w:bottom w:val="single" w:sz="5" w:space="0" w:color="000000"/>
              <w:right w:val="single" w:sz="5" w:space="0" w:color="000000"/>
            </w:tcBorders>
          </w:tcPr>
          <w:p w:rsidR="00905F59"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t>Kā izsniedzēja dalībvalsts</w:t>
            </w:r>
          </w:p>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t>Kā izsniedzēja dalībvalsts</w:t>
            </w:r>
          </w:p>
          <w:p w:rsidR="00211065" w:rsidRPr="00D85CB7" w:rsidRDefault="00211065" w:rsidP="003E628F">
            <w:pPr>
              <w:pStyle w:val="TableParagraph"/>
              <w:jc w:val="both"/>
              <w:rPr>
                <w:rFonts w:ascii="Times New Roman" w:hAnsi="Times New Roman" w:cs="Times New Roman"/>
                <w:noProof/>
                <w:sz w:val="20"/>
                <w:szCs w:val="20"/>
              </w:rPr>
            </w:pPr>
            <w:r>
              <w:rPr>
                <w:rFonts w:ascii="Times New Roman" w:hAnsi="Times New Roman"/>
                <w:noProof/>
                <w:sz w:val="20"/>
              </w:rPr>
              <w:t>PVN ir jāmaksā dalībvalstī, kur preces tiek fiziski izlaistas attiecīgajā muitas režīmā. Turētājs nosūtīs PVN nepieciešamos datus, pamatojoties uz iesaistītās dalībvalsts pieprasījumu. Šis nosacījums ir jāpaziņo iesaistītajai dalībvalstij apspriešanās procedūrā.</w:t>
            </w:r>
          </w:p>
        </w:tc>
        <w:tc>
          <w:tcPr>
            <w:tcW w:w="2330" w:type="pct"/>
            <w:tcBorders>
              <w:top w:val="single" w:sz="5" w:space="0" w:color="000000"/>
              <w:left w:val="single" w:sz="5" w:space="0" w:color="000000"/>
              <w:bottom w:val="single" w:sz="5" w:space="0" w:color="000000"/>
              <w:right w:val="single" w:sz="5" w:space="0" w:color="000000"/>
            </w:tcBorders>
          </w:tcPr>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t>Kā izsniedzēja dalībvalsts</w:t>
            </w:r>
          </w:p>
          <w:p w:rsidR="00211065" w:rsidRPr="00D85CB7" w:rsidRDefault="00211065" w:rsidP="003E628F">
            <w:pPr>
              <w:pStyle w:val="TableParagraph"/>
              <w:jc w:val="both"/>
              <w:rPr>
                <w:rFonts w:ascii="Times New Roman" w:hAnsi="Times New Roman" w:cs="Times New Roman"/>
                <w:noProof/>
                <w:sz w:val="20"/>
                <w:szCs w:val="20"/>
              </w:rPr>
            </w:pPr>
            <w:r>
              <w:rPr>
                <w:rFonts w:ascii="Times New Roman" w:hAnsi="Times New Roman"/>
                <w:noProof/>
                <w:sz w:val="20"/>
              </w:rPr>
              <w:t>Statistikas datus nosūta turētājs vai muitas iestāde, pamatojoties uz iesaistītās dalībvalsts pieprasījumu. Par statistikas datu apmaiņu starp atļaujas sniedzēju dalībvalsti un iesaistīto dalībvalsti ir jāvienojas apspriešanās procedūrā.</w:t>
            </w:r>
          </w:p>
        </w:tc>
      </w:tr>
      <w:tr w:rsidR="00211065" w:rsidRPr="00D85CB7" w:rsidTr="00FF42EE">
        <w:tc>
          <w:tcPr>
            <w:tcW w:w="0" w:type="auto"/>
            <w:tcBorders>
              <w:top w:val="nil"/>
              <w:left w:val="single" w:sz="5" w:space="0" w:color="000000"/>
              <w:bottom w:val="single" w:sz="5" w:space="0" w:color="000000"/>
              <w:right w:val="single" w:sz="5" w:space="0" w:color="000000"/>
            </w:tcBorders>
          </w:tcPr>
          <w:p w:rsidR="00211065" w:rsidRPr="00D85CB7" w:rsidRDefault="00211065" w:rsidP="003E628F">
            <w:pPr>
              <w:jc w:val="both"/>
              <w:rPr>
                <w:rFonts w:ascii="Times New Roman" w:hAnsi="Times New Roman" w:cs="Times New Roman"/>
                <w:noProof/>
                <w:sz w:val="20"/>
                <w:szCs w:val="20"/>
              </w:rPr>
            </w:pPr>
          </w:p>
        </w:tc>
        <w:tc>
          <w:tcPr>
            <w:tcW w:w="1982" w:type="pct"/>
            <w:tcBorders>
              <w:top w:val="single" w:sz="5" w:space="0" w:color="000000"/>
              <w:left w:val="single" w:sz="5" w:space="0" w:color="000000"/>
              <w:bottom w:val="single" w:sz="5" w:space="0" w:color="000000"/>
              <w:right w:val="single" w:sz="5" w:space="0" w:color="000000"/>
            </w:tcBorders>
          </w:tcPr>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t>Kā iesaistītā dalībvalsts</w:t>
            </w:r>
          </w:p>
          <w:p w:rsidR="00211065" w:rsidRPr="00D85CB7" w:rsidRDefault="00211065" w:rsidP="003E628F">
            <w:pPr>
              <w:pStyle w:val="TableParagraph"/>
              <w:jc w:val="both"/>
              <w:rPr>
                <w:rFonts w:ascii="Times New Roman" w:hAnsi="Times New Roman" w:cs="Times New Roman"/>
                <w:noProof/>
                <w:sz w:val="20"/>
                <w:szCs w:val="20"/>
              </w:rPr>
            </w:pPr>
            <w:r>
              <w:rPr>
                <w:rFonts w:ascii="Times New Roman" w:hAnsi="Times New Roman"/>
                <w:noProof/>
                <w:sz w:val="20"/>
              </w:rPr>
              <w:t xml:space="preserve">Ja turētājs būs reģistrēts kā nodokļu maksātājs ieņēmumu iestādē, tad ieņēmumu iestāde ir kompetentā iestāde saistībā ar PVN iekasēšanu gadījumā, kad preces tiek importētas Čehijas Republikā, izmantojot </w:t>
            </w:r>
            <w:r>
              <w:rPr>
                <w:rFonts w:ascii="Times New Roman" w:hAnsi="Times New Roman"/>
                <w:i/>
                <w:noProof/>
                <w:sz w:val="20"/>
              </w:rPr>
              <w:t>SASP</w:t>
            </w:r>
            <w:r>
              <w:rPr>
                <w:rFonts w:ascii="Times New Roman" w:hAnsi="Times New Roman"/>
                <w:noProof/>
                <w:sz w:val="20"/>
              </w:rPr>
              <w:t>. Turētājs iesniedz PVN deklarācijas attiecīgajā finanšu iestādē katru mēnesi vai ceturksni.</w:t>
            </w:r>
          </w:p>
          <w:p w:rsidR="00211065" w:rsidRPr="00D85CB7" w:rsidRDefault="00211065" w:rsidP="003E628F">
            <w:pPr>
              <w:pStyle w:val="TableParagraph"/>
              <w:jc w:val="both"/>
              <w:rPr>
                <w:rFonts w:ascii="Times New Roman" w:eastAsia="Times New Roman" w:hAnsi="Times New Roman" w:cs="Times New Roman"/>
                <w:noProof/>
                <w:sz w:val="20"/>
                <w:szCs w:val="20"/>
              </w:rPr>
            </w:pPr>
          </w:p>
          <w:p w:rsidR="00211065" w:rsidRPr="00D85CB7" w:rsidRDefault="00211065" w:rsidP="003E628F">
            <w:pPr>
              <w:pStyle w:val="TableParagraph"/>
              <w:jc w:val="both"/>
              <w:rPr>
                <w:rFonts w:ascii="Times New Roman" w:hAnsi="Times New Roman" w:cs="Times New Roman"/>
                <w:noProof/>
                <w:sz w:val="20"/>
                <w:szCs w:val="20"/>
              </w:rPr>
            </w:pPr>
            <w:r>
              <w:rPr>
                <w:rFonts w:ascii="Times New Roman" w:hAnsi="Times New Roman"/>
                <w:noProof/>
                <w:sz w:val="20"/>
              </w:rPr>
              <w:t xml:space="preserve">Ja turētājs būs reģistrēts ieņēmumu iestādē kā PVN nemaksātājs, tad muitas dienests ir kompetentā iestāde saistībā ar PVN iekasēšanu gadījumā, kad preces tiek laistas brīvas aprites muitas režīmā, izmantojot </w:t>
            </w:r>
            <w:r>
              <w:rPr>
                <w:rFonts w:ascii="Times New Roman" w:hAnsi="Times New Roman"/>
                <w:i/>
                <w:noProof/>
                <w:sz w:val="20"/>
              </w:rPr>
              <w:t>SASP</w:t>
            </w:r>
            <w:r>
              <w:rPr>
                <w:rFonts w:ascii="Times New Roman" w:hAnsi="Times New Roman"/>
                <w:noProof/>
                <w:sz w:val="20"/>
              </w:rPr>
              <w:t xml:space="preserve">. Tā kā mums pašlaik nav pieredzes ar šāda veida </w:t>
            </w:r>
            <w:r>
              <w:rPr>
                <w:rFonts w:ascii="Times New Roman" w:hAnsi="Times New Roman"/>
                <w:i/>
                <w:noProof/>
                <w:sz w:val="20"/>
              </w:rPr>
              <w:t>SASP</w:t>
            </w:r>
            <w:r>
              <w:rPr>
                <w:rFonts w:ascii="Times New Roman" w:hAnsi="Times New Roman"/>
                <w:noProof/>
                <w:sz w:val="20"/>
              </w:rPr>
              <w:t>, risinājums tiks apspriests iekšēji valsts līmenī.</w:t>
            </w:r>
          </w:p>
        </w:tc>
        <w:tc>
          <w:tcPr>
            <w:tcW w:w="2330" w:type="pct"/>
            <w:tcBorders>
              <w:top w:val="single" w:sz="5" w:space="0" w:color="000000"/>
              <w:left w:val="single" w:sz="5" w:space="0" w:color="000000"/>
              <w:bottom w:val="single" w:sz="5" w:space="0" w:color="000000"/>
              <w:right w:val="single" w:sz="5" w:space="0" w:color="000000"/>
            </w:tcBorders>
          </w:tcPr>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t>Kā iesaistītā dalībvalsts</w:t>
            </w:r>
          </w:p>
          <w:p w:rsidR="00211065" w:rsidRPr="00D85CB7" w:rsidRDefault="00211065" w:rsidP="003E628F">
            <w:pPr>
              <w:pStyle w:val="TableParagraph"/>
              <w:jc w:val="both"/>
              <w:rPr>
                <w:rFonts w:ascii="Times New Roman" w:eastAsia="Times New Roman" w:hAnsi="Times New Roman" w:cs="Times New Roman"/>
                <w:noProof/>
                <w:sz w:val="20"/>
                <w:szCs w:val="20"/>
              </w:rPr>
            </w:pPr>
            <w:r>
              <w:rPr>
                <w:rFonts w:ascii="Times New Roman" w:hAnsi="Times New Roman"/>
                <w:noProof/>
                <w:sz w:val="20"/>
              </w:rPr>
              <w:t xml:space="preserve">Čehijas Republikas muitas administrācija ir izstrādājusi tīmekļa lietojumprogrammu </w:t>
            </w:r>
            <w:r>
              <w:rPr>
                <w:rFonts w:ascii="Times New Roman" w:hAnsi="Times New Roman"/>
                <w:i/>
                <w:noProof/>
                <w:sz w:val="20"/>
              </w:rPr>
              <w:t>SASP Client</w:t>
            </w:r>
            <w:r>
              <w:rPr>
                <w:rFonts w:ascii="Times New Roman" w:hAnsi="Times New Roman"/>
                <w:noProof/>
                <w:sz w:val="20"/>
              </w:rPr>
              <w:t xml:space="preserve"> aizsargātai un drošai datu pārraidei no muitas deklarācijām, kas izlaistas, pamatojoties uz </w:t>
            </w:r>
            <w:r>
              <w:rPr>
                <w:rFonts w:ascii="Times New Roman" w:hAnsi="Times New Roman"/>
                <w:i/>
                <w:noProof/>
                <w:sz w:val="20"/>
              </w:rPr>
              <w:t>SASP</w:t>
            </w:r>
            <w:r>
              <w:rPr>
                <w:rFonts w:ascii="Times New Roman" w:hAnsi="Times New Roman"/>
                <w:noProof/>
                <w:sz w:val="20"/>
              </w:rPr>
              <w:t xml:space="preserve"> atļauju.</w:t>
            </w:r>
          </w:p>
          <w:p w:rsidR="00211065" w:rsidRPr="00D85CB7" w:rsidRDefault="00211065" w:rsidP="003E628F">
            <w:pPr>
              <w:pStyle w:val="TableParagraph"/>
              <w:jc w:val="both"/>
              <w:rPr>
                <w:rFonts w:ascii="Times New Roman" w:hAnsi="Times New Roman" w:cs="Times New Roman"/>
                <w:noProof/>
                <w:sz w:val="20"/>
                <w:szCs w:val="20"/>
              </w:rPr>
            </w:pPr>
            <w:r>
              <w:rPr>
                <w:rFonts w:ascii="Times New Roman" w:hAnsi="Times New Roman"/>
                <w:noProof/>
                <w:sz w:val="20"/>
              </w:rPr>
              <w:t xml:space="preserve">Atļaujas turētājs nosūtīs datus ar šīs </w:t>
            </w:r>
            <w:r>
              <w:rPr>
                <w:rFonts w:ascii="Times New Roman" w:hAnsi="Times New Roman"/>
                <w:i/>
                <w:noProof/>
                <w:sz w:val="20"/>
              </w:rPr>
              <w:t>SASP Client</w:t>
            </w:r>
            <w:r>
              <w:rPr>
                <w:rFonts w:ascii="Times New Roman" w:hAnsi="Times New Roman"/>
                <w:noProof/>
                <w:sz w:val="20"/>
              </w:rPr>
              <w:t xml:space="preserve"> starpniecību, pamatojoties uz elektroniskās saziņas atļauju. Atļaujas turētājam ir jānosūta šie dati katru mēnesi noteiktā formātā līdz 10. dienai pēc iepriekšējā kalendārā mēneša. Datu apmaiņas procedūra ar statistiku saistītām vajadzībām tiek noskaidrota apspriešanās procedūrā.</w:t>
            </w:r>
          </w:p>
        </w:tc>
      </w:tr>
      <w:tr w:rsidR="00211065" w:rsidRPr="00D85CB7" w:rsidTr="00FF42EE">
        <w:tc>
          <w:tcPr>
            <w:tcW w:w="0" w:type="auto"/>
            <w:tcBorders>
              <w:top w:val="single" w:sz="5" w:space="0" w:color="000000"/>
              <w:left w:val="single" w:sz="5" w:space="0" w:color="000000"/>
              <w:bottom w:val="single" w:sz="5" w:space="0" w:color="000000"/>
              <w:right w:val="single" w:sz="5" w:space="0" w:color="000000"/>
            </w:tcBorders>
          </w:tcPr>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t>Rumānija</w:t>
            </w:r>
          </w:p>
        </w:tc>
        <w:tc>
          <w:tcPr>
            <w:tcW w:w="1982" w:type="pct"/>
            <w:tcBorders>
              <w:top w:val="single" w:sz="5" w:space="0" w:color="000000"/>
              <w:left w:val="single" w:sz="5" w:space="0" w:color="000000"/>
              <w:bottom w:val="single" w:sz="5" w:space="0" w:color="000000"/>
              <w:right w:val="single" w:sz="5" w:space="0" w:color="000000"/>
            </w:tcBorders>
          </w:tcPr>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t>Kā izsniedzēja dalībvalsts</w:t>
            </w:r>
          </w:p>
          <w:p w:rsidR="00211065" w:rsidRPr="00D85CB7" w:rsidRDefault="00211065" w:rsidP="003E628F">
            <w:pPr>
              <w:pStyle w:val="TableParagraph"/>
              <w:jc w:val="both"/>
              <w:rPr>
                <w:rFonts w:ascii="Times New Roman" w:hAnsi="Times New Roman" w:cs="Times New Roman"/>
                <w:noProof/>
                <w:sz w:val="20"/>
                <w:szCs w:val="20"/>
              </w:rPr>
            </w:pPr>
            <w:r>
              <w:rPr>
                <w:rFonts w:ascii="Times New Roman" w:hAnsi="Times New Roman"/>
                <w:noProof/>
                <w:sz w:val="20"/>
              </w:rPr>
              <w:t xml:space="preserve">Nav pieredzes ar </w:t>
            </w:r>
            <w:r>
              <w:rPr>
                <w:rFonts w:ascii="Times New Roman" w:hAnsi="Times New Roman"/>
                <w:i/>
                <w:noProof/>
                <w:sz w:val="20"/>
              </w:rPr>
              <w:t>SASP</w:t>
            </w:r>
            <w:r>
              <w:rPr>
                <w:rFonts w:ascii="Times New Roman" w:hAnsi="Times New Roman"/>
                <w:noProof/>
                <w:sz w:val="20"/>
              </w:rPr>
              <w:t>.</w:t>
            </w:r>
          </w:p>
        </w:tc>
        <w:tc>
          <w:tcPr>
            <w:tcW w:w="2330" w:type="pct"/>
            <w:tcBorders>
              <w:top w:val="single" w:sz="5" w:space="0" w:color="000000"/>
              <w:left w:val="single" w:sz="5" w:space="0" w:color="000000"/>
              <w:bottom w:val="single" w:sz="5" w:space="0" w:color="000000"/>
              <w:right w:val="single" w:sz="5" w:space="0" w:color="000000"/>
            </w:tcBorders>
          </w:tcPr>
          <w:p w:rsidR="00211065" w:rsidRPr="00D85CB7" w:rsidRDefault="00211065" w:rsidP="003E628F">
            <w:pPr>
              <w:pStyle w:val="TableParagraph"/>
              <w:jc w:val="both"/>
              <w:rPr>
                <w:rFonts w:ascii="Times New Roman" w:hAnsi="Times New Roman" w:cs="Times New Roman"/>
                <w:b/>
                <w:noProof/>
                <w:sz w:val="20"/>
                <w:szCs w:val="20"/>
              </w:rPr>
            </w:pPr>
            <w:r>
              <w:rPr>
                <w:rFonts w:ascii="Times New Roman" w:hAnsi="Times New Roman"/>
                <w:b/>
                <w:noProof/>
                <w:sz w:val="20"/>
              </w:rPr>
              <w:t>Kā izsniedzēja dalībvalsts</w:t>
            </w:r>
          </w:p>
          <w:p w:rsidR="00211065" w:rsidRPr="00D85CB7" w:rsidRDefault="00211065" w:rsidP="003E628F">
            <w:pPr>
              <w:pStyle w:val="TableParagraph"/>
              <w:jc w:val="both"/>
              <w:rPr>
                <w:rFonts w:ascii="Times New Roman" w:hAnsi="Times New Roman" w:cs="Times New Roman"/>
                <w:noProof/>
                <w:sz w:val="20"/>
                <w:szCs w:val="20"/>
              </w:rPr>
            </w:pPr>
            <w:r>
              <w:rPr>
                <w:rFonts w:ascii="Times New Roman" w:hAnsi="Times New Roman"/>
                <w:noProof/>
                <w:sz w:val="20"/>
              </w:rPr>
              <w:t xml:space="preserve">Nav pieredzes ar </w:t>
            </w:r>
            <w:r>
              <w:rPr>
                <w:rFonts w:ascii="Times New Roman" w:hAnsi="Times New Roman"/>
                <w:i/>
                <w:noProof/>
                <w:sz w:val="20"/>
              </w:rPr>
              <w:t>SASP</w:t>
            </w:r>
            <w:r>
              <w:rPr>
                <w:rFonts w:ascii="Times New Roman" w:hAnsi="Times New Roman"/>
                <w:noProof/>
                <w:sz w:val="20"/>
              </w:rPr>
              <w:t>.</w:t>
            </w:r>
          </w:p>
        </w:tc>
      </w:tr>
      <w:tr w:rsidR="00905F59" w:rsidRPr="00D85CB7" w:rsidTr="00FF42EE">
        <w:tc>
          <w:tcPr>
            <w:tcW w:w="0" w:type="auto"/>
            <w:tcBorders>
              <w:top w:val="single" w:sz="5" w:space="0" w:color="000000"/>
              <w:left w:val="single" w:sz="5" w:space="0" w:color="000000"/>
              <w:bottom w:val="single" w:sz="5" w:space="0" w:color="000000"/>
              <w:right w:val="single" w:sz="5" w:space="0" w:color="000000"/>
            </w:tcBorders>
          </w:tcPr>
          <w:p w:rsidR="00905F59" w:rsidRPr="00D85CB7" w:rsidRDefault="00905F59" w:rsidP="003E628F">
            <w:pPr>
              <w:pStyle w:val="TableParagraph"/>
              <w:jc w:val="both"/>
              <w:rPr>
                <w:rFonts w:ascii="Times New Roman" w:hAnsi="Times New Roman" w:cs="Times New Roman"/>
                <w:b/>
                <w:noProof/>
                <w:sz w:val="20"/>
                <w:szCs w:val="20"/>
              </w:rPr>
            </w:pPr>
          </w:p>
        </w:tc>
        <w:tc>
          <w:tcPr>
            <w:tcW w:w="1982" w:type="pct"/>
            <w:tcBorders>
              <w:top w:val="single" w:sz="5" w:space="0" w:color="000000"/>
              <w:left w:val="single" w:sz="5" w:space="0" w:color="000000"/>
              <w:bottom w:val="single" w:sz="5" w:space="0" w:color="000000"/>
              <w:right w:val="single" w:sz="5" w:space="0" w:color="000000"/>
            </w:tcBorders>
          </w:tcPr>
          <w:p w:rsidR="00905F59" w:rsidRDefault="00E31954" w:rsidP="003E628F">
            <w:pPr>
              <w:pStyle w:val="TableParagraph"/>
              <w:jc w:val="both"/>
              <w:rPr>
                <w:rFonts w:ascii="Times New Roman" w:hAnsi="Times New Roman" w:cs="Times New Roman"/>
                <w:b/>
                <w:noProof/>
                <w:sz w:val="20"/>
                <w:szCs w:val="20"/>
              </w:rPr>
            </w:pPr>
            <w:r>
              <w:rPr>
                <w:rFonts w:ascii="Times New Roman" w:hAnsi="Times New Roman"/>
                <w:b/>
                <w:noProof/>
                <w:sz w:val="20"/>
              </w:rPr>
              <w:t>Kā iesaistītā dalībvalsts</w:t>
            </w:r>
          </w:p>
          <w:p w:rsidR="00E31954" w:rsidRPr="00E31954" w:rsidRDefault="00E31954" w:rsidP="003E628F">
            <w:pPr>
              <w:pStyle w:val="TableParagraph"/>
              <w:jc w:val="both"/>
              <w:rPr>
                <w:rFonts w:ascii="Times New Roman" w:hAnsi="Times New Roman" w:cs="Times New Roman"/>
                <w:noProof/>
                <w:sz w:val="20"/>
                <w:szCs w:val="20"/>
              </w:rPr>
            </w:pPr>
            <w:r>
              <w:rPr>
                <w:rFonts w:ascii="Times New Roman" w:hAnsi="Times New Roman"/>
                <w:noProof/>
                <w:sz w:val="20"/>
              </w:rPr>
              <w:t xml:space="preserve">Nav pieredzes ar </w:t>
            </w:r>
            <w:r>
              <w:rPr>
                <w:rFonts w:ascii="Times New Roman" w:hAnsi="Times New Roman"/>
                <w:i/>
                <w:noProof/>
                <w:sz w:val="20"/>
              </w:rPr>
              <w:t>SASP</w:t>
            </w:r>
            <w:r>
              <w:rPr>
                <w:rFonts w:ascii="Times New Roman" w:hAnsi="Times New Roman"/>
                <w:noProof/>
                <w:sz w:val="20"/>
              </w:rPr>
              <w:t>.</w:t>
            </w:r>
          </w:p>
        </w:tc>
        <w:tc>
          <w:tcPr>
            <w:tcW w:w="2330" w:type="pct"/>
            <w:tcBorders>
              <w:top w:val="single" w:sz="5" w:space="0" w:color="000000"/>
              <w:left w:val="single" w:sz="5" w:space="0" w:color="000000"/>
              <w:bottom w:val="single" w:sz="5" w:space="0" w:color="000000"/>
              <w:right w:val="single" w:sz="5" w:space="0" w:color="000000"/>
            </w:tcBorders>
          </w:tcPr>
          <w:p w:rsidR="00905F59" w:rsidRDefault="00E31954" w:rsidP="003E628F">
            <w:pPr>
              <w:pStyle w:val="TableParagraph"/>
              <w:jc w:val="both"/>
              <w:rPr>
                <w:rFonts w:ascii="Times New Roman" w:hAnsi="Times New Roman" w:cs="Times New Roman"/>
                <w:b/>
                <w:noProof/>
                <w:sz w:val="20"/>
                <w:szCs w:val="20"/>
              </w:rPr>
            </w:pPr>
            <w:r>
              <w:rPr>
                <w:rFonts w:ascii="Times New Roman" w:hAnsi="Times New Roman"/>
                <w:b/>
                <w:noProof/>
                <w:sz w:val="20"/>
              </w:rPr>
              <w:t>Kā iesaistītā dalībvalsts</w:t>
            </w:r>
          </w:p>
          <w:p w:rsidR="00E31954" w:rsidRPr="00E31954" w:rsidRDefault="00E31954" w:rsidP="003E628F">
            <w:pPr>
              <w:pStyle w:val="TableParagraph"/>
              <w:jc w:val="both"/>
              <w:rPr>
                <w:rFonts w:ascii="Times New Roman" w:hAnsi="Times New Roman" w:cs="Times New Roman"/>
                <w:noProof/>
                <w:sz w:val="20"/>
                <w:szCs w:val="20"/>
              </w:rPr>
            </w:pPr>
            <w:r>
              <w:rPr>
                <w:rFonts w:ascii="Times New Roman" w:hAnsi="Times New Roman"/>
                <w:noProof/>
                <w:sz w:val="20"/>
              </w:rPr>
              <w:t xml:space="preserve">Nav pieredzes ar </w:t>
            </w:r>
            <w:r>
              <w:rPr>
                <w:rFonts w:ascii="Times New Roman" w:hAnsi="Times New Roman"/>
                <w:i/>
                <w:noProof/>
                <w:sz w:val="20"/>
              </w:rPr>
              <w:t>SASP</w:t>
            </w:r>
            <w:r>
              <w:rPr>
                <w:rFonts w:ascii="Times New Roman" w:hAnsi="Times New Roman"/>
                <w:noProof/>
                <w:sz w:val="20"/>
              </w:rPr>
              <w:t>.</w:t>
            </w:r>
          </w:p>
        </w:tc>
      </w:tr>
      <w:tr w:rsidR="00905F59" w:rsidRPr="00D85CB7" w:rsidTr="00FF42EE">
        <w:tc>
          <w:tcPr>
            <w:tcW w:w="0" w:type="auto"/>
            <w:tcBorders>
              <w:top w:val="single" w:sz="5" w:space="0" w:color="000000"/>
              <w:left w:val="single" w:sz="5" w:space="0" w:color="000000"/>
              <w:bottom w:val="single" w:sz="5" w:space="0" w:color="000000"/>
              <w:right w:val="single" w:sz="5" w:space="0" w:color="000000"/>
            </w:tcBorders>
          </w:tcPr>
          <w:p w:rsidR="00905F59" w:rsidRPr="00D85CB7" w:rsidRDefault="00E31954" w:rsidP="003E628F">
            <w:pPr>
              <w:pStyle w:val="TableParagraph"/>
              <w:jc w:val="both"/>
              <w:rPr>
                <w:rFonts w:ascii="Times New Roman" w:hAnsi="Times New Roman" w:cs="Times New Roman"/>
                <w:b/>
                <w:noProof/>
                <w:sz w:val="20"/>
                <w:szCs w:val="20"/>
              </w:rPr>
            </w:pPr>
            <w:r>
              <w:rPr>
                <w:rFonts w:ascii="Times New Roman" w:hAnsi="Times New Roman"/>
                <w:b/>
                <w:noProof/>
                <w:sz w:val="20"/>
              </w:rPr>
              <w:t>Kipra</w:t>
            </w:r>
          </w:p>
        </w:tc>
        <w:tc>
          <w:tcPr>
            <w:tcW w:w="1982" w:type="pct"/>
            <w:tcBorders>
              <w:top w:val="single" w:sz="5" w:space="0" w:color="000000"/>
              <w:left w:val="single" w:sz="5" w:space="0" w:color="000000"/>
              <w:bottom w:val="single" w:sz="5" w:space="0" w:color="000000"/>
              <w:right w:val="single" w:sz="5" w:space="0" w:color="000000"/>
            </w:tcBorders>
          </w:tcPr>
          <w:p w:rsidR="00905F59" w:rsidRDefault="00E31954" w:rsidP="003E628F">
            <w:pPr>
              <w:pStyle w:val="TableParagraph"/>
              <w:jc w:val="both"/>
              <w:rPr>
                <w:rFonts w:ascii="Times New Roman" w:hAnsi="Times New Roman" w:cs="Times New Roman"/>
                <w:b/>
                <w:noProof/>
                <w:sz w:val="20"/>
                <w:szCs w:val="20"/>
              </w:rPr>
            </w:pPr>
            <w:r>
              <w:rPr>
                <w:rFonts w:ascii="Times New Roman" w:hAnsi="Times New Roman"/>
                <w:b/>
                <w:noProof/>
                <w:sz w:val="20"/>
              </w:rPr>
              <w:t>Kā izsniedzēja dalībvalsts</w:t>
            </w:r>
          </w:p>
          <w:p w:rsidR="00E31954" w:rsidRPr="00E31954" w:rsidRDefault="00E31954" w:rsidP="003E628F">
            <w:pPr>
              <w:pStyle w:val="TableParagraph"/>
              <w:jc w:val="both"/>
              <w:rPr>
                <w:rFonts w:ascii="Times New Roman" w:hAnsi="Times New Roman" w:cs="Times New Roman"/>
                <w:noProof/>
                <w:sz w:val="20"/>
                <w:szCs w:val="20"/>
              </w:rPr>
            </w:pPr>
            <w:r>
              <w:rPr>
                <w:rFonts w:ascii="Times New Roman" w:hAnsi="Times New Roman"/>
                <w:noProof/>
                <w:sz w:val="20"/>
              </w:rPr>
              <w:t xml:space="preserve">Nav pieredzes ar </w:t>
            </w:r>
            <w:r>
              <w:rPr>
                <w:rFonts w:ascii="Times New Roman" w:hAnsi="Times New Roman"/>
                <w:i/>
                <w:noProof/>
                <w:sz w:val="20"/>
              </w:rPr>
              <w:t>SASP</w:t>
            </w:r>
            <w:r>
              <w:rPr>
                <w:rFonts w:ascii="Times New Roman" w:hAnsi="Times New Roman"/>
                <w:noProof/>
                <w:sz w:val="20"/>
              </w:rPr>
              <w:t>.</w:t>
            </w:r>
          </w:p>
        </w:tc>
        <w:tc>
          <w:tcPr>
            <w:tcW w:w="2330" w:type="pct"/>
            <w:tcBorders>
              <w:top w:val="single" w:sz="5" w:space="0" w:color="000000"/>
              <w:left w:val="single" w:sz="5" w:space="0" w:color="000000"/>
              <w:bottom w:val="single" w:sz="5" w:space="0" w:color="000000"/>
              <w:right w:val="single" w:sz="5" w:space="0" w:color="000000"/>
            </w:tcBorders>
          </w:tcPr>
          <w:p w:rsidR="00905F59" w:rsidRDefault="00E31954" w:rsidP="003E628F">
            <w:pPr>
              <w:pStyle w:val="TableParagraph"/>
              <w:jc w:val="both"/>
              <w:rPr>
                <w:rFonts w:ascii="Times New Roman" w:hAnsi="Times New Roman" w:cs="Times New Roman"/>
                <w:b/>
                <w:noProof/>
                <w:sz w:val="20"/>
                <w:szCs w:val="20"/>
              </w:rPr>
            </w:pPr>
            <w:r>
              <w:rPr>
                <w:rFonts w:ascii="Times New Roman" w:hAnsi="Times New Roman"/>
                <w:b/>
                <w:noProof/>
                <w:sz w:val="20"/>
              </w:rPr>
              <w:t>Kā izsniedzēja dalībvalsts</w:t>
            </w:r>
          </w:p>
          <w:p w:rsidR="00E31954" w:rsidRPr="00E31954" w:rsidRDefault="00E31954" w:rsidP="003E628F">
            <w:pPr>
              <w:pStyle w:val="TableParagraph"/>
              <w:jc w:val="both"/>
              <w:rPr>
                <w:rFonts w:ascii="Times New Roman" w:hAnsi="Times New Roman" w:cs="Times New Roman"/>
                <w:noProof/>
                <w:sz w:val="20"/>
                <w:szCs w:val="20"/>
              </w:rPr>
            </w:pPr>
            <w:r>
              <w:rPr>
                <w:rFonts w:ascii="Times New Roman" w:hAnsi="Times New Roman"/>
                <w:noProof/>
                <w:sz w:val="20"/>
              </w:rPr>
              <w:t xml:space="preserve">Nav pieredzes ar </w:t>
            </w:r>
            <w:r>
              <w:rPr>
                <w:rFonts w:ascii="Times New Roman" w:hAnsi="Times New Roman"/>
                <w:i/>
                <w:noProof/>
                <w:sz w:val="20"/>
              </w:rPr>
              <w:t>SASP</w:t>
            </w:r>
            <w:r>
              <w:rPr>
                <w:rFonts w:ascii="Times New Roman" w:hAnsi="Times New Roman"/>
                <w:noProof/>
                <w:sz w:val="20"/>
              </w:rPr>
              <w:t>.</w:t>
            </w:r>
          </w:p>
        </w:tc>
      </w:tr>
      <w:tr w:rsidR="00905F59" w:rsidRPr="00D85CB7" w:rsidTr="00FF42EE">
        <w:tc>
          <w:tcPr>
            <w:tcW w:w="0" w:type="auto"/>
            <w:tcBorders>
              <w:top w:val="single" w:sz="5" w:space="0" w:color="000000"/>
              <w:left w:val="single" w:sz="5" w:space="0" w:color="000000"/>
              <w:bottom w:val="single" w:sz="5" w:space="0" w:color="000000"/>
              <w:right w:val="single" w:sz="5" w:space="0" w:color="000000"/>
            </w:tcBorders>
          </w:tcPr>
          <w:p w:rsidR="00905F59" w:rsidRPr="00D85CB7" w:rsidRDefault="00905F59" w:rsidP="003E628F">
            <w:pPr>
              <w:pStyle w:val="TableParagraph"/>
              <w:jc w:val="both"/>
              <w:rPr>
                <w:rFonts w:ascii="Times New Roman" w:hAnsi="Times New Roman" w:cs="Times New Roman"/>
                <w:b/>
                <w:noProof/>
                <w:sz w:val="20"/>
                <w:szCs w:val="20"/>
              </w:rPr>
            </w:pPr>
          </w:p>
        </w:tc>
        <w:tc>
          <w:tcPr>
            <w:tcW w:w="1982" w:type="pct"/>
            <w:tcBorders>
              <w:top w:val="single" w:sz="5" w:space="0" w:color="000000"/>
              <w:left w:val="single" w:sz="5" w:space="0" w:color="000000"/>
              <w:bottom w:val="single" w:sz="5" w:space="0" w:color="000000"/>
              <w:right w:val="single" w:sz="5" w:space="0" w:color="000000"/>
            </w:tcBorders>
          </w:tcPr>
          <w:p w:rsidR="00905F59" w:rsidRDefault="00E31954" w:rsidP="003E628F">
            <w:pPr>
              <w:pStyle w:val="TableParagraph"/>
              <w:jc w:val="both"/>
              <w:rPr>
                <w:rFonts w:ascii="Times New Roman" w:hAnsi="Times New Roman" w:cs="Times New Roman"/>
                <w:b/>
                <w:noProof/>
                <w:sz w:val="20"/>
                <w:szCs w:val="20"/>
              </w:rPr>
            </w:pPr>
            <w:r>
              <w:rPr>
                <w:rFonts w:ascii="Times New Roman" w:hAnsi="Times New Roman"/>
                <w:b/>
                <w:noProof/>
                <w:sz w:val="20"/>
              </w:rPr>
              <w:t>Kā iesaistītā dalībvalsts</w:t>
            </w:r>
          </w:p>
          <w:p w:rsidR="00E31954" w:rsidRPr="00E31954" w:rsidRDefault="00E31954" w:rsidP="003E628F">
            <w:pPr>
              <w:pStyle w:val="TableParagraph"/>
              <w:jc w:val="both"/>
              <w:rPr>
                <w:rFonts w:ascii="Times New Roman" w:hAnsi="Times New Roman" w:cs="Times New Roman"/>
                <w:noProof/>
                <w:sz w:val="20"/>
                <w:szCs w:val="20"/>
              </w:rPr>
            </w:pPr>
            <w:r>
              <w:rPr>
                <w:rFonts w:ascii="Times New Roman" w:hAnsi="Times New Roman"/>
                <w:noProof/>
                <w:sz w:val="20"/>
              </w:rPr>
              <w:t xml:space="preserve">Nav pieredzes ar </w:t>
            </w:r>
            <w:r>
              <w:rPr>
                <w:rFonts w:ascii="Times New Roman" w:hAnsi="Times New Roman"/>
                <w:i/>
                <w:noProof/>
                <w:sz w:val="20"/>
              </w:rPr>
              <w:t>SASP</w:t>
            </w:r>
            <w:r>
              <w:rPr>
                <w:rFonts w:ascii="Times New Roman" w:hAnsi="Times New Roman"/>
                <w:noProof/>
                <w:sz w:val="20"/>
              </w:rPr>
              <w:t>.</w:t>
            </w:r>
          </w:p>
        </w:tc>
        <w:tc>
          <w:tcPr>
            <w:tcW w:w="2330" w:type="pct"/>
            <w:tcBorders>
              <w:top w:val="single" w:sz="5" w:space="0" w:color="000000"/>
              <w:left w:val="single" w:sz="5" w:space="0" w:color="000000"/>
              <w:bottom w:val="single" w:sz="5" w:space="0" w:color="000000"/>
              <w:right w:val="single" w:sz="5" w:space="0" w:color="000000"/>
            </w:tcBorders>
          </w:tcPr>
          <w:p w:rsidR="00905F59" w:rsidRDefault="00E31954" w:rsidP="003E628F">
            <w:pPr>
              <w:pStyle w:val="TableParagraph"/>
              <w:jc w:val="both"/>
              <w:rPr>
                <w:rFonts w:ascii="Times New Roman" w:hAnsi="Times New Roman" w:cs="Times New Roman"/>
                <w:b/>
                <w:noProof/>
                <w:sz w:val="20"/>
                <w:szCs w:val="20"/>
              </w:rPr>
            </w:pPr>
            <w:r>
              <w:rPr>
                <w:rFonts w:ascii="Times New Roman" w:hAnsi="Times New Roman"/>
                <w:b/>
                <w:noProof/>
                <w:sz w:val="20"/>
              </w:rPr>
              <w:t>Kā iesaistītā dalībvalsts</w:t>
            </w:r>
          </w:p>
          <w:p w:rsidR="00E31954" w:rsidRPr="00E31954" w:rsidRDefault="00E31954" w:rsidP="003E628F">
            <w:pPr>
              <w:pStyle w:val="TableParagraph"/>
              <w:jc w:val="both"/>
              <w:rPr>
                <w:rFonts w:ascii="Times New Roman" w:hAnsi="Times New Roman" w:cs="Times New Roman"/>
                <w:noProof/>
                <w:sz w:val="20"/>
                <w:szCs w:val="20"/>
              </w:rPr>
            </w:pPr>
            <w:r>
              <w:rPr>
                <w:rFonts w:ascii="Times New Roman" w:hAnsi="Times New Roman"/>
                <w:noProof/>
                <w:sz w:val="20"/>
              </w:rPr>
              <w:t xml:space="preserve">Nav pieredzes ar </w:t>
            </w:r>
            <w:r>
              <w:rPr>
                <w:rFonts w:ascii="Times New Roman" w:hAnsi="Times New Roman"/>
                <w:i/>
                <w:noProof/>
                <w:sz w:val="20"/>
              </w:rPr>
              <w:t>SASP</w:t>
            </w:r>
            <w:r>
              <w:rPr>
                <w:rFonts w:ascii="Times New Roman" w:hAnsi="Times New Roman"/>
                <w:noProof/>
                <w:sz w:val="20"/>
              </w:rPr>
              <w:t>.</w:t>
            </w:r>
          </w:p>
        </w:tc>
      </w:tr>
      <w:tr w:rsidR="00905F59" w:rsidRPr="00D85CB7" w:rsidTr="00FF42EE">
        <w:tc>
          <w:tcPr>
            <w:tcW w:w="0" w:type="auto"/>
            <w:tcBorders>
              <w:top w:val="single" w:sz="5" w:space="0" w:color="000000"/>
              <w:left w:val="single" w:sz="5" w:space="0" w:color="000000"/>
              <w:bottom w:val="single" w:sz="5" w:space="0" w:color="000000"/>
              <w:right w:val="single" w:sz="5" w:space="0" w:color="000000"/>
            </w:tcBorders>
          </w:tcPr>
          <w:p w:rsidR="00905F59" w:rsidRPr="00D85CB7" w:rsidRDefault="00E31954" w:rsidP="003E628F">
            <w:pPr>
              <w:pStyle w:val="TableParagraph"/>
              <w:jc w:val="both"/>
              <w:rPr>
                <w:rFonts w:ascii="Times New Roman" w:hAnsi="Times New Roman" w:cs="Times New Roman"/>
                <w:b/>
                <w:noProof/>
                <w:sz w:val="20"/>
                <w:szCs w:val="20"/>
              </w:rPr>
            </w:pPr>
            <w:r>
              <w:rPr>
                <w:rFonts w:ascii="Times New Roman" w:hAnsi="Times New Roman"/>
                <w:b/>
                <w:noProof/>
                <w:sz w:val="20"/>
              </w:rPr>
              <w:t>Malta</w:t>
            </w:r>
          </w:p>
        </w:tc>
        <w:tc>
          <w:tcPr>
            <w:tcW w:w="1982" w:type="pct"/>
            <w:tcBorders>
              <w:top w:val="single" w:sz="5" w:space="0" w:color="000000"/>
              <w:left w:val="single" w:sz="5" w:space="0" w:color="000000"/>
              <w:bottom w:val="single" w:sz="5" w:space="0" w:color="000000"/>
              <w:right w:val="single" w:sz="5" w:space="0" w:color="000000"/>
            </w:tcBorders>
          </w:tcPr>
          <w:p w:rsidR="00905F59" w:rsidRDefault="00E31954" w:rsidP="003E628F">
            <w:pPr>
              <w:pStyle w:val="TableParagraph"/>
              <w:jc w:val="both"/>
              <w:rPr>
                <w:rFonts w:ascii="Times New Roman" w:hAnsi="Times New Roman" w:cs="Times New Roman"/>
                <w:b/>
                <w:noProof/>
                <w:sz w:val="20"/>
                <w:szCs w:val="20"/>
              </w:rPr>
            </w:pPr>
            <w:r>
              <w:rPr>
                <w:rFonts w:ascii="Times New Roman" w:hAnsi="Times New Roman"/>
                <w:b/>
                <w:noProof/>
                <w:sz w:val="20"/>
              </w:rPr>
              <w:t>Kā izsniedzēja dalībvalsts</w:t>
            </w:r>
          </w:p>
          <w:p w:rsidR="00E31954" w:rsidRPr="00E31954" w:rsidRDefault="00E31954" w:rsidP="003E628F">
            <w:pPr>
              <w:pStyle w:val="TableParagraph"/>
              <w:jc w:val="both"/>
              <w:rPr>
                <w:rFonts w:ascii="Times New Roman" w:hAnsi="Times New Roman" w:cs="Times New Roman"/>
                <w:noProof/>
                <w:sz w:val="20"/>
                <w:szCs w:val="20"/>
              </w:rPr>
            </w:pPr>
            <w:r>
              <w:rPr>
                <w:rFonts w:ascii="Times New Roman" w:hAnsi="Times New Roman"/>
                <w:noProof/>
                <w:sz w:val="20"/>
              </w:rPr>
              <w:t xml:space="preserve">Nav pieredzes ar </w:t>
            </w:r>
            <w:r>
              <w:rPr>
                <w:rFonts w:ascii="Times New Roman" w:hAnsi="Times New Roman"/>
                <w:i/>
                <w:noProof/>
                <w:sz w:val="20"/>
              </w:rPr>
              <w:t>SASP</w:t>
            </w:r>
            <w:r>
              <w:rPr>
                <w:rFonts w:ascii="Times New Roman" w:hAnsi="Times New Roman"/>
                <w:noProof/>
                <w:sz w:val="20"/>
              </w:rPr>
              <w:t>.</w:t>
            </w:r>
          </w:p>
        </w:tc>
        <w:tc>
          <w:tcPr>
            <w:tcW w:w="2330" w:type="pct"/>
            <w:tcBorders>
              <w:top w:val="single" w:sz="5" w:space="0" w:color="000000"/>
              <w:left w:val="single" w:sz="5" w:space="0" w:color="000000"/>
              <w:bottom w:val="single" w:sz="5" w:space="0" w:color="000000"/>
              <w:right w:val="single" w:sz="5" w:space="0" w:color="000000"/>
            </w:tcBorders>
          </w:tcPr>
          <w:p w:rsidR="00905F59" w:rsidRDefault="00E31954" w:rsidP="003E628F">
            <w:pPr>
              <w:pStyle w:val="TableParagraph"/>
              <w:jc w:val="both"/>
              <w:rPr>
                <w:rFonts w:ascii="Times New Roman" w:hAnsi="Times New Roman" w:cs="Times New Roman"/>
                <w:b/>
                <w:noProof/>
                <w:sz w:val="20"/>
                <w:szCs w:val="20"/>
              </w:rPr>
            </w:pPr>
            <w:r>
              <w:rPr>
                <w:rFonts w:ascii="Times New Roman" w:hAnsi="Times New Roman"/>
                <w:b/>
                <w:noProof/>
                <w:sz w:val="20"/>
              </w:rPr>
              <w:t>Kā izsniedzēja dalībvalsts</w:t>
            </w:r>
          </w:p>
          <w:p w:rsidR="00E31954" w:rsidRPr="00E31954" w:rsidRDefault="00E31954" w:rsidP="003E628F">
            <w:pPr>
              <w:pStyle w:val="TableParagraph"/>
              <w:jc w:val="both"/>
              <w:rPr>
                <w:rFonts w:ascii="Times New Roman" w:hAnsi="Times New Roman" w:cs="Times New Roman"/>
                <w:noProof/>
                <w:sz w:val="20"/>
                <w:szCs w:val="20"/>
              </w:rPr>
            </w:pPr>
            <w:r>
              <w:rPr>
                <w:rFonts w:ascii="Times New Roman" w:hAnsi="Times New Roman"/>
                <w:noProof/>
                <w:sz w:val="20"/>
              </w:rPr>
              <w:t xml:space="preserve">Nav pieredzes ar </w:t>
            </w:r>
            <w:r>
              <w:rPr>
                <w:rFonts w:ascii="Times New Roman" w:hAnsi="Times New Roman"/>
                <w:i/>
                <w:noProof/>
                <w:sz w:val="20"/>
              </w:rPr>
              <w:t>SASP</w:t>
            </w:r>
            <w:r>
              <w:rPr>
                <w:rFonts w:ascii="Times New Roman" w:hAnsi="Times New Roman"/>
                <w:noProof/>
                <w:sz w:val="20"/>
              </w:rPr>
              <w:t>.</w:t>
            </w:r>
          </w:p>
        </w:tc>
      </w:tr>
      <w:tr w:rsidR="00905F59" w:rsidRPr="00D85CB7" w:rsidTr="00FF42EE">
        <w:tc>
          <w:tcPr>
            <w:tcW w:w="0" w:type="auto"/>
            <w:tcBorders>
              <w:top w:val="single" w:sz="5" w:space="0" w:color="000000"/>
              <w:left w:val="single" w:sz="5" w:space="0" w:color="000000"/>
              <w:bottom w:val="single" w:sz="5" w:space="0" w:color="000000"/>
              <w:right w:val="single" w:sz="5" w:space="0" w:color="000000"/>
            </w:tcBorders>
          </w:tcPr>
          <w:p w:rsidR="00905F59" w:rsidRPr="00D85CB7" w:rsidRDefault="00905F59" w:rsidP="003E628F">
            <w:pPr>
              <w:pStyle w:val="TableParagraph"/>
              <w:jc w:val="both"/>
              <w:rPr>
                <w:rFonts w:ascii="Times New Roman" w:hAnsi="Times New Roman" w:cs="Times New Roman"/>
                <w:b/>
                <w:noProof/>
                <w:sz w:val="20"/>
                <w:szCs w:val="20"/>
              </w:rPr>
            </w:pPr>
          </w:p>
        </w:tc>
        <w:tc>
          <w:tcPr>
            <w:tcW w:w="1982" w:type="pct"/>
            <w:tcBorders>
              <w:top w:val="single" w:sz="5" w:space="0" w:color="000000"/>
              <w:left w:val="single" w:sz="5" w:space="0" w:color="000000"/>
              <w:bottom w:val="single" w:sz="5" w:space="0" w:color="000000"/>
              <w:right w:val="single" w:sz="5" w:space="0" w:color="000000"/>
            </w:tcBorders>
          </w:tcPr>
          <w:p w:rsidR="00905F59" w:rsidRDefault="00E31954" w:rsidP="003E628F">
            <w:pPr>
              <w:pStyle w:val="TableParagraph"/>
              <w:jc w:val="both"/>
              <w:rPr>
                <w:rFonts w:ascii="Times New Roman" w:hAnsi="Times New Roman" w:cs="Times New Roman"/>
                <w:b/>
                <w:noProof/>
                <w:sz w:val="20"/>
                <w:szCs w:val="20"/>
              </w:rPr>
            </w:pPr>
            <w:r>
              <w:rPr>
                <w:rFonts w:ascii="Times New Roman" w:hAnsi="Times New Roman"/>
                <w:b/>
                <w:noProof/>
                <w:sz w:val="20"/>
              </w:rPr>
              <w:t>Kā iesaistītā dalībvalsts</w:t>
            </w:r>
          </w:p>
          <w:p w:rsidR="00E31954" w:rsidRPr="00E31954" w:rsidRDefault="00E31954" w:rsidP="003E628F">
            <w:pPr>
              <w:pStyle w:val="TableParagraph"/>
              <w:jc w:val="both"/>
              <w:rPr>
                <w:rFonts w:ascii="Times New Roman" w:hAnsi="Times New Roman" w:cs="Times New Roman"/>
                <w:noProof/>
                <w:sz w:val="20"/>
                <w:szCs w:val="20"/>
              </w:rPr>
            </w:pPr>
            <w:r>
              <w:rPr>
                <w:rFonts w:ascii="Times New Roman" w:hAnsi="Times New Roman"/>
                <w:noProof/>
                <w:sz w:val="20"/>
              </w:rPr>
              <w:t xml:space="preserve">Nav pieredzes ar </w:t>
            </w:r>
            <w:r>
              <w:rPr>
                <w:rFonts w:ascii="Times New Roman" w:hAnsi="Times New Roman"/>
                <w:i/>
                <w:noProof/>
                <w:sz w:val="20"/>
              </w:rPr>
              <w:t>SASP</w:t>
            </w:r>
            <w:r>
              <w:rPr>
                <w:rFonts w:ascii="Times New Roman" w:hAnsi="Times New Roman"/>
                <w:noProof/>
                <w:sz w:val="20"/>
              </w:rPr>
              <w:t>.</w:t>
            </w:r>
          </w:p>
        </w:tc>
        <w:tc>
          <w:tcPr>
            <w:tcW w:w="2330" w:type="pct"/>
            <w:tcBorders>
              <w:top w:val="single" w:sz="5" w:space="0" w:color="000000"/>
              <w:left w:val="single" w:sz="5" w:space="0" w:color="000000"/>
              <w:bottom w:val="single" w:sz="5" w:space="0" w:color="000000"/>
              <w:right w:val="single" w:sz="5" w:space="0" w:color="000000"/>
            </w:tcBorders>
          </w:tcPr>
          <w:p w:rsidR="00905F59" w:rsidRDefault="00E31954" w:rsidP="003E628F">
            <w:pPr>
              <w:pStyle w:val="TableParagraph"/>
              <w:jc w:val="both"/>
              <w:rPr>
                <w:rFonts w:ascii="Times New Roman" w:hAnsi="Times New Roman" w:cs="Times New Roman"/>
                <w:b/>
                <w:noProof/>
                <w:sz w:val="20"/>
                <w:szCs w:val="20"/>
              </w:rPr>
            </w:pPr>
            <w:r>
              <w:rPr>
                <w:rFonts w:ascii="Times New Roman" w:hAnsi="Times New Roman"/>
                <w:b/>
                <w:noProof/>
                <w:sz w:val="20"/>
              </w:rPr>
              <w:t>Kā iesaistītā dalībvalsts</w:t>
            </w:r>
          </w:p>
          <w:p w:rsidR="00E31954" w:rsidRPr="00E31954" w:rsidRDefault="00E31954" w:rsidP="003E628F">
            <w:pPr>
              <w:pStyle w:val="TableParagraph"/>
              <w:jc w:val="both"/>
              <w:rPr>
                <w:rFonts w:ascii="Times New Roman" w:hAnsi="Times New Roman" w:cs="Times New Roman"/>
                <w:noProof/>
                <w:sz w:val="20"/>
                <w:szCs w:val="20"/>
              </w:rPr>
            </w:pPr>
            <w:r>
              <w:rPr>
                <w:rFonts w:ascii="Times New Roman" w:hAnsi="Times New Roman"/>
                <w:noProof/>
                <w:sz w:val="20"/>
              </w:rPr>
              <w:t xml:space="preserve">Nav pieredzes ar </w:t>
            </w:r>
            <w:r>
              <w:rPr>
                <w:rFonts w:ascii="Times New Roman" w:hAnsi="Times New Roman"/>
                <w:i/>
                <w:noProof/>
                <w:sz w:val="20"/>
              </w:rPr>
              <w:t>SASP</w:t>
            </w:r>
            <w:r>
              <w:rPr>
                <w:rFonts w:ascii="Times New Roman" w:hAnsi="Times New Roman"/>
                <w:noProof/>
                <w:sz w:val="20"/>
              </w:rPr>
              <w:t>.</w:t>
            </w:r>
          </w:p>
        </w:tc>
      </w:tr>
      <w:tr w:rsidR="00905F59" w:rsidRPr="00D85CB7" w:rsidTr="00FF42EE">
        <w:tc>
          <w:tcPr>
            <w:tcW w:w="0" w:type="auto"/>
            <w:tcBorders>
              <w:top w:val="single" w:sz="5" w:space="0" w:color="000000"/>
              <w:left w:val="single" w:sz="5" w:space="0" w:color="000000"/>
              <w:bottom w:val="single" w:sz="5" w:space="0" w:color="000000"/>
              <w:right w:val="single" w:sz="5" w:space="0" w:color="000000"/>
            </w:tcBorders>
          </w:tcPr>
          <w:p w:rsidR="00905F59" w:rsidRPr="00D85CB7" w:rsidRDefault="00E31954" w:rsidP="003E628F">
            <w:pPr>
              <w:pStyle w:val="TableParagraph"/>
              <w:jc w:val="both"/>
              <w:rPr>
                <w:rFonts w:ascii="Times New Roman" w:hAnsi="Times New Roman" w:cs="Times New Roman"/>
                <w:b/>
                <w:noProof/>
                <w:sz w:val="20"/>
                <w:szCs w:val="20"/>
              </w:rPr>
            </w:pPr>
            <w:r>
              <w:rPr>
                <w:rFonts w:ascii="Times New Roman" w:hAnsi="Times New Roman"/>
                <w:b/>
                <w:noProof/>
                <w:sz w:val="20"/>
              </w:rPr>
              <w:t>Luksemburga</w:t>
            </w:r>
          </w:p>
        </w:tc>
        <w:tc>
          <w:tcPr>
            <w:tcW w:w="1982" w:type="pct"/>
            <w:tcBorders>
              <w:top w:val="single" w:sz="5" w:space="0" w:color="000000"/>
              <w:left w:val="single" w:sz="5" w:space="0" w:color="000000"/>
              <w:bottom w:val="single" w:sz="5" w:space="0" w:color="000000"/>
              <w:right w:val="single" w:sz="5" w:space="0" w:color="000000"/>
            </w:tcBorders>
          </w:tcPr>
          <w:p w:rsidR="00905F59" w:rsidRDefault="00E31954" w:rsidP="003E628F">
            <w:pPr>
              <w:pStyle w:val="TableParagraph"/>
              <w:jc w:val="both"/>
              <w:rPr>
                <w:rFonts w:ascii="Times New Roman" w:hAnsi="Times New Roman" w:cs="Times New Roman"/>
                <w:b/>
                <w:noProof/>
                <w:sz w:val="20"/>
                <w:szCs w:val="20"/>
              </w:rPr>
            </w:pPr>
            <w:r>
              <w:rPr>
                <w:rFonts w:ascii="Times New Roman" w:hAnsi="Times New Roman"/>
                <w:b/>
                <w:noProof/>
                <w:sz w:val="20"/>
              </w:rPr>
              <w:t>Kā izsniedzēja dalībvalsts</w:t>
            </w:r>
          </w:p>
          <w:p w:rsidR="00E31954" w:rsidRPr="00E31954" w:rsidRDefault="00E31954" w:rsidP="003E628F">
            <w:pPr>
              <w:pStyle w:val="TableParagraph"/>
              <w:jc w:val="both"/>
              <w:rPr>
                <w:rFonts w:ascii="Times New Roman" w:hAnsi="Times New Roman" w:cs="Times New Roman"/>
                <w:noProof/>
                <w:sz w:val="20"/>
                <w:szCs w:val="20"/>
              </w:rPr>
            </w:pPr>
            <w:r>
              <w:rPr>
                <w:rFonts w:ascii="Times New Roman" w:hAnsi="Times New Roman"/>
                <w:noProof/>
                <w:sz w:val="20"/>
              </w:rPr>
              <w:t xml:space="preserve">Nav pieredzes ar </w:t>
            </w:r>
            <w:r>
              <w:rPr>
                <w:rFonts w:ascii="Times New Roman" w:hAnsi="Times New Roman"/>
                <w:i/>
                <w:noProof/>
                <w:sz w:val="20"/>
              </w:rPr>
              <w:t>SASP</w:t>
            </w:r>
            <w:r>
              <w:rPr>
                <w:rFonts w:ascii="Times New Roman" w:hAnsi="Times New Roman"/>
                <w:noProof/>
                <w:sz w:val="20"/>
              </w:rPr>
              <w:t>.</w:t>
            </w:r>
          </w:p>
        </w:tc>
        <w:tc>
          <w:tcPr>
            <w:tcW w:w="2330" w:type="pct"/>
            <w:tcBorders>
              <w:top w:val="single" w:sz="5" w:space="0" w:color="000000"/>
              <w:left w:val="single" w:sz="5" w:space="0" w:color="000000"/>
              <w:bottom w:val="single" w:sz="5" w:space="0" w:color="000000"/>
              <w:right w:val="single" w:sz="5" w:space="0" w:color="000000"/>
            </w:tcBorders>
          </w:tcPr>
          <w:p w:rsidR="00905F59" w:rsidRDefault="00E31954" w:rsidP="003E628F">
            <w:pPr>
              <w:pStyle w:val="TableParagraph"/>
              <w:jc w:val="both"/>
              <w:rPr>
                <w:rFonts w:ascii="Times New Roman" w:hAnsi="Times New Roman" w:cs="Times New Roman"/>
                <w:b/>
                <w:noProof/>
                <w:sz w:val="20"/>
                <w:szCs w:val="20"/>
              </w:rPr>
            </w:pPr>
            <w:r>
              <w:rPr>
                <w:rFonts w:ascii="Times New Roman" w:hAnsi="Times New Roman"/>
                <w:b/>
                <w:noProof/>
                <w:sz w:val="20"/>
              </w:rPr>
              <w:t>Kā izsniedzēja dalībvalsts</w:t>
            </w:r>
          </w:p>
          <w:p w:rsidR="00E31954" w:rsidRPr="00E31954" w:rsidRDefault="00E31954" w:rsidP="003E628F">
            <w:pPr>
              <w:pStyle w:val="TableParagraph"/>
              <w:jc w:val="both"/>
              <w:rPr>
                <w:rFonts w:ascii="Times New Roman" w:hAnsi="Times New Roman" w:cs="Times New Roman"/>
                <w:noProof/>
                <w:sz w:val="20"/>
                <w:szCs w:val="20"/>
              </w:rPr>
            </w:pPr>
            <w:r>
              <w:rPr>
                <w:rFonts w:ascii="Times New Roman" w:hAnsi="Times New Roman"/>
                <w:noProof/>
                <w:sz w:val="20"/>
              </w:rPr>
              <w:t xml:space="preserve">Nav pieredzes ar </w:t>
            </w:r>
            <w:r>
              <w:rPr>
                <w:rFonts w:ascii="Times New Roman" w:hAnsi="Times New Roman"/>
                <w:i/>
                <w:noProof/>
                <w:sz w:val="20"/>
              </w:rPr>
              <w:t>SASP</w:t>
            </w:r>
            <w:r>
              <w:rPr>
                <w:rFonts w:ascii="Times New Roman" w:hAnsi="Times New Roman"/>
                <w:noProof/>
                <w:sz w:val="20"/>
              </w:rPr>
              <w:t>.</w:t>
            </w:r>
          </w:p>
        </w:tc>
      </w:tr>
      <w:tr w:rsidR="00905F59" w:rsidRPr="00D85CB7" w:rsidTr="00FF42EE">
        <w:tc>
          <w:tcPr>
            <w:tcW w:w="0" w:type="auto"/>
            <w:tcBorders>
              <w:top w:val="single" w:sz="5" w:space="0" w:color="000000"/>
              <w:left w:val="single" w:sz="5" w:space="0" w:color="000000"/>
              <w:bottom w:val="single" w:sz="5" w:space="0" w:color="000000"/>
              <w:right w:val="single" w:sz="5" w:space="0" w:color="000000"/>
            </w:tcBorders>
          </w:tcPr>
          <w:p w:rsidR="00905F59" w:rsidRPr="00D85CB7" w:rsidRDefault="00905F59" w:rsidP="003E628F">
            <w:pPr>
              <w:pStyle w:val="TableParagraph"/>
              <w:jc w:val="both"/>
              <w:rPr>
                <w:rFonts w:ascii="Times New Roman" w:hAnsi="Times New Roman" w:cs="Times New Roman"/>
                <w:b/>
                <w:noProof/>
                <w:sz w:val="20"/>
                <w:szCs w:val="20"/>
              </w:rPr>
            </w:pPr>
          </w:p>
        </w:tc>
        <w:tc>
          <w:tcPr>
            <w:tcW w:w="1982" w:type="pct"/>
            <w:tcBorders>
              <w:top w:val="single" w:sz="5" w:space="0" w:color="000000"/>
              <w:left w:val="single" w:sz="5" w:space="0" w:color="000000"/>
              <w:bottom w:val="single" w:sz="5" w:space="0" w:color="000000"/>
              <w:right w:val="single" w:sz="5" w:space="0" w:color="000000"/>
            </w:tcBorders>
          </w:tcPr>
          <w:p w:rsidR="00905F59" w:rsidRDefault="00E31954" w:rsidP="003E628F">
            <w:pPr>
              <w:pStyle w:val="TableParagraph"/>
              <w:jc w:val="both"/>
              <w:rPr>
                <w:rFonts w:ascii="Times New Roman" w:hAnsi="Times New Roman" w:cs="Times New Roman"/>
                <w:b/>
                <w:noProof/>
                <w:sz w:val="20"/>
                <w:szCs w:val="20"/>
              </w:rPr>
            </w:pPr>
            <w:r>
              <w:rPr>
                <w:rFonts w:ascii="Times New Roman" w:hAnsi="Times New Roman"/>
                <w:b/>
                <w:noProof/>
                <w:sz w:val="20"/>
              </w:rPr>
              <w:t>Kā iesaistītā dalībvalsts</w:t>
            </w:r>
          </w:p>
          <w:p w:rsidR="00E31954" w:rsidRPr="00E31954" w:rsidRDefault="00E31954" w:rsidP="003E628F">
            <w:pPr>
              <w:pStyle w:val="TableParagraph"/>
              <w:jc w:val="both"/>
              <w:rPr>
                <w:rFonts w:ascii="Times New Roman" w:hAnsi="Times New Roman" w:cs="Times New Roman"/>
                <w:noProof/>
                <w:sz w:val="20"/>
                <w:szCs w:val="20"/>
              </w:rPr>
            </w:pPr>
            <w:r>
              <w:rPr>
                <w:rFonts w:ascii="Times New Roman" w:hAnsi="Times New Roman"/>
                <w:noProof/>
                <w:sz w:val="20"/>
              </w:rPr>
              <w:t>Nav atbildes</w:t>
            </w:r>
          </w:p>
        </w:tc>
        <w:tc>
          <w:tcPr>
            <w:tcW w:w="2330" w:type="pct"/>
            <w:tcBorders>
              <w:top w:val="single" w:sz="5" w:space="0" w:color="000000"/>
              <w:left w:val="single" w:sz="5" w:space="0" w:color="000000"/>
              <w:bottom w:val="single" w:sz="5" w:space="0" w:color="000000"/>
              <w:right w:val="single" w:sz="5" w:space="0" w:color="000000"/>
            </w:tcBorders>
          </w:tcPr>
          <w:p w:rsidR="00905F59" w:rsidRDefault="00E31954" w:rsidP="003E628F">
            <w:pPr>
              <w:pStyle w:val="TableParagraph"/>
              <w:jc w:val="both"/>
              <w:rPr>
                <w:rFonts w:ascii="Times New Roman" w:hAnsi="Times New Roman" w:cs="Times New Roman"/>
                <w:b/>
                <w:noProof/>
                <w:sz w:val="20"/>
                <w:szCs w:val="20"/>
              </w:rPr>
            </w:pPr>
            <w:r>
              <w:rPr>
                <w:rFonts w:ascii="Times New Roman" w:hAnsi="Times New Roman"/>
                <w:b/>
                <w:noProof/>
                <w:sz w:val="20"/>
              </w:rPr>
              <w:t>Kā iesaistītā dalībvalsts</w:t>
            </w:r>
          </w:p>
          <w:p w:rsidR="00E31954" w:rsidRDefault="00E31954" w:rsidP="003E628F">
            <w:pPr>
              <w:pStyle w:val="TableParagraph"/>
              <w:jc w:val="both"/>
              <w:rPr>
                <w:rFonts w:ascii="Times New Roman" w:hAnsi="Times New Roman" w:cs="Times New Roman"/>
                <w:noProof/>
                <w:sz w:val="20"/>
                <w:szCs w:val="20"/>
              </w:rPr>
            </w:pPr>
            <w:r>
              <w:rPr>
                <w:rFonts w:ascii="Times New Roman" w:hAnsi="Times New Roman"/>
                <w:i/>
                <w:noProof/>
                <w:sz w:val="20"/>
              </w:rPr>
              <w:t>IBM Deutschland GmBH:</w:t>
            </w:r>
            <w:r>
              <w:rPr>
                <w:rFonts w:ascii="Times New Roman" w:hAnsi="Times New Roman"/>
                <w:noProof/>
                <w:sz w:val="20"/>
              </w:rPr>
              <w:t xml:space="preserve"> </w:t>
            </w:r>
            <w:r>
              <w:rPr>
                <w:rFonts w:ascii="Times New Roman" w:hAnsi="Times New Roman"/>
                <w:i/>
                <w:noProof/>
                <w:sz w:val="20"/>
              </w:rPr>
              <w:t xml:space="preserve">DE/3200/a1/1007 </w:t>
            </w:r>
            <w:r>
              <w:rPr>
                <w:rFonts w:ascii="Times New Roman" w:hAnsi="Times New Roman"/>
                <w:i/>
                <w:noProof/>
                <w:sz w:val="20"/>
              </w:rPr>
              <w:lastRenderedPageBreak/>
              <w:t>Zollamt Darmstadt</w:t>
            </w:r>
            <w:r>
              <w:rPr>
                <w:rFonts w:ascii="Times New Roman" w:hAnsi="Times New Roman"/>
                <w:noProof/>
                <w:sz w:val="20"/>
              </w:rPr>
              <w:t xml:space="preserve"> (iesaistītās valstis: Vācija, Austrija, Luksemburga, Nīderlande).</w:t>
            </w:r>
          </w:p>
          <w:p w:rsidR="00E31954" w:rsidRDefault="00E31954" w:rsidP="003E628F">
            <w:pPr>
              <w:pStyle w:val="TableParagraph"/>
              <w:jc w:val="both"/>
              <w:rPr>
                <w:rFonts w:ascii="Times New Roman" w:hAnsi="Times New Roman" w:cs="Times New Roman"/>
                <w:noProof/>
                <w:sz w:val="20"/>
                <w:szCs w:val="20"/>
              </w:rPr>
            </w:pPr>
          </w:p>
          <w:p w:rsidR="00E31954" w:rsidRPr="00E31954" w:rsidRDefault="00E31954" w:rsidP="003E628F">
            <w:pPr>
              <w:pStyle w:val="TableParagraph"/>
              <w:jc w:val="both"/>
              <w:rPr>
                <w:rFonts w:ascii="Times New Roman" w:hAnsi="Times New Roman" w:cs="Times New Roman"/>
                <w:noProof/>
                <w:sz w:val="20"/>
                <w:szCs w:val="20"/>
              </w:rPr>
            </w:pPr>
            <w:r>
              <w:rPr>
                <w:rFonts w:ascii="Times New Roman" w:hAnsi="Times New Roman"/>
                <w:noProof/>
                <w:sz w:val="20"/>
              </w:rPr>
              <w:t xml:space="preserve">Saskaņā ar atļauju (atļauja Nr. 999000030, 05.05.2006.), kā to ir apstiprinājuši Luksemburgas muitas dienesti, </w:t>
            </w:r>
            <w:r>
              <w:rPr>
                <w:rFonts w:ascii="Times New Roman" w:hAnsi="Times New Roman"/>
                <w:i/>
                <w:noProof/>
                <w:sz w:val="20"/>
              </w:rPr>
              <w:t>Extrastat</w:t>
            </w:r>
            <w:r>
              <w:rPr>
                <w:rFonts w:ascii="Times New Roman" w:hAnsi="Times New Roman"/>
                <w:noProof/>
                <w:sz w:val="20"/>
              </w:rPr>
              <w:t xml:space="preserve"> dati tiek nosūtīti </w:t>
            </w:r>
            <w:r>
              <w:rPr>
                <w:rFonts w:ascii="Times New Roman" w:hAnsi="Times New Roman"/>
                <w:i/>
                <w:noProof/>
                <w:sz w:val="20"/>
              </w:rPr>
              <w:t>Service central de la statistique et des études économiques</w:t>
            </w:r>
            <w:r>
              <w:rPr>
                <w:rFonts w:ascii="Times New Roman" w:hAnsi="Times New Roman"/>
                <w:noProof/>
                <w:sz w:val="20"/>
              </w:rPr>
              <w:t>.</w:t>
            </w:r>
          </w:p>
        </w:tc>
      </w:tr>
      <w:tr w:rsidR="00905F59" w:rsidRPr="00D85CB7" w:rsidTr="00FF42EE">
        <w:tc>
          <w:tcPr>
            <w:tcW w:w="0" w:type="auto"/>
            <w:tcBorders>
              <w:top w:val="single" w:sz="5" w:space="0" w:color="000000"/>
              <w:left w:val="single" w:sz="5" w:space="0" w:color="000000"/>
              <w:bottom w:val="single" w:sz="5" w:space="0" w:color="000000"/>
              <w:right w:val="single" w:sz="5" w:space="0" w:color="000000"/>
            </w:tcBorders>
          </w:tcPr>
          <w:p w:rsidR="00905F59" w:rsidRPr="00D85CB7" w:rsidRDefault="00E31954" w:rsidP="003E628F">
            <w:pPr>
              <w:pStyle w:val="TableParagraph"/>
              <w:jc w:val="both"/>
              <w:rPr>
                <w:rFonts w:ascii="Times New Roman" w:hAnsi="Times New Roman" w:cs="Times New Roman"/>
                <w:b/>
                <w:noProof/>
                <w:sz w:val="20"/>
                <w:szCs w:val="20"/>
              </w:rPr>
            </w:pPr>
            <w:r>
              <w:rPr>
                <w:rFonts w:ascii="Times New Roman" w:hAnsi="Times New Roman"/>
                <w:b/>
                <w:noProof/>
                <w:sz w:val="20"/>
              </w:rPr>
              <w:lastRenderedPageBreak/>
              <w:t>Dānija</w:t>
            </w:r>
          </w:p>
        </w:tc>
        <w:tc>
          <w:tcPr>
            <w:tcW w:w="1982" w:type="pct"/>
            <w:tcBorders>
              <w:top w:val="single" w:sz="5" w:space="0" w:color="000000"/>
              <w:left w:val="single" w:sz="5" w:space="0" w:color="000000"/>
              <w:bottom w:val="single" w:sz="5" w:space="0" w:color="000000"/>
              <w:right w:val="single" w:sz="5" w:space="0" w:color="000000"/>
            </w:tcBorders>
          </w:tcPr>
          <w:p w:rsidR="00905F59" w:rsidRDefault="00E31954" w:rsidP="003E628F">
            <w:pPr>
              <w:pStyle w:val="TableParagraph"/>
              <w:jc w:val="both"/>
              <w:rPr>
                <w:rFonts w:ascii="Times New Roman" w:hAnsi="Times New Roman" w:cs="Times New Roman"/>
                <w:b/>
                <w:noProof/>
                <w:sz w:val="20"/>
                <w:szCs w:val="20"/>
              </w:rPr>
            </w:pPr>
            <w:r>
              <w:rPr>
                <w:rFonts w:ascii="Times New Roman" w:hAnsi="Times New Roman"/>
                <w:b/>
                <w:noProof/>
                <w:sz w:val="20"/>
              </w:rPr>
              <w:t>Kā izsniedzēja dalībvalsts</w:t>
            </w:r>
          </w:p>
          <w:p w:rsidR="00E31954" w:rsidRPr="00E31954" w:rsidRDefault="00E31954" w:rsidP="003E628F">
            <w:pPr>
              <w:pStyle w:val="TableParagraph"/>
              <w:jc w:val="both"/>
              <w:rPr>
                <w:rFonts w:ascii="Times New Roman" w:hAnsi="Times New Roman" w:cs="Times New Roman"/>
                <w:noProof/>
                <w:sz w:val="20"/>
                <w:szCs w:val="20"/>
              </w:rPr>
            </w:pPr>
            <w:r>
              <w:rPr>
                <w:rFonts w:ascii="Times New Roman" w:hAnsi="Times New Roman"/>
                <w:noProof/>
                <w:sz w:val="20"/>
              </w:rPr>
              <w:t xml:space="preserve">Nav pieredzes ar </w:t>
            </w:r>
            <w:r>
              <w:rPr>
                <w:rFonts w:ascii="Times New Roman" w:hAnsi="Times New Roman"/>
                <w:i/>
                <w:noProof/>
                <w:sz w:val="20"/>
              </w:rPr>
              <w:t>SASP</w:t>
            </w:r>
            <w:r>
              <w:rPr>
                <w:rFonts w:ascii="Times New Roman" w:hAnsi="Times New Roman"/>
                <w:noProof/>
                <w:sz w:val="20"/>
              </w:rPr>
              <w:t>.</w:t>
            </w:r>
          </w:p>
        </w:tc>
        <w:tc>
          <w:tcPr>
            <w:tcW w:w="2330" w:type="pct"/>
            <w:tcBorders>
              <w:top w:val="single" w:sz="5" w:space="0" w:color="000000"/>
              <w:left w:val="single" w:sz="5" w:space="0" w:color="000000"/>
              <w:bottom w:val="single" w:sz="5" w:space="0" w:color="000000"/>
              <w:right w:val="single" w:sz="5" w:space="0" w:color="000000"/>
            </w:tcBorders>
          </w:tcPr>
          <w:p w:rsidR="00905F59" w:rsidRDefault="00E31954" w:rsidP="003E628F">
            <w:pPr>
              <w:pStyle w:val="TableParagraph"/>
              <w:jc w:val="both"/>
              <w:rPr>
                <w:rFonts w:ascii="Times New Roman" w:hAnsi="Times New Roman" w:cs="Times New Roman"/>
                <w:b/>
                <w:noProof/>
                <w:sz w:val="20"/>
                <w:szCs w:val="20"/>
              </w:rPr>
            </w:pPr>
            <w:r>
              <w:rPr>
                <w:rFonts w:ascii="Times New Roman" w:hAnsi="Times New Roman"/>
                <w:b/>
                <w:noProof/>
                <w:sz w:val="20"/>
              </w:rPr>
              <w:t>Kā izsniedzēja dalībvalsts</w:t>
            </w:r>
          </w:p>
          <w:p w:rsidR="00E31954" w:rsidRPr="00E31954" w:rsidRDefault="00E31954" w:rsidP="003E628F">
            <w:pPr>
              <w:pStyle w:val="TableParagraph"/>
              <w:jc w:val="both"/>
              <w:rPr>
                <w:rFonts w:ascii="Times New Roman" w:hAnsi="Times New Roman" w:cs="Times New Roman"/>
                <w:noProof/>
                <w:sz w:val="20"/>
                <w:szCs w:val="20"/>
              </w:rPr>
            </w:pPr>
            <w:r>
              <w:rPr>
                <w:rFonts w:ascii="Times New Roman" w:hAnsi="Times New Roman"/>
                <w:noProof/>
                <w:sz w:val="20"/>
              </w:rPr>
              <w:t xml:space="preserve">Nav pieredzes ar </w:t>
            </w:r>
            <w:r>
              <w:rPr>
                <w:rFonts w:ascii="Times New Roman" w:hAnsi="Times New Roman"/>
                <w:i/>
                <w:noProof/>
                <w:sz w:val="20"/>
              </w:rPr>
              <w:t>SASP</w:t>
            </w:r>
            <w:r>
              <w:rPr>
                <w:rFonts w:ascii="Times New Roman" w:hAnsi="Times New Roman"/>
                <w:noProof/>
                <w:sz w:val="20"/>
              </w:rPr>
              <w:t>.</w:t>
            </w:r>
          </w:p>
        </w:tc>
      </w:tr>
      <w:tr w:rsidR="00905F59" w:rsidRPr="00D85CB7" w:rsidTr="00FF42EE">
        <w:tc>
          <w:tcPr>
            <w:tcW w:w="0" w:type="auto"/>
            <w:tcBorders>
              <w:top w:val="single" w:sz="5" w:space="0" w:color="000000"/>
              <w:left w:val="single" w:sz="5" w:space="0" w:color="000000"/>
              <w:bottom w:val="single" w:sz="5" w:space="0" w:color="000000"/>
              <w:right w:val="single" w:sz="5" w:space="0" w:color="000000"/>
            </w:tcBorders>
          </w:tcPr>
          <w:p w:rsidR="00905F59" w:rsidRPr="00D85CB7" w:rsidRDefault="00905F59" w:rsidP="003E628F">
            <w:pPr>
              <w:pStyle w:val="TableParagraph"/>
              <w:jc w:val="both"/>
              <w:rPr>
                <w:rFonts w:ascii="Times New Roman" w:hAnsi="Times New Roman" w:cs="Times New Roman"/>
                <w:b/>
                <w:noProof/>
                <w:sz w:val="20"/>
                <w:szCs w:val="20"/>
              </w:rPr>
            </w:pPr>
          </w:p>
        </w:tc>
        <w:tc>
          <w:tcPr>
            <w:tcW w:w="1982" w:type="pct"/>
            <w:tcBorders>
              <w:top w:val="single" w:sz="5" w:space="0" w:color="000000"/>
              <w:left w:val="single" w:sz="5" w:space="0" w:color="000000"/>
              <w:bottom w:val="single" w:sz="5" w:space="0" w:color="000000"/>
              <w:right w:val="single" w:sz="5" w:space="0" w:color="000000"/>
            </w:tcBorders>
          </w:tcPr>
          <w:p w:rsidR="00905F59" w:rsidRDefault="00E31954" w:rsidP="003E628F">
            <w:pPr>
              <w:pStyle w:val="TableParagraph"/>
              <w:jc w:val="both"/>
              <w:rPr>
                <w:rFonts w:ascii="Times New Roman" w:hAnsi="Times New Roman" w:cs="Times New Roman"/>
                <w:b/>
                <w:noProof/>
                <w:sz w:val="20"/>
                <w:szCs w:val="20"/>
              </w:rPr>
            </w:pPr>
            <w:r>
              <w:rPr>
                <w:rFonts w:ascii="Times New Roman" w:hAnsi="Times New Roman"/>
                <w:b/>
                <w:noProof/>
                <w:sz w:val="20"/>
              </w:rPr>
              <w:t>Kā iesaistītā dalībvalsts</w:t>
            </w:r>
          </w:p>
          <w:p w:rsidR="00E31954" w:rsidRPr="00E31954" w:rsidRDefault="00E31954" w:rsidP="003E628F">
            <w:pPr>
              <w:pStyle w:val="TableParagraph"/>
              <w:jc w:val="both"/>
              <w:rPr>
                <w:rFonts w:ascii="Times New Roman" w:hAnsi="Times New Roman" w:cs="Times New Roman"/>
                <w:noProof/>
                <w:sz w:val="20"/>
                <w:szCs w:val="20"/>
              </w:rPr>
            </w:pPr>
            <w:r>
              <w:rPr>
                <w:rFonts w:ascii="Times New Roman" w:hAnsi="Times New Roman"/>
                <w:noProof/>
                <w:sz w:val="20"/>
              </w:rPr>
              <w:t xml:space="preserve">Nav pieredzes ar </w:t>
            </w:r>
            <w:r>
              <w:rPr>
                <w:rFonts w:ascii="Times New Roman" w:hAnsi="Times New Roman"/>
                <w:i/>
                <w:noProof/>
                <w:sz w:val="20"/>
              </w:rPr>
              <w:t>SASP</w:t>
            </w:r>
            <w:r>
              <w:rPr>
                <w:rFonts w:ascii="Times New Roman" w:hAnsi="Times New Roman"/>
                <w:noProof/>
                <w:sz w:val="20"/>
              </w:rPr>
              <w:t>.</w:t>
            </w:r>
          </w:p>
        </w:tc>
        <w:tc>
          <w:tcPr>
            <w:tcW w:w="2330" w:type="pct"/>
            <w:tcBorders>
              <w:top w:val="single" w:sz="5" w:space="0" w:color="000000"/>
              <w:left w:val="single" w:sz="5" w:space="0" w:color="000000"/>
              <w:bottom w:val="single" w:sz="5" w:space="0" w:color="000000"/>
              <w:right w:val="single" w:sz="5" w:space="0" w:color="000000"/>
            </w:tcBorders>
          </w:tcPr>
          <w:p w:rsidR="00905F59" w:rsidRDefault="00E31954" w:rsidP="003E628F">
            <w:pPr>
              <w:pStyle w:val="TableParagraph"/>
              <w:jc w:val="both"/>
              <w:rPr>
                <w:rFonts w:ascii="Times New Roman" w:hAnsi="Times New Roman" w:cs="Times New Roman"/>
                <w:b/>
                <w:noProof/>
                <w:sz w:val="20"/>
                <w:szCs w:val="20"/>
              </w:rPr>
            </w:pPr>
            <w:r>
              <w:rPr>
                <w:rFonts w:ascii="Times New Roman" w:hAnsi="Times New Roman"/>
                <w:b/>
                <w:noProof/>
                <w:sz w:val="20"/>
              </w:rPr>
              <w:t>Kā iesaistītā dalībvalsts</w:t>
            </w:r>
          </w:p>
          <w:p w:rsidR="00E31954" w:rsidRPr="00E31954" w:rsidRDefault="00E31954" w:rsidP="003E628F">
            <w:pPr>
              <w:pStyle w:val="TableParagraph"/>
              <w:jc w:val="both"/>
              <w:rPr>
                <w:rFonts w:ascii="Times New Roman" w:hAnsi="Times New Roman" w:cs="Times New Roman"/>
                <w:noProof/>
                <w:sz w:val="20"/>
                <w:szCs w:val="20"/>
              </w:rPr>
            </w:pPr>
            <w:r>
              <w:rPr>
                <w:rFonts w:ascii="Times New Roman" w:hAnsi="Times New Roman"/>
                <w:noProof/>
                <w:sz w:val="20"/>
              </w:rPr>
              <w:t xml:space="preserve">Nav pieredzes ar </w:t>
            </w:r>
            <w:r>
              <w:rPr>
                <w:rFonts w:ascii="Times New Roman" w:hAnsi="Times New Roman"/>
                <w:i/>
                <w:noProof/>
                <w:sz w:val="20"/>
              </w:rPr>
              <w:t>SASP</w:t>
            </w:r>
            <w:r>
              <w:rPr>
                <w:rFonts w:ascii="Times New Roman" w:hAnsi="Times New Roman"/>
                <w:noProof/>
                <w:sz w:val="20"/>
              </w:rPr>
              <w:t>.</w:t>
            </w:r>
          </w:p>
        </w:tc>
      </w:tr>
      <w:tr w:rsidR="00905F59" w:rsidRPr="00D85CB7" w:rsidTr="00FF42EE">
        <w:tc>
          <w:tcPr>
            <w:tcW w:w="0" w:type="auto"/>
            <w:tcBorders>
              <w:top w:val="single" w:sz="5" w:space="0" w:color="000000"/>
              <w:left w:val="single" w:sz="5" w:space="0" w:color="000000"/>
              <w:bottom w:val="single" w:sz="5" w:space="0" w:color="000000"/>
              <w:right w:val="single" w:sz="5" w:space="0" w:color="000000"/>
            </w:tcBorders>
          </w:tcPr>
          <w:p w:rsidR="00905F59" w:rsidRPr="00D85CB7" w:rsidRDefault="00E31954" w:rsidP="003E628F">
            <w:pPr>
              <w:pStyle w:val="TableParagraph"/>
              <w:jc w:val="both"/>
              <w:rPr>
                <w:rFonts w:ascii="Times New Roman" w:hAnsi="Times New Roman" w:cs="Times New Roman"/>
                <w:b/>
                <w:noProof/>
                <w:sz w:val="20"/>
                <w:szCs w:val="20"/>
              </w:rPr>
            </w:pPr>
            <w:r>
              <w:rPr>
                <w:rFonts w:ascii="Times New Roman" w:hAnsi="Times New Roman"/>
                <w:b/>
                <w:noProof/>
                <w:sz w:val="20"/>
              </w:rPr>
              <w:t>Vācija</w:t>
            </w:r>
          </w:p>
        </w:tc>
        <w:tc>
          <w:tcPr>
            <w:tcW w:w="1982" w:type="pct"/>
            <w:tcBorders>
              <w:top w:val="single" w:sz="5" w:space="0" w:color="000000"/>
              <w:left w:val="single" w:sz="5" w:space="0" w:color="000000"/>
              <w:bottom w:val="single" w:sz="5" w:space="0" w:color="000000"/>
              <w:right w:val="single" w:sz="5" w:space="0" w:color="000000"/>
            </w:tcBorders>
          </w:tcPr>
          <w:p w:rsidR="00905F59" w:rsidRPr="00D85CB7" w:rsidRDefault="00E31954" w:rsidP="00235F85">
            <w:pPr>
              <w:pStyle w:val="TableParagraph"/>
              <w:jc w:val="center"/>
              <w:rPr>
                <w:rFonts w:ascii="Times New Roman" w:hAnsi="Times New Roman" w:cs="Times New Roman"/>
                <w:b/>
                <w:noProof/>
                <w:sz w:val="20"/>
                <w:szCs w:val="20"/>
              </w:rPr>
            </w:pPr>
            <w:r>
              <w:rPr>
                <w:rFonts w:ascii="Times New Roman" w:hAnsi="Times New Roman"/>
                <w:b/>
                <w:noProof/>
                <w:sz w:val="20"/>
              </w:rPr>
              <w:t>PVN</w:t>
            </w:r>
          </w:p>
        </w:tc>
        <w:tc>
          <w:tcPr>
            <w:tcW w:w="2330" w:type="pct"/>
            <w:tcBorders>
              <w:top w:val="single" w:sz="5" w:space="0" w:color="000000"/>
              <w:left w:val="single" w:sz="5" w:space="0" w:color="000000"/>
              <w:bottom w:val="single" w:sz="5" w:space="0" w:color="000000"/>
              <w:right w:val="single" w:sz="5" w:space="0" w:color="000000"/>
            </w:tcBorders>
          </w:tcPr>
          <w:p w:rsidR="00905F59" w:rsidRPr="00D85CB7" w:rsidRDefault="00E31954" w:rsidP="00235F85">
            <w:pPr>
              <w:pStyle w:val="TableParagraph"/>
              <w:jc w:val="center"/>
              <w:rPr>
                <w:rFonts w:ascii="Times New Roman" w:hAnsi="Times New Roman" w:cs="Times New Roman"/>
                <w:b/>
                <w:noProof/>
                <w:sz w:val="20"/>
                <w:szCs w:val="20"/>
              </w:rPr>
            </w:pPr>
            <w:r>
              <w:rPr>
                <w:rFonts w:ascii="Times New Roman" w:hAnsi="Times New Roman"/>
                <w:b/>
                <w:noProof/>
                <w:sz w:val="20"/>
              </w:rPr>
              <w:t>Statistika</w:t>
            </w:r>
          </w:p>
        </w:tc>
      </w:tr>
      <w:tr w:rsidR="00905F59" w:rsidRPr="00D85CB7" w:rsidTr="00FF42EE">
        <w:tc>
          <w:tcPr>
            <w:tcW w:w="0" w:type="auto"/>
            <w:tcBorders>
              <w:top w:val="single" w:sz="5" w:space="0" w:color="000000"/>
              <w:left w:val="single" w:sz="5" w:space="0" w:color="000000"/>
              <w:bottom w:val="single" w:sz="5" w:space="0" w:color="000000"/>
              <w:right w:val="single" w:sz="5" w:space="0" w:color="000000"/>
            </w:tcBorders>
          </w:tcPr>
          <w:p w:rsidR="00905F59" w:rsidRPr="00D85CB7" w:rsidRDefault="00905F59" w:rsidP="003E628F">
            <w:pPr>
              <w:pStyle w:val="TableParagraph"/>
              <w:jc w:val="both"/>
              <w:rPr>
                <w:rFonts w:ascii="Times New Roman" w:hAnsi="Times New Roman" w:cs="Times New Roman"/>
                <w:b/>
                <w:noProof/>
                <w:sz w:val="20"/>
                <w:szCs w:val="20"/>
              </w:rPr>
            </w:pPr>
          </w:p>
        </w:tc>
        <w:tc>
          <w:tcPr>
            <w:tcW w:w="1982" w:type="pct"/>
            <w:tcBorders>
              <w:top w:val="single" w:sz="5" w:space="0" w:color="000000"/>
              <w:left w:val="single" w:sz="5" w:space="0" w:color="000000"/>
              <w:bottom w:val="single" w:sz="5" w:space="0" w:color="000000"/>
              <w:right w:val="single" w:sz="5" w:space="0" w:color="000000"/>
            </w:tcBorders>
          </w:tcPr>
          <w:p w:rsidR="00905F59" w:rsidRPr="00D85CB7" w:rsidRDefault="00E31954" w:rsidP="00235F85">
            <w:pPr>
              <w:pStyle w:val="TableParagraph"/>
              <w:jc w:val="center"/>
              <w:rPr>
                <w:rFonts w:ascii="Times New Roman" w:hAnsi="Times New Roman" w:cs="Times New Roman"/>
                <w:b/>
                <w:noProof/>
                <w:sz w:val="20"/>
                <w:szCs w:val="20"/>
              </w:rPr>
            </w:pPr>
            <w:r>
              <w:rPr>
                <w:rFonts w:ascii="Times New Roman" w:hAnsi="Times New Roman"/>
                <w:b/>
                <w:noProof/>
                <w:sz w:val="20"/>
              </w:rPr>
              <w:t>Attiecībā uz importu</w:t>
            </w:r>
          </w:p>
        </w:tc>
        <w:tc>
          <w:tcPr>
            <w:tcW w:w="2330" w:type="pct"/>
            <w:tcBorders>
              <w:top w:val="single" w:sz="5" w:space="0" w:color="000000"/>
              <w:left w:val="single" w:sz="5" w:space="0" w:color="000000"/>
              <w:bottom w:val="single" w:sz="5" w:space="0" w:color="000000"/>
              <w:right w:val="single" w:sz="5" w:space="0" w:color="000000"/>
            </w:tcBorders>
          </w:tcPr>
          <w:p w:rsidR="00905F59" w:rsidRPr="00D85CB7" w:rsidRDefault="00E31954" w:rsidP="00235F85">
            <w:pPr>
              <w:pStyle w:val="TableParagraph"/>
              <w:jc w:val="center"/>
              <w:rPr>
                <w:rFonts w:ascii="Times New Roman" w:hAnsi="Times New Roman" w:cs="Times New Roman"/>
                <w:b/>
                <w:noProof/>
                <w:sz w:val="20"/>
                <w:szCs w:val="20"/>
              </w:rPr>
            </w:pPr>
            <w:r>
              <w:rPr>
                <w:rFonts w:ascii="Times New Roman" w:hAnsi="Times New Roman"/>
                <w:b/>
                <w:noProof/>
                <w:sz w:val="20"/>
              </w:rPr>
              <w:t>Attiecībā uz importu</w:t>
            </w:r>
          </w:p>
        </w:tc>
      </w:tr>
      <w:tr w:rsidR="00905F59" w:rsidRPr="00D85CB7" w:rsidTr="00FF42EE">
        <w:tc>
          <w:tcPr>
            <w:tcW w:w="0" w:type="auto"/>
            <w:tcBorders>
              <w:top w:val="single" w:sz="5" w:space="0" w:color="000000"/>
              <w:left w:val="single" w:sz="5" w:space="0" w:color="000000"/>
              <w:bottom w:val="single" w:sz="5" w:space="0" w:color="000000"/>
              <w:right w:val="single" w:sz="5" w:space="0" w:color="000000"/>
            </w:tcBorders>
          </w:tcPr>
          <w:p w:rsidR="00905F59" w:rsidRPr="00D85CB7" w:rsidRDefault="00905F59" w:rsidP="003E628F">
            <w:pPr>
              <w:pStyle w:val="TableParagraph"/>
              <w:jc w:val="both"/>
              <w:rPr>
                <w:rFonts w:ascii="Times New Roman" w:hAnsi="Times New Roman" w:cs="Times New Roman"/>
                <w:b/>
                <w:noProof/>
                <w:sz w:val="20"/>
                <w:szCs w:val="20"/>
              </w:rPr>
            </w:pPr>
          </w:p>
        </w:tc>
        <w:tc>
          <w:tcPr>
            <w:tcW w:w="1982" w:type="pct"/>
            <w:tcBorders>
              <w:top w:val="single" w:sz="5" w:space="0" w:color="000000"/>
              <w:left w:val="single" w:sz="5" w:space="0" w:color="000000"/>
              <w:bottom w:val="single" w:sz="5" w:space="0" w:color="000000"/>
              <w:right w:val="single" w:sz="5" w:space="0" w:color="000000"/>
            </w:tcBorders>
          </w:tcPr>
          <w:p w:rsidR="00905F59" w:rsidRPr="00E31954" w:rsidRDefault="00E31954" w:rsidP="003E628F">
            <w:pPr>
              <w:pStyle w:val="TableParagraph"/>
              <w:jc w:val="both"/>
              <w:rPr>
                <w:rFonts w:ascii="Times New Roman" w:hAnsi="Times New Roman" w:cs="Times New Roman"/>
                <w:b/>
                <w:i/>
                <w:noProof/>
                <w:sz w:val="20"/>
                <w:szCs w:val="20"/>
              </w:rPr>
            </w:pPr>
            <w:r>
              <w:rPr>
                <w:rFonts w:ascii="Times New Roman" w:hAnsi="Times New Roman"/>
                <w:b/>
                <w:i/>
                <w:noProof/>
                <w:sz w:val="20"/>
              </w:rPr>
              <w:t>Kā izsniedzēja dalībvalsts</w:t>
            </w:r>
          </w:p>
          <w:p w:rsidR="00E31954" w:rsidRDefault="00E31954" w:rsidP="003E628F">
            <w:pPr>
              <w:pStyle w:val="TableParagraph"/>
              <w:jc w:val="both"/>
              <w:rPr>
                <w:rFonts w:ascii="Times New Roman" w:hAnsi="Times New Roman" w:cs="Times New Roman"/>
                <w:b/>
                <w:noProof/>
                <w:sz w:val="20"/>
                <w:szCs w:val="20"/>
              </w:rPr>
            </w:pPr>
          </w:p>
          <w:p w:rsidR="00E31954" w:rsidRPr="00E31954" w:rsidRDefault="00E31954" w:rsidP="003E628F">
            <w:pPr>
              <w:pStyle w:val="TableParagraph"/>
              <w:jc w:val="both"/>
              <w:rPr>
                <w:rFonts w:ascii="Times New Roman" w:hAnsi="Times New Roman" w:cs="Times New Roman"/>
                <w:noProof/>
                <w:sz w:val="20"/>
                <w:szCs w:val="20"/>
              </w:rPr>
            </w:pPr>
            <w:r>
              <w:rPr>
                <w:rFonts w:ascii="Times New Roman" w:hAnsi="Times New Roman"/>
                <w:noProof/>
                <w:sz w:val="20"/>
              </w:rPr>
              <w:t>Dalībvalstis vienotajā kontroles plānā var vienoties par papildu muitas deklarācijas datu saskaņošanu ar iesaistītās dalībvalsts papildu PVN deklarāciju.</w:t>
            </w:r>
          </w:p>
        </w:tc>
        <w:tc>
          <w:tcPr>
            <w:tcW w:w="2330" w:type="pct"/>
            <w:tcBorders>
              <w:top w:val="single" w:sz="5" w:space="0" w:color="000000"/>
              <w:left w:val="single" w:sz="5" w:space="0" w:color="000000"/>
              <w:bottom w:val="single" w:sz="5" w:space="0" w:color="000000"/>
              <w:right w:val="single" w:sz="5" w:space="0" w:color="000000"/>
            </w:tcBorders>
          </w:tcPr>
          <w:p w:rsidR="00905F59" w:rsidRPr="00E31954" w:rsidRDefault="00E31954" w:rsidP="003E628F">
            <w:pPr>
              <w:pStyle w:val="TableParagraph"/>
              <w:jc w:val="both"/>
              <w:rPr>
                <w:rFonts w:ascii="Times New Roman" w:hAnsi="Times New Roman" w:cs="Times New Roman"/>
                <w:b/>
                <w:i/>
                <w:noProof/>
                <w:sz w:val="20"/>
                <w:szCs w:val="20"/>
              </w:rPr>
            </w:pPr>
            <w:r>
              <w:rPr>
                <w:rFonts w:ascii="Times New Roman" w:hAnsi="Times New Roman"/>
                <w:b/>
                <w:i/>
                <w:noProof/>
                <w:sz w:val="20"/>
              </w:rPr>
              <w:t>Kā izsniedzēja dalībvalsts</w:t>
            </w:r>
          </w:p>
          <w:p w:rsidR="00E31954" w:rsidRDefault="00E31954" w:rsidP="003E628F">
            <w:pPr>
              <w:pStyle w:val="TableParagraph"/>
              <w:jc w:val="both"/>
              <w:rPr>
                <w:rFonts w:ascii="Times New Roman" w:hAnsi="Times New Roman" w:cs="Times New Roman"/>
                <w:b/>
                <w:noProof/>
                <w:sz w:val="20"/>
                <w:szCs w:val="20"/>
              </w:rPr>
            </w:pPr>
          </w:p>
          <w:p w:rsidR="00E31954" w:rsidRPr="00E31954" w:rsidRDefault="00E31954" w:rsidP="003E628F">
            <w:pPr>
              <w:pStyle w:val="TableParagraph"/>
              <w:jc w:val="both"/>
              <w:rPr>
                <w:rFonts w:ascii="Times New Roman" w:hAnsi="Times New Roman" w:cs="Times New Roman"/>
                <w:noProof/>
                <w:sz w:val="20"/>
                <w:szCs w:val="20"/>
              </w:rPr>
            </w:pPr>
            <w:r>
              <w:rPr>
                <w:rFonts w:ascii="Times New Roman" w:hAnsi="Times New Roman"/>
                <w:noProof/>
                <w:sz w:val="20"/>
              </w:rPr>
              <w:t xml:space="preserve">Pieteikuma iesniedzējs vienojas par paredzēto procedūru ar iesaistītās dalībvalsts kompetento statistikas dienestu. </w:t>
            </w:r>
            <w:r>
              <w:rPr>
                <w:rFonts w:ascii="Times New Roman" w:hAnsi="Times New Roman"/>
                <w:i/>
                <w:noProof/>
                <w:sz w:val="20"/>
              </w:rPr>
              <w:t>SASP</w:t>
            </w:r>
            <w:r>
              <w:rPr>
                <w:rFonts w:ascii="Times New Roman" w:hAnsi="Times New Roman"/>
                <w:noProof/>
                <w:sz w:val="20"/>
              </w:rPr>
              <w:t xml:space="preserve"> var piešķirt vienīgi tad, ja ir noslēgta statistikas vienošanās. Atļaujas sniedzējas dalībvalsts statistikas dienests ir atbildīgs par statistikas datu pārsūtīšanu </w:t>
            </w:r>
            <w:r>
              <w:rPr>
                <w:rFonts w:ascii="Times New Roman" w:hAnsi="Times New Roman"/>
                <w:i/>
                <w:noProof/>
                <w:sz w:val="20"/>
              </w:rPr>
              <w:t>EUROSTAT</w:t>
            </w:r>
            <w:r>
              <w:rPr>
                <w:rFonts w:ascii="Times New Roman" w:hAnsi="Times New Roman"/>
                <w:noProof/>
                <w:sz w:val="20"/>
              </w:rPr>
              <w:t>.</w:t>
            </w:r>
          </w:p>
        </w:tc>
      </w:tr>
      <w:tr w:rsidR="00E31954" w:rsidRPr="00D85CB7" w:rsidTr="00FF42EE">
        <w:tc>
          <w:tcPr>
            <w:tcW w:w="0" w:type="auto"/>
            <w:tcBorders>
              <w:top w:val="single" w:sz="5" w:space="0" w:color="000000"/>
              <w:left w:val="single" w:sz="5" w:space="0" w:color="000000"/>
              <w:bottom w:val="single" w:sz="5" w:space="0" w:color="000000"/>
              <w:right w:val="single" w:sz="5" w:space="0" w:color="000000"/>
            </w:tcBorders>
          </w:tcPr>
          <w:p w:rsidR="00E31954" w:rsidRPr="00D85CB7" w:rsidRDefault="00E31954" w:rsidP="003E628F">
            <w:pPr>
              <w:pStyle w:val="TableParagraph"/>
              <w:jc w:val="both"/>
              <w:rPr>
                <w:rFonts w:ascii="Times New Roman" w:hAnsi="Times New Roman" w:cs="Times New Roman"/>
                <w:b/>
                <w:noProof/>
                <w:sz w:val="20"/>
                <w:szCs w:val="20"/>
              </w:rPr>
            </w:pPr>
          </w:p>
        </w:tc>
        <w:tc>
          <w:tcPr>
            <w:tcW w:w="1982" w:type="pct"/>
            <w:tcBorders>
              <w:top w:val="single" w:sz="5" w:space="0" w:color="000000"/>
              <w:left w:val="single" w:sz="5" w:space="0" w:color="000000"/>
              <w:bottom w:val="single" w:sz="5" w:space="0" w:color="000000"/>
              <w:right w:val="single" w:sz="5" w:space="0" w:color="000000"/>
            </w:tcBorders>
          </w:tcPr>
          <w:p w:rsidR="00E31954" w:rsidRPr="00235F85" w:rsidRDefault="00235F85" w:rsidP="003E628F">
            <w:pPr>
              <w:pStyle w:val="TableParagraph"/>
              <w:jc w:val="both"/>
              <w:rPr>
                <w:rFonts w:ascii="Times New Roman" w:hAnsi="Times New Roman" w:cs="Times New Roman"/>
                <w:b/>
                <w:i/>
                <w:noProof/>
                <w:sz w:val="20"/>
                <w:szCs w:val="20"/>
              </w:rPr>
            </w:pPr>
            <w:r>
              <w:rPr>
                <w:rFonts w:ascii="Times New Roman" w:hAnsi="Times New Roman"/>
                <w:b/>
                <w:i/>
                <w:noProof/>
                <w:sz w:val="20"/>
              </w:rPr>
              <w:t>Kā iesaistītā dalībvalsts</w:t>
            </w:r>
          </w:p>
          <w:p w:rsidR="00235F85" w:rsidRDefault="00235F85" w:rsidP="003E628F">
            <w:pPr>
              <w:pStyle w:val="TableParagraph"/>
              <w:jc w:val="both"/>
              <w:rPr>
                <w:rFonts w:ascii="Times New Roman" w:hAnsi="Times New Roman" w:cs="Times New Roman"/>
                <w:b/>
                <w:noProof/>
                <w:sz w:val="20"/>
                <w:szCs w:val="20"/>
              </w:rPr>
            </w:pPr>
          </w:p>
          <w:p w:rsidR="00235F85" w:rsidRPr="00235F85" w:rsidRDefault="00235F85" w:rsidP="003E628F">
            <w:pPr>
              <w:pStyle w:val="TableParagraph"/>
              <w:jc w:val="both"/>
              <w:rPr>
                <w:rFonts w:ascii="Times New Roman" w:hAnsi="Times New Roman" w:cs="Times New Roman"/>
                <w:noProof/>
                <w:sz w:val="20"/>
                <w:szCs w:val="20"/>
              </w:rPr>
            </w:pPr>
            <w:r>
              <w:rPr>
                <w:rFonts w:ascii="Times New Roman" w:hAnsi="Times New Roman"/>
                <w:noProof/>
                <w:sz w:val="20"/>
              </w:rPr>
              <w:t>Atļaujas turētājam ir jāiesniedz papildu PVN deklarācija kompetentajai norēķinu muitas iestādei katru mēnesi un jāsamaksā piemērotais nodoklis.</w:t>
            </w:r>
          </w:p>
        </w:tc>
        <w:tc>
          <w:tcPr>
            <w:tcW w:w="2330" w:type="pct"/>
            <w:tcBorders>
              <w:top w:val="single" w:sz="5" w:space="0" w:color="000000"/>
              <w:left w:val="single" w:sz="5" w:space="0" w:color="000000"/>
              <w:bottom w:val="single" w:sz="5" w:space="0" w:color="000000"/>
              <w:right w:val="single" w:sz="5" w:space="0" w:color="000000"/>
            </w:tcBorders>
          </w:tcPr>
          <w:p w:rsidR="00E31954" w:rsidRPr="00235F85" w:rsidRDefault="00235F85" w:rsidP="003E628F">
            <w:pPr>
              <w:pStyle w:val="TableParagraph"/>
              <w:jc w:val="both"/>
              <w:rPr>
                <w:rFonts w:ascii="Times New Roman" w:hAnsi="Times New Roman" w:cs="Times New Roman"/>
                <w:b/>
                <w:i/>
                <w:noProof/>
                <w:sz w:val="20"/>
                <w:szCs w:val="20"/>
              </w:rPr>
            </w:pPr>
            <w:r>
              <w:rPr>
                <w:rFonts w:ascii="Times New Roman" w:hAnsi="Times New Roman"/>
                <w:b/>
                <w:i/>
                <w:noProof/>
                <w:sz w:val="20"/>
              </w:rPr>
              <w:t>Kā iesaistītā dalībvalsts</w:t>
            </w:r>
          </w:p>
          <w:p w:rsidR="00235F85" w:rsidRDefault="00235F85" w:rsidP="003E628F">
            <w:pPr>
              <w:pStyle w:val="TableParagraph"/>
              <w:jc w:val="both"/>
              <w:rPr>
                <w:rFonts w:ascii="Times New Roman" w:hAnsi="Times New Roman" w:cs="Times New Roman"/>
                <w:b/>
                <w:noProof/>
                <w:sz w:val="20"/>
                <w:szCs w:val="20"/>
              </w:rPr>
            </w:pPr>
          </w:p>
          <w:p w:rsidR="00235F85" w:rsidRPr="00235F85" w:rsidRDefault="00235F85" w:rsidP="003E628F">
            <w:pPr>
              <w:pStyle w:val="TableParagraph"/>
              <w:jc w:val="both"/>
              <w:rPr>
                <w:rFonts w:ascii="Times New Roman" w:hAnsi="Times New Roman" w:cs="Times New Roman"/>
                <w:noProof/>
                <w:sz w:val="20"/>
                <w:szCs w:val="20"/>
              </w:rPr>
            </w:pPr>
            <w:r>
              <w:rPr>
                <w:rFonts w:ascii="Times New Roman" w:hAnsi="Times New Roman"/>
                <w:noProof/>
                <w:sz w:val="20"/>
              </w:rPr>
              <w:t xml:space="preserve">Pieteikuma iesniedzējs vienojas ar </w:t>
            </w:r>
            <w:r>
              <w:rPr>
                <w:rFonts w:ascii="Times New Roman" w:hAnsi="Times New Roman"/>
                <w:i/>
                <w:noProof/>
                <w:sz w:val="20"/>
              </w:rPr>
              <w:t>Statistisches Bundesamt Wiesbaden</w:t>
            </w:r>
            <w:r>
              <w:rPr>
                <w:rFonts w:ascii="Times New Roman" w:hAnsi="Times New Roman"/>
                <w:noProof/>
                <w:sz w:val="20"/>
              </w:rPr>
              <w:t xml:space="preserve"> (Vīsbādenes Federālo statistikas biroju) par statistikas datu iesniegšanu. </w:t>
            </w:r>
            <w:r>
              <w:rPr>
                <w:rFonts w:ascii="Times New Roman" w:hAnsi="Times New Roman"/>
                <w:i/>
                <w:noProof/>
                <w:sz w:val="20"/>
              </w:rPr>
              <w:t>SASP</w:t>
            </w:r>
            <w:r>
              <w:rPr>
                <w:rFonts w:ascii="Times New Roman" w:hAnsi="Times New Roman"/>
                <w:noProof/>
                <w:sz w:val="20"/>
              </w:rPr>
              <w:t xml:space="preserve"> var piešķirt vienīgi tad, ja vienošanās ar </w:t>
            </w:r>
            <w:r>
              <w:rPr>
                <w:rFonts w:ascii="Times New Roman" w:hAnsi="Times New Roman"/>
                <w:i/>
                <w:noProof/>
                <w:sz w:val="20"/>
              </w:rPr>
              <w:t>Statistische Bundesamt Wiesbaden</w:t>
            </w:r>
            <w:r>
              <w:rPr>
                <w:rFonts w:ascii="Times New Roman" w:hAnsi="Times New Roman"/>
                <w:noProof/>
                <w:sz w:val="20"/>
              </w:rPr>
              <w:t xml:space="preserve"> tiek uzrādīta </w:t>
            </w:r>
            <w:r>
              <w:rPr>
                <w:rFonts w:ascii="Times New Roman" w:hAnsi="Times New Roman"/>
                <w:i/>
                <w:noProof/>
                <w:sz w:val="20"/>
              </w:rPr>
              <w:t>Hauptzollamt Nürnberg. Arbeitsgebiet Einzige Bewilligunged</w:t>
            </w:r>
            <w:r>
              <w:rPr>
                <w:rFonts w:ascii="Times New Roman" w:hAnsi="Times New Roman"/>
                <w:noProof/>
                <w:sz w:val="20"/>
              </w:rPr>
              <w:t xml:space="preserve"> (Vācijas kontaktpunkts pašnovērtējuma/</w:t>
            </w:r>
            <w:r>
              <w:rPr>
                <w:rFonts w:ascii="Times New Roman" w:hAnsi="Times New Roman"/>
                <w:i/>
                <w:noProof/>
                <w:sz w:val="20"/>
              </w:rPr>
              <w:t>SASP</w:t>
            </w:r>
            <w:r>
              <w:rPr>
                <w:rFonts w:ascii="Times New Roman" w:hAnsi="Times New Roman"/>
                <w:noProof/>
                <w:sz w:val="20"/>
              </w:rPr>
              <w:t xml:space="preserve"> jautājumos).</w:t>
            </w:r>
          </w:p>
        </w:tc>
      </w:tr>
      <w:tr w:rsidR="00E31954" w:rsidRPr="00D85CB7" w:rsidTr="00FF42EE">
        <w:tc>
          <w:tcPr>
            <w:tcW w:w="0" w:type="auto"/>
            <w:tcBorders>
              <w:top w:val="single" w:sz="5" w:space="0" w:color="000000"/>
              <w:left w:val="single" w:sz="5" w:space="0" w:color="000000"/>
              <w:bottom w:val="single" w:sz="5" w:space="0" w:color="000000"/>
              <w:right w:val="single" w:sz="5" w:space="0" w:color="000000"/>
            </w:tcBorders>
          </w:tcPr>
          <w:p w:rsidR="00E31954" w:rsidRPr="00D85CB7" w:rsidRDefault="00E31954" w:rsidP="003E628F">
            <w:pPr>
              <w:pStyle w:val="TableParagraph"/>
              <w:jc w:val="both"/>
              <w:rPr>
                <w:rFonts w:ascii="Times New Roman" w:hAnsi="Times New Roman" w:cs="Times New Roman"/>
                <w:b/>
                <w:noProof/>
                <w:sz w:val="20"/>
                <w:szCs w:val="20"/>
              </w:rPr>
            </w:pPr>
          </w:p>
        </w:tc>
        <w:tc>
          <w:tcPr>
            <w:tcW w:w="1982" w:type="pct"/>
            <w:tcBorders>
              <w:top w:val="single" w:sz="5" w:space="0" w:color="000000"/>
              <w:left w:val="single" w:sz="5" w:space="0" w:color="000000"/>
              <w:bottom w:val="single" w:sz="5" w:space="0" w:color="000000"/>
              <w:right w:val="single" w:sz="5" w:space="0" w:color="000000"/>
            </w:tcBorders>
          </w:tcPr>
          <w:p w:rsidR="00E31954" w:rsidRPr="00D85CB7" w:rsidRDefault="00235F85" w:rsidP="00235F85">
            <w:pPr>
              <w:pStyle w:val="TableParagraph"/>
              <w:jc w:val="center"/>
              <w:rPr>
                <w:rFonts w:ascii="Times New Roman" w:hAnsi="Times New Roman" w:cs="Times New Roman"/>
                <w:b/>
                <w:noProof/>
                <w:sz w:val="20"/>
                <w:szCs w:val="20"/>
              </w:rPr>
            </w:pPr>
            <w:r>
              <w:rPr>
                <w:rFonts w:ascii="Times New Roman" w:hAnsi="Times New Roman"/>
                <w:b/>
                <w:noProof/>
                <w:sz w:val="20"/>
              </w:rPr>
              <w:t>Attiecībā uz eksportu</w:t>
            </w:r>
          </w:p>
        </w:tc>
        <w:tc>
          <w:tcPr>
            <w:tcW w:w="2330" w:type="pct"/>
            <w:tcBorders>
              <w:top w:val="single" w:sz="5" w:space="0" w:color="000000"/>
              <w:left w:val="single" w:sz="5" w:space="0" w:color="000000"/>
              <w:bottom w:val="single" w:sz="5" w:space="0" w:color="000000"/>
              <w:right w:val="single" w:sz="5" w:space="0" w:color="000000"/>
            </w:tcBorders>
          </w:tcPr>
          <w:p w:rsidR="00E31954" w:rsidRPr="00D85CB7" w:rsidRDefault="00235F85" w:rsidP="00235F85">
            <w:pPr>
              <w:pStyle w:val="TableParagraph"/>
              <w:jc w:val="center"/>
              <w:rPr>
                <w:rFonts w:ascii="Times New Roman" w:hAnsi="Times New Roman" w:cs="Times New Roman"/>
                <w:b/>
                <w:noProof/>
                <w:sz w:val="20"/>
                <w:szCs w:val="20"/>
              </w:rPr>
            </w:pPr>
            <w:r>
              <w:rPr>
                <w:rFonts w:ascii="Times New Roman" w:hAnsi="Times New Roman"/>
                <w:b/>
                <w:noProof/>
                <w:sz w:val="20"/>
              </w:rPr>
              <w:t>Attiecībā uz eksportu</w:t>
            </w:r>
          </w:p>
        </w:tc>
      </w:tr>
      <w:tr w:rsidR="00E31954" w:rsidRPr="00D85CB7" w:rsidTr="00FF42EE">
        <w:tc>
          <w:tcPr>
            <w:tcW w:w="0" w:type="auto"/>
            <w:tcBorders>
              <w:top w:val="single" w:sz="5" w:space="0" w:color="000000"/>
              <w:left w:val="single" w:sz="5" w:space="0" w:color="000000"/>
              <w:bottom w:val="single" w:sz="5" w:space="0" w:color="000000"/>
              <w:right w:val="single" w:sz="5" w:space="0" w:color="000000"/>
            </w:tcBorders>
          </w:tcPr>
          <w:p w:rsidR="00E31954" w:rsidRPr="00D85CB7" w:rsidRDefault="00E31954" w:rsidP="003E628F">
            <w:pPr>
              <w:pStyle w:val="TableParagraph"/>
              <w:jc w:val="both"/>
              <w:rPr>
                <w:rFonts w:ascii="Times New Roman" w:hAnsi="Times New Roman" w:cs="Times New Roman"/>
                <w:b/>
                <w:noProof/>
                <w:sz w:val="20"/>
                <w:szCs w:val="20"/>
              </w:rPr>
            </w:pPr>
          </w:p>
        </w:tc>
        <w:tc>
          <w:tcPr>
            <w:tcW w:w="1982" w:type="pct"/>
            <w:tcBorders>
              <w:top w:val="single" w:sz="5" w:space="0" w:color="000000"/>
              <w:left w:val="single" w:sz="5" w:space="0" w:color="000000"/>
              <w:bottom w:val="single" w:sz="5" w:space="0" w:color="000000"/>
              <w:right w:val="single" w:sz="5" w:space="0" w:color="000000"/>
            </w:tcBorders>
          </w:tcPr>
          <w:p w:rsidR="00E31954" w:rsidRDefault="00235F85" w:rsidP="003E628F">
            <w:pPr>
              <w:pStyle w:val="TableParagraph"/>
              <w:jc w:val="both"/>
              <w:rPr>
                <w:rFonts w:ascii="Times New Roman" w:hAnsi="Times New Roman" w:cs="Times New Roman"/>
                <w:b/>
                <w:i/>
                <w:noProof/>
                <w:sz w:val="20"/>
                <w:szCs w:val="20"/>
              </w:rPr>
            </w:pPr>
            <w:r>
              <w:rPr>
                <w:rFonts w:ascii="Times New Roman" w:hAnsi="Times New Roman"/>
                <w:b/>
                <w:i/>
                <w:noProof/>
                <w:sz w:val="20"/>
              </w:rPr>
              <w:t>Kā izsniedzēja dalībvalsts</w:t>
            </w:r>
          </w:p>
          <w:p w:rsidR="00235F85" w:rsidRDefault="00235F85" w:rsidP="003E628F">
            <w:pPr>
              <w:pStyle w:val="TableParagraph"/>
              <w:jc w:val="both"/>
              <w:rPr>
                <w:rFonts w:ascii="Times New Roman" w:hAnsi="Times New Roman" w:cs="Times New Roman"/>
                <w:b/>
                <w:i/>
                <w:noProof/>
                <w:sz w:val="20"/>
                <w:szCs w:val="20"/>
              </w:rPr>
            </w:pPr>
          </w:p>
          <w:p w:rsidR="00235F85" w:rsidRPr="00235F85" w:rsidRDefault="00235F85" w:rsidP="003E628F">
            <w:pPr>
              <w:pStyle w:val="TableParagraph"/>
              <w:jc w:val="both"/>
              <w:rPr>
                <w:rFonts w:ascii="Times New Roman" w:hAnsi="Times New Roman" w:cs="Times New Roman"/>
                <w:noProof/>
                <w:sz w:val="20"/>
                <w:szCs w:val="20"/>
              </w:rPr>
            </w:pPr>
            <w:r>
              <w:rPr>
                <w:rFonts w:ascii="Times New Roman" w:hAnsi="Times New Roman"/>
                <w:noProof/>
                <w:sz w:val="20"/>
              </w:rPr>
              <w:t>Atļaujas sniedzēja iestāde informē pieteikuma iesniedzēju par to, ka iesaistītajā dalībvalstī ir jāiesniedz eksportēšanas apliecinājums ar PVN saistītām vajadzībām. Tāpēc pieteikuma iesniedzējam ir jāvienojas par procedūrām ar kompetento PVN dienestu iesaistītajā dalībvalstī.</w:t>
            </w:r>
          </w:p>
        </w:tc>
        <w:tc>
          <w:tcPr>
            <w:tcW w:w="2330" w:type="pct"/>
            <w:tcBorders>
              <w:top w:val="single" w:sz="5" w:space="0" w:color="000000"/>
              <w:left w:val="single" w:sz="5" w:space="0" w:color="000000"/>
              <w:bottom w:val="single" w:sz="5" w:space="0" w:color="000000"/>
              <w:right w:val="single" w:sz="5" w:space="0" w:color="000000"/>
            </w:tcBorders>
          </w:tcPr>
          <w:p w:rsidR="00E31954" w:rsidRDefault="00235F85" w:rsidP="003E628F">
            <w:pPr>
              <w:pStyle w:val="TableParagraph"/>
              <w:jc w:val="both"/>
              <w:rPr>
                <w:rFonts w:ascii="Times New Roman" w:hAnsi="Times New Roman" w:cs="Times New Roman"/>
                <w:b/>
                <w:i/>
                <w:noProof/>
                <w:sz w:val="20"/>
                <w:szCs w:val="20"/>
              </w:rPr>
            </w:pPr>
            <w:r>
              <w:rPr>
                <w:rFonts w:ascii="Times New Roman" w:hAnsi="Times New Roman"/>
                <w:b/>
                <w:i/>
                <w:noProof/>
                <w:sz w:val="20"/>
              </w:rPr>
              <w:t>Kā izsniedzēja dalībvalsts</w:t>
            </w:r>
          </w:p>
          <w:p w:rsidR="00235F85" w:rsidRDefault="00235F85" w:rsidP="003E628F">
            <w:pPr>
              <w:pStyle w:val="TableParagraph"/>
              <w:jc w:val="both"/>
              <w:rPr>
                <w:rFonts w:ascii="Times New Roman" w:hAnsi="Times New Roman" w:cs="Times New Roman"/>
                <w:b/>
                <w:i/>
                <w:noProof/>
                <w:sz w:val="20"/>
                <w:szCs w:val="20"/>
              </w:rPr>
            </w:pPr>
          </w:p>
          <w:p w:rsidR="00235F85" w:rsidRPr="00235F85" w:rsidRDefault="00235F85" w:rsidP="003E628F">
            <w:pPr>
              <w:pStyle w:val="TableParagraph"/>
              <w:jc w:val="both"/>
              <w:rPr>
                <w:rFonts w:ascii="Times New Roman" w:hAnsi="Times New Roman" w:cs="Times New Roman"/>
                <w:noProof/>
                <w:sz w:val="20"/>
                <w:szCs w:val="20"/>
              </w:rPr>
            </w:pPr>
            <w:r>
              <w:rPr>
                <w:rFonts w:ascii="Times New Roman" w:hAnsi="Times New Roman"/>
                <w:noProof/>
                <w:sz w:val="20"/>
              </w:rPr>
              <w:t>Sk. informāciju “attiecībā uz importu”</w:t>
            </w:r>
          </w:p>
        </w:tc>
      </w:tr>
      <w:tr w:rsidR="00E31954" w:rsidRPr="00D85CB7" w:rsidTr="00FF42EE">
        <w:tc>
          <w:tcPr>
            <w:tcW w:w="0" w:type="auto"/>
            <w:tcBorders>
              <w:top w:val="single" w:sz="5" w:space="0" w:color="000000"/>
              <w:left w:val="single" w:sz="5" w:space="0" w:color="000000"/>
              <w:bottom w:val="single" w:sz="5" w:space="0" w:color="000000"/>
              <w:right w:val="single" w:sz="5" w:space="0" w:color="000000"/>
            </w:tcBorders>
          </w:tcPr>
          <w:p w:rsidR="00E31954" w:rsidRPr="00D85CB7" w:rsidRDefault="00E31954" w:rsidP="003E628F">
            <w:pPr>
              <w:pStyle w:val="TableParagraph"/>
              <w:jc w:val="both"/>
              <w:rPr>
                <w:rFonts w:ascii="Times New Roman" w:hAnsi="Times New Roman" w:cs="Times New Roman"/>
                <w:b/>
                <w:noProof/>
                <w:sz w:val="20"/>
                <w:szCs w:val="20"/>
              </w:rPr>
            </w:pPr>
          </w:p>
        </w:tc>
        <w:tc>
          <w:tcPr>
            <w:tcW w:w="1982" w:type="pct"/>
            <w:tcBorders>
              <w:top w:val="single" w:sz="5" w:space="0" w:color="000000"/>
              <w:left w:val="single" w:sz="5" w:space="0" w:color="000000"/>
              <w:bottom w:val="single" w:sz="5" w:space="0" w:color="000000"/>
              <w:right w:val="single" w:sz="5" w:space="0" w:color="000000"/>
            </w:tcBorders>
          </w:tcPr>
          <w:p w:rsidR="00E31954" w:rsidRDefault="00235F85" w:rsidP="003E628F">
            <w:pPr>
              <w:pStyle w:val="TableParagraph"/>
              <w:jc w:val="both"/>
              <w:rPr>
                <w:rFonts w:ascii="Times New Roman" w:hAnsi="Times New Roman" w:cs="Times New Roman"/>
                <w:b/>
                <w:i/>
                <w:noProof/>
                <w:sz w:val="20"/>
                <w:szCs w:val="20"/>
              </w:rPr>
            </w:pPr>
            <w:r>
              <w:rPr>
                <w:rFonts w:ascii="Times New Roman" w:hAnsi="Times New Roman"/>
                <w:b/>
                <w:i/>
                <w:noProof/>
                <w:sz w:val="20"/>
              </w:rPr>
              <w:t>Kā iesaistītā dalībvalsts</w:t>
            </w:r>
          </w:p>
          <w:p w:rsidR="00235F85" w:rsidRDefault="00235F85" w:rsidP="003E628F">
            <w:pPr>
              <w:pStyle w:val="TableParagraph"/>
              <w:jc w:val="both"/>
              <w:rPr>
                <w:rFonts w:ascii="Times New Roman" w:hAnsi="Times New Roman" w:cs="Times New Roman"/>
                <w:b/>
                <w:i/>
                <w:noProof/>
                <w:sz w:val="20"/>
                <w:szCs w:val="20"/>
              </w:rPr>
            </w:pPr>
          </w:p>
          <w:p w:rsidR="00235F85" w:rsidRPr="00235F85" w:rsidRDefault="00235F85" w:rsidP="003E628F">
            <w:pPr>
              <w:pStyle w:val="TableParagraph"/>
              <w:jc w:val="both"/>
              <w:rPr>
                <w:rFonts w:ascii="Times New Roman" w:hAnsi="Times New Roman" w:cs="Times New Roman"/>
                <w:noProof/>
                <w:sz w:val="20"/>
                <w:szCs w:val="20"/>
              </w:rPr>
            </w:pPr>
            <w:r>
              <w:rPr>
                <w:rFonts w:ascii="Times New Roman" w:hAnsi="Times New Roman"/>
                <w:noProof/>
                <w:sz w:val="20"/>
              </w:rPr>
              <w:t xml:space="preserve">Pieteikuma iesniedzējam ir jānoskaidro kompetentajā Vācijas </w:t>
            </w:r>
            <w:r>
              <w:rPr>
                <w:rFonts w:ascii="Times New Roman" w:hAnsi="Times New Roman"/>
                <w:i/>
                <w:noProof/>
                <w:sz w:val="20"/>
              </w:rPr>
              <w:t>Landesfinanz-behörden</w:t>
            </w:r>
            <w:r>
              <w:rPr>
                <w:rFonts w:ascii="Times New Roman" w:hAnsi="Times New Roman"/>
                <w:noProof/>
                <w:sz w:val="20"/>
              </w:rPr>
              <w:t xml:space="preserve"> (Vācijas federālā līmeņa nodokļu iestāde) tas, kā nodrošināt eksportēšanas apliecinājumu ar PVN saistītām vajadzībām attiecībā uz eksporta kravām no iesaiņošanas un iepakošanas vietām Vācijā.</w:t>
            </w:r>
          </w:p>
        </w:tc>
        <w:tc>
          <w:tcPr>
            <w:tcW w:w="2330" w:type="pct"/>
            <w:tcBorders>
              <w:top w:val="single" w:sz="5" w:space="0" w:color="000000"/>
              <w:left w:val="single" w:sz="5" w:space="0" w:color="000000"/>
              <w:bottom w:val="single" w:sz="5" w:space="0" w:color="000000"/>
              <w:right w:val="single" w:sz="5" w:space="0" w:color="000000"/>
            </w:tcBorders>
          </w:tcPr>
          <w:p w:rsidR="00E31954" w:rsidRPr="00235F85" w:rsidRDefault="00235F85" w:rsidP="003E628F">
            <w:pPr>
              <w:pStyle w:val="TableParagraph"/>
              <w:jc w:val="both"/>
              <w:rPr>
                <w:rFonts w:ascii="Times New Roman" w:hAnsi="Times New Roman" w:cs="Times New Roman"/>
                <w:b/>
                <w:i/>
                <w:noProof/>
                <w:sz w:val="20"/>
                <w:szCs w:val="20"/>
              </w:rPr>
            </w:pPr>
            <w:r>
              <w:rPr>
                <w:rFonts w:ascii="Times New Roman" w:hAnsi="Times New Roman"/>
                <w:b/>
                <w:i/>
                <w:noProof/>
                <w:sz w:val="20"/>
              </w:rPr>
              <w:t>Kā iesaistītā dalībvalsts</w:t>
            </w:r>
          </w:p>
          <w:p w:rsidR="00235F85" w:rsidRDefault="00235F85" w:rsidP="003E628F">
            <w:pPr>
              <w:pStyle w:val="TableParagraph"/>
              <w:jc w:val="both"/>
              <w:rPr>
                <w:rFonts w:ascii="Times New Roman" w:hAnsi="Times New Roman" w:cs="Times New Roman"/>
                <w:b/>
                <w:noProof/>
                <w:sz w:val="20"/>
                <w:szCs w:val="20"/>
              </w:rPr>
            </w:pPr>
          </w:p>
          <w:p w:rsidR="00235F85" w:rsidRPr="00235F85" w:rsidRDefault="00235F85" w:rsidP="003E628F">
            <w:pPr>
              <w:pStyle w:val="TableParagraph"/>
              <w:jc w:val="both"/>
              <w:rPr>
                <w:rFonts w:ascii="Times New Roman" w:hAnsi="Times New Roman" w:cs="Times New Roman"/>
                <w:noProof/>
                <w:sz w:val="20"/>
                <w:szCs w:val="20"/>
              </w:rPr>
            </w:pPr>
            <w:r>
              <w:rPr>
                <w:rFonts w:ascii="Times New Roman" w:hAnsi="Times New Roman"/>
                <w:noProof/>
                <w:sz w:val="20"/>
              </w:rPr>
              <w:t>Sk. informāciju “attiecībā uz importu”.</w:t>
            </w:r>
          </w:p>
        </w:tc>
      </w:tr>
    </w:tbl>
    <w:p w:rsidR="00235F85" w:rsidRDefault="00235F85" w:rsidP="003E628F">
      <w:pPr>
        <w:jc w:val="both"/>
        <w:rPr>
          <w:rFonts w:ascii="Times New Roman" w:eastAsia="Times New Roman" w:hAnsi="Times New Roman" w:cs="Times New Roman"/>
          <w:noProof/>
          <w:sz w:val="24"/>
          <w:szCs w:val="6"/>
        </w:rPr>
      </w:pPr>
    </w:p>
    <w:p w:rsidR="00235F85" w:rsidRDefault="00235F85">
      <w:pPr>
        <w:rPr>
          <w:rFonts w:ascii="Times New Roman" w:eastAsia="Times New Roman" w:hAnsi="Times New Roman" w:cs="Times New Roman"/>
          <w:noProof/>
          <w:sz w:val="24"/>
          <w:szCs w:val="6"/>
        </w:rPr>
      </w:pPr>
      <w:r>
        <w:br w:type="page"/>
      </w:r>
    </w:p>
    <w:p w:rsidR="00211065" w:rsidRPr="0016289A" w:rsidRDefault="005C4E9D" w:rsidP="0016289A">
      <w:pPr>
        <w:pStyle w:val="Virsraksts2"/>
        <w:jc w:val="center"/>
        <w:rPr>
          <w:b/>
          <w:noProof/>
        </w:rPr>
      </w:pPr>
      <w:bookmarkStart w:id="218" w:name="_Toc490734363"/>
      <w:r w:rsidRPr="0016289A">
        <w:rPr>
          <w:b/>
          <w:noProof/>
        </w:rPr>
        <w:lastRenderedPageBreak/>
        <w:t>III PIELIKUMS</w:t>
      </w:r>
      <w:r w:rsidR="0016289A" w:rsidRPr="0016289A">
        <w:rPr>
          <w:b/>
          <w:noProof/>
        </w:rPr>
        <w:br/>
      </w:r>
      <w:r w:rsidRPr="0016289A">
        <w:rPr>
          <w:b/>
          <w:noProof/>
        </w:rPr>
        <w:t>-</w:t>
      </w:r>
      <w:r w:rsidR="0016289A" w:rsidRPr="0016289A">
        <w:rPr>
          <w:b/>
          <w:noProof/>
        </w:rPr>
        <w:br/>
      </w:r>
      <w:r w:rsidR="00211065" w:rsidRPr="0016289A">
        <w:rPr>
          <w:b/>
          <w:noProof/>
        </w:rPr>
        <w:t>ATBILDĪBAS SADALĪJUMS</w:t>
      </w:r>
      <w:bookmarkStart w:id="219" w:name="_bookmark77"/>
      <w:bookmarkEnd w:id="219"/>
      <w:bookmarkEnd w:id="218"/>
    </w:p>
    <w:p w:rsidR="00211065" w:rsidRPr="003E628F" w:rsidRDefault="00211065" w:rsidP="003E628F">
      <w:pPr>
        <w:jc w:val="both"/>
        <w:rPr>
          <w:rFonts w:ascii="Times New Roman" w:eastAsia="Times New Roman" w:hAnsi="Times New Roman" w:cs="Times New Roman"/>
          <w:b/>
          <w:bCs/>
          <w:i/>
          <w:noProof/>
          <w:sz w:val="24"/>
          <w:szCs w:val="11"/>
        </w:rPr>
      </w:pPr>
    </w:p>
    <w:tbl>
      <w:tblPr>
        <w:tblW w:w="5000" w:type="pct"/>
        <w:tblCellMar>
          <w:top w:w="28" w:type="dxa"/>
          <w:left w:w="28" w:type="dxa"/>
          <w:bottom w:w="28" w:type="dxa"/>
          <w:right w:w="28" w:type="dxa"/>
        </w:tblCellMar>
        <w:tblLook w:val="01E0" w:firstRow="1" w:lastRow="1" w:firstColumn="1" w:lastColumn="1" w:noHBand="0" w:noVBand="0"/>
      </w:tblPr>
      <w:tblGrid>
        <w:gridCol w:w="4533"/>
        <w:gridCol w:w="4598"/>
      </w:tblGrid>
      <w:tr w:rsidR="00211065" w:rsidRPr="005C4E9D" w:rsidTr="005C4E9D">
        <w:trPr>
          <w:trHeight w:hRule="exact" w:val="366"/>
        </w:trPr>
        <w:tc>
          <w:tcPr>
            <w:tcW w:w="2482" w:type="pct"/>
            <w:tcBorders>
              <w:top w:val="single" w:sz="5" w:space="0" w:color="000000"/>
              <w:left w:val="single" w:sz="5" w:space="0" w:color="000000"/>
              <w:bottom w:val="single" w:sz="5" w:space="0" w:color="000000"/>
              <w:right w:val="single" w:sz="5" w:space="0" w:color="000000"/>
            </w:tcBorders>
            <w:vAlign w:val="center"/>
          </w:tcPr>
          <w:p w:rsidR="00211065" w:rsidRPr="005C4E9D" w:rsidRDefault="00211065" w:rsidP="005C4E9D">
            <w:pPr>
              <w:pStyle w:val="TableParagraph"/>
              <w:jc w:val="center"/>
              <w:rPr>
                <w:rFonts w:ascii="Times New Roman" w:hAnsi="Times New Roman"/>
                <w:b/>
                <w:noProof/>
                <w:sz w:val="20"/>
              </w:rPr>
            </w:pPr>
            <w:r>
              <w:rPr>
                <w:rFonts w:ascii="Times New Roman" w:hAnsi="Times New Roman"/>
                <w:b/>
                <w:noProof/>
                <w:sz w:val="20"/>
              </w:rPr>
              <w:t>Atļaujas sniedzēja dalībvalsts</w:t>
            </w:r>
          </w:p>
        </w:tc>
        <w:tc>
          <w:tcPr>
            <w:tcW w:w="2518" w:type="pct"/>
            <w:tcBorders>
              <w:top w:val="single" w:sz="5" w:space="0" w:color="000000"/>
              <w:left w:val="single" w:sz="5" w:space="0" w:color="000000"/>
              <w:bottom w:val="single" w:sz="5" w:space="0" w:color="000000"/>
              <w:right w:val="single" w:sz="5" w:space="0" w:color="000000"/>
            </w:tcBorders>
            <w:vAlign w:val="center"/>
          </w:tcPr>
          <w:p w:rsidR="00211065" w:rsidRPr="005C4E9D" w:rsidRDefault="00211065" w:rsidP="005C4E9D">
            <w:pPr>
              <w:pStyle w:val="TableParagraph"/>
              <w:jc w:val="center"/>
              <w:rPr>
                <w:rFonts w:ascii="Times New Roman" w:hAnsi="Times New Roman"/>
                <w:b/>
                <w:noProof/>
                <w:sz w:val="20"/>
              </w:rPr>
            </w:pPr>
            <w:r>
              <w:rPr>
                <w:rFonts w:ascii="Times New Roman" w:hAnsi="Times New Roman"/>
                <w:b/>
                <w:noProof/>
                <w:sz w:val="20"/>
              </w:rPr>
              <w:t>Iesaistītā dalībvalsts</w:t>
            </w:r>
          </w:p>
        </w:tc>
      </w:tr>
      <w:tr w:rsidR="00211065" w:rsidRPr="005C4E9D" w:rsidTr="005C4E9D">
        <w:trPr>
          <w:trHeight w:hRule="exact" w:val="401"/>
        </w:trPr>
        <w:tc>
          <w:tcPr>
            <w:tcW w:w="5000" w:type="pct"/>
            <w:gridSpan w:val="2"/>
            <w:tcBorders>
              <w:top w:val="single" w:sz="5" w:space="0" w:color="000000"/>
              <w:left w:val="single" w:sz="5" w:space="0" w:color="000000"/>
              <w:bottom w:val="single" w:sz="5" w:space="0" w:color="000000"/>
              <w:right w:val="single" w:sz="5" w:space="0" w:color="000000"/>
            </w:tcBorders>
            <w:vAlign w:val="center"/>
          </w:tcPr>
          <w:p w:rsidR="00211065" w:rsidRPr="005C4E9D" w:rsidRDefault="00211065" w:rsidP="005C4E9D">
            <w:pPr>
              <w:pStyle w:val="TableParagraph"/>
              <w:jc w:val="center"/>
              <w:rPr>
                <w:rFonts w:ascii="Times New Roman" w:hAnsi="Times New Roman"/>
                <w:b/>
                <w:noProof/>
                <w:sz w:val="20"/>
              </w:rPr>
            </w:pPr>
            <w:r>
              <w:rPr>
                <w:rFonts w:ascii="Times New Roman" w:hAnsi="Times New Roman"/>
                <w:b/>
                <w:noProof/>
                <w:sz w:val="20"/>
              </w:rPr>
              <w:t>Izdošanas process</w:t>
            </w:r>
          </w:p>
        </w:tc>
      </w:tr>
      <w:tr w:rsidR="00211065" w:rsidRPr="005C4E9D" w:rsidTr="005C4E9D">
        <w:trPr>
          <w:trHeight w:hRule="exact" w:val="1057"/>
        </w:trPr>
        <w:tc>
          <w:tcPr>
            <w:tcW w:w="2482" w:type="pct"/>
            <w:tcBorders>
              <w:top w:val="single" w:sz="5" w:space="0" w:color="000000"/>
              <w:left w:val="single" w:sz="5" w:space="0" w:color="000000"/>
              <w:bottom w:val="nil"/>
              <w:right w:val="single" w:sz="5" w:space="0" w:color="000000"/>
            </w:tcBorders>
          </w:tcPr>
          <w:p w:rsidR="00211065" w:rsidRPr="005C4E9D" w:rsidRDefault="00211065" w:rsidP="003E628F">
            <w:pPr>
              <w:pStyle w:val="TableParagraph"/>
              <w:jc w:val="both"/>
              <w:rPr>
                <w:rFonts w:ascii="Times New Roman" w:hAnsi="Times New Roman"/>
                <w:noProof/>
                <w:sz w:val="20"/>
              </w:rPr>
            </w:pPr>
            <w:r>
              <w:rPr>
                <w:rFonts w:ascii="Times New Roman" w:hAnsi="Times New Roman"/>
                <w:noProof/>
                <w:sz w:val="20"/>
              </w:rPr>
              <w:t>Pieteikums vienotas atļaujas saņemšanai tiek iesniegts atbildīgajiem muitas dienestiem dalībvalstī, kur tiek glabāti vai ir pieejami galvenie pārskati.</w:t>
            </w:r>
          </w:p>
        </w:tc>
        <w:tc>
          <w:tcPr>
            <w:tcW w:w="2518" w:type="pct"/>
            <w:tcBorders>
              <w:top w:val="single" w:sz="5" w:space="0" w:color="000000"/>
              <w:left w:val="single" w:sz="5" w:space="0" w:color="000000"/>
              <w:bottom w:val="nil"/>
              <w:right w:val="single" w:sz="5" w:space="0" w:color="000000"/>
            </w:tcBorders>
          </w:tcPr>
          <w:p w:rsidR="00211065" w:rsidRPr="005C4E9D" w:rsidRDefault="00211065" w:rsidP="003E628F">
            <w:pPr>
              <w:jc w:val="both"/>
              <w:rPr>
                <w:rFonts w:ascii="Times New Roman" w:hAnsi="Times New Roman"/>
                <w:noProof/>
                <w:sz w:val="20"/>
              </w:rPr>
            </w:pPr>
          </w:p>
        </w:tc>
      </w:tr>
      <w:tr w:rsidR="00211065" w:rsidRPr="005C4E9D" w:rsidTr="005C4E9D">
        <w:trPr>
          <w:trHeight w:hRule="exact" w:val="2408"/>
        </w:trPr>
        <w:tc>
          <w:tcPr>
            <w:tcW w:w="2482" w:type="pct"/>
            <w:tcBorders>
              <w:top w:val="nil"/>
              <w:left w:val="single" w:sz="5" w:space="0" w:color="000000"/>
              <w:bottom w:val="nil"/>
              <w:right w:val="single" w:sz="5" w:space="0" w:color="000000"/>
            </w:tcBorders>
          </w:tcPr>
          <w:p w:rsidR="00211065" w:rsidRPr="005C4E9D" w:rsidRDefault="00211065" w:rsidP="003E628F">
            <w:pPr>
              <w:pStyle w:val="TableParagraph"/>
              <w:jc w:val="both"/>
              <w:rPr>
                <w:rFonts w:ascii="Times New Roman" w:hAnsi="Times New Roman"/>
                <w:noProof/>
                <w:sz w:val="20"/>
              </w:rPr>
            </w:pPr>
            <w:r>
              <w:rPr>
                <w:rFonts w:ascii="Times New Roman" w:hAnsi="Times New Roman"/>
                <w:noProof/>
                <w:sz w:val="20"/>
              </w:rPr>
              <w:t>Pēc atļaujas saņemšanas kompetentie muitas dienesti pārbauda atļaujas piešķiršanas kritērijus. Šajā procesā var ietilpt šādi pasākumi:</w:t>
            </w:r>
          </w:p>
          <w:p w:rsidR="00211065" w:rsidRPr="005C4E9D" w:rsidRDefault="00211065" w:rsidP="005C4E9D">
            <w:pPr>
              <w:pStyle w:val="Sarakstarindkopa"/>
              <w:numPr>
                <w:ilvl w:val="0"/>
                <w:numId w:val="5"/>
              </w:numPr>
              <w:tabs>
                <w:tab w:val="left" w:pos="823"/>
              </w:tabs>
              <w:ind w:left="567" w:hanging="425"/>
              <w:jc w:val="both"/>
              <w:rPr>
                <w:rFonts w:ascii="Times New Roman" w:hAnsi="Times New Roman"/>
                <w:noProof/>
                <w:sz w:val="20"/>
              </w:rPr>
            </w:pPr>
            <w:r>
              <w:rPr>
                <w:rFonts w:ascii="Times New Roman" w:hAnsi="Times New Roman"/>
                <w:noProof/>
                <w:sz w:val="20"/>
              </w:rPr>
              <w:t>pārbaude, kurā noskaidro, vai uzņēmums spēj pilnīgi izpildīt ar vienkāršotajām procedūrām saistītos pienākumus;</w:t>
            </w:r>
          </w:p>
          <w:p w:rsidR="00211065" w:rsidRPr="005C4E9D" w:rsidRDefault="00211065" w:rsidP="005C4E9D">
            <w:pPr>
              <w:pStyle w:val="Sarakstarindkopa"/>
              <w:numPr>
                <w:ilvl w:val="0"/>
                <w:numId w:val="4"/>
              </w:numPr>
              <w:tabs>
                <w:tab w:val="left" w:pos="823"/>
              </w:tabs>
              <w:ind w:left="567" w:hanging="425"/>
              <w:jc w:val="both"/>
              <w:rPr>
                <w:rFonts w:ascii="Times New Roman" w:hAnsi="Times New Roman"/>
                <w:noProof/>
                <w:sz w:val="20"/>
              </w:rPr>
            </w:pPr>
            <w:r>
              <w:rPr>
                <w:rFonts w:ascii="Times New Roman" w:hAnsi="Times New Roman"/>
                <w:noProof/>
                <w:sz w:val="20"/>
              </w:rPr>
              <w:t>uzņēmuma vadības un iekšējās kontroles audits;</w:t>
            </w:r>
          </w:p>
          <w:p w:rsidR="00211065" w:rsidRPr="005C4E9D" w:rsidRDefault="00211065" w:rsidP="005C4E9D">
            <w:pPr>
              <w:pStyle w:val="Sarakstarindkopa"/>
              <w:numPr>
                <w:ilvl w:val="0"/>
                <w:numId w:val="4"/>
              </w:numPr>
              <w:tabs>
                <w:tab w:val="left" w:pos="823"/>
              </w:tabs>
              <w:ind w:left="567" w:hanging="425"/>
              <w:jc w:val="both"/>
              <w:rPr>
                <w:rFonts w:ascii="Times New Roman" w:hAnsi="Times New Roman"/>
                <w:noProof/>
                <w:sz w:val="20"/>
              </w:rPr>
            </w:pPr>
            <w:r>
              <w:rPr>
                <w:rFonts w:ascii="Times New Roman" w:hAnsi="Times New Roman"/>
                <w:noProof/>
                <w:sz w:val="20"/>
              </w:rPr>
              <w:t>riska analīze.</w:t>
            </w:r>
          </w:p>
        </w:tc>
        <w:tc>
          <w:tcPr>
            <w:tcW w:w="2518" w:type="pct"/>
            <w:tcBorders>
              <w:top w:val="nil"/>
              <w:left w:val="single" w:sz="5" w:space="0" w:color="000000"/>
              <w:bottom w:val="nil"/>
              <w:right w:val="single" w:sz="5" w:space="0" w:color="000000"/>
            </w:tcBorders>
          </w:tcPr>
          <w:p w:rsidR="00211065" w:rsidRPr="005C4E9D" w:rsidRDefault="00211065" w:rsidP="003E628F">
            <w:pPr>
              <w:jc w:val="both"/>
              <w:rPr>
                <w:rFonts w:ascii="Times New Roman" w:hAnsi="Times New Roman"/>
                <w:noProof/>
                <w:sz w:val="20"/>
              </w:rPr>
            </w:pPr>
          </w:p>
        </w:tc>
      </w:tr>
      <w:tr w:rsidR="00211065" w:rsidRPr="005C4E9D" w:rsidTr="005C4E9D">
        <w:trPr>
          <w:trHeight w:hRule="exact" w:val="1946"/>
        </w:trPr>
        <w:tc>
          <w:tcPr>
            <w:tcW w:w="2482" w:type="pct"/>
            <w:tcBorders>
              <w:top w:val="nil"/>
              <w:left w:val="single" w:sz="5" w:space="0" w:color="000000"/>
              <w:bottom w:val="nil"/>
              <w:right w:val="single" w:sz="5" w:space="0" w:color="000000"/>
            </w:tcBorders>
          </w:tcPr>
          <w:p w:rsidR="00211065" w:rsidRPr="005C4E9D" w:rsidRDefault="00211065" w:rsidP="003E628F">
            <w:pPr>
              <w:pStyle w:val="TableParagraph"/>
              <w:jc w:val="both"/>
              <w:rPr>
                <w:rFonts w:ascii="Times New Roman" w:hAnsi="Times New Roman"/>
                <w:noProof/>
                <w:sz w:val="20"/>
              </w:rPr>
            </w:pPr>
            <w:r>
              <w:rPr>
                <w:rFonts w:ascii="Times New Roman" w:hAnsi="Times New Roman"/>
                <w:noProof/>
                <w:sz w:val="20"/>
              </w:rPr>
              <w:t>Kad muitas dienesti ir pārliecinājušies par vienotās atļaujas piešķiršanas prasību izpildi, sagatavo atļaujas projektu un ar IT sistēmas starpniecību to nosūta kontaktpunktiem iesaistītajā(-ās) dalībvalstī(-īs) (ja nepieciešams, projekts tulkots attiecīgajās valodās).</w:t>
            </w:r>
          </w:p>
          <w:p w:rsidR="00211065" w:rsidRPr="005C4E9D" w:rsidRDefault="00211065" w:rsidP="003E628F">
            <w:pPr>
              <w:pStyle w:val="TableParagraph"/>
              <w:jc w:val="both"/>
              <w:rPr>
                <w:rFonts w:ascii="Times New Roman" w:hAnsi="Times New Roman"/>
                <w:noProof/>
                <w:sz w:val="20"/>
              </w:rPr>
            </w:pPr>
            <w:r>
              <w:rPr>
                <w:rFonts w:ascii="Times New Roman" w:hAnsi="Times New Roman"/>
                <w:noProof/>
                <w:sz w:val="20"/>
              </w:rPr>
              <w:t>Kamēr nav ieviesta vienoto atļauju IT sistēma, jāizmanto e-pasts.</w:t>
            </w:r>
          </w:p>
        </w:tc>
        <w:tc>
          <w:tcPr>
            <w:tcW w:w="2518" w:type="pct"/>
            <w:tcBorders>
              <w:top w:val="nil"/>
              <w:left w:val="single" w:sz="5" w:space="0" w:color="000000"/>
              <w:bottom w:val="nil"/>
              <w:right w:val="single" w:sz="5" w:space="0" w:color="000000"/>
            </w:tcBorders>
          </w:tcPr>
          <w:p w:rsidR="00211065" w:rsidRPr="005C4E9D" w:rsidRDefault="00211065" w:rsidP="003E628F">
            <w:pPr>
              <w:pStyle w:val="TableParagraph"/>
              <w:jc w:val="both"/>
              <w:rPr>
                <w:rFonts w:ascii="Times New Roman" w:hAnsi="Times New Roman"/>
                <w:noProof/>
                <w:sz w:val="20"/>
              </w:rPr>
            </w:pPr>
            <w:r>
              <w:rPr>
                <w:rFonts w:ascii="Times New Roman" w:hAnsi="Times New Roman"/>
                <w:noProof/>
                <w:sz w:val="20"/>
              </w:rPr>
              <w:t>Atkarībā no apstākļiem daļu no iepriekšēja audita var veikt iesaistītajā dalībvalstī, un, ja iespējams, tas jāorganizē kā vienots audits.</w:t>
            </w:r>
          </w:p>
        </w:tc>
      </w:tr>
      <w:tr w:rsidR="00211065" w:rsidRPr="005C4E9D" w:rsidTr="005C4E9D">
        <w:trPr>
          <w:trHeight w:hRule="exact" w:val="3095"/>
        </w:trPr>
        <w:tc>
          <w:tcPr>
            <w:tcW w:w="2482" w:type="pct"/>
            <w:tcBorders>
              <w:top w:val="nil"/>
              <w:left w:val="single" w:sz="5" w:space="0" w:color="000000"/>
              <w:bottom w:val="nil"/>
              <w:right w:val="single" w:sz="5" w:space="0" w:color="000000"/>
            </w:tcBorders>
          </w:tcPr>
          <w:p w:rsidR="00211065" w:rsidRPr="005C4E9D" w:rsidRDefault="00211065" w:rsidP="003E628F">
            <w:pPr>
              <w:jc w:val="both"/>
              <w:rPr>
                <w:rFonts w:ascii="Times New Roman" w:hAnsi="Times New Roman"/>
                <w:noProof/>
                <w:sz w:val="20"/>
              </w:rPr>
            </w:pPr>
          </w:p>
        </w:tc>
        <w:tc>
          <w:tcPr>
            <w:tcW w:w="2518" w:type="pct"/>
            <w:tcBorders>
              <w:top w:val="nil"/>
              <w:left w:val="single" w:sz="5" w:space="0" w:color="000000"/>
              <w:bottom w:val="nil"/>
              <w:right w:val="single" w:sz="5" w:space="0" w:color="000000"/>
            </w:tcBorders>
          </w:tcPr>
          <w:p w:rsidR="00211065" w:rsidRPr="005C4E9D" w:rsidRDefault="00211065" w:rsidP="003E628F">
            <w:pPr>
              <w:pStyle w:val="TableParagraph"/>
              <w:jc w:val="both"/>
              <w:rPr>
                <w:rFonts w:ascii="Times New Roman" w:hAnsi="Times New Roman"/>
                <w:noProof/>
                <w:sz w:val="20"/>
              </w:rPr>
            </w:pPr>
            <w:r>
              <w:rPr>
                <w:rFonts w:ascii="Times New Roman" w:hAnsi="Times New Roman"/>
                <w:noProof/>
                <w:sz w:val="20"/>
              </w:rPr>
              <w:t>Iesaistītās dalībvalsts muitas dienestiem pēc pieteikuma un atļaujas projekta saņemšanas ir jāpauž iebildumi vai jāpaziņo lēmums izsniedzējiem muitas dienestiem 30 dienu laikā; ja lēmuma pieņemšanai ir nepieciešams vairāk laika, atļaujas izsniedzēja iestāde ir jāinformē par iemesliem tajā pašā termiņā. Šajā laika posmā tiek sagatavoti noteikumi attiecībā uz PVN un statistiku (un valsts normatīvajiem aktiem).</w:t>
            </w:r>
          </w:p>
          <w:p w:rsidR="00211065" w:rsidRPr="005C4E9D" w:rsidRDefault="00211065" w:rsidP="003E628F">
            <w:pPr>
              <w:pStyle w:val="TableParagraph"/>
              <w:jc w:val="both"/>
              <w:rPr>
                <w:rFonts w:ascii="Times New Roman" w:hAnsi="Times New Roman"/>
                <w:noProof/>
                <w:sz w:val="20"/>
              </w:rPr>
            </w:pPr>
            <w:r>
              <w:rPr>
                <w:rFonts w:ascii="Times New Roman" w:hAnsi="Times New Roman"/>
                <w:noProof/>
                <w:sz w:val="20"/>
              </w:rPr>
              <w:t>Lēmums tiek paziņots atļaujas sniedzējai dalībvalstij ar IT sistēmas starpniecību. Kamēr nav ieviesta vienoto atļauju IT sistēma, jāizmanto e-pasts.</w:t>
            </w:r>
          </w:p>
        </w:tc>
      </w:tr>
      <w:tr w:rsidR="00211065" w:rsidRPr="005C4E9D" w:rsidTr="005C4E9D">
        <w:trPr>
          <w:trHeight w:hRule="exact" w:val="1381"/>
        </w:trPr>
        <w:tc>
          <w:tcPr>
            <w:tcW w:w="2482" w:type="pct"/>
            <w:tcBorders>
              <w:top w:val="nil"/>
              <w:left w:val="single" w:sz="5" w:space="0" w:color="000000"/>
              <w:bottom w:val="single" w:sz="5" w:space="0" w:color="000000"/>
              <w:right w:val="single" w:sz="5" w:space="0" w:color="000000"/>
            </w:tcBorders>
          </w:tcPr>
          <w:p w:rsidR="00211065" w:rsidRPr="005C4E9D" w:rsidRDefault="00211065" w:rsidP="003E628F">
            <w:pPr>
              <w:pStyle w:val="TableParagraph"/>
              <w:jc w:val="both"/>
              <w:rPr>
                <w:rFonts w:ascii="Times New Roman" w:hAnsi="Times New Roman"/>
                <w:noProof/>
                <w:sz w:val="20"/>
              </w:rPr>
            </w:pPr>
            <w:r>
              <w:rPr>
                <w:rFonts w:ascii="Times New Roman" w:hAnsi="Times New Roman"/>
                <w:noProof/>
                <w:sz w:val="20"/>
              </w:rPr>
              <w:t>Atļauja ir piešķirta / pieteikums ir noraidīts.</w:t>
            </w:r>
          </w:p>
          <w:p w:rsidR="00211065" w:rsidRPr="005C4E9D" w:rsidRDefault="00211065" w:rsidP="003E628F">
            <w:pPr>
              <w:pStyle w:val="TableParagraph"/>
              <w:jc w:val="both"/>
              <w:rPr>
                <w:rFonts w:ascii="Times New Roman" w:hAnsi="Times New Roman"/>
                <w:noProof/>
                <w:sz w:val="20"/>
              </w:rPr>
            </w:pPr>
            <w:r>
              <w:rPr>
                <w:rFonts w:ascii="Times New Roman" w:hAnsi="Times New Roman"/>
                <w:noProof/>
                <w:sz w:val="20"/>
              </w:rPr>
              <w:t>Atļaujas galīgā redakcija tiek nosūtīta attiecīgajai(-ām) dalībvalstij(-īm) (ja nepieciešams, atļauja tulkota attiecīgajās valodās) ar IT sistēmas starpniecību. Kamēr šī sistēma nav ieviesta, jāizmanto e-pasts.</w:t>
            </w:r>
          </w:p>
        </w:tc>
        <w:tc>
          <w:tcPr>
            <w:tcW w:w="2518" w:type="pct"/>
            <w:tcBorders>
              <w:top w:val="nil"/>
              <w:left w:val="single" w:sz="5" w:space="0" w:color="000000"/>
              <w:bottom w:val="single" w:sz="5" w:space="0" w:color="000000"/>
              <w:right w:val="single" w:sz="5" w:space="0" w:color="000000"/>
            </w:tcBorders>
          </w:tcPr>
          <w:p w:rsidR="00211065" w:rsidRPr="005C4E9D" w:rsidRDefault="00211065" w:rsidP="003E628F">
            <w:pPr>
              <w:jc w:val="both"/>
              <w:rPr>
                <w:rFonts w:ascii="Times New Roman" w:hAnsi="Times New Roman"/>
                <w:noProof/>
                <w:sz w:val="20"/>
              </w:rPr>
            </w:pPr>
          </w:p>
        </w:tc>
      </w:tr>
    </w:tbl>
    <w:p w:rsidR="005C4E9D" w:rsidRDefault="005C4E9D" w:rsidP="005C4E9D">
      <w:pPr>
        <w:jc w:val="both"/>
        <w:rPr>
          <w:rFonts w:ascii="Times New Roman" w:hAnsi="Times New Roman"/>
          <w:b/>
          <w:i/>
          <w:noProof/>
          <w:sz w:val="24"/>
        </w:rPr>
      </w:pPr>
    </w:p>
    <w:p w:rsidR="005C4E9D" w:rsidRDefault="005C4E9D">
      <w:pPr>
        <w:rPr>
          <w:rFonts w:ascii="Times New Roman" w:hAnsi="Times New Roman"/>
          <w:b/>
          <w:i/>
          <w:noProof/>
          <w:sz w:val="24"/>
        </w:rPr>
      </w:pPr>
      <w:r>
        <w:br w:type="page"/>
      </w:r>
    </w:p>
    <w:p w:rsidR="00211065" w:rsidRPr="0016289A" w:rsidRDefault="005C4E9D" w:rsidP="0016289A">
      <w:pPr>
        <w:pStyle w:val="Virsraksts2"/>
        <w:jc w:val="center"/>
        <w:rPr>
          <w:b/>
          <w:noProof/>
        </w:rPr>
      </w:pPr>
      <w:bookmarkStart w:id="220" w:name="_Toc490734364"/>
      <w:r w:rsidRPr="0016289A">
        <w:rPr>
          <w:b/>
          <w:noProof/>
        </w:rPr>
        <w:lastRenderedPageBreak/>
        <w:t>IV PIELIKUMS</w:t>
      </w:r>
      <w:r w:rsidR="0016289A" w:rsidRPr="0016289A">
        <w:rPr>
          <w:b/>
          <w:noProof/>
        </w:rPr>
        <w:br/>
      </w:r>
      <w:r w:rsidRPr="0016289A">
        <w:rPr>
          <w:b/>
          <w:noProof/>
        </w:rPr>
        <w:t>-</w:t>
      </w:r>
      <w:r w:rsidR="0016289A" w:rsidRPr="0016289A">
        <w:rPr>
          <w:b/>
          <w:noProof/>
        </w:rPr>
        <w:br/>
      </w:r>
      <w:r w:rsidR="00211065" w:rsidRPr="0016289A">
        <w:rPr>
          <w:b/>
          <w:noProof/>
        </w:rPr>
        <w:t>KONTROLES PASĀKUMI STARP CENTRALIZĒTAJĀ MUITOŠANĀ IESAISTĪTAJĀM MUITAS ADMINISTRĀCIJĀM</w:t>
      </w:r>
      <w:bookmarkStart w:id="221" w:name="_bookmark78"/>
      <w:bookmarkEnd w:id="221"/>
      <w:bookmarkEnd w:id="220"/>
    </w:p>
    <w:p w:rsidR="00211065" w:rsidRPr="003E628F" w:rsidRDefault="00211065" w:rsidP="003E628F">
      <w:pPr>
        <w:jc w:val="both"/>
        <w:rPr>
          <w:rFonts w:ascii="Times New Roman" w:eastAsia="Times New Roman" w:hAnsi="Times New Roman" w:cs="Times New Roman"/>
          <w:b/>
          <w:bCs/>
          <w:i/>
          <w:noProof/>
          <w:sz w:val="24"/>
          <w:szCs w:val="31"/>
        </w:rPr>
      </w:pPr>
    </w:p>
    <w:p w:rsidR="00211065" w:rsidRPr="003E628F" w:rsidRDefault="005C4E9D" w:rsidP="005C4E9D">
      <w:pPr>
        <w:tabs>
          <w:tab w:val="left" w:pos="927"/>
        </w:tabs>
        <w:rPr>
          <w:rFonts w:ascii="Times New Roman" w:hAnsi="Times New Roman"/>
          <w:b/>
          <w:noProof/>
          <w:sz w:val="24"/>
        </w:rPr>
      </w:pPr>
      <w:r>
        <w:rPr>
          <w:rFonts w:ascii="Times New Roman" w:hAnsi="Times New Roman"/>
          <w:b/>
          <w:noProof/>
          <w:sz w:val="24"/>
        </w:rPr>
        <w:t>1. Kontroles pasākumi</w:t>
      </w:r>
    </w:p>
    <w:p w:rsidR="00211065" w:rsidRPr="003E628F" w:rsidRDefault="00211065" w:rsidP="003E628F">
      <w:pPr>
        <w:jc w:val="both"/>
        <w:rPr>
          <w:rFonts w:ascii="Times New Roman" w:eastAsia="Times New Roman" w:hAnsi="Times New Roman" w:cs="Times New Roman"/>
          <w:b/>
          <w:bCs/>
          <w:noProof/>
          <w:sz w:val="24"/>
          <w:szCs w:val="10"/>
        </w:rPr>
      </w:pPr>
    </w:p>
    <w:tbl>
      <w:tblPr>
        <w:tblW w:w="5000" w:type="pct"/>
        <w:tblCellMar>
          <w:top w:w="28" w:type="dxa"/>
          <w:left w:w="28" w:type="dxa"/>
          <w:bottom w:w="28" w:type="dxa"/>
          <w:right w:w="28" w:type="dxa"/>
        </w:tblCellMar>
        <w:tblLook w:val="01E0" w:firstRow="1" w:lastRow="1" w:firstColumn="1" w:lastColumn="1" w:noHBand="0" w:noVBand="0"/>
      </w:tblPr>
      <w:tblGrid>
        <w:gridCol w:w="2310"/>
        <w:gridCol w:w="1665"/>
        <w:gridCol w:w="2913"/>
        <w:gridCol w:w="2243"/>
      </w:tblGrid>
      <w:tr w:rsidR="00211065" w:rsidRPr="005C4E9D" w:rsidTr="005C4E9D">
        <w:trPr>
          <w:trHeight w:hRule="exact" w:val="797"/>
        </w:trPr>
        <w:tc>
          <w:tcPr>
            <w:tcW w:w="1265" w:type="pct"/>
            <w:tcBorders>
              <w:top w:val="single" w:sz="3" w:space="0" w:color="000000"/>
              <w:left w:val="single" w:sz="3" w:space="0" w:color="000000"/>
              <w:bottom w:val="single" w:sz="3" w:space="0" w:color="000000"/>
              <w:right w:val="single" w:sz="3" w:space="0" w:color="000000"/>
            </w:tcBorders>
            <w:vAlign w:val="center"/>
          </w:tcPr>
          <w:p w:rsidR="00211065" w:rsidRPr="005C4E9D" w:rsidRDefault="00211065" w:rsidP="005C4E9D">
            <w:pPr>
              <w:pStyle w:val="TableParagraph"/>
              <w:jc w:val="center"/>
              <w:rPr>
                <w:rFonts w:ascii="Times New Roman" w:hAnsi="Times New Roman"/>
                <w:b/>
                <w:noProof/>
                <w:sz w:val="20"/>
              </w:rPr>
            </w:pPr>
            <w:r>
              <w:rPr>
                <w:rFonts w:ascii="Times New Roman" w:hAnsi="Times New Roman"/>
                <w:b/>
                <w:noProof/>
                <w:sz w:val="20"/>
              </w:rPr>
              <w:t>Kontroles veids</w:t>
            </w:r>
          </w:p>
        </w:tc>
        <w:tc>
          <w:tcPr>
            <w:tcW w:w="912" w:type="pct"/>
            <w:tcBorders>
              <w:top w:val="single" w:sz="3" w:space="0" w:color="000000"/>
              <w:left w:val="single" w:sz="3" w:space="0" w:color="000000"/>
              <w:bottom w:val="single" w:sz="3" w:space="0" w:color="000000"/>
              <w:right w:val="single" w:sz="3" w:space="0" w:color="000000"/>
            </w:tcBorders>
            <w:vAlign w:val="center"/>
          </w:tcPr>
          <w:p w:rsidR="00211065" w:rsidRPr="005C4E9D" w:rsidRDefault="00211065" w:rsidP="005C4E9D">
            <w:pPr>
              <w:pStyle w:val="TableParagraph"/>
              <w:jc w:val="center"/>
              <w:rPr>
                <w:rFonts w:ascii="Times New Roman" w:hAnsi="Times New Roman"/>
                <w:b/>
                <w:noProof/>
                <w:sz w:val="20"/>
              </w:rPr>
            </w:pPr>
            <w:r>
              <w:rPr>
                <w:rFonts w:ascii="Times New Roman" w:hAnsi="Times New Roman"/>
                <w:b/>
                <w:noProof/>
                <w:sz w:val="20"/>
              </w:rPr>
              <w:t>Atbildīgā muitas iestāde</w:t>
            </w:r>
          </w:p>
        </w:tc>
        <w:tc>
          <w:tcPr>
            <w:tcW w:w="1595" w:type="pct"/>
            <w:tcBorders>
              <w:top w:val="single" w:sz="3" w:space="0" w:color="000000"/>
              <w:left w:val="single" w:sz="3" w:space="0" w:color="000000"/>
              <w:bottom w:val="single" w:sz="3" w:space="0" w:color="000000"/>
              <w:right w:val="single" w:sz="3" w:space="0" w:color="000000"/>
            </w:tcBorders>
            <w:vAlign w:val="center"/>
          </w:tcPr>
          <w:p w:rsidR="00211065" w:rsidRPr="005C4E9D" w:rsidRDefault="00211065" w:rsidP="005C4E9D">
            <w:pPr>
              <w:pStyle w:val="TableParagraph"/>
              <w:jc w:val="center"/>
              <w:rPr>
                <w:rFonts w:ascii="Times New Roman" w:hAnsi="Times New Roman"/>
                <w:b/>
                <w:noProof/>
                <w:sz w:val="20"/>
              </w:rPr>
            </w:pPr>
            <w:r>
              <w:rPr>
                <w:rFonts w:ascii="Times New Roman" w:hAnsi="Times New Roman"/>
                <w:b/>
                <w:noProof/>
                <w:sz w:val="20"/>
              </w:rPr>
              <w:t>Galvenais kontroles veikšanas iemesls</w:t>
            </w:r>
          </w:p>
        </w:tc>
        <w:tc>
          <w:tcPr>
            <w:tcW w:w="1228" w:type="pct"/>
            <w:tcBorders>
              <w:top w:val="single" w:sz="3" w:space="0" w:color="000000"/>
              <w:left w:val="single" w:sz="3" w:space="0" w:color="000000"/>
              <w:bottom w:val="single" w:sz="3" w:space="0" w:color="000000"/>
              <w:right w:val="single" w:sz="3" w:space="0" w:color="000000"/>
            </w:tcBorders>
            <w:vAlign w:val="center"/>
          </w:tcPr>
          <w:p w:rsidR="00211065" w:rsidRPr="005C4E9D" w:rsidRDefault="00211065" w:rsidP="005C4E9D">
            <w:pPr>
              <w:pStyle w:val="TableParagraph"/>
              <w:jc w:val="center"/>
              <w:rPr>
                <w:rFonts w:ascii="Times New Roman" w:hAnsi="Times New Roman"/>
                <w:b/>
                <w:noProof/>
                <w:sz w:val="20"/>
              </w:rPr>
            </w:pPr>
            <w:r>
              <w:rPr>
                <w:rFonts w:ascii="Times New Roman" w:hAnsi="Times New Roman"/>
                <w:b/>
                <w:noProof/>
                <w:sz w:val="20"/>
              </w:rPr>
              <w:t>Papildu iemesls</w:t>
            </w:r>
          </w:p>
        </w:tc>
      </w:tr>
      <w:tr w:rsidR="00211065" w:rsidRPr="005C4E9D" w:rsidTr="005C4E9D">
        <w:trPr>
          <w:trHeight w:hRule="exact" w:val="1258"/>
        </w:trPr>
        <w:tc>
          <w:tcPr>
            <w:tcW w:w="1265" w:type="pct"/>
            <w:tcBorders>
              <w:top w:val="single" w:sz="3" w:space="0" w:color="000000"/>
              <w:left w:val="single" w:sz="3" w:space="0" w:color="000000"/>
              <w:bottom w:val="single" w:sz="3" w:space="0" w:color="000000"/>
              <w:right w:val="single" w:sz="3" w:space="0" w:color="000000"/>
            </w:tcBorders>
          </w:tcPr>
          <w:p w:rsidR="00211065" w:rsidRPr="005C4E9D" w:rsidRDefault="00211065" w:rsidP="003E628F">
            <w:pPr>
              <w:pStyle w:val="TableParagraph"/>
              <w:jc w:val="both"/>
              <w:rPr>
                <w:rFonts w:ascii="Times New Roman" w:hAnsi="Times New Roman"/>
                <w:noProof/>
                <w:sz w:val="20"/>
              </w:rPr>
            </w:pPr>
            <w:r>
              <w:rPr>
                <w:rFonts w:ascii="Times New Roman" w:hAnsi="Times New Roman"/>
                <w:noProof/>
                <w:sz w:val="20"/>
              </w:rPr>
              <w:t>Pārbaude atbilstīgi Regulas (EEK) Nr. 2913/92 68. panta a) punktam</w:t>
            </w:r>
          </w:p>
        </w:tc>
        <w:tc>
          <w:tcPr>
            <w:tcW w:w="912" w:type="pct"/>
            <w:tcBorders>
              <w:top w:val="single" w:sz="3" w:space="0" w:color="000000"/>
              <w:left w:val="single" w:sz="3" w:space="0" w:color="000000"/>
              <w:bottom w:val="single" w:sz="3" w:space="0" w:color="000000"/>
              <w:right w:val="single" w:sz="3" w:space="0" w:color="000000"/>
            </w:tcBorders>
          </w:tcPr>
          <w:p w:rsidR="00211065" w:rsidRPr="005C4E9D" w:rsidRDefault="00211065" w:rsidP="003E628F">
            <w:pPr>
              <w:pStyle w:val="TableParagraph"/>
              <w:jc w:val="both"/>
              <w:rPr>
                <w:rFonts w:ascii="Times New Roman" w:hAnsi="Times New Roman"/>
                <w:noProof/>
                <w:sz w:val="20"/>
              </w:rPr>
            </w:pPr>
            <w:r>
              <w:rPr>
                <w:rFonts w:ascii="Times New Roman" w:hAnsi="Times New Roman"/>
                <w:noProof/>
                <w:sz w:val="20"/>
              </w:rPr>
              <w:t>Vietējā vai atļaujas sniedzēja iestāde</w:t>
            </w:r>
          </w:p>
        </w:tc>
        <w:tc>
          <w:tcPr>
            <w:tcW w:w="1595" w:type="pct"/>
            <w:tcBorders>
              <w:top w:val="single" w:sz="3" w:space="0" w:color="000000"/>
              <w:left w:val="single" w:sz="3" w:space="0" w:color="000000"/>
              <w:bottom w:val="single" w:sz="3" w:space="0" w:color="000000"/>
              <w:right w:val="single" w:sz="3" w:space="0" w:color="000000"/>
            </w:tcBorders>
          </w:tcPr>
          <w:p w:rsidR="00211065" w:rsidRPr="005C4E9D" w:rsidRDefault="00211065" w:rsidP="003E628F">
            <w:pPr>
              <w:pStyle w:val="TableParagraph"/>
              <w:jc w:val="both"/>
              <w:rPr>
                <w:rFonts w:ascii="Times New Roman" w:hAnsi="Times New Roman"/>
                <w:noProof/>
                <w:sz w:val="20"/>
              </w:rPr>
            </w:pPr>
            <w:r>
              <w:rPr>
                <w:rFonts w:ascii="Times New Roman" w:hAnsi="Times New Roman"/>
                <w:noProof/>
                <w:sz w:val="20"/>
              </w:rPr>
              <w:t>Konkrēts pieprasījums no atļaujas sniedzējas muitas iestādes vai vietējās iestādes ierosināts pieprasījums, pamatojoties uz valsts tiesību aktiem</w:t>
            </w:r>
          </w:p>
        </w:tc>
        <w:tc>
          <w:tcPr>
            <w:tcW w:w="1228" w:type="pct"/>
            <w:tcBorders>
              <w:top w:val="single" w:sz="3" w:space="0" w:color="000000"/>
              <w:left w:val="single" w:sz="3" w:space="0" w:color="000000"/>
              <w:bottom w:val="single" w:sz="3" w:space="0" w:color="000000"/>
              <w:right w:val="single" w:sz="3" w:space="0" w:color="000000"/>
            </w:tcBorders>
          </w:tcPr>
          <w:p w:rsidR="00211065" w:rsidRPr="005C4E9D" w:rsidRDefault="00211065" w:rsidP="003E628F">
            <w:pPr>
              <w:pStyle w:val="TableParagraph"/>
              <w:jc w:val="both"/>
              <w:rPr>
                <w:rFonts w:ascii="Times New Roman" w:hAnsi="Times New Roman"/>
                <w:noProof/>
                <w:sz w:val="20"/>
              </w:rPr>
            </w:pPr>
            <w:r>
              <w:rPr>
                <w:rFonts w:ascii="Times New Roman" w:hAnsi="Times New Roman"/>
                <w:noProof/>
                <w:sz w:val="20"/>
              </w:rPr>
              <w:t>Kontroles rezultātu paziņojums atļaujas sniedzējai muitas iestādei</w:t>
            </w:r>
          </w:p>
        </w:tc>
      </w:tr>
      <w:tr w:rsidR="00211065" w:rsidRPr="005C4E9D" w:rsidTr="005C4E9D">
        <w:trPr>
          <w:trHeight w:hRule="exact" w:val="1258"/>
        </w:trPr>
        <w:tc>
          <w:tcPr>
            <w:tcW w:w="1265" w:type="pct"/>
            <w:tcBorders>
              <w:top w:val="single" w:sz="3" w:space="0" w:color="000000"/>
              <w:left w:val="single" w:sz="3" w:space="0" w:color="000000"/>
              <w:bottom w:val="single" w:sz="3" w:space="0" w:color="000000"/>
              <w:right w:val="single" w:sz="3" w:space="0" w:color="000000"/>
            </w:tcBorders>
          </w:tcPr>
          <w:p w:rsidR="00211065" w:rsidRPr="005C4E9D" w:rsidRDefault="00211065" w:rsidP="003E628F">
            <w:pPr>
              <w:pStyle w:val="TableParagraph"/>
              <w:jc w:val="both"/>
              <w:rPr>
                <w:rFonts w:ascii="Times New Roman" w:hAnsi="Times New Roman"/>
                <w:noProof/>
                <w:sz w:val="20"/>
              </w:rPr>
            </w:pPr>
            <w:r>
              <w:rPr>
                <w:rFonts w:ascii="Times New Roman" w:hAnsi="Times New Roman"/>
                <w:noProof/>
                <w:sz w:val="20"/>
              </w:rPr>
              <w:t>Preču pārbaude atbilstīgi Regulas (EEK) Nr. 2913/92 68. panta b) punktam</w:t>
            </w:r>
          </w:p>
        </w:tc>
        <w:tc>
          <w:tcPr>
            <w:tcW w:w="912" w:type="pct"/>
            <w:tcBorders>
              <w:top w:val="single" w:sz="3" w:space="0" w:color="000000"/>
              <w:left w:val="single" w:sz="3" w:space="0" w:color="000000"/>
              <w:bottom w:val="single" w:sz="3" w:space="0" w:color="000000"/>
              <w:right w:val="single" w:sz="3" w:space="0" w:color="000000"/>
            </w:tcBorders>
          </w:tcPr>
          <w:p w:rsidR="00211065" w:rsidRPr="005C4E9D" w:rsidRDefault="00211065" w:rsidP="003E628F">
            <w:pPr>
              <w:pStyle w:val="TableParagraph"/>
              <w:jc w:val="both"/>
              <w:rPr>
                <w:rFonts w:ascii="Times New Roman" w:hAnsi="Times New Roman"/>
                <w:noProof/>
                <w:sz w:val="20"/>
              </w:rPr>
            </w:pPr>
            <w:r>
              <w:rPr>
                <w:rFonts w:ascii="Times New Roman" w:hAnsi="Times New Roman"/>
                <w:noProof/>
                <w:sz w:val="20"/>
              </w:rPr>
              <w:t>Vietējā iestāde</w:t>
            </w:r>
          </w:p>
        </w:tc>
        <w:tc>
          <w:tcPr>
            <w:tcW w:w="1595" w:type="pct"/>
            <w:tcBorders>
              <w:top w:val="single" w:sz="3" w:space="0" w:color="000000"/>
              <w:left w:val="single" w:sz="3" w:space="0" w:color="000000"/>
              <w:bottom w:val="single" w:sz="3" w:space="0" w:color="000000"/>
              <w:right w:val="single" w:sz="3" w:space="0" w:color="000000"/>
            </w:tcBorders>
          </w:tcPr>
          <w:p w:rsidR="00211065" w:rsidRPr="005C4E9D" w:rsidRDefault="00211065" w:rsidP="003E628F">
            <w:pPr>
              <w:pStyle w:val="TableParagraph"/>
              <w:jc w:val="both"/>
              <w:rPr>
                <w:rFonts w:ascii="Times New Roman" w:hAnsi="Times New Roman"/>
                <w:noProof/>
                <w:sz w:val="20"/>
              </w:rPr>
            </w:pPr>
            <w:r>
              <w:rPr>
                <w:rFonts w:ascii="Times New Roman" w:hAnsi="Times New Roman"/>
                <w:noProof/>
                <w:sz w:val="20"/>
              </w:rPr>
              <w:t>Konkrēts pieprasījums no atļaujas sniedzējas muitas iestādes vai vietējās iestādes ierosināts pieprasījums</w:t>
            </w:r>
          </w:p>
        </w:tc>
        <w:tc>
          <w:tcPr>
            <w:tcW w:w="1228" w:type="pct"/>
            <w:tcBorders>
              <w:top w:val="single" w:sz="3" w:space="0" w:color="000000"/>
              <w:left w:val="single" w:sz="3" w:space="0" w:color="000000"/>
              <w:bottom w:val="single" w:sz="3" w:space="0" w:color="000000"/>
              <w:right w:val="single" w:sz="3" w:space="0" w:color="000000"/>
            </w:tcBorders>
          </w:tcPr>
          <w:p w:rsidR="00211065" w:rsidRPr="005C4E9D" w:rsidRDefault="00211065" w:rsidP="003E628F">
            <w:pPr>
              <w:pStyle w:val="TableParagraph"/>
              <w:jc w:val="both"/>
              <w:rPr>
                <w:rFonts w:ascii="Times New Roman" w:hAnsi="Times New Roman"/>
                <w:noProof/>
                <w:sz w:val="20"/>
              </w:rPr>
            </w:pPr>
            <w:r>
              <w:rPr>
                <w:rFonts w:ascii="Times New Roman" w:hAnsi="Times New Roman"/>
                <w:noProof/>
                <w:sz w:val="20"/>
              </w:rPr>
              <w:t>Kontroles rezultātu paziņojums atļaujas sniedzējai muitas iestādei</w:t>
            </w:r>
          </w:p>
        </w:tc>
      </w:tr>
      <w:tr w:rsidR="00211065" w:rsidRPr="005C4E9D" w:rsidTr="005C4E9D">
        <w:trPr>
          <w:trHeight w:hRule="exact" w:val="1510"/>
        </w:trPr>
        <w:tc>
          <w:tcPr>
            <w:tcW w:w="1265" w:type="pct"/>
            <w:tcBorders>
              <w:top w:val="single" w:sz="3" w:space="0" w:color="000000"/>
              <w:left w:val="single" w:sz="3" w:space="0" w:color="000000"/>
              <w:bottom w:val="single" w:sz="3" w:space="0" w:color="000000"/>
              <w:right w:val="single" w:sz="3" w:space="0" w:color="000000"/>
            </w:tcBorders>
          </w:tcPr>
          <w:p w:rsidR="00211065" w:rsidRPr="005C4E9D" w:rsidRDefault="00211065" w:rsidP="00FF42EE">
            <w:pPr>
              <w:pStyle w:val="TableParagraph"/>
              <w:jc w:val="both"/>
              <w:rPr>
                <w:rFonts w:ascii="Times New Roman" w:hAnsi="Times New Roman"/>
                <w:noProof/>
                <w:sz w:val="20"/>
              </w:rPr>
            </w:pPr>
            <w:r>
              <w:rPr>
                <w:rFonts w:ascii="Times New Roman" w:hAnsi="Times New Roman"/>
                <w:noProof/>
                <w:sz w:val="20"/>
              </w:rPr>
              <w:t>Retrospektīvas pārbaudes attiecībā uz procedūrām atļaujas turētāja vai pārstāvja</w:t>
            </w:r>
            <w:r w:rsidR="00FF42EE">
              <w:rPr>
                <w:rFonts w:ascii="Times New Roman" w:hAnsi="Times New Roman"/>
                <w:noProof/>
                <w:sz w:val="20"/>
              </w:rPr>
              <w:t xml:space="preserve"> </w:t>
            </w:r>
            <w:r>
              <w:rPr>
                <w:rFonts w:ascii="Times New Roman" w:hAnsi="Times New Roman"/>
                <w:noProof/>
                <w:sz w:val="20"/>
              </w:rPr>
              <w:t>uzņēmumā (muitas audits)</w:t>
            </w:r>
          </w:p>
        </w:tc>
        <w:tc>
          <w:tcPr>
            <w:tcW w:w="912" w:type="pct"/>
            <w:tcBorders>
              <w:top w:val="single" w:sz="3" w:space="0" w:color="000000"/>
              <w:left w:val="single" w:sz="3" w:space="0" w:color="000000"/>
              <w:bottom w:val="single" w:sz="3" w:space="0" w:color="000000"/>
              <w:right w:val="single" w:sz="3" w:space="0" w:color="000000"/>
            </w:tcBorders>
          </w:tcPr>
          <w:p w:rsidR="00211065" w:rsidRPr="005C4E9D" w:rsidRDefault="00211065" w:rsidP="003E628F">
            <w:pPr>
              <w:pStyle w:val="TableParagraph"/>
              <w:jc w:val="both"/>
              <w:rPr>
                <w:rFonts w:ascii="Times New Roman" w:hAnsi="Times New Roman"/>
                <w:noProof/>
                <w:sz w:val="20"/>
              </w:rPr>
            </w:pPr>
            <w:r>
              <w:rPr>
                <w:rFonts w:ascii="Times New Roman" w:hAnsi="Times New Roman"/>
                <w:noProof/>
                <w:sz w:val="20"/>
              </w:rPr>
              <w:t>Kompetentie muitas dienesti</w:t>
            </w:r>
          </w:p>
        </w:tc>
        <w:tc>
          <w:tcPr>
            <w:tcW w:w="1595" w:type="pct"/>
            <w:tcBorders>
              <w:top w:val="single" w:sz="3" w:space="0" w:color="000000"/>
              <w:left w:val="single" w:sz="3" w:space="0" w:color="000000"/>
              <w:bottom w:val="single" w:sz="3" w:space="0" w:color="000000"/>
              <w:right w:val="single" w:sz="3" w:space="0" w:color="000000"/>
            </w:tcBorders>
          </w:tcPr>
          <w:p w:rsidR="00211065" w:rsidRPr="005C4E9D" w:rsidRDefault="00211065" w:rsidP="003E628F">
            <w:pPr>
              <w:pStyle w:val="TableParagraph"/>
              <w:jc w:val="both"/>
              <w:rPr>
                <w:rFonts w:ascii="Times New Roman" w:hAnsi="Times New Roman"/>
                <w:noProof/>
                <w:sz w:val="20"/>
              </w:rPr>
            </w:pPr>
            <w:r>
              <w:rPr>
                <w:rFonts w:ascii="Times New Roman" w:hAnsi="Times New Roman"/>
                <w:noProof/>
                <w:sz w:val="20"/>
              </w:rPr>
              <w:t>Konkrēts pieprasījums no atļaujas sniedzējas muitas iestādes vai vietējās iestādes ierosināts pieprasījums</w:t>
            </w:r>
          </w:p>
        </w:tc>
        <w:tc>
          <w:tcPr>
            <w:tcW w:w="1228" w:type="pct"/>
            <w:tcBorders>
              <w:top w:val="single" w:sz="3" w:space="0" w:color="000000"/>
              <w:left w:val="single" w:sz="3" w:space="0" w:color="000000"/>
              <w:bottom w:val="single" w:sz="3" w:space="0" w:color="000000"/>
              <w:right w:val="single" w:sz="3" w:space="0" w:color="000000"/>
            </w:tcBorders>
          </w:tcPr>
          <w:p w:rsidR="00211065" w:rsidRPr="005C4E9D" w:rsidRDefault="00211065" w:rsidP="003E628F">
            <w:pPr>
              <w:pStyle w:val="TableParagraph"/>
              <w:jc w:val="both"/>
              <w:rPr>
                <w:rFonts w:ascii="Times New Roman" w:hAnsi="Times New Roman"/>
                <w:noProof/>
                <w:sz w:val="20"/>
              </w:rPr>
            </w:pPr>
            <w:r>
              <w:rPr>
                <w:rFonts w:ascii="Times New Roman" w:hAnsi="Times New Roman"/>
                <w:noProof/>
                <w:sz w:val="20"/>
              </w:rPr>
              <w:t>Audita rezultātu nosūtīšana atļaujas sniedzējai iestādei</w:t>
            </w:r>
          </w:p>
        </w:tc>
      </w:tr>
      <w:tr w:rsidR="00211065" w:rsidRPr="005C4E9D" w:rsidTr="005C4E9D">
        <w:trPr>
          <w:trHeight w:hRule="exact" w:val="2016"/>
        </w:trPr>
        <w:tc>
          <w:tcPr>
            <w:tcW w:w="1265" w:type="pct"/>
            <w:tcBorders>
              <w:top w:val="single" w:sz="3" w:space="0" w:color="000000"/>
              <w:left w:val="single" w:sz="3" w:space="0" w:color="000000"/>
              <w:bottom w:val="single" w:sz="3" w:space="0" w:color="000000"/>
              <w:right w:val="single" w:sz="3" w:space="0" w:color="000000"/>
            </w:tcBorders>
          </w:tcPr>
          <w:p w:rsidR="00211065" w:rsidRPr="005C4E9D" w:rsidRDefault="00211065" w:rsidP="003E628F">
            <w:pPr>
              <w:pStyle w:val="TableParagraph"/>
              <w:jc w:val="both"/>
              <w:rPr>
                <w:rFonts w:ascii="Times New Roman" w:hAnsi="Times New Roman"/>
                <w:noProof/>
                <w:sz w:val="20"/>
              </w:rPr>
            </w:pPr>
            <w:r>
              <w:rPr>
                <w:rFonts w:ascii="Times New Roman" w:hAnsi="Times New Roman"/>
                <w:noProof/>
                <w:sz w:val="20"/>
              </w:rPr>
              <w:t>Pievienotais vērtības nodoklis (PVN) un citi valsts noteikumi</w:t>
            </w:r>
          </w:p>
        </w:tc>
        <w:tc>
          <w:tcPr>
            <w:tcW w:w="912" w:type="pct"/>
            <w:tcBorders>
              <w:top w:val="single" w:sz="3" w:space="0" w:color="000000"/>
              <w:left w:val="single" w:sz="3" w:space="0" w:color="000000"/>
              <w:bottom w:val="single" w:sz="3" w:space="0" w:color="000000"/>
              <w:right w:val="single" w:sz="3" w:space="0" w:color="000000"/>
            </w:tcBorders>
          </w:tcPr>
          <w:p w:rsidR="00211065" w:rsidRPr="005C4E9D" w:rsidRDefault="00211065" w:rsidP="003E628F">
            <w:pPr>
              <w:pStyle w:val="TableParagraph"/>
              <w:jc w:val="both"/>
              <w:rPr>
                <w:rFonts w:ascii="Times New Roman" w:hAnsi="Times New Roman"/>
                <w:noProof/>
                <w:sz w:val="20"/>
              </w:rPr>
            </w:pPr>
            <w:r>
              <w:rPr>
                <w:rFonts w:ascii="Times New Roman" w:hAnsi="Times New Roman"/>
                <w:noProof/>
                <w:sz w:val="20"/>
              </w:rPr>
              <w:t>Atbildīgā iestāde saskaņā ar valsts tiesību aktiem vai dienests, kas ir atbildīgs par kontroli pēc izlaišanas</w:t>
            </w:r>
          </w:p>
        </w:tc>
        <w:tc>
          <w:tcPr>
            <w:tcW w:w="1595" w:type="pct"/>
            <w:tcBorders>
              <w:top w:val="single" w:sz="3" w:space="0" w:color="000000"/>
              <w:left w:val="single" w:sz="3" w:space="0" w:color="000000"/>
              <w:bottom w:val="single" w:sz="3" w:space="0" w:color="000000"/>
              <w:right w:val="single" w:sz="3" w:space="0" w:color="000000"/>
            </w:tcBorders>
          </w:tcPr>
          <w:p w:rsidR="00211065" w:rsidRPr="005C4E9D" w:rsidRDefault="00211065" w:rsidP="003E628F">
            <w:pPr>
              <w:pStyle w:val="TableParagraph"/>
              <w:jc w:val="both"/>
              <w:rPr>
                <w:rFonts w:ascii="Times New Roman" w:hAnsi="Times New Roman"/>
                <w:noProof/>
                <w:sz w:val="20"/>
              </w:rPr>
            </w:pPr>
            <w:r>
              <w:rPr>
                <w:rFonts w:ascii="Times New Roman" w:hAnsi="Times New Roman"/>
                <w:noProof/>
                <w:sz w:val="20"/>
              </w:rPr>
              <w:t>Nepieciešams saskaņā ar valsts PVN tiesību aktiem; atbildīgās iestādes konkrēts pieprasījums saskaņā ar valsts tiesību aktiem</w:t>
            </w:r>
          </w:p>
        </w:tc>
        <w:tc>
          <w:tcPr>
            <w:tcW w:w="1228" w:type="pct"/>
            <w:tcBorders>
              <w:top w:val="single" w:sz="3" w:space="0" w:color="000000"/>
              <w:left w:val="single" w:sz="3" w:space="0" w:color="000000"/>
              <w:bottom w:val="single" w:sz="3" w:space="0" w:color="000000"/>
              <w:right w:val="single" w:sz="3" w:space="0" w:color="000000"/>
            </w:tcBorders>
          </w:tcPr>
          <w:p w:rsidR="00211065" w:rsidRPr="005C4E9D" w:rsidRDefault="00211065" w:rsidP="003E628F">
            <w:pPr>
              <w:pStyle w:val="TableParagraph"/>
              <w:jc w:val="both"/>
              <w:rPr>
                <w:rFonts w:ascii="Times New Roman" w:hAnsi="Times New Roman"/>
                <w:noProof/>
                <w:sz w:val="20"/>
              </w:rPr>
            </w:pPr>
            <w:r>
              <w:rPr>
                <w:rFonts w:ascii="Times New Roman" w:hAnsi="Times New Roman"/>
                <w:noProof/>
                <w:sz w:val="20"/>
              </w:rPr>
              <w:t>Atļaujas sniedzējas muitas iestādes prasība sniegt papildu informāciju</w:t>
            </w:r>
          </w:p>
        </w:tc>
      </w:tr>
      <w:tr w:rsidR="00211065" w:rsidRPr="005C4E9D" w:rsidTr="005C4E9D">
        <w:trPr>
          <w:trHeight w:hRule="exact" w:val="2268"/>
        </w:trPr>
        <w:tc>
          <w:tcPr>
            <w:tcW w:w="1265" w:type="pct"/>
            <w:tcBorders>
              <w:top w:val="single" w:sz="3" w:space="0" w:color="000000"/>
              <w:left w:val="single" w:sz="3" w:space="0" w:color="000000"/>
              <w:bottom w:val="single" w:sz="3" w:space="0" w:color="000000"/>
              <w:right w:val="single" w:sz="3" w:space="0" w:color="000000"/>
            </w:tcBorders>
          </w:tcPr>
          <w:p w:rsidR="00211065" w:rsidRPr="005C4E9D" w:rsidRDefault="00211065" w:rsidP="003E628F">
            <w:pPr>
              <w:pStyle w:val="TableParagraph"/>
              <w:jc w:val="both"/>
              <w:rPr>
                <w:rFonts w:ascii="Times New Roman" w:hAnsi="Times New Roman"/>
                <w:noProof/>
                <w:sz w:val="20"/>
              </w:rPr>
            </w:pPr>
            <w:r>
              <w:rPr>
                <w:rFonts w:ascii="Times New Roman" w:hAnsi="Times New Roman"/>
                <w:noProof/>
                <w:sz w:val="20"/>
              </w:rPr>
              <w:t>Papildu deklarācijā sniegto datu pārbaude; piemēram, muitas nodokļu summas pārbaude</w:t>
            </w:r>
          </w:p>
        </w:tc>
        <w:tc>
          <w:tcPr>
            <w:tcW w:w="912" w:type="pct"/>
            <w:tcBorders>
              <w:top w:val="single" w:sz="3" w:space="0" w:color="000000"/>
              <w:left w:val="single" w:sz="3" w:space="0" w:color="000000"/>
              <w:bottom w:val="single" w:sz="3" w:space="0" w:color="000000"/>
              <w:right w:val="single" w:sz="3" w:space="0" w:color="000000"/>
            </w:tcBorders>
          </w:tcPr>
          <w:p w:rsidR="00211065" w:rsidRPr="005C4E9D" w:rsidRDefault="00211065" w:rsidP="003E628F">
            <w:pPr>
              <w:pStyle w:val="TableParagraph"/>
              <w:jc w:val="both"/>
              <w:rPr>
                <w:rFonts w:ascii="Times New Roman" w:hAnsi="Times New Roman"/>
                <w:noProof/>
                <w:sz w:val="20"/>
              </w:rPr>
            </w:pPr>
            <w:r>
              <w:rPr>
                <w:rFonts w:ascii="Times New Roman" w:hAnsi="Times New Roman"/>
                <w:noProof/>
                <w:sz w:val="20"/>
              </w:rPr>
              <w:t>Atļaujas sniedzēja muitas iestāde</w:t>
            </w:r>
          </w:p>
        </w:tc>
        <w:tc>
          <w:tcPr>
            <w:tcW w:w="1595" w:type="pct"/>
            <w:tcBorders>
              <w:top w:val="single" w:sz="3" w:space="0" w:color="000000"/>
              <w:left w:val="single" w:sz="3" w:space="0" w:color="000000"/>
              <w:bottom w:val="single" w:sz="3" w:space="0" w:color="000000"/>
              <w:right w:val="single" w:sz="3" w:space="0" w:color="000000"/>
            </w:tcBorders>
          </w:tcPr>
          <w:p w:rsidR="00211065" w:rsidRPr="005C4E9D" w:rsidRDefault="00211065" w:rsidP="003E628F">
            <w:pPr>
              <w:pStyle w:val="TableParagraph"/>
              <w:jc w:val="both"/>
              <w:rPr>
                <w:rFonts w:ascii="Times New Roman" w:hAnsi="Times New Roman"/>
                <w:noProof/>
                <w:sz w:val="20"/>
              </w:rPr>
            </w:pPr>
            <w:r>
              <w:rPr>
                <w:rFonts w:ascii="Times New Roman" w:hAnsi="Times New Roman"/>
                <w:noProof/>
                <w:sz w:val="20"/>
              </w:rPr>
              <w:t>Prasība noteikta tiesību aktos un tiek piemērota saskaņā ar valsts administratīvajiem norādījumiem</w:t>
            </w:r>
          </w:p>
        </w:tc>
        <w:tc>
          <w:tcPr>
            <w:tcW w:w="1228" w:type="pct"/>
            <w:tcBorders>
              <w:top w:val="single" w:sz="3" w:space="0" w:color="000000"/>
              <w:left w:val="single" w:sz="3" w:space="0" w:color="000000"/>
              <w:bottom w:val="single" w:sz="3" w:space="0" w:color="000000"/>
              <w:right w:val="single" w:sz="3" w:space="0" w:color="000000"/>
            </w:tcBorders>
          </w:tcPr>
          <w:p w:rsidR="00211065" w:rsidRPr="005C4E9D" w:rsidRDefault="00211065" w:rsidP="003E628F">
            <w:pPr>
              <w:pStyle w:val="TableParagraph"/>
              <w:jc w:val="both"/>
              <w:rPr>
                <w:rFonts w:ascii="Times New Roman" w:hAnsi="Times New Roman"/>
                <w:noProof/>
                <w:sz w:val="20"/>
              </w:rPr>
            </w:pPr>
            <w:r>
              <w:rPr>
                <w:rFonts w:ascii="Times New Roman" w:hAnsi="Times New Roman"/>
                <w:noProof/>
                <w:sz w:val="20"/>
              </w:rPr>
              <w:t>Par neatbilstību, kas skartu muitas nodokļus un ietekmētu arī PVN iesaistītajā dalībvalstī, tiek informētas vietējās iestādes</w:t>
            </w:r>
          </w:p>
        </w:tc>
      </w:tr>
      <w:tr w:rsidR="00211065" w:rsidRPr="005C4E9D" w:rsidTr="005C4E9D">
        <w:trPr>
          <w:trHeight w:hRule="exact" w:val="2017"/>
        </w:trPr>
        <w:tc>
          <w:tcPr>
            <w:tcW w:w="1265" w:type="pct"/>
            <w:tcBorders>
              <w:top w:val="single" w:sz="3" w:space="0" w:color="000000"/>
              <w:left w:val="single" w:sz="3" w:space="0" w:color="000000"/>
              <w:bottom w:val="single" w:sz="3" w:space="0" w:color="000000"/>
              <w:right w:val="single" w:sz="3" w:space="0" w:color="000000"/>
            </w:tcBorders>
          </w:tcPr>
          <w:p w:rsidR="00211065" w:rsidRPr="005C4E9D" w:rsidRDefault="00211065" w:rsidP="003E628F">
            <w:pPr>
              <w:pStyle w:val="TableParagraph"/>
              <w:jc w:val="both"/>
              <w:rPr>
                <w:rFonts w:ascii="Times New Roman" w:hAnsi="Times New Roman"/>
                <w:noProof/>
                <w:sz w:val="20"/>
              </w:rPr>
            </w:pPr>
            <w:r>
              <w:rPr>
                <w:rFonts w:ascii="Times New Roman" w:hAnsi="Times New Roman"/>
                <w:noProof/>
                <w:sz w:val="20"/>
              </w:rPr>
              <w:t>Inventarizācijas veikšana</w:t>
            </w:r>
          </w:p>
        </w:tc>
        <w:tc>
          <w:tcPr>
            <w:tcW w:w="912" w:type="pct"/>
            <w:tcBorders>
              <w:top w:val="single" w:sz="3" w:space="0" w:color="000000"/>
              <w:left w:val="single" w:sz="3" w:space="0" w:color="000000"/>
              <w:bottom w:val="single" w:sz="3" w:space="0" w:color="000000"/>
              <w:right w:val="single" w:sz="3" w:space="0" w:color="000000"/>
            </w:tcBorders>
          </w:tcPr>
          <w:p w:rsidR="00211065" w:rsidRPr="005C4E9D" w:rsidRDefault="00211065" w:rsidP="003E628F">
            <w:pPr>
              <w:pStyle w:val="TableParagraph"/>
              <w:jc w:val="both"/>
              <w:rPr>
                <w:rFonts w:ascii="Times New Roman" w:hAnsi="Times New Roman"/>
                <w:noProof/>
                <w:sz w:val="20"/>
              </w:rPr>
            </w:pPr>
            <w:r>
              <w:rPr>
                <w:rFonts w:ascii="Times New Roman" w:hAnsi="Times New Roman"/>
                <w:noProof/>
                <w:sz w:val="20"/>
              </w:rPr>
              <w:t>Vietējā muitas iestāde</w:t>
            </w:r>
          </w:p>
        </w:tc>
        <w:tc>
          <w:tcPr>
            <w:tcW w:w="1595" w:type="pct"/>
            <w:tcBorders>
              <w:top w:val="single" w:sz="3" w:space="0" w:color="000000"/>
              <w:left w:val="single" w:sz="3" w:space="0" w:color="000000"/>
              <w:bottom w:val="single" w:sz="3" w:space="0" w:color="000000"/>
              <w:right w:val="single" w:sz="3" w:space="0" w:color="000000"/>
            </w:tcBorders>
          </w:tcPr>
          <w:p w:rsidR="00211065" w:rsidRPr="005C4E9D" w:rsidRDefault="00211065" w:rsidP="003E628F">
            <w:pPr>
              <w:pStyle w:val="TableParagraph"/>
              <w:jc w:val="both"/>
              <w:rPr>
                <w:rFonts w:ascii="Times New Roman" w:hAnsi="Times New Roman"/>
                <w:noProof/>
                <w:sz w:val="20"/>
              </w:rPr>
            </w:pPr>
            <w:r>
              <w:rPr>
                <w:rFonts w:ascii="Times New Roman" w:hAnsi="Times New Roman"/>
                <w:noProof/>
                <w:sz w:val="20"/>
              </w:rPr>
              <w:t>Muitas audits; konkrēts pieprasījums no atļaujas sniedzējas muitas iestādes</w:t>
            </w:r>
          </w:p>
        </w:tc>
        <w:tc>
          <w:tcPr>
            <w:tcW w:w="1228" w:type="pct"/>
            <w:tcBorders>
              <w:top w:val="single" w:sz="3" w:space="0" w:color="000000"/>
              <w:left w:val="single" w:sz="3" w:space="0" w:color="000000"/>
              <w:bottom w:val="single" w:sz="3" w:space="0" w:color="000000"/>
              <w:right w:val="single" w:sz="3" w:space="0" w:color="000000"/>
            </w:tcBorders>
          </w:tcPr>
          <w:p w:rsidR="00211065" w:rsidRPr="005C4E9D" w:rsidRDefault="00211065" w:rsidP="003E628F">
            <w:pPr>
              <w:pStyle w:val="TableParagraph"/>
              <w:jc w:val="both"/>
              <w:rPr>
                <w:rFonts w:ascii="Times New Roman" w:hAnsi="Times New Roman"/>
                <w:noProof/>
                <w:sz w:val="20"/>
              </w:rPr>
            </w:pPr>
            <w:r>
              <w:rPr>
                <w:rFonts w:ascii="Times New Roman" w:hAnsi="Times New Roman"/>
                <w:noProof/>
                <w:sz w:val="20"/>
              </w:rPr>
              <w:t>Inventarizācija tiek veikta uzglabāšanas vietā iesaistītajā dalībvalstī; kontroles rezultātu paziņošana atļaujas sniedzējai muitas iestādei</w:t>
            </w:r>
          </w:p>
        </w:tc>
      </w:tr>
    </w:tbl>
    <w:p w:rsidR="00211065" w:rsidRPr="003E628F" w:rsidRDefault="00211065" w:rsidP="003E628F">
      <w:pPr>
        <w:jc w:val="both"/>
        <w:rPr>
          <w:rFonts w:ascii="Times New Roman" w:eastAsia="Times New Roman" w:hAnsi="Times New Roman" w:cs="Times New Roman"/>
          <w:b/>
          <w:bCs/>
          <w:noProof/>
          <w:sz w:val="24"/>
          <w:szCs w:val="20"/>
        </w:rPr>
      </w:pPr>
    </w:p>
    <w:p w:rsidR="00211065" w:rsidRDefault="00211065" w:rsidP="003E628F">
      <w:pPr>
        <w:jc w:val="both"/>
        <w:rPr>
          <w:rFonts w:ascii="Times New Roman" w:eastAsia="Times New Roman" w:hAnsi="Times New Roman" w:cs="Times New Roman"/>
          <w:b/>
          <w:bCs/>
          <w:noProof/>
          <w:sz w:val="24"/>
          <w:szCs w:val="28"/>
        </w:rPr>
      </w:pPr>
    </w:p>
    <w:p w:rsidR="0016289A" w:rsidRPr="003E628F" w:rsidRDefault="0016289A" w:rsidP="003E628F">
      <w:pPr>
        <w:jc w:val="both"/>
        <w:rPr>
          <w:rFonts w:ascii="Times New Roman" w:eastAsia="Times New Roman" w:hAnsi="Times New Roman" w:cs="Times New Roman"/>
          <w:b/>
          <w:bCs/>
          <w:noProof/>
          <w:sz w:val="24"/>
          <w:szCs w:val="28"/>
        </w:rPr>
      </w:pPr>
    </w:p>
    <w:p w:rsidR="00211065" w:rsidRDefault="005C4E9D" w:rsidP="005C4E9D">
      <w:pPr>
        <w:tabs>
          <w:tab w:val="left" w:pos="927"/>
        </w:tabs>
        <w:rPr>
          <w:rFonts w:ascii="Times New Roman" w:hAnsi="Times New Roman"/>
          <w:b/>
          <w:noProof/>
          <w:sz w:val="24"/>
        </w:rPr>
      </w:pPr>
      <w:r>
        <w:rPr>
          <w:rFonts w:ascii="Times New Roman" w:hAnsi="Times New Roman"/>
          <w:b/>
          <w:noProof/>
          <w:sz w:val="24"/>
        </w:rPr>
        <w:lastRenderedPageBreak/>
        <w:t>2. Vispārējā kārtība</w:t>
      </w:r>
    </w:p>
    <w:p w:rsidR="005C4E9D" w:rsidRPr="003E628F" w:rsidRDefault="005C4E9D" w:rsidP="005C4E9D">
      <w:pPr>
        <w:tabs>
          <w:tab w:val="left" w:pos="927"/>
        </w:tabs>
        <w:rPr>
          <w:rFonts w:ascii="Times New Roman" w:hAnsi="Times New Roman"/>
          <w:b/>
          <w:noProof/>
          <w:sz w:val="24"/>
        </w:rPr>
      </w:pPr>
    </w:p>
    <w:p w:rsidR="00211065" w:rsidRPr="003E628F" w:rsidRDefault="00211065" w:rsidP="005C4E9D">
      <w:pPr>
        <w:pStyle w:val="Pamatteksts"/>
        <w:numPr>
          <w:ilvl w:val="1"/>
          <w:numId w:val="13"/>
        </w:numPr>
        <w:tabs>
          <w:tab w:val="left" w:pos="827"/>
        </w:tabs>
        <w:ind w:left="567" w:hanging="567"/>
        <w:jc w:val="both"/>
        <w:rPr>
          <w:noProof/>
        </w:rPr>
      </w:pPr>
      <w:r>
        <w:t>Katrs pieprasījums un katra atbilde/paziņojums ir jāaizpilda angļu valodā, izmantojot X pielikumā iekļauto veidlapu. Vajadzības gadījumā var pievienot papildu lapu. Tas ir jādara elektroniski vienmēr, kad iespējams.</w:t>
      </w:r>
    </w:p>
    <w:p w:rsidR="00211065" w:rsidRPr="003E628F" w:rsidRDefault="00211065" w:rsidP="005C4E9D">
      <w:pPr>
        <w:pStyle w:val="Pamatteksts"/>
        <w:numPr>
          <w:ilvl w:val="1"/>
          <w:numId w:val="13"/>
        </w:numPr>
        <w:tabs>
          <w:tab w:val="left" w:pos="827"/>
        </w:tabs>
        <w:ind w:left="567" w:hanging="567"/>
        <w:jc w:val="both"/>
        <w:rPr>
          <w:noProof/>
        </w:rPr>
      </w:pPr>
      <w:r>
        <w:t>Kā un kur paziņot pieprasījumus un atbildes un/vai paziņojumus? Mērķis ir nodrošināt, ka informācija tiek nodota paredzētajai kontaktpersonai.</w:t>
      </w:r>
    </w:p>
    <w:p w:rsidR="00211065" w:rsidRPr="003E628F" w:rsidRDefault="00211065" w:rsidP="005C4E9D">
      <w:pPr>
        <w:pStyle w:val="Pamatteksts"/>
        <w:numPr>
          <w:ilvl w:val="1"/>
          <w:numId w:val="13"/>
        </w:numPr>
        <w:tabs>
          <w:tab w:val="left" w:pos="827"/>
        </w:tabs>
        <w:ind w:left="567" w:hanging="567"/>
        <w:jc w:val="both"/>
        <w:rPr>
          <w:noProof/>
        </w:rPr>
      </w:pPr>
      <w:r>
        <w:t>Divas turpmāk norādītās personas cieši sadarbosies, lai nodrošinātu procedūras kontroli un administrēšanu.</w:t>
      </w:r>
    </w:p>
    <w:p w:rsidR="00211065" w:rsidRPr="003E628F" w:rsidRDefault="00211065" w:rsidP="003E628F">
      <w:pPr>
        <w:jc w:val="both"/>
        <w:rPr>
          <w:rFonts w:ascii="Times New Roman" w:eastAsia="Times New Roman" w:hAnsi="Times New Roman" w:cs="Times New Roman"/>
          <w:noProof/>
          <w:sz w:val="24"/>
          <w:szCs w:val="24"/>
        </w:rPr>
      </w:pPr>
    </w:p>
    <w:p w:rsidR="00211065" w:rsidRPr="003E628F" w:rsidRDefault="00211065" w:rsidP="003E628F">
      <w:pPr>
        <w:jc w:val="both"/>
        <w:rPr>
          <w:rFonts w:ascii="Times New Roman" w:eastAsia="Times New Roman" w:hAnsi="Times New Roman" w:cs="Times New Roman"/>
          <w:noProof/>
          <w:sz w:val="24"/>
          <w:szCs w:val="21"/>
        </w:rPr>
      </w:pPr>
    </w:p>
    <w:p w:rsidR="00211065" w:rsidRDefault="005C4E9D" w:rsidP="005C4E9D">
      <w:pPr>
        <w:pStyle w:val="Virsraksts1"/>
        <w:tabs>
          <w:tab w:val="left" w:pos="827"/>
        </w:tabs>
        <w:rPr>
          <w:noProof/>
        </w:rPr>
      </w:pPr>
      <w:bookmarkStart w:id="222" w:name="_Toc490734365"/>
      <w:r>
        <w:t>3. Kontaktpunkti</w:t>
      </w:r>
      <w:bookmarkEnd w:id="222"/>
    </w:p>
    <w:p w:rsidR="005C4E9D" w:rsidRPr="003E628F" w:rsidRDefault="005C4E9D" w:rsidP="005C4E9D">
      <w:pPr>
        <w:pStyle w:val="Virsraksts1"/>
        <w:tabs>
          <w:tab w:val="left" w:pos="827"/>
        </w:tabs>
        <w:rPr>
          <w:noProof/>
        </w:rPr>
      </w:pPr>
    </w:p>
    <w:p w:rsidR="00211065" w:rsidRPr="003E628F" w:rsidRDefault="005C4E9D" w:rsidP="005C4E9D">
      <w:pPr>
        <w:pStyle w:val="Pamatteksts"/>
        <w:tabs>
          <w:tab w:val="left" w:pos="1001"/>
        </w:tabs>
        <w:ind w:left="0"/>
        <w:rPr>
          <w:noProof/>
          <w:u w:val="single" w:color="000000"/>
        </w:rPr>
      </w:pPr>
      <w:r>
        <w:rPr>
          <w:noProof/>
          <w:u w:val="single" w:color="000000"/>
        </w:rPr>
        <w:t>a) Atļaujas sniedzēja muitas iestāde</w:t>
      </w:r>
    </w:p>
    <w:p w:rsidR="00211065" w:rsidRPr="003E628F" w:rsidRDefault="00211065" w:rsidP="003E628F">
      <w:pPr>
        <w:jc w:val="both"/>
        <w:rPr>
          <w:rFonts w:ascii="Times New Roman" w:eastAsia="Times New Roman" w:hAnsi="Times New Roman" w:cs="Times New Roman"/>
          <w:noProof/>
          <w:sz w:val="24"/>
          <w:szCs w:val="14"/>
        </w:rPr>
      </w:pPr>
    </w:p>
    <w:p w:rsidR="005C4E9D" w:rsidRDefault="005C4E9D" w:rsidP="003E628F">
      <w:pPr>
        <w:pStyle w:val="Pamatteksts"/>
        <w:ind w:left="0"/>
        <w:jc w:val="both"/>
        <w:rPr>
          <w:noProof/>
        </w:rPr>
      </w:pPr>
      <w:r>
        <w:t>Nosaukums:</w:t>
      </w:r>
    </w:p>
    <w:p w:rsidR="00211065" w:rsidRPr="003E628F" w:rsidRDefault="00211065" w:rsidP="003E628F">
      <w:pPr>
        <w:pStyle w:val="Pamatteksts"/>
        <w:ind w:left="0"/>
        <w:jc w:val="both"/>
        <w:rPr>
          <w:noProof/>
        </w:rPr>
      </w:pPr>
      <w:r>
        <w:t>Adrese:</w:t>
      </w:r>
    </w:p>
    <w:p w:rsidR="005C4E9D" w:rsidRDefault="005C4E9D" w:rsidP="003E628F">
      <w:pPr>
        <w:pStyle w:val="Pamatteksts"/>
        <w:ind w:left="0"/>
        <w:jc w:val="both"/>
        <w:rPr>
          <w:noProof/>
        </w:rPr>
      </w:pPr>
      <w:r>
        <w:t>Atbildīgā amatpersona:</w:t>
      </w:r>
    </w:p>
    <w:p w:rsidR="005C4E9D" w:rsidRDefault="005C4E9D" w:rsidP="003E628F">
      <w:pPr>
        <w:pStyle w:val="Pamatteksts"/>
        <w:ind w:left="0"/>
        <w:jc w:val="both"/>
        <w:rPr>
          <w:noProof/>
        </w:rPr>
      </w:pPr>
      <w:r>
        <w:t>Tālruņa numurs:</w:t>
      </w:r>
    </w:p>
    <w:p w:rsidR="00211065" w:rsidRPr="003E628F" w:rsidRDefault="00211065" w:rsidP="003E628F">
      <w:pPr>
        <w:pStyle w:val="Pamatteksts"/>
        <w:ind w:left="0"/>
        <w:jc w:val="both"/>
        <w:rPr>
          <w:noProof/>
        </w:rPr>
      </w:pPr>
      <w:r>
        <w:t>Faksa numurs:</w:t>
      </w:r>
    </w:p>
    <w:p w:rsidR="00211065" w:rsidRPr="003E628F" w:rsidRDefault="00211065" w:rsidP="003E628F">
      <w:pPr>
        <w:pStyle w:val="Pamatteksts"/>
        <w:ind w:left="0"/>
        <w:jc w:val="both"/>
        <w:rPr>
          <w:noProof/>
        </w:rPr>
      </w:pPr>
      <w:r>
        <w:t>E-pasta adrese:</w:t>
      </w:r>
    </w:p>
    <w:p w:rsidR="00211065" w:rsidRPr="003E628F" w:rsidRDefault="00211065" w:rsidP="003E628F">
      <w:pPr>
        <w:jc w:val="both"/>
        <w:rPr>
          <w:rFonts w:ascii="Times New Roman" w:eastAsia="Times New Roman" w:hAnsi="Times New Roman" w:cs="Times New Roman"/>
          <w:noProof/>
          <w:sz w:val="24"/>
          <w:szCs w:val="24"/>
        </w:rPr>
      </w:pPr>
    </w:p>
    <w:p w:rsidR="00211065" w:rsidRPr="003E628F" w:rsidRDefault="00211065" w:rsidP="003E628F">
      <w:pPr>
        <w:jc w:val="both"/>
        <w:rPr>
          <w:rFonts w:ascii="Times New Roman" w:eastAsia="Times New Roman" w:hAnsi="Times New Roman" w:cs="Times New Roman"/>
          <w:noProof/>
          <w:sz w:val="24"/>
          <w:szCs w:val="20"/>
        </w:rPr>
      </w:pPr>
    </w:p>
    <w:p w:rsidR="005C4E9D" w:rsidRDefault="005C4E9D" w:rsidP="005C4E9D">
      <w:pPr>
        <w:pStyle w:val="Pamatteksts"/>
        <w:tabs>
          <w:tab w:val="left" w:pos="1015"/>
        </w:tabs>
        <w:ind w:left="0"/>
        <w:rPr>
          <w:noProof/>
          <w:u w:val="single" w:color="000000"/>
        </w:rPr>
      </w:pPr>
      <w:r>
        <w:rPr>
          <w:noProof/>
          <w:u w:val="single" w:color="000000"/>
        </w:rPr>
        <w:t>b) Vietējā muitas iestāde</w:t>
      </w:r>
    </w:p>
    <w:p w:rsidR="00211065" w:rsidRPr="003E628F" w:rsidRDefault="00211065" w:rsidP="005C4E9D">
      <w:pPr>
        <w:pStyle w:val="Pamatteksts"/>
        <w:tabs>
          <w:tab w:val="left" w:pos="1015"/>
        </w:tabs>
        <w:ind w:left="0"/>
        <w:rPr>
          <w:noProof/>
        </w:rPr>
      </w:pPr>
      <w:r>
        <w:t>Nosaukums:</w:t>
      </w:r>
    </w:p>
    <w:p w:rsidR="00211065" w:rsidRPr="003E628F" w:rsidRDefault="00211065" w:rsidP="003E628F">
      <w:pPr>
        <w:pStyle w:val="Pamatteksts"/>
        <w:ind w:left="0"/>
        <w:jc w:val="both"/>
        <w:rPr>
          <w:noProof/>
        </w:rPr>
      </w:pPr>
      <w:r>
        <w:t>Adrese:</w:t>
      </w:r>
    </w:p>
    <w:p w:rsidR="005C4E9D" w:rsidRDefault="005C4E9D" w:rsidP="003E628F">
      <w:pPr>
        <w:pStyle w:val="Pamatteksts"/>
        <w:ind w:left="0"/>
        <w:jc w:val="both"/>
        <w:rPr>
          <w:noProof/>
        </w:rPr>
      </w:pPr>
      <w:r>
        <w:t>Atbildīgā amatpersona:</w:t>
      </w:r>
    </w:p>
    <w:p w:rsidR="005C4E9D" w:rsidRDefault="005C4E9D" w:rsidP="003E628F">
      <w:pPr>
        <w:pStyle w:val="Pamatteksts"/>
        <w:ind w:left="0"/>
        <w:jc w:val="both"/>
        <w:rPr>
          <w:noProof/>
        </w:rPr>
      </w:pPr>
      <w:r>
        <w:t>Tālruņa numurs:</w:t>
      </w:r>
    </w:p>
    <w:p w:rsidR="00211065" w:rsidRPr="003E628F" w:rsidRDefault="00211065" w:rsidP="003E628F">
      <w:pPr>
        <w:pStyle w:val="Pamatteksts"/>
        <w:ind w:left="0"/>
        <w:jc w:val="both"/>
        <w:rPr>
          <w:noProof/>
        </w:rPr>
      </w:pPr>
      <w:r>
        <w:t>Faksa numurs:</w:t>
      </w:r>
    </w:p>
    <w:p w:rsidR="00211065" w:rsidRPr="003E628F" w:rsidRDefault="00211065" w:rsidP="003E628F">
      <w:pPr>
        <w:pStyle w:val="Pamatteksts"/>
        <w:ind w:left="0"/>
        <w:jc w:val="both"/>
        <w:rPr>
          <w:noProof/>
        </w:rPr>
      </w:pPr>
      <w:r>
        <w:t>E-pasta adrese:</w:t>
      </w:r>
    </w:p>
    <w:p w:rsidR="00211065" w:rsidRPr="003E628F" w:rsidRDefault="00211065" w:rsidP="003E628F">
      <w:pPr>
        <w:jc w:val="both"/>
        <w:rPr>
          <w:rFonts w:ascii="Times New Roman" w:eastAsia="Times New Roman" w:hAnsi="Times New Roman" w:cs="Times New Roman"/>
          <w:noProof/>
          <w:sz w:val="24"/>
          <w:szCs w:val="24"/>
        </w:rPr>
      </w:pPr>
    </w:p>
    <w:p w:rsidR="00211065" w:rsidRPr="003E628F" w:rsidRDefault="00211065" w:rsidP="003E628F">
      <w:pPr>
        <w:jc w:val="both"/>
        <w:rPr>
          <w:rFonts w:ascii="Times New Roman" w:eastAsia="Times New Roman" w:hAnsi="Times New Roman" w:cs="Times New Roman"/>
          <w:noProof/>
          <w:sz w:val="24"/>
          <w:szCs w:val="31"/>
        </w:rPr>
      </w:pPr>
    </w:p>
    <w:p w:rsidR="00211065" w:rsidRPr="003E628F" w:rsidRDefault="005C4E9D" w:rsidP="005C4E9D">
      <w:pPr>
        <w:pStyle w:val="Virsraksts1"/>
        <w:tabs>
          <w:tab w:val="left" w:pos="705"/>
        </w:tabs>
        <w:rPr>
          <w:noProof/>
        </w:rPr>
      </w:pPr>
      <w:bookmarkStart w:id="223" w:name="_Toc490734366"/>
      <w:r>
        <w:t>4. Datu prasības</w:t>
      </w:r>
      <w:bookmarkEnd w:id="223"/>
    </w:p>
    <w:p w:rsidR="005C4E9D" w:rsidRDefault="005C4E9D" w:rsidP="003E628F">
      <w:pPr>
        <w:pStyle w:val="Pamatteksts"/>
        <w:ind w:left="0"/>
        <w:jc w:val="both"/>
        <w:rPr>
          <w:noProof/>
        </w:rPr>
      </w:pPr>
    </w:p>
    <w:p w:rsidR="00211065" w:rsidRPr="003E628F" w:rsidRDefault="00211065" w:rsidP="003E628F">
      <w:pPr>
        <w:pStyle w:val="Pamatteksts"/>
        <w:ind w:left="0"/>
        <w:jc w:val="both"/>
        <w:rPr>
          <w:noProof/>
        </w:rPr>
      </w:pPr>
      <w:r>
        <w:t>Ievērojot valsts tiesību aktus, kas reglamentē datu aizsardzību un datu drošību, informācijas par kontroles pasākumiem sūtīšanai starp atļaujas sniedzēju muitas iestādi un iesaistīto muitas iestādi ir jāizmanto kodētājs.</w:t>
      </w:r>
    </w:p>
    <w:p w:rsidR="00211065" w:rsidRPr="003E628F" w:rsidRDefault="00211065" w:rsidP="003E628F">
      <w:pPr>
        <w:jc w:val="both"/>
        <w:rPr>
          <w:rFonts w:ascii="Times New Roman" w:eastAsia="Times New Roman" w:hAnsi="Times New Roman" w:cs="Times New Roman"/>
          <w:noProof/>
          <w:sz w:val="24"/>
          <w:szCs w:val="20"/>
        </w:rPr>
      </w:pPr>
    </w:p>
    <w:p w:rsidR="005C4E9D" w:rsidRDefault="00211065" w:rsidP="003E628F">
      <w:pPr>
        <w:pStyle w:val="Pamatteksts"/>
        <w:ind w:left="0"/>
        <w:jc w:val="both"/>
        <w:rPr>
          <w:noProof/>
        </w:rPr>
      </w:pPr>
      <w:r>
        <w:t xml:space="preserve">Piemēram, Vācija un Somija kā kodētāju izmanto bezmaksas programmatūru </w:t>
      </w:r>
      <w:r>
        <w:rPr>
          <w:i/>
        </w:rPr>
        <w:t>7zip</w:t>
      </w:r>
      <w:r>
        <w:t xml:space="preserve"> (programmatūra).</w:t>
      </w:r>
    </w:p>
    <w:p w:rsidR="005C4E9D" w:rsidRDefault="005C4E9D">
      <w:pPr>
        <w:rPr>
          <w:rFonts w:ascii="Times New Roman" w:eastAsia="Times New Roman" w:hAnsi="Times New Roman"/>
          <w:noProof/>
          <w:sz w:val="24"/>
          <w:szCs w:val="24"/>
        </w:rPr>
      </w:pPr>
      <w:r>
        <w:br w:type="page"/>
      </w:r>
    </w:p>
    <w:p w:rsidR="00211065" w:rsidRPr="0016289A" w:rsidRDefault="00211065" w:rsidP="0016289A">
      <w:pPr>
        <w:pStyle w:val="Virsraksts2"/>
        <w:jc w:val="center"/>
        <w:rPr>
          <w:b/>
        </w:rPr>
      </w:pPr>
      <w:bookmarkStart w:id="224" w:name="_Toc490734367"/>
      <w:r w:rsidRPr="0016289A">
        <w:rPr>
          <w:b/>
        </w:rPr>
        <w:lastRenderedPageBreak/>
        <w:t>V PIELIKUMS</w:t>
      </w:r>
      <w:bookmarkStart w:id="225" w:name="_bookmark79"/>
      <w:bookmarkEnd w:id="225"/>
      <w:r w:rsidR="0016289A" w:rsidRPr="0016289A">
        <w:rPr>
          <w:b/>
        </w:rPr>
        <w:br/>
      </w:r>
      <w:r w:rsidRPr="0016289A">
        <w:rPr>
          <w:b/>
        </w:rPr>
        <w:t>-</w:t>
      </w:r>
      <w:r w:rsidR="0016289A" w:rsidRPr="0016289A">
        <w:rPr>
          <w:b/>
        </w:rPr>
        <w:br/>
      </w:r>
      <w:r w:rsidRPr="0016289A">
        <w:rPr>
          <w:b/>
        </w:rPr>
        <w:t>KOPĪGAIS KONTROLES PLĀNS</w:t>
      </w:r>
      <w:bookmarkEnd w:id="224"/>
    </w:p>
    <w:p w:rsidR="00211065" w:rsidRPr="003E628F" w:rsidRDefault="00211065" w:rsidP="003E628F">
      <w:pPr>
        <w:jc w:val="both"/>
        <w:rPr>
          <w:rFonts w:ascii="Times New Roman" w:eastAsia="Times New Roman" w:hAnsi="Times New Roman" w:cs="Times New Roman"/>
          <w:b/>
          <w:bCs/>
          <w:i/>
          <w:noProof/>
          <w:sz w:val="24"/>
          <w:szCs w:val="25"/>
        </w:rPr>
      </w:pPr>
    </w:p>
    <w:p w:rsidR="00211065" w:rsidRPr="003E628F" w:rsidRDefault="005C4E9D" w:rsidP="005C4E9D">
      <w:pPr>
        <w:tabs>
          <w:tab w:val="left" w:pos="827"/>
        </w:tabs>
        <w:rPr>
          <w:rFonts w:ascii="Times New Roman" w:hAnsi="Times New Roman"/>
          <w:b/>
          <w:noProof/>
          <w:sz w:val="24"/>
        </w:rPr>
      </w:pPr>
      <w:r>
        <w:rPr>
          <w:rFonts w:ascii="Times New Roman" w:hAnsi="Times New Roman"/>
          <w:b/>
          <w:noProof/>
          <w:sz w:val="24"/>
        </w:rPr>
        <w:t>1. Kopīgais kontroles plāns</w:t>
      </w:r>
    </w:p>
    <w:p w:rsidR="00211065" w:rsidRPr="003E628F" w:rsidRDefault="00211065" w:rsidP="003E628F">
      <w:pPr>
        <w:jc w:val="both"/>
        <w:rPr>
          <w:rFonts w:ascii="Times New Roman" w:eastAsia="Times New Roman" w:hAnsi="Times New Roman" w:cs="Times New Roman"/>
          <w:b/>
          <w:bCs/>
          <w:noProof/>
          <w:sz w:val="24"/>
          <w:szCs w:val="20"/>
        </w:rPr>
      </w:pPr>
    </w:p>
    <w:p w:rsidR="00211065" w:rsidRPr="003E628F" w:rsidRDefault="00211065" w:rsidP="003E628F">
      <w:pPr>
        <w:jc w:val="both"/>
        <w:rPr>
          <w:rFonts w:ascii="Times New Roman" w:eastAsia="Times New Roman" w:hAnsi="Times New Roman" w:cs="Times New Roman"/>
          <w:b/>
          <w:bCs/>
          <w:noProof/>
          <w:sz w:val="24"/>
          <w:szCs w:val="15"/>
        </w:rPr>
      </w:pPr>
    </w:p>
    <w:tbl>
      <w:tblPr>
        <w:tblW w:w="5000" w:type="pct"/>
        <w:tblCellMar>
          <w:top w:w="28" w:type="dxa"/>
          <w:left w:w="28" w:type="dxa"/>
          <w:bottom w:w="28" w:type="dxa"/>
          <w:right w:w="28" w:type="dxa"/>
        </w:tblCellMar>
        <w:tblLook w:val="01E0" w:firstRow="1" w:lastRow="1" w:firstColumn="1" w:lastColumn="1" w:noHBand="0" w:noVBand="0"/>
      </w:tblPr>
      <w:tblGrid>
        <w:gridCol w:w="4436"/>
        <w:gridCol w:w="4695"/>
      </w:tblGrid>
      <w:tr w:rsidR="00211065" w:rsidRPr="005C4E9D" w:rsidTr="005C4E9D">
        <w:trPr>
          <w:trHeight w:hRule="exact" w:val="408"/>
        </w:trPr>
        <w:tc>
          <w:tcPr>
            <w:tcW w:w="2429" w:type="pct"/>
            <w:tcBorders>
              <w:top w:val="single" w:sz="5" w:space="0" w:color="000000"/>
              <w:left w:val="single" w:sz="5" w:space="0" w:color="000000"/>
              <w:bottom w:val="single" w:sz="5" w:space="0" w:color="000000"/>
              <w:right w:val="single" w:sz="5" w:space="0" w:color="000000"/>
            </w:tcBorders>
          </w:tcPr>
          <w:p w:rsidR="00211065" w:rsidRPr="005C4E9D" w:rsidRDefault="00211065" w:rsidP="003E628F">
            <w:pPr>
              <w:pStyle w:val="TableParagraph"/>
              <w:jc w:val="both"/>
              <w:rPr>
                <w:rFonts w:ascii="Times New Roman" w:hAnsi="Times New Roman"/>
                <w:b/>
                <w:noProof/>
                <w:sz w:val="20"/>
              </w:rPr>
            </w:pPr>
            <w:r>
              <w:rPr>
                <w:rFonts w:ascii="Times New Roman" w:hAnsi="Times New Roman"/>
                <w:b/>
                <w:noProof/>
                <w:sz w:val="20"/>
              </w:rPr>
              <w:t>Atļaujas sniedzēja dalībvalsts</w:t>
            </w:r>
          </w:p>
        </w:tc>
        <w:tc>
          <w:tcPr>
            <w:tcW w:w="2571" w:type="pct"/>
            <w:tcBorders>
              <w:top w:val="single" w:sz="5" w:space="0" w:color="000000"/>
              <w:left w:val="single" w:sz="5" w:space="0" w:color="000000"/>
              <w:bottom w:val="single" w:sz="5" w:space="0" w:color="000000"/>
              <w:right w:val="single" w:sz="5" w:space="0" w:color="000000"/>
            </w:tcBorders>
          </w:tcPr>
          <w:p w:rsidR="00211065" w:rsidRPr="005C4E9D" w:rsidRDefault="00211065" w:rsidP="003E628F">
            <w:pPr>
              <w:pStyle w:val="TableParagraph"/>
              <w:jc w:val="both"/>
              <w:rPr>
                <w:rFonts w:ascii="Times New Roman" w:hAnsi="Times New Roman"/>
                <w:b/>
                <w:noProof/>
                <w:sz w:val="20"/>
              </w:rPr>
            </w:pPr>
            <w:r>
              <w:rPr>
                <w:rFonts w:ascii="Times New Roman" w:hAnsi="Times New Roman"/>
                <w:b/>
                <w:noProof/>
                <w:sz w:val="20"/>
              </w:rPr>
              <w:t>Iesaistītā dalībvalsts</w:t>
            </w:r>
          </w:p>
        </w:tc>
      </w:tr>
      <w:tr w:rsidR="00211065" w:rsidRPr="005C4E9D" w:rsidTr="005C4E9D">
        <w:trPr>
          <w:trHeight w:hRule="exact" w:val="6451"/>
        </w:trPr>
        <w:tc>
          <w:tcPr>
            <w:tcW w:w="2429" w:type="pct"/>
            <w:tcBorders>
              <w:top w:val="single" w:sz="5" w:space="0" w:color="000000"/>
              <w:left w:val="single" w:sz="5" w:space="0" w:color="000000"/>
              <w:bottom w:val="nil"/>
              <w:right w:val="single" w:sz="5" w:space="0" w:color="000000"/>
            </w:tcBorders>
          </w:tcPr>
          <w:p w:rsidR="00211065" w:rsidRPr="005C4E9D" w:rsidRDefault="00211065" w:rsidP="003E628F">
            <w:pPr>
              <w:pStyle w:val="TableParagraph"/>
              <w:jc w:val="both"/>
              <w:rPr>
                <w:rFonts w:ascii="Times New Roman" w:hAnsi="Times New Roman"/>
                <w:noProof/>
                <w:sz w:val="20"/>
              </w:rPr>
            </w:pPr>
            <w:r>
              <w:rPr>
                <w:rFonts w:ascii="Times New Roman" w:hAnsi="Times New Roman"/>
                <w:noProof/>
                <w:sz w:val="20"/>
              </w:rPr>
              <w:t>Atļaujas sniedzēji muitas dienesti un/vai atļaujas sniedzēja iestāde, ņemot vērā:</w:t>
            </w:r>
          </w:p>
          <w:p w:rsidR="00211065" w:rsidRPr="005C4E9D" w:rsidRDefault="00211065" w:rsidP="005C4E9D">
            <w:pPr>
              <w:pStyle w:val="Sarakstarindkopa"/>
              <w:numPr>
                <w:ilvl w:val="0"/>
                <w:numId w:val="2"/>
              </w:numPr>
              <w:tabs>
                <w:tab w:val="left" w:pos="386"/>
              </w:tabs>
              <w:ind w:left="426" w:hanging="426"/>
              <w:jc w:val="both"/>
              <w:rPr>
                <w:rFonts w:ascii="Times New Roman" w:hAnsi="Times New Roman"/>
                <w:noProof/>
                <w:sz w:val="20"/>
              </w:rPr>
            </w:pPr>
            <w:r>
              <w:rPr>
                <w:rFonts w:ascii="Times New Roman" w:hAnsi="Times New Roman"/>
                <w:noProof/>
                <w:sz w:val="20"/>
              </w:rPr>
              <w:t xml:space="preserve">uzņēmuma raksturiezīmes (piemēram, </w:t>
            </w:r>
            <w:r>
              <w:rPr>
                <w:rFonts w:ascii="Times New Roman" w:hAnsi="Times New Roman"/>
                <w:i/>
                <w:noProof/>
                <w:sz w:val="20"/>
              </w:rPr>
              <w:t>AEO</w:t>
            </w:r>
            <w:r>
              <w:rPr>
                <w:rFonts w:ascii="Times New Roman" w:hAnsi="Times New Roman"/>
                <w:noProof/>
                <w:sz w:val="20"/>
              </w:rPr>
              <w:t xml:space="preserve"> statusu);</w:t>
            </w:r>
          </w:p>
          <w:p w:rsidR="00211065" w:rsidRPr="005C4E9D" w:rsidRDefault="00211065" w:rsidP="005C4E9D">
            <w:pPr>
              <w:pStyle w:val="Sarakstarindkopa"/>
              <w:numPr>
                <w:ilvl w:val="0"/>
                <w:numId w:val="2"/>
              </w:numPr>
              <w:tabs>
                <w:tab w:val="left" w:pos="386"/>
              </w:tabs>
              <w:ind w:left="426" w:hanging="426"/>
              <w:jc w:val="both"/>
              <w:rPr>
                <w:rFonts w:ascii="Times New Roman" w:hAnsi="Times New Roman"/>
                <w:noProof/>
                <w:sz w:val="20"/>
              </w:rPr>
            </w:pPr>
            <w:r>
              <w:rPr>
                <w:rFonts w:ascii="Times New Roman" w:hAnsi="Times New Roman"/>
                <w:noProof/>
                <w:sz w:val="20"/>
              </w:rPr>
              <w:t>preces, kas ir jāimportē vai jāeksportē;</w:t>
            </w:r>
          </w:p>
          <w:p w:rsidR="00211065" w:rsidRPr="005C4E9D" w:rsidRDefault="00211065" w:rsidP="005C4E9D">
            <w:pPr>
              <w:pStyle w:val="Sarakstarindkopa"/>
              <w:numPr>
                <w:ilvl w:val="0"/>
                <w:numId w:val="2"/>
              </w:numPr>
              <w:tabs>
                <w:tab w:val="left" w:pos="386"/>
              </w:tabs>
              <w:ind w:left="426" w:hanging="426"/>
              <w:jc w:val="both"/>
              <w:rPr>
                <w:rFonts w:ascii="Times New Roman" w:hAnsi="Times New Roman"/>
                <w:noProof/>
                <w:sz w:val="20"/>
              </w:rPr>
            </w:pPr>
            <w:r>
              <w:rPr>
                <w:rFonts w:ascii="Times New Roman" w:hAnsi="Times New Roman"/>
                <w:noProof/>
                <w:sz w:val="20"/>
              </w:rPr>
              <w:t>būtiskos datus,</w:t>
            </w:r>
          </w:p>
          <w:p w:rsidR="00211065" w:rsidRPr="005C4E9D" w:rsidRDefault="00211065" w:rsidP="003E628F">
            <w:pPr>
              <w:pStyle w:val="TableParagraph"/>
              <w:jc w:val="both"/>
              <w:rPr>
                <w:rFonts w:ascii="Times New Roman" w:hAnsi="Times New Roman"/>
                <w:noProof/>
                <w:sz w:val="20"/>
              </w:rPr>
            </w:pPr>
            <w:r>
              <w:rPr>
                <w:rFonts w:ascii="Times New Roman" w:hAnsi="Times New Roman"/>
                <w:noProof/>
                <w:sz w:val="20"/>
              </w:rPr>
              <w:t>veic riska analīzi. Pēc tam atļaujas sniedzēja iestāde lemj par labāko stratēģiju iespējamo risku samazināšanai vai likvidēšanai. Šī stratēģija tiek iekļauta vienotās atļaujas kontroles plāna projektā (sk. IX pielikumu attiecībā uz kontroles plānu, tostarp kontroles veidus, atbildības sadalījumu un procedūras).</w:t>
            </w:r>
          </w:p>
          <w:p w:rsidR="005C4E9D" w:rsidRDefault="005C4E9D" w:rsidP="003E628F">
            <w:pPr>
              <w:pStyle w:val="TableParagraph"/>
              <w:jc w:val="both"/>
              <w:rPr>
                <w:rFonts w:ascii="Times New Roman" w:hAnsi="Times New Roman"/>
                <w:noProof/>
                <w:sz w:val="20"/>
              </w:rPr>
            </w:pPr>
          </w:p>
          <w:p w:rsidR="00211065" w:rsidRPr="005C4E9D" w:rsidRDefault="00211065" w:rsidP="003E628F">
            <w:pPr>
              <w:pStyle w:val="TableParagraph"/>
              <w:jc w:val="both"/>
              <w:rPr>
                <w:rFonts w:ascii="Times New Roman" w:hAnsi="Times New Roman"/>
                <w:noProof/>
                <w:sz w:val="20"/>
              </w:rPr>
            </w:pPr>
            <w:r>
              <w:rPr>
                <w:rFonts w:ascii="Times New Roman" w:hAnsi="Times New Roman"/>
                <w:noProof/>
                <w:sz w:val="20"/>
              </w:rPr>
              <w:t>Kopumā kontroles plānā ietilpst četri kontroles pasākumu veidi:</w:t>
            </w:r>
          </w:p>
          <w:p w:rsidR="00211065" w:rsidRPr="005C4E9D" w:rsidRDefault="00211065" w:rsidP="005C4E9D">
            <w:pPr>
              <w:pStyle w:val="Sarakstarindkopa"/>
              <w:numPr>
                <w:ilvl w:val="0"/>
                <w:numId w:val="2"/>
              </w:numPr>
              <w:tabs>
                <w:tab w:val="left" w:pos="386"/>
              </w:tabs>
              <w:ind w:left="0" w:firstLine="0"/>
              <w:jc w:val="both"/>
              <w:rPr>
                <w:rFonts w:ascii="Times New Roman" w:hAnsi="Times New Roman"/>
                <w:noProof/>
                <w:sz w:val="20"/>
              </w:rPr>
            </w:pPr>
            <w:r>
              <w:rPr>
                <w:rFonts w:ascii="Times New Roman" w:hAnsi="Times New Roman"/>
                <w:noProof/>
                <w:sz w:val="20"/>
              </w:rPr>
              <w:t>auditi (administratīvā kontrole);</w:t>
            </w:r>
          </w:p>
          <w:p w:rsidR="00211065" w:rsidRPr="005C4E9D" w:rsidRDefault="00211065" w:rsidP="005C4E9D">
            <w:pPr>
              <w:pStyle w:val="Sarakstarindkopa"/>
              <w:numPr>
                <w:ilvl w:val="0"/>
                <w:numId w:val="2"/>
              </w:numPr>
              <w:tabs>
                <w:tab w:val="left" w:pos="386"/>
              </w:tabs>
              <w:ind w:left="0" w:firstLine="0"/>
              <w:jc w:val="both"/>
              <w:rPr>
                <w:rFonts w:ascii="Times New Roman" w:hAnsi="Times New Roman"/>
                <w:noProof/>
                <w:sz w:val="20"/>
              </w:rPr>
            </w:pPr>
            <w:r>
              <w:rPr>
                <w:rFonts w:ascii="Times New Roman" w:hAnsi="Times New Roman"/>
                <w:noProof/>
                <w:sz w:val="20"/>
              </w:rPr>
              <w:t>deklarācijas un citu dokumentu pārbaude;</w:t>
            </w:r>
          </w:p>
          <w:p w:rsidR="00211065" w:rsidRPr="005C4E9D" w:rsidRDefault="005C4E9D" w:rsidP="005C4E9D">
            <w:pPr>
              <w:pStyle w:val="Sarakstarindkopa"/>
              <w:numPr>
                <w:ilvl w:val="0"/>
                <w:numId w:val="2"/>
              </w:numPr>
              <w:tabs>
                <w:tab w:val="left" w:pos="386"/>
              </w:tabs>
              <w:ind w:left="0" w:firstLine="0"/>
              <w:jc w:val="both"/>
              <w:rPr>
                <w:rFonts w:ascii="Times New Roman" w:eastAsia="Times New Roman" w:hAnsi="Times New Roman" w:cs="Times New Roman"/>
                <w:noProof/>
                <w:sz w:val="20"/>
                <w:szCs w:val="14"/>
              </w:rPr>
            </w:pPr>
            <w:r>
              <w:rPr>
                <w:rFonts w:ascii="Times New Roman" w:hAnsi="Times New Roman"/>
                <w:noProof/>
                <w:sz w:val="20"/>
              </w:rPr>
              <w:t>preču fiziskā pārbaude</w:t>
            </w:r>
            <w:r>
              <w:rPr>
                <w:rStyle w:val="Vresatsauce"/>
                <w:rFonts w:ascii="Times New Roman" w:hAnsi="Times New Roman"/>
                <w:noProof/>
                <w:sz w:val="20"/>
              </w:rPr>
              <w:footnoteReference w:id="5"/>
            </w:r>
            <w:r>
              <w:rPr>
                <w:rFonts w:ascii="Times New Roman" w:hAnsi="Times New Roman"/>
                <w:noProof/>
                <w:sz w:val="20"/>
              </w:rPr>
              <w:t>;</w:t>
            </w:r>
          </w:p>
          <w:p w:rsidR="00211065" w:rsidRPr="005C4E9D" w:rsidRDefault="00211065" w:rsidP="005C4E9D">
            <w:pPr>
              <w:pStyle w:val="Sarakstarindkopa"/>
              <w:numPr>
                <w:ilvl w:val="0"/>
                <w:numId w:val="2"/>
              </w:numPr>
              <w:tabs>
                <w:tab w:val="left" w:pos="386"/>
              </w:tabs>
              <w:ind w:left="0" w:firstLine="0"/>
              <w:jc w:val="both"/>
              <w:rPr>
                <w:rFonts w:ascii="Times New Roman" w:eastAsia="Times New Roman" w:hAnsi="Times New Roman" w:cs="Times New Roman"/>
                <w:noProof/>
                <w:sz w:val="20"/>
              </w:rPr>
            </w:pPr>
            <w:r>
              <w:rPr>
                <w:rFonts w:ascii="Times New Roman" w:hAnsi="Times New Roman"/>
                <w:noProof/>
                <w:sz w:val="20"/>
              </w:rPr>
              <w:t>kontrole pēc izlaišanas.</w:t>
            </w:r>
          </w:p>
          <w:p w:rsidR="00211065" w:rsidRPr="005C4E9D" w:rsidRDefault="00211065" w:rsidP="003E628F">
            <w:pPr>
              <w:pStyle w:val="TableParagraph"/>
              <w:jc w:val="both"/>
              <w:rPr>
                <w:rFonts w:ascii="Times New Roman" w:eastAsia="Times New Roman" w:hAnsi="Times New Roman" w:cs="Times New Roman"/>
                <w:b/>
                <w:bCs/>
                <w:noProof/>
                <w:sz w:val="20"/>
                <w:szCs w:val="20"/>
              </w:rPr>
            </w:pPr>
          </w:p>
          <w:p w:rsidR="00211065" w:rsidRPr="005C4E9D" w:rsidRDefault="00211065" w:rsidP="003E628F">
            <w:pPr>
              <w:pStyle w:val="TableParagraph"/>
              <w:jc w:val="both"/>
              <w:rPr>
                <w:rFonts w:ascii="Times New Roman" w:hAnsi="Times New Roman"/>
                <w:noProof/>
                <w:sz w:val="20"/>
              </w:rPr>
            </w:pPr>
            <w:r>
              <w:rPr>
                <w:rFonts w:ascii="Times New Roman" w:hAnsi="Times New Roman"/>
                <w:noProof/>
                <w:sz w:val="20"/>
              </w:rPr>
              <w:t>Kontroles plāna projekts ar IT sistēmas starpniecību tiek nosūtīts kontaktpunktam(-iem) iesaistītajā(-ās) dalībvalstī(-īs) un, ja nepieciešams, tulkots attiecīgajās valodās. Kamēr šī sistēma nav ieviesta, jāizmanto e-pasts.</w:t>
            </w:r>
          </w:p>
        </w:tc>
        <w:tc>
          <w:tcPr>
            <w:tcW w:w="2571" w:type="pct"/>
            <w:tcBorders>
              <w:top w:val="single" w:sz="5" w:space="0" w:color="000000"/>
              <w:left w:val="single" w:sz="5" w:space="0" w:color="000000"/>
              <w:bottom w:val="nil"/>
              <w:right w:val="single" w:sz="5" w:space="0" w:color="000000"/>
            </w:tcBorders>
          </w:tcPr>
          <w:p w:rsidR="00211065" w:rsidRPr="005C4E9D" w:rsidRDefault="00211065" w:rsidP="003E628F">
            <w:pPr>
              <w:jc w:val="both"/>
              <w:rPr>
                <w:rFonts w:ascii="Times New Roman" w:hAnsi="Times New Roman"/>
                <w:noProof/>
                <w:sz w:val="20"/>
              </w:rPr>
            </w:pPr>
          </w:p>
        </w:tc>
      </w:tr>
      <w:tr w:rsidR="00211065" w:rsidRPr="005C4E9D" w:rsidTr="005C4E9D">
        <w:trPr>
          <w:trHeight w:hRule="exact" w:val="3370"/>
        </w:trPr>
        <w:tc>
          <w:tcPr>
            <w:tcW w:w="2429" w:type="pct"/>
            <w:tcBorders>
              <w:top w:val="nil"/>
              <w:left w:val="single" w:sz="5" w:space="0" w:color="000000"/>
              <w:right w:val="single" w:sz="5" w:space="0" w:color="000000"/>
            </w:tcBorders>
          </w:tcPr>
          <w:p w:rsidR="00211065" w:rsidRPr="005C4E9D" w:rsidRDefault="00211065" w:rsidP="003E628F">
            <w:pPr>
              <w:jc w:val="both"/>
              <w:rPr>
                <w:rFonts w:ascii="Times New Roman" w:hAnsi="Times New Roman"/>
                <w:noProof/>
                <w:sz w:val="20"/>
              </w:rPr>
            </w:pPr>
          </w:p>
        </w:tc>
        <w:tc>
          <w:tcPr>
            <w:tcW w:w="2571" w:type="pct"/>
            <w:tcBorders>
              <w:top w:val="nil"/>
              <w:left w:val="single" w:sz="5" w:space="0" w:color="000000"/>
              <w:right w:val="single" w:sz="5" w:space="0" w:color="000000"/>
            </w:tcBorders>
          </w:tcPr>
          <w:p w:rsidR="00211065" w:rsidRPr="005C4E9D" w:rsidRDefault="00211065" w:rsidP="003E628F">
            <w:pPr>
              <w:pStyle w:val="TableParagraph"/>
              <w:jc w:val="both"/>
              <w:rPr>
                <w:rFonts w:ascii="Times New Roman" w:hAnsi="Times New Roman"/>
                <w:noProof/>
                <w:sz w:val="20"/>
              </w:rPr>
            </w:pPr>
            <w:r>
              <w:rPr>
                <w:rFonts w:ascii="Times New Roman" w:hAnsi="Times New Roman"/>
                <w:noProof/>
                <w:sz w:val="20"/>
              </w:rPr>
              <w:t>Iesaistītās dalībvalsts kontaktpunkts sazinās ar vietējo muitas iestādi(-ēm) un, ja nepieciešams, arī ar citiem kompetentajiem dienestiem.</w:t>
            </w:r>
          </w:p>
          <w:p w:rsidR="005C4E9D" w:rsidRDefault="005C4E9D" w:rsidP="003E628F">
            <w:pPr>
              <w:pStyle w:val="TableParagraph"/>
              <w:jc w:val="both"/>
              <w:rPr>
                <w:rFonts w:ascii="Times New Roman" w:hAnsi="Times New Roman"/>
                <w:noProof/>
                <w:sz w:val="20"/>
              </w:rPr>
            </w:pPr>
          </w:p>
          <w:p w:rsidR="00211065" w:rsidRPr="005C4E9D" w:rsidRDefault="00211065" w:rsidP="003E628F">
            <w:pPr>
              <w:pStyle w:val="TableParagraph"/>
              <w:jc w:val="both"/>
              <w:rPr>
                <w:rFonts w:ascii="Times New Roman" w:hAnsi="Times New Roman"/>
                <w:noProof/>
                <w:sz w:val="20"/>
              </w:rPr>
            </w:pPr>
            <w:r>
              <w:rPr>
                <w:rFonts w:ascii="Times New Roman" w:hAnsi="Times New Roman"/>
                <w:noProof/>
                <w:sz w:val="20"/>
              </w:rPr>
              <w:t>Kontroles plāna projektā norādīti visi nepieciešamie paziņojumi un muitošanas procedūra.</w:t>
            </w:r>
          </w:p>
          <w:p w:rsidR="005C4E9D" w:rsidRDefault="005C4E9D" w:rsidP="003E628F">
            <w:pPr>
              <w:pStyle w:val="TableParagraph"/>
              <w:jc w:val="both"/>
              <w:rPr>
                <w:rFonts w:ascii="Times New Roman" w:hAnsi="Times New Roman"/>
                <w:noProof/>
                <w:sz w:val="20"/>
              </w:rPr>
            </w:pPr>
          </w:p>
          <w:p w:rsidR="00211065" w:rsidRDefault="00211065" w:rsidP="003E628F">
            <w:pPr>
              <w:pStyle w:val="TableParagraph"/>
              <w:jc w:val="both"/>
              <w:rPr>
                <w:rFonts w:ascii="Times New Roman" w:hAnsi="Times New Roman"/>
                <w:noProof/>
                <w:sz w:val="20"/>
              </w:rPr>
            </w:pPr>
            <w:r>
              <w:rPr>
                <w:rFonts w:ascii="Times New Roman" w:hAnsi="Times New Roman"/>
                <w:noProof/>
                <w:sz w:val="20"/>
              </w:rPr>
              <w:t>Parasti tajā būs norādīts veicamo kontroles pasākumu veids un skaits, kā arī praktiskās prasības, piemēram, atbildes sniegšanas termiņi.</w:t>
            </w:r>
          </w:p>
          <w:p w:rsidR="005C4E9D" w:rsidRDefault="005C4E9D" w:rsidP="003E628F">
            <w:pPr>
              <w:pStyle w:val="TableParagraph"/>
              <w:jc w:val="both"/>
              <w:rPr>
                <w:rFonts w:ascii="Times New Roman" w:hAnsi="Times New Roman"/>
                <w:noProof/>
                <w:sz w:val="20"/>
              </w:rPr>
            </w:pPr>
          </w:p>
          <w:p w:rsidR="005C4E9D" w:rsidRPr="005C4E9D" w:rsidRDefault="005C4E9D" w:rsidP="003E628F">
            <w:pPr>
              <w:pStyle w:val="TableParagraph"/>
              <w:jc w:val="both"/>
              <w:rPr>
                <w:rFonts w:ascii="Times New Roman" w:hAnsi="Times New Roman"/>
                <w:noProof/>
                <w:sz w:val="20"/>
              </w:rPr>
            </w:pPr>
            <w:r>
              <w:rPr>
                <w:rFonts w:ascii="Times New Roman" w:hAnsi="Times New Roman"/>
                <w:noProof/>
                <w:sz w:val="20"/>
              </w:rPr>
              <w:t>Ja nepieciešams, muitas dienesti arī informē atļaujas sniedzēju iestādi par kontroli, kas nepieciešama saskaņā ar valsts tiesību aktiem.</w:t>
            </w:r>
          </w:p>
        </w:tc>
      </w:tr>
      <w:tr w:rsidR="005C4E9D" w:rsidRPr="005C4E9D" w:rsidTr="005C4E9D">
        <w:trPr>
          <w:trHeight w:hRule="exact" w:val="849"/>
        </w:trPr>
        <w:tc>
          <w:tcPr>
            <w:tcW w:w="5000" w:type="pct"/>
            <w:gridSpan w:val="2"/>
            <w:tcBorders>
              <w:top w:val="nil"/>
              <w:left w:val="single" w:sz="4" w:space="0" w:color="auto"/>
              <w:bottom w:val="nil"/>
              <w:right w:val="single" w:sz="4" w:space="0" w:color="auto"/>
            </w:tcBorders>
          </w:tcPr>
          <w:p w:rsidR="005C4E9D" w:rsidRPr="005C4E9D" w:rsidRDefault="005C4E9D" w:rsidP="003E628F">
            <w:pPr>
              <w:jc w:val="both"/>
              <w:rPr>
                <w:rFonts w:ascii="Times New Roman" w:hAnsi="Times New Roman"/>
                <w:noProof/>
                <w:sz w:val="20"/>
              </w:rPr>
            </w:pPr>
            <w:r>
              <w:rPr>
                <w:rFonts w:ascii="Times New Roman" w:hAnsi="Times New Roman"/>
                <w:noProof/>
                <w:sz w:val="20"/>
              </w:rPr>
              <w:t>Ieteicams organizēt sanāksmi starp atļaujas sniedzējas dalībvalsts un iesaistītās(-o) dalībvalsts(-u) muitas administrācijām. Tādējādi tiktu veicināta labāka savstarpējā sapratne un radīta iespēja veidot labākas attiecības starp attiecīgajām kontaktpersonām.</w:t>
            </w:r>
          </w:p>
        </w:tc>
      </w:tr>
      <w:tr w:rsidR="005C4E9D" w:rsidRPr="005C4E9D" w:rsidTr="00D326D6">
        <w:trPr>
          <w:trHeight w:hRule="exact" w:val="1587"/>
        </w:trPr>
        <w:tc>
          <w:tcPr>
            <w:tcW w:w="2429" w:type="pct"/>
            <w:tcBorders>
              <w:top w:val="nil"/>
              <w:left w:val="single" w:sz="4" w:space="0" w:color="auto"/>
              <w:bottom w:val="nil"/>
              <w:right w:val="single" w:sz="4" w:space="0" w:color="auto"/>
            </w:tcBorders>
          </w:tcPr>
          <w:p w:rsidR="005C4E9D" w:rsidRDefault="00D326D6" w:rsidP="003E628F">
            <w:pPr>
              <w:jc w:val="both"/>
              <w:rPr>
                <w:rFonts w:ascii="Times New Roman" w:hAnsi="Times New Roman"/>
                <w:noProof/>
                <w:sz w:val="20"/>
              </w:rPr>
            </w:pPr>
            <w:r>
              <w:rPr>
                <w:rFonts w:ascii="Times New Roman" w:hAnsi="Times New Roman"/>
                <w:noProof/>
                <w:sz w:val="20"/>
              </w:rPr>
              <w:lastRenderedPageBreak/>
              <w:t>Kontroles plāna projekts tiek sagatavots, ņemot vērā iesaistīto dalībvalstu ieteikumus un lūgumus. Vajadzības gadījumā atsevišķas procedūras tiks iekļautas atļaujā.</w:t>
            </w:r>
          </w:p>
          <w:p w:rsidR="00D326D6" w:rsidRDefault="00D326D6" w:rsidP="003E628F">
            <w:pPr>
              <w:jc w:val="both"/>
              <w:rPr>
                <w:rFonts w:ascii="Times New Roman" w:hAnsi="Times New Roman"/>
                <w:noProof/>
                <w:sz w:val="20"/>
              </w:rPr>
            </w:pPr>
          </w:p>
          <w:p w:rsidR="00D326D6" w:rsidRPr="005C4E9D" w:rsidRDefault="00D326D6" w:rsidP="003E628F">
            <w:pPr>
              <w:jc w:val="both"/>
              <w:rPr>
                <w:rFonts w:ascii="Times New Roman" w:hAnsi="Times New Roman"/>
                <w:noProof/>
                <w:sz w:val="20"/>
              </w:rPr>
            </w:pPr>
            <w:r>
              <w:rPr>
                <w:rFonts w:ascii="Times New Roman" w:hAnsi="Times New Roman"/>
                <w:noProof/>
                <w:sz w:val="20"/>
              </w:rPr>
              <w:t>Vienošanās par kontroles plānu tiek panākta ar IT sistēmas starpniecību.</w:t>
            </w:r>
          </w:p>
        </w:tc>
        <w:tc>
          <w:tcPr>
            <w:tcW w:w="2571" w:type="pct"/>
            <w:tcBorders>
              <w:top w:val="nil"/>
              <w:left w:val="single" w:sz="4" w:space="0" w:color="auto"/>
              <w:bottom w:val="nil"/>
              <w:right w:val="single" w:sz="4" w:space="0" w:color="auto"/>
            </w:tcBorders>
          </w:tcPr>
          <w:p w:rsidR="005C4E9D" w:rsidRPr="005C4E9D" w:rsidRDefault="005C4E9D" w:rsidP="003E628F">
            <w:pPr>
              <w:jc w:val="both"/>
              <w:rPr>
                <w:rFonts w:ascii="Times New Roman" w:hAnsi="Times New Roman"/>
                <w:noProof/>
                <w:sz w:val="20"/>
              </w:rPr>
            </w:pPr>
          </w:p>
        </w:tc>
      </w:tr>
      <w:tr w:rsidR="00D326D6" w:rsidRPr="005C4E9D" w:rsidTr="00D326D6">
        <w:trPr>
          <w:trHeight w:hRule="exact" w:val="1253"/>
        </w:trPr>
        <w:tc>
          <w:tcPr>
            <w:tcW w:w="2429" w:type="pct"/>
            <w:tcBorders>
              <w:top w:val="nil"/>
              <w:left w:val="single" w:sz="4" w:space="0" w:color="auto"/>
              <w:bottom w:val="single" w:sz="4" w:space="0" w:color="auto"/>
              <w:right w:val="single" w:sz="4" w:space="0" w:color="auto"/>
            </w:tcBorders>
          </w:tcPr>
          <w:p w:rsidR="00D326D6" w:rsidRPr="005C4E9D" w:rsidRDefault="00D326D6" w:rsidP="003E628F">
            <w:pPr>
              <w:jc w:val="both"/>
              <w:rPr>
                <w:rFonts w:ascii="Times New Roman" w:hAnsi="Times New Roman"/>
                <w:noProof/>
                <w:sz w:val="20"/>
              </w:rPr>
            </w:pPr>
          </w:p>
        </w:tc>
        <w:tc>
          <w:tcPr>
            <w:tcW w:w="2571" w:type="pct"/>
            <w:tcBorders>
              <w:top w:val="nil"/>
              <w:left w:val="single" w:sz="4" w:space="0" w:color="auto"/>
              <w:bottom w:val="single" w:sz="4" w:space="0" w:color="auto"/>
              <w:right w:val="single" w:sz="4" w:space="0" w:color="auto"/>
            </w:tcBorders>
          </w:tcPr>
          <w:p w:rsidR="00D326D6" w:rsidRDefault="00D326D6" w:rsidP="003E628F">
            <w:pPr>
              <w:jc w:val="both"/>
              <w:rPr>
                <w:rFonts w:ascii="Times New Roman" w:hAnsi="Times New Roman"/>
                <w:noProof/>
                <w:sz w:val="20"/>
              </w:rPr>
            </w:pPr>
            <w:r>
              <w:rPr>
                <w:rFonts w:ascii="Times New Roman" w:hAnsi="Times New Roman"/>
                <w:noProof/>
                <w:sz w:val="20"/>
              </w:rPr>
              <w:t>Izņēmuma gadījumos muitas dienesti iesaistītajā dalībvalstī var veikt kontroli pēc izlaišanas.</w:t>
            </w:r>
          </w:p>
          <w:p w:rsidR="00D326D6" w:rsidRDefault="00D326D6" w:rsidP="003E628F">
            <w:pPr>
              <w:jc w:val="both"/>
              <w:rPr>
                <w:rFonts w:ascii="Times New Roman" w:hAnsi="Times New Roman"/>
                <w:noProof/>
                <w:sz w:val="20"/>
              </w:rPr>
            </w:pPr>
          </w:p>
          <w:p w:rsidR="00D326D6" w:rsidRPr="005C4E9D" w:rsidRDefault="00D326D6" w:rsidP="003E628F">
            <w:pPr>
              <w:jc w:val="both"/>
              <w:rPr>
                <w:rFonts w:ascii="Times New Roman" w:hAnsi="Times New Roman"/>
                <w:noProof/>
                <w:sz w:val="20"/>
              </w:rPr>
            </w:pPr>
            <w:r>
              <w:rPr>
                <w:rFonts w:ascii="Times New Roman" w:hAnsi="Times New Roman"/>
                <w:noProof/>
                <w:sz w:val="20"/>
              </w:rPr>
              <w:t>Vienošanās par kontroles plānu tiek panākta ar IT sistēmas starpniecību. Kamēr šī sistēma nav ieviesta, jāizmanto e-pasts.</w:t>
            </w:r>
          </w:p>
        </w:tc>
      </w:tr>
    </w:tbl>
    <w:p w:rsidR="00211065" w:rsidRDefault="00211065" w:rsidP="003E628F">
      <w:pPr>
        <w:jc w:val="both"/>
        <w:rPr>
          <w:rFonts w:ascii="Times New Roman" w:eastAsia="Times New Roman" w:hAnsi="Times New Roman" w:cs="Times New Roman"/>
          <w:noProof/>
          <w:sz w:val="24"/>
          <w:szCs w:val="20"/>
        </w:rPr>
      </w:pPr>
    </w:p>
    <w:p w:rsidR="005C4E9D" w:rsidRPr="003E628F" w:rsidRDefault="005C4E9D" w:rsidP="003E628F">
      <w:pPr>
        <w:jc w:val="both"/>
        <w:rPr>
          <w:rFonts w:ascii="Times New Roman" w:eastAsia="Times New Roman" w:hAnsi="Times New Roman" w:cs="Times New Roman"/>
          <w:noProof/>
          <w:sz w:val="24"/>
          <w:szCs w:val="20"/>
        </w:rPr>
      </w:pPr>
    </w:p>
    <w:p w:rsidR="00211065" w:rsidRPr="003E628F" w:rsidRDefault="00D326D6" w:rsidP="00D326D6">
      <w:pPr>
        <w:pStyle w:val="Virsraksts1"/>
        <w:tabs>
          <w:tab w:val="left" w:pos="827"/>
        </w:tabs>
        <w:rPr>
          <w:noProof/>
        </w:rPr>
      </w:pPr>
      <w:bookmarkStart w:id="226" w:name="_Toc490734368"/>
      <w:r>
        <w:t>2. Fiziskas pārbaudes</w:t>
      </w:r>
      <w:bookmarkEnd w:id="226"/>
    </w:p>
    <w:p w:rsidR="00211065" w:rsidRPr="003E628F" w:rsidRDefault="00211065" w:rsidP="003E628F">
      <w:pPr>
        <w:jc w:val="both"/>
        <w:rPr>
          <w:rFonts w:ascii="Times New Roman" w:eastAsia="Times New Roman" w:hAnsi="Times New Roman" w:cs="Times New Roman"/>
          <w:b/>
          <w:bCs/>
          <w:noProof/>
          <w:sz w:val="24"/>
          <w:szCs w:val="10"/>
        </w:rPr>
      </w:pPr>
    </w:p>
    <w:tbl>
      <w:tblPr>
        <w:tblW w:w="5000" w:type="pct"/>
        <w:tblCellMar>
          <w:top w:w="28" w:type="dxa"/>
          <w:left w:w="28" w:type="dxa"/>
          <w:bottom w:w="28" w:type="dxa"/>
          <w:right w:w="28" w:type="dxa"/>
        </w:tblCellMar>
        <w:tblLook w:val="01E0" w:firstRow="1" w:lastRow="1" w:firstColumn="1" w:lastColumn="1" w:noHBand="0" w:noVBand="0"/>
      </w:tblPr>
      <w:tblGrid>
        <w:gridCol w:w="4439"/>
        <w:gridCol w:w="4692"/>
      </w:tblGrid>
      <w:tr w:rsidR="00211065" w:rsidRPr="00D326D6" w:rsidTr="00D326D6">
        <w:trPr>
          <w:trHeight w:hRule="exact" w:val="521"/>
        </w:trPr>
        <w:tc>
          <w:tcPr>
            <w:tcW w:w="2431" w:type="pct"/>
            <w:tcBorders>
              <w:top w:val="single" w:sz="3" w:space="0" w:color="000000"/>
              <w:left w:val="single" w:sz="3" w:space="0" w:color="000000"/>
              <w:bottom w:val="single" w:sz="3" w:space="0" w:color="000000"/>
              <w:right w:val="single" w:sz="5" w:space="0" w:color="000000"/>
            </w:tcBorders>
          </w:tcPr>
          <w:p w:rsidR="00211065" w:rsidRPr="00D326D6" w:rsidRDefault="00211065" w:rsidP="003E628F">
            <w:pPr>
              <w:pStyle w:val="TableParagraph"/>
              <w:jc w:val="both"/>
              <w:rPr>
                <w:rFonts w:ascii="Times New Roman" w:hAnsi="Times New Roman"/>
                <w:b/>
                <w:noProof/>
                <w:sz w:val="20"/>
              </w:rPr>
            </w:pPr>
            <w:r>
              <w:rPr>
                <w:rFonts w:ascii="Times New Roman" w:hAnsi="Times New Roman"/>
                <w:b/>
                <w:noProof/>
                <w:sz w:val="20"/>
              </w:rPr>
              <w:t>Atļaujas sniedzēja dalībvalsts</w:t>
            </w:r>
          </w:p>
        </w:tc>
        <w:tc>
          <w:tcPr>
            <w:tcW w:w="2569" w:type="pct"/>
            <w:tcBorders>
              <w:top w:val="single" w:sz="3" w:space="0" w:color="000000"/>
              <w:left w:val="single" w:sz="5" w:space="0" w:color="000000"/>
              <w:bottom w:val="single" w:sz="3" w:space="0" w:color="000000"/>
              <w:right w:val="single" w:sz="3" w:space="0" w:color="000000"/>
            </w:tcBorders>
          </w:tcPr>
          <w:p w:rsidR="00211065" w:rsidRPr="00D326D6" w:rsidRDefault="00211065" w:rsidP="003E628F">
            <w:pPr>
              <w:pStyle w:val="TableParagraph"/>
              <w:jc w:val="both"/>
              <w:rPr>
                <w:rFonts w:ascii="Times New Roman" w:hAnsi="Times New Roman"/>
                <w:b/>
                <w:noProof/>
                <w:sz w:val="20"/>
              </w:rPr>
            </w:pPr>
            <w:r>
              <w:rPr>
                <w:rFonts w:ascii="Times New Roman" w:hAnsi="Times New Roman"/>
                <w:b/>
                <w:noProof/>
                <w:sz w:val="20"/>
              </w:rPr>
              <w:t>Iesaistītā dalībvalsts</w:t>
            </w:r>
          </w:p>
        </w:tc>
      </w:tr>
      <w:tr w:rsidR="00211065" w:rsidRPr="00D326D6" w:rsidTr="00D326D6">
        <w:trPr>
          <w:trHeight w:hRule="exact" w:val="6250"/>
        </w:trPr>
        <w:tc>
          <w:tcPr>
            <w:tcW w:w="2431" w:type="pct"/>
            <w:tcBorders>
              <w:top w:val="single" w:sz="3" w:space="0" w:color="000000"/>
              <w:left w:val="single" w:sz="3" w:space="0" w:color="000000"/>
              <w:bottom w:val="nil"/>
              <w:right w:val="single" w:sz="5" w:space="0" w:color="000000"/>
            </w:tcBorders>
          </w:tcPr>
          <w:p w:rsidR="00211065" w:rsidRPr="00D326D6" w:rsidRDefault="00211065" w:rsidP="003E628F">
            <w:pPr>
              <w:pStyle w:val="TableParagraph"/>
              <w:jc w:val="both"/>
              <w:rPr>
                <w:rFonts w:ascii="Times New Roman" w:hAnsi="Times New Roman"/>
                <w:noProof/>
                <w:sz w:val="20"/>
              </w:rPr>
            </w:pPr>
            <w:r>
              <w:rPr>
                <w:rFonts w:ascii="Times New Roman" w:hAnsi="Times New Roman"/>
                <w:noProof/>
                <w:sz w:val="20"/>
              </w:rPr>
              <w:t>Atļaujā ir jānorāda, kur un kā preces, uz kurām atļauja attiecas, tiks laistas brīvā apgrozībā vai citā muitas procedūrā, ņemot vērā to, ka importa preces brīvā apgrozībā vai citai muitas procedūrai var laist gan atļaujas sniedzēja iestāde, gan vietējā muitas iestāde.</w:t>
            </w:r>
          </w:p>
          <w:p w:rsidR="00211065" w:rsidRPr="00D326D6" w:rsidRDefault="00211065" w:rsidP="003E628F">
            <w:pPr>
              <w:pStyle w:val="TableParagraph"/>
              <w:jc w:val="both"/>
              <w:rPr>
                <w:rFonts w:ascii="Times New Roman" w:hAnsi="Times New Roman"/>
                <w:noProof/>
                <w:sz w:val="20"/>
              </w:rPr>
            </w:pPr>
            <w:r>
              <w:rPr>
                <w:rFonts w:ascii="Times New Roman" w:hAnsi="Times New Roman"/>
                <w:noProof/>
                <w:sz w:val="20"/>
              </w:rPr>
              <w:t>Izlaišanu var atļaut:</w:t>
            </w:r>
          </w:p>
          <w:p w:rsidR="00211065" w:rsidRPr="00D326D6" w:rsidRDefault="00211065" w:rsidP="003E628F">
            <w:pPr>
              <w:pStyle w:val="TableParagraph"/>
              <w:jc w:val="both"/>
              <w:rPr>
                <w:rFonts w:ascii="Times New Roman" w:hAnsi="Times New Roman"/>
                <w:noProof/>
                <w:sz w:val="20"/>
              </w:rPr>
            </w:pPr>
            <w:r>
              <w:rPr>
                <w:rFonts w:ascii="Times New Roman" w:hAnsi="Times New Roman"/>
                <w:noProof/>
                <w:sz w:val="20"/>
              </w:rPr>
              <w:t>- pēc paziņojuma vietējai muitas iestādei par visiem sūtījumiem, kas uzrādīti iesaistītajā dalībvalstī;</w:t>
            </w:r>
          </w:p>
          <w:p w:rsidR="00211065" w:rsidRPr="00D326D6" w:rsidRDefault="00211065" w:rsidP="003E628F">
            <w:pPr>
              <w:pStyle w:val="TableParagraph"/>
              <w:jc w:val="both"/>
              <w:rPr>
                <w:rFonts w:ascii="Times New Roman" w:hAnsi="Times New Roman"/>
                <w:noProof/>
                <w:sz w:val="20"/>
              </w:rPr>
            </w:pPr>
            <w:r>
              <w:rPr>
                <w:rFonts w:ascii="Times New Roman" w:hAnsi="Times New Roman"/>
                <w:noProof/>
                <w:sz w:val="20"/>
              </w:rPr>
              <w:t>- ar datu centrālo ierakstu reģistros, un vietējā muitas iestāde jāinformē vienīgi noteiktā laika posmā vai par noteiktiem preču veidiem.</w:t>
            </w:r>
          </w:p>
          <w:p w:rsidR="00211065" w:rsidRPr="00D326D6" w:rsidRDefault="00211065" w:rsidP="003E628F">
            <w:pPr>
              <w:pStyle w:val="TableParagraph"/>
              <w:jc w:val="both"/>
              <w:rPr>
                <w:rFonts w:ascii="Times New Roman" w:eastAsia="Times New Roman" w:hAnsi="Times New Roman" w:cs="Times New Roman"/>
                <w:b/>
                <w:bCs/>
                <w:noProof/>
                <w:sz w:val="20"/>
              </w:rPr>
            </w:pPr>
          </w:p>
          <w:p w:rsidR="00211065" w:rsidRPr="00D326D6" w:rsidRDefault="00211065" w:rsidP="003E628F">
            <w:pPr>
              <w:pStyle w:val="TableParagraph"/>
              <w:jc w:val="both"/>
              <w:rPr>
                <w:rFonts w:ascii="Times New Roman" w:eastAsia="Times New Roman" w:hAnsi="Times New Roman" w:cs="Times New Roman"/>
                <w:b/>
                <w:bCs/>
                <w:noProof/>
                <w:sz w:val="20"/>
              </w:rPr>
            </w:pPr>
          </w:p>
          <w:p w:rsidR="00211065" w:rsidRDefault="00211065" w:rsidP="003E628F">
            <w:pPr>
              <w:pStyle w:val="TableParagraph"/>
              <w:jc w:val="both"/>
              <w:rPr>
                <w:rFonts w:ascii="Times New Roman" w:hAnsi="Times New Roman"/>
                <w:noProof/>
                <w:sz w:val="20"/>
              </w:rPr>
            </w:pPr>
            <w:r>
              <w:rPr>
                <w:rFonts w:ascii="Times New Roman" w:hAnsi="Times New Roman"/>
                <w:noProof/>
                <w:sz w:val="20"/>
              </w:rPr>
              <w:t>Atļaujas sniedzējai iestādei kopā ar vietējām muitas iestādēm ir jāpieņem lēmums par veicamajām pārbaudēm, lai nodrošinātu procedūras uzraudzību un preču laišanu brīvā apgrozībā vai citai muitas procedūrai.</w:t>
            </w:r>
          </w:p>
          <w:p w:rsidR="00D326D6" w:rsidRPr="00D326D6" w:rsidRDefault="00D326D6" w:rsidP="003E628F">
            <w:pPr>
              <w:pStyle w:val="TableParagraph"/>
              <w:jc w:val="both"/>
              <w:rPr>
                <w:rFonts w:ascii="Times New Roman" w:hAnsi="Times New Roman"/>
                <w:noProof/>
                <w:sz w:val="20"/>
              </w:rPr>
            </w:pPr>
          </w:p>
          <w:p w:rsidR="00211065" w:rsidRPr="00D326D6" w:rsidRDefault="00211065" w:rsidP="003E628F">
            <w:pPr>
              <w:pStyle w:val="TableParagraph"/>
              <w:jc w:val="both"/>
              <w:rPr>
                <w:rFonts w:ascii="Times New Roman" w:eastAsia="Times New Roman" w:hAnsi="Times New Roman" w:cs="Times New Roman"/>
                <w:noProof/>
                <w:sz w:val="20"/>
                <w:szCs w:val="14"/>
              </w:rPr>
            </w:pPr>
            <w:r>
              <w:rPr>
                <w:rFonts w:ascii="Times New Roman" w:hAnsi="Times New Roman"/>
                <w:noProof/>
                <w:sz w:val="20"/>
              </w:rPr>
              <w:t>Saskaņā ar kontroles plānu atļaujas sniedzēja iestāde lūdz vietējai muitas iestādei veikt noteiktu fizisko pārbaužu skaitu (vai procentuālu daļu) attiecībā uz atvestajiem sūtījumiem vai konkrētiem priekšmetiem. Parasti ir jānosaka laika posms, kurā jāpieņem lēmums par nepieciešamību pārbaudīt importētās preces.</w:t>
            </w:r>
            <w:r>
              <w:rPr>
                <w:rStyle w:val="Vresatsauce"/>
                <w:rFonts w:ascii="Times New Roman" w:hAnsi="Times New Roman"/>
                <w:noProof/>
                <w:sz w:val="20"/>
              </w:rPr>
              <w:footnoteReference w:id="6"/>
            </w:r>
          </w:p>
        </w:tc>
        <w:tc>
          <w:tcPr>
            <w:tcW w:w="2569" w:type="pct"/>
            <w:tcBorders>
              <w:top w:val="single" w:sz="3" w:space="0" w:color="000000"/>
              <w:left w:val="single" w:sz="5" w:space="0" w:color="000000"/>
              <w:bottom w:val="nil"/>
              <w:right w:val="single" w:sz="3" w:space="0" w:color="000000"/>
            </w:tcBorders>
          </w:tcPr>
          <w:p w:rsidR="00211065" w:rsidRPr="00D326D6" w:rsidRDefault="00211065" w:rsidP="003E628F">
            <w:pPr>
              <w:jc w:val="both"/>
              <w:rPr>
                <w:rFonts w:ascii="Times New Roman" w:hAnsi="Times New Roman"/>
                <w:noProof/>
                <w:sz w:val="20"/>
              </w:rPr>
            </w:pPr>
          </w:p>
        </w:tc>
      </w:tr>
      <w:tr w:rsidR="00211065" w:rsidRPr="00D326D6" w:rsidTr="00D326D6">
        <w:trPr>
          <w:trHeight w:hRule="exact" w:val="3429"/>
        </w:trPr>
        <w:tc>
          <w:tcPr>
            <w:tcW w:w="2431" w:type="pct"/>
            <w:tcBorders>
              <w:top w:val="nil"/>
              <w:left w:val="single" w:sz="3" w:space="0" w:color="000000"/>
              <w:right w:val="single" w:sz="5" w:space="0" w:color="000000"/>
            </w:tcBorders>
          </w:tcPr>
          <w:p w:rsidR="00211065" w:rsidRPr="00D326D6" w:rsidRDefault="00211065" w:rsidP="003E628F">
            <w:pPr>
              <w:jc w:val="both"/>
              <w:rPr>
                <w:rFonts w:ascii="Times New Roman" w:hAnsi="Times New Roman"/>
                <w:noProof/>
                <w:sz w:val="20"/>
              </w:rPr>
            </w:pPr>
          </w:p>
        </w:tc>
        <w:tc>
          <w:tcPr>
            <w:tcW w:w="2569" w:type="pct"/>
            <w:tcBorders>
              <w:top w:val="nil"/>
              <w:left w:val="single" w:sz="5" w:space="0" w:color="000000"/>
              <w:right w:val="single" w:sz="3" w:space="0" w:color="000000"/>
            </w:tcBorders>
          </w:tcPr>
          <w:p w:rsidR="00211065" w:rsidRDefault="00211065" w:rsidP="003E628F">
            <w:pPr>
              <w:pStyle w:val="TableParagraph"/>
              <w:jc w:val="both"/>
              <w:rPr>
                <w:rFonts w:ascii="Times New Roman" w:hAnsi="Times New Roman"/>
                <w:noProof/>
                <w:sz w:val="20"/>
              </w:rPr>
            </w:pPr>
            <w:r>
              <w:rPr>
                <w:rFonts w:ascii="Times New Roman" w:hAnsi="Times New Roman"/>
                <w:noProof/>
                <w:sz w:val="20"/>
              </w:rPr>
              <w:t>Atļaujas turētājam ir jāinformē vietējā muitas iestāde atbilstīgi atļaujai principā vienmēr, kad ir jāizpilda valsts prasības.</w:t>
            </w:r>
          </w:p>
          <w:p w:rsidR="00D326D6" w:rsidRPr="00D326D6" w:rsidRDefault="00D326D6" w:rsidP="003E628F">
            <w:pPr>
              <w:pStyle w:val="TableParagraph"/>
              <w:jc w:val="both"/>
              <w:rPr>
                <w:rFonts w:ascii="Times New Roman" w:hAnsi="Times New Roman"/>
                <w:noProof/>
                <w:sz w:val="20"/>
              </w:rPr>
            </w:pPr>
          </w:p>
          <w:p w:rsidR="00211065" w:rsidRDefault="00211065" w:rsidP="003E628F">
            <w:pPr>
              <w:pStyle w:val="TableParagraph"/>
              <w:jc w:val="both"/>
              <w:rPr>
                <w:rFonts w:ascii="Times New Roman" w:hAnsi="Times New Roman"/>
                <w:noProof/>
                <w:sz w:val="20"/>
              </w:rPr>
            </w:pPr>
            <w:r>
              <w:rPr>
                <w:rFonts w:ascii="Times New Roman" w:hAnsi="Times New Roman"/>
                <w:noProof/>
                <w:sz w:val="20"/>
              </w:rPr>
              <w:t>Vietējās muitas iestādes veic fiziskas pārbaudes, ņemot vērā valsts tiesību aktus un kontroles plānu.</w:t>
            </w:r>
          </w:p>
          <w:p w:rsidR="00D326D6" w:rsidRPr="00D326D6" w:rsidRDefault="00D326D6" w:rsidP="003E628F">
            <w:pPr>
              <w:pStyle w:val="TableParagraph"/>
              <w:jc w:val="both"/>
              <w:rPr>
                <w:rFonts w:ascii="Times New Roman" w:hAnsi="Times New Roman"/>
                <w:noProof/>
                <w:sz w:val="20"/>
              </w:rPr>
            </w:pPr>
          </w:p>
          <w:p w:rsidR="00211065" w:rsidRDefault="00211065" w:rsidP="003E628F">
            <w:pPr>
              <w:pStyle w:val="TableParagraph"/>
              <w:jc w:val="both"/>
              <w:rPr>
                <w:rFonts w:ascii="Times New Roman" w:hAnsi="Times New Roman"/>
                <w:noProof/>
                <w:sz w:val="20"/>
              </w:rPr>
            </w:pPr>
            <w:r>
              <w:rPr>
                <w:rFonts w:ascii="Times New Roman" w:hAnsi="Times New Roman"/>
                <w:noProof/>
                <w:sz w:val="20"/>
              </w:rPr>
              <w:t>Vietējās muitas iestādes var veikt jebkura veida kontroli pēc savas iniciatīvas (jo īpaši tranzīta noslēgšanas kontroli).</w:t>
            </w:r>
          </w:p>
          <w:p w:rsidR="00D326D6" w:rsidRPr="00D326D6" w:rsidRDefault="00D326D6" w:rsidP="003E628F">
            <w:pPr>
              <w:pStyle w:val="TableParagraph"/>
              <w:jc w:val="both"/>
              <w:rPr>
                <w:rFonts w:ascii="Times New Roman" w:hAnsi="Times New Roman"/>
                <w:noProof/>
                <w:sz w:val="20"/>
              </w:rPr>
            </w:pPr>
          </w:p>
          <w:p w:rsidR="00211065" w:rsidRPr="00D326D6" w:rsidRDefault="00211065" w:rsidP="003E628F">
            <w:pPr>
              <w:pStyle w:val="TableParagraph"/>
              <w:jc w:val="both"/>
              <w:rPr>
                <w:rFonts w:ascii="Times New Roman" w:hAnsi="Times New Roman"/>
                <w:noProof/>
                <w:sz w:val="20"/>
              </w:rPr>
            </w:pPr>
            <w:r>
              <w:rPr>
                <w:rFonts w:ascii="Times New Roman" w:hAnsi="Times New Roman"/>
                <w:noProof/>
                <w:sz w:val="20"/>
              </w:rPr>
              <w:t>Šo pārbaužu rezultāti tiek paziņoti atļaujas sniedzējai muitas iestādei. X pielikuma dokumentu var izmantot gan fiziskas pārbaudes pieprasīšanai, gan veiktā kontroles pasākuma rezultātu paziņošanai.</w:t>
            </w:r>
          </w:p>
        </w:tc>
      </w:tr>
      <w:tr w:rsidR="00211065" w:rsidRPr="00D326D6" w:rsidTr="0016289A">
        <w:trPr>
          <w:trHeight w:hRule="exact" w:val="1551"/>
        </w:trPr>
        <w:tc>
          <w:tcPr>
            <w:tcW w:w="2431" w:type="pct"/>
            <w:tcBorders>
              <w:top w:val="nil"/>
              <w:left w:val="single" w:sz="4" w:space="0" w:color="auto"/>
              <w:bottom w:val="single" w:sz="4" w:space="0" w:color="auto"/>
              <w:right w:val="single" w:sz="4" w:space="0" w:color="auto"/>
            </w:tcBorders>
          </w:tcPr>
          <w:p w:rsidR="00211065" w:rsidRDefault="00D326D6" w:rsidP="003E628F">
            <w:pPr>
              <w:jc w:val="both"/>
              <w:rPr>
                <w:rFonts w:ascii="Times New Roman" w:hAnsi="Times New Roman"/>
                <w:b/>
                <w:i/>
                <w:noProof/>
                <w:sz w:val="20"/>
              </w:rPr>
            </w:pPr>
            <w:r>
              <w:rPr>
                <w:rFonts w:ascii="Times New Roman" w:hAnsi="Times New Roman"/>
                <w:b/>
                <w:i/>
                <w:noProof/>
                <w:sz w:val="20"/>
              </w:rPr>
              <w:t>Tikai vienkāršotajai deklarēšanas procedūrai</w:t>
            </w:r>
          </w:p>
          <w:p w:rsidR="00D326D6" w:rsidRDefault="00D326D6" w:rsidP="003E628F">
            <w:pPr>
              <w:jc w:val="both"/>
              <w:rPr>
                <w:rFonts w:ascii="Times New Roman" w:hAnsi="Times New Roman"/>
                <w:b/>
                <w:i/>
                <w:noProof/>
                <w:sz w:val="20"/>
              </w:rPr>
            </w:pPr>
          </w:p>
          <w:p w:rsidR="00D326D6" w:rsidRPr="00D326D6" w:rsidRDefault="00D326D6" w:rsidP="003E628F">
            <w:pPr>
              <w:jc w:val="both"/>
              <w:rPr>
                <w:rFonts w:ascii="Times New Roman" w:hAnsi="Times New Roman"/>
                <w:noProof/>
                <w:sz w:val="20"/>
              </w:rPr>
            </w:pPr>
            <w:r>
              <w:rPr>
                <w:rFonts w:ascii="Times New Roman" w:hAnsi="Times New Roman"/>
                <w:noProof/>
                <w:sz w:val="20"/>
              </w:rPr>
              <w:t>Saistībā ar vienkāršotās deklarēšanas procedūru attiecībā uz katru importēšanas gadījumu ir jāiesniedz vienkāršotā deklarācija kompetentajai vietējai muitas iestādei vai atļaujas sniedzējai muitas iestādei.</w:t>
            </w:r>
          </w:p>
        </w:tc>
        <w:tc>
          <w:tcPr>
            <w:tcW w:w="2569" w:type="pct"/>
            <w:tcBorders>
              <w:top w:val="nil"/>
              <w:left w:val="single" w:sz="4" w:space="0" w:color="auto"/>
              <w:bottom w:val="single" w:sz="4" w:space="0" w:color="auto"/>
              <w:right w:val="single" w:sz="4" w:space="0" w:color="auto"/>
            </w:tcBorders>
          </w:tcPr>
          <w:p w:rsidR="00211065" w:rsidRPr="00D326D6" w:rsidRDefault="00211065" w:rsidP="003E628F">
            <w:pPr>
              <w:jc w:val="both"/>
              <w:rPr>
                <w:rFonts w:ascii="Times New Roman" w:hAnsi="Times New Roman"/>
                <w:noProof/>
                <w:sz w:val="20"/>
              </w:rPr>
            </w:pPr>
          </w:p>
        </w:tc>
      </w:tr>
    </w:tbl>
    <w:p w:rsidR="00211065" w:rsidRPr="003E628F" w:rsidRDefault="00211065" w:rsidP="003E628F">
      <w:pPr>
        <w:jc w:val="both"/>
        <w:rPr>
          <w:rFonts w:ascii="Times New Roman" w:eastAsia="Times New Roman" w:hAnsi="Times New Roman" w:cs="Times New Roman"/>
          <w:noProof/>
          <w:sz w:val="24"/>
          <w:szCs w:val="20"/>
        </w:rPr>
      </w:pPr>
    </w:p>
    <w:p w:rsidR="00211065" w:rsidRPr="003E628F" w:rsidRDefault="00211065" w:rsidP="003E628F">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4502"/>
        <w:gridCol w:w="4629"/>
      </w:tblGrid>
      <w:tr w:rsidR="00211065" w:rsidRPr="00D326D6" w:rsidTr="00D326D6">
        <w:trPr>
          <w:trHeight w:hRule="exact" w:val="544"/>
        </w:trPr>
        <w:tc>
          <w:tcPr>
            <w:tcW w:w="5000" w:type="pct"/>
            <w:gridSpan w:val="2"/>
            <w:tcBorders>
              <w:top w:val="single" w:sz="13" w:space="0" w:color="000000"/>
              <w:left w:val="single" w:sz="12" w:space="0" w:color="000000"/>
              <w:bottom w:val="single" w:sz="12" w:space="0" w:color="000000"/>
              <w:right w:val="single" w:sz="12" w:space="0" w:color="000000"/>
            </w:tcBorders>
          </w:tcPr>
          <w:p w:rsidR="00211065" w:rsidRPr="00D326D6" w:rsidRDefault="00211065" w:rsidP="00D326D6">
            <w:pPr>
              <w:pStyle w:val="TableParagraph"/>
              <w:jc w:val="center"/>
              <w:rPr>
                <w:rFonts w:ascii="Times New Roman" w:hAnsi="Times New Roman"/>
                <w:b/>
                <w:noProof/>
                <w:sz w:val="20"/>
                <w:szCs w:val="20"/>
              </w:rPr>
            </w:pPr>
            <w:r>
              <w:rPr>
                <w:rFonts w:ascii="Times New Roman" w:hAnsi="Times New Roman"/>
                <w:b/>
                <w:noProof/>
                <w:sz w:val="20"/>
              </w:rPr>
              <w:t>Citi kontroles veidi</w:t>
            </w:r>
          </w:p>
        </w:tc>
      </w:tr>
      <w:tr w:rsidR="00211065" w:rsidRPr="00D326D6" w:rsidTr="00D326D6">
        <w:trPr>
          <w:trHeight w:hRule="exact" w:val="1713"/>
        </w:trPr>
        <w:tc>
          <w:tcPr>
            <w:tcW w:w="2465" w:type="pct"/>
            <w:tcBorders>
              <w:top w:val="single" w:sz="12" w:space="0" w:color="000000"/>
              <w:left w:val="single" w:sz="3" w:space="0" w:color="000000"/>
              <w:bottom w:val="single" w:sz="3" w:space="0" w:color="000000"/>
              <w:right w:val="single" w:sz="3" w:space="0" w:color="000000"/>
            </w:tcBorders>
          </w:tcPr>
          <w:p w:rsidR="00211065" w:rsidRPr="00D326D6" w:rsidRDefault="00211065" w:rsidP="003E628F">
            <w:pPr>
              <w:pStyle w:val="TableParagraph"/>
              <w:jc w:val="both"/>
              <w:rPr>
                <w:rFonts w:ascii="Times New Roman" w:hAnsi="Times New Roman"/>
                <w:noProof/>
                <w:sz w:val="20"/>
                <w:szCs w:val="20"/>
              </w:rPr>
            </w:pPr>
            <w:r>
              <w:rPr>
                <w:rFonts w:ascii="Times New Roman" w:hAnsi="Times New Roman"/>
                <w:noProof/>
                <w:sz w:val="20"/>
              </w:rPr>
              <w:t>Atļaujas iestāde pārbauda deklarācijas, veic pēcmuitošanas kontroli, auditus un atkārtoti novērtē procedūras.</w:t>
            </w:r>
          </w:p>
          <w:p w:rsidR="00211065" w:rsidRPr="00D326D6" w:rsidRDefault="00211065" w:rsidP="003E628F">
            <w:pPr>
              <w:pStyle w:val="TableParagraph"/>
              <w:jc w:val="both"/>
              <w:rPr>
                <w:rFonts w:ascii="Times New Roman" w:eastAsia="Times New Roman" w:hAnsi="Times New Roman" w:cs="Times New Roman"/>
                <w:noProof/>
                <w:sz w:val="20"/>
                <w:szCs w:val="20"/>
              </w:rPr>
            </w:pPr>
          </w:p>
          <w:p w:rsidR="00211065" w:rsidRPr="00D326D6" w:rsidRDefault="00211065" w:rsidP="003E628F">
            <w:pPr>
              <w:pStyle w:val="TableParagraph"/>
              <w:jc w:val="both"/>
              <w:rPr>
                <w:rFonts w:ascii="Times New Roman" w:hAnsi="Times New Roman"/>
                <w:noProof/>
                <w:sz w:val="20"/>
                <w:szCs w:val="20"/>
              </w:rPr>
            </w:pPr>
            <w:r>
              <w:rPr>
                <w:rFonts w:ascii="Times New Roman" w:hAnsi="Times New Roman"/>
                <w:noProof/>
                <w:sz w:val="20"/>
              </w:rPr>
              <w:t>Atļaujas sniedzējai iestādei jāinformē iesaistītā(-ās) dalībvalsts(-is) par jebkuru konstatētu neatbilstību.</w:t>
            </w:r>
          </w:p>
        </w:tc>
        <w:tc>
          <w:tcPr>
            <w:tcW w:w="2535" w:type="pct"/>
            <w:tcBorders>
              <w:top w:val="single" w:sz="12" w:space="0" w:color="000000"/>
              <w:left w:val="single" w:sz="3" w:space="0" w:color="000000"/>
              <w:bottom w:val="single" w:sz="3" w:space="0" w:color="000000"/>
              <w:right w:val="single" w:sz="3" w:space="0" w:color="000000"/>
            </w:tcBorders>
          </w:tcPr>
          <w:p w:rsidR="00211065" w:rsidRPr="00D326D6" w:rsidRDefault="00211065" w:rsidP="003E628F">
            <w:pPr>
              <w:pStyle w:val="TableParagraph"/>
              <w:jc w:val="both"/>
              <w:rPr>
                <w:rFonts w:ascii="Times New Roman" w:hAnsi="Times New Roman"/>
                <w:noProof/>
                <w:sz w:val="20"/>
                <w:szCs w:val="20"/>
              </w:rPr>
            </w:pPr>
            <w:r>
              <w:rPr>
                <w:rFonts w:ascii="Times New Roman" w:hAnsi="Times New Roman"/>
                <w:noProof/>
                <w:sz w:val="20"/>
              </w:rPr>
              <w:t>Daļa kontroles pasākumu tiks veikta iesaistītajā(-ās) dalībvalstī(-īs), ja iespējams, kopīga audita formā, vienmēr, kad tas tiek uzskatīts par ieteicamu.</w:t>
            </w:r>
          </w:p>
        </w:tc>
      </w:tr>
    </w:tbl>
    <w:p w:rsidR="00D326D6" w:rsidRDefault="00D326D6" w:rsidP="003E628F">
      <w:pPr>
        <w:pStyle w:val="Virsraksts2"/>
        <w:jc w:val="both"/>
        <w:rPr>
          <w:noProof/>
        </w:rPr>
      </w:pPr>
    </w:p>
    <w:p w:rsidR="00D326D6" w:rsidRDefault="00D326D6">
      <w:pPr>
        <w:rPr>
          <w:rFonts w:ascii="Times New Roman" w:eastAsia="Times New Roman" w:hAnsi="Times New Roman"/>
          <w:b/>
          <w:bCs/>
          <w:i/>
          <w:noProof/>
          <w:sz w:val="24"/>
          <w:szCs w:val="24"/>
        </w:rPr>
      </w:pPr>
      <w:r>
        <w:br w:type="page"/>
      </w:r>
    </w:p>
    <w:p w:rsidR="00211065" w:rsidRPr="0016289A" w:rsidRDefault="00211065" w:rsidP="0016289A">
      <w:pPr>
        <w:pStyle w:val="Virsraksts2"/>
        <w:jc w:val="center"/>
        <w:rPr>
          <w:b/>
        </w:rPr>
      </w:pPr>
      <w:bookmarkStart w:id="227" w:name="_Toc490734369"/>
      <w:r w:rsidRPr="0016289A">
        <w:rPr>
          <w:b/>
        </w:rPr>
        <w:lastRenderedPageBreak/>
        <w:t>VI PIELIKUMS</w:t>
      </w:r>
      <w:bookmarkStart w:id="228" w:name="_bookmark80"/>
      <w:bookmarkEnd w:id="228"/>
      <w:r w:rsidR="0016289A" w:rsidRPr="0016289A">
        <w:rPr>
          <w:b/>
        </w:rPr>
        <w:br/>
      </w:r>
      <w:r w:rsidRPr="0016289A">
        <w:rPr>
          <w:b/>
        </w:rPr>
        <w:t>-</w:t>
      </w:r>
      <w:r w:rsidR="0016289A" w:rsidRPr="0016289A">
        <w:rPr>
          <w:b/>
        </w:rPr>
        <w:br/>
      </w:r>
      <w:r w:rsidRPr="0016289A">
        <w:rPr>
          <w:b/>
        </w:rPr>
        <w:t>KONTROLES PIEPRASĪJUMS SAISTĪBĀ AR CENTRALIZĒTO MUITOŠANU</w:t>
      </w:r>
      <w:bookmarkEnd w:id="227"/>
    </w:p>
    <w:p w:rsidR="00211065" w:rsidRDefault="00211065" w:rsidP="003E628F">
      <w:pPr>
        <w:jc w:val="both"/>
        <w:rPr>
          <w:rFonts w:ascii="Times New Roman" w:eastAsia="Times New Roman" w:hAnsi="Times New Roman" w:cs="Times New Roman"/>
          <w:b/>
          <w:bCs/>
          <w:i/>
          <w:noProof/>
          <w:sz w:val="24"/>
          <w:szCs w:val="20"/>
        </w:rPr>
      </w:pPr>
    </w:p>
    <w:p w:rsidR="0016289A" w:rsidRPr="003E628F" w:rsidRDefault="0016289A" w:rsidP="003E628F">
      <w:pPr>
        <w:jc w:val="both"/>
        <w:rPr>
          <w:rFonts w:ascii="Times New Roman" w:eastAsia="Times New Roman" w:hAnsi="Times New Roman" w:cs="Times New Roman"/>
          <w:b/>
          <w:bCs/>
          <w:i/>
          <w:noProof/>
          <w:sz w:val="24"/>
          <w:szCs w:val="20"/>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6124"/>
        <w:gridCol w:w="3007"/>
      </w:tblGrid>
      <w:tr w:rsidR="00D326D6" w:rsidRPr="00D326D6" w:rsidTr="0016289A">
        <w:trPr>
          <w:trHeight w:val="1569"/>
        </w:trPr>
        <w:tc>
          <w:tcPr>
            <w:tcW w:w="9131" w:type="dxa"/>
            <w:gridSpan w:val="2"/>
            <w:tcBorders>
              <w:bottom w:val="single" w:sz="4" w:space="0" w:color="auto"/>
            </w:tcBorders>
          </w:tcPr>
          <w:p w:rsidR="00D326D6" w:rsidRPr="00D326D6" w:rsidRDefault="00D326D6" w:rsidP="003E628F">
            <w:pPr>
              <w:jc w:val="both"/>
              <w:rPr>
                <w:rFonts w:ascii="Times New Roman" w:eastAsia="Times New Roman" w:hAnsi="Times New Roman" w:cs="Times New Roman"/>
                <w:b/>
                <w:bCs/>
                <w:noProof/>
                <w:sz w:val="24"/>
                <w:szCs w:val="20"/>
              </w:rPr>
            </w:pPr>
            <w:r>
              <w:rPr>
                <w:rFonts w:ascii="Times New Roman" w:hAnsi="Times New Roman"/>
                <w:b/>
                <w:noProof/>
                <w:sz w:val="24"/>
              </w:rPr>
              <w:t>Pieprasītāja iestāde / atļaujas sniedzēja iestāde vai vietējā iestāde</w:t>
            </w:r>
          </w:p>
          <w:p w:rsidR="00D326D6" w:rsidRPr="00D326D6" w:rsidRDefault="00D326D6" w:rsidP="003E628F">
            <w:pPr>
              <w:jc w:val="both"/>
              <w:rPr>
                <w:rFonts w:ascii="Times New Roman" w:eastAsia="Times New Roman" w:hAnsi="Times New Roman" w:cs="Times New Roman"/>
                <w:bCs/>
                <w:noProof/>
                <w:sz w:val="24"/>
                <w:szCs w:val="20"/>
              </w:rPr>
            </w:pPr>
            <w:r>
              <w:rPr>
                <w:rFonts w:ascii="Times New Roman" w:hAnsi="Times New Roman"/>
                <w:noProof/>
                <w:sz w:val="20"/>
              </w:rPr>
              <w:t>(nosaukums, adrese, amatpersonas vārds, uzvārds, tālrunis, e-pasta adrese)</w:t>
            </w:r>
          </w:p>
        </w:tc>
      </w:tr>
      <w:tr w:rsidR="00D326D6" w:rsidRPr="00D326D6" w:rsidTr="0016289A">
        <w:tc>
          <w:tcPr>
            <w:tcW w:w="9131" w:type="dxa"/>
            <w:gridSpan w:val="2"/>
            <w:tcBorders>
              <w:left w:val="nil"/>
              <w:right w:val="nil"/>
            </w:tcBorders>
          </w:tcPr>
          <w:p w:rsidR="00D326D6" w:rsidRPr="00D326D6" w:rsidRDefault="00D326D6" w:rsidP="003E628F">
            <w:pPr>
              <w:jc w:val="both"/>
              <w:rPr>
                <w:rFonts w:ascii="Times New Roman" w:eastAsia="Times New Roman" w:hAnsi="Times New Roman" w:cs="Times New Roman"/>
                <w:bCs/>
                <w:noProof/>
                <w:sz w:val="24"/>
                <w:szCs w:val="20"/>
              </w:rPr>
            </w:pPr>
          </w:p>
        </w:tc>
      </w:tr>
      <w:tr w:rsidR="00D326D6" w:rsidRPr="00D326D6" w:rsidTr="0016289A">
        <w:trPr>
          <w:trHeight w:val="1584"/>
        </w:trPr>
        <w:tc>
          <w:tcPr>
            <w:tcW w:w="9131" w:type="dxa"/>
            <w:gridSpan w:val="2"/>
            <w:tcBorders>
              <w:bottom w:val="single" w:sz="4" w:space="0" w:color="auto"/>
            </w:tcBorders>
          </w:tcPr>
          <w:p w:rsidR="00D326D6" w:rsidRPr="00D326D6" w:rsidRDefault="00D326D6" w:rsidP="003E628F">
            <w:pPr>
              <w:jc w:val="both"/>
              <w:rPr>
                <w:rFonts w:ascii="Times New Roman" w:eastAsia="Times New Roman" w:hAnsi="Times New Roman" w:cs="Times New Roman"/>
                <w:bCs/>
                <w:noProof/>
                <w:sz w:val="24"/>
                <w:szCs w:val="20"/>
              </w:rPr>
            </w:pPr>
            <w:r>
              <w:rPr>
                <w:rFonts w:ascii="Times New Roman" w:hAnsi="Times New Roman"/>
                <w:b/>
                <w:noProof/>
                <w:sz w:val="24"/>
              </w:rPr>
              <w:t>Kontroles veids</w:t>
            </w:r>
            <w:r>
              <w:rPr>
                <w:rFonts w:ascii="Times New Roman" w:hAnsi="Times New Roman"/>
                <w:noProof/>
                <w:sz w:val="24"/>
              </w:rPr>
              <w:t xml:space="preserve"> </w:t>
            </w:r>
            <w:r>
              <w:rPr>
                <w:rFonts w:ascii="Times New Roman" w:hAnsi="Times New Roman"/>
                <w:noProof/>
                <w:sz w:val="20"/>
              </w:rPr>
              <w:t>(kontroles satura apraksts):</w:t>
            </w:r>
          </w:p>
        </w:tc>
      </w:tr>
      <w:tr w:rsidR="0016289A" w:rsidRPr="00D326D6" w:rsidTr="0016289A">
        <w:tc>
          <w:tcPr>
            <w:tcW w:w="6124" w:type="dxa"/>
            <w:tcBorders>
              <w:left w:val="nil"/>
              <w:bottom w:val="single" w:sz="24" w:space="0" w:color="auto"/>
              <w:right w:val="nil"/>
            </w:tcBorders>
          </w:tcPr>
          <w:p w:rsidR="0016289A" w:rsidRPr="00D326D6" w:rsidRDefault="0016289A" w:rsidP="003E628F">
            <w:pPr>
              <w:jc w:val="both"/>
              <w:rPr>
                <w:rFonts w:ascii="Times New Roman" w:eastAsia="Times New Roman" w:hAnsi="Times New Roman" w:cs="Times New Roman"/>
                <w:bCs/>
                <w:noProof/>
                <w:sz w:val="24"/>
                <w:szCs w:val="20"/>
              </w:rPr>
            </w:pPr>
          </w:p>
        </w:tc>
        <w:tc>
          <w:tcPr>
            <w:tcW w:w="3007" w:type="dxa"/>
            <w:tcBorders>
              <w:left w:val="nil"/>
              <w:bottom w:val="nil"/>
              <w:right w:val="nil"/>
            </w:tcBorders>
          </w:tcPr>
          <w:p w:rsidR="0016289A" w:rsidRPr="00D326D6" w:rsidRDefault="0016289A" w:rsidP="003E628F">
            <w:pPr>
              <w:jc w:val="both"/>
              <w:rPr>
                <w:rFonts w:ascii="Times New Roman" w:eastAsia="Times New Roman" w:hAnsi="Times New Roman" w:cs="Times New Roman"/>
                <w:bCs/>
                <w:noProof/>
                <w:sz w:val="24"/>
                <w:szCs w:val="20"/>
              </w:rPr>
            </w:pPr>
          </w:p>
        </w:tc>
      </w:tr>
      <w:tr w:rsidR="00D326D6" w:rsidRPr="00D326D6" w:rsidTr="0016289A">
        <w:trPr>
          <w:trHeight w:val="1286"/>
        </w:trPr>
        <w:tc>
          <w:tcPr>
            <w:tcW w:w="9131" w:type="dxa"/>
            <w:gridSpan w:val="2"/>
            <w:tcBorders>
              <w:top w:val="nil"/>
              <w:left w:val="nil"/>
              <w:right w:val="nil"/>
            </w:tcBorders>
          </w:tcPr>
          <w:p w:rsidR="00D326D6" w:rsidRPr="00E5533E" w:rsidRDefault="00D326D6" w:rsidP="003E628F">
            <w:pPr>
              <w:jc w:val="both"/>
              <w:rPr>
                <w:rFonts w:ascii="Times New Roman" w:eastAsia="Times New Roman" w:hAnsi="Times New Roman" w:cs="Times New Roman"/>
                <w:b/>
                <w:bCs/>
                <w:noProof/>
                <w:sz w:val="24"/>
                <w:szCs w:val="20"/>
              </w:rPr>
            </w:pPr>
            <w:r>
              <w:rPr>
                <w:rFonts w:ascii="Times New Roman" w:hAnsi="Times New Roman"/>
                <w:b/>
                <w:noProof/>
                <w:sz w:val="24"/>
              </w:rPr>
              <w:t>Kontroles rezultāts:</w:t>
            </w:r>
          </w:p>
        </w:tc>
      </w:tr>
      <w:tr w:rsidR="00D326D6" w:rsidRPr="00D326D6" w:rsidTr="0016289A">
        <w:trPr>
          <w:trHeight w:val="1773"/>
        </w:trPr>
        <w:tc>
          <w:tcPr>
            <w:tcW w:w="9131" w:type="dxa"/>
            <w:gridSpan w:val="2"/>
          </w:tcPr>
          <w:p w:rsidR="00D326D6" w:rsidRPr="00E5533E" w:rsidRDefault="00D326D6" w:rsidP="003E628F">
            <w:pPr>
              <w:jc w:val="both"/>
              <w:rPr>
                <w:rFonts w:ascii="Times New Roman" w:eastAsia="Times New Roman" w:hAnsi="Times New Roman" w:cs="Times New Roman"/>
                <w:b/>
                <w:bCs/>
                <w:noProof/>
                <w:sz w:val="24"/>
                <w:szCs w:val="20"/>
              </w:rPr>
            </w:pPr>
            <w:r>
              <w:rPr>
                <w:rFonts w:ascii="Times New Roman" w:hAnsi="Times New Roman"/>
                <w:b/>
                <w:noProof/>
                <w:sz w:val="24"/>
              </w:rPr>
              <w:t xml:space="preserve">Kontroli veicošā iestāde </w:t>
            </w:r>
            <w:r>
              <w:rPr>
                <w:rFonts w:ascii="Times New Roman" w:hAnsi="Times New Roman"/>
                <w:noProof/>
                <w:sz w:val="20"/>
              </w:rPr>
              <w:t>(nosaukums, adrese, amatpersonas vārds, uzvārds, tālruņa numurs, e-pasta adrese)</w:t>
            </w:r>
          </w:p>
        </w:tc>
      </w:tr>
      <w:tr w:rsidR="00D326D6" w:rsidRPr="00D326D6" w:rsidTr="0016289A">
        <w:trPr>
          <w:trHeight w:val="1502"/>
        </w:trPr>
        <w:tc>
          <w:tcPr>
            <w:tcW w:w="9131" w:type="dxa"/>
            <w:gridSpan w:val="2"/>
          </w:tcPr>
          <w:p w:rsidR="00D326D6" w:rsidRPr="00E5533E" w:rsidRDefault="00D326D6" w:rsidP="003E628F">
            <w:pPr>
              <w:jc w:val="both"/>
              <w:rPr>
                <w:rFonts w:ascii="Times New Roman" w:eastAsia="Times New Roman" w:hAnsi="Times New Roman" w:cs="Times New Roman"/>
                <w:b/>
                <w:bCs/>
                <w:noProof/>
                <w:sz w:val="24"/>
                <w:szCs w:val="20"/>
              </w:rPr>
            </w:pPr>
            <w:r>
              <w:rPr>
                <w:rFonts w:ascii="Times New Roman" w:hAnsi="Times New Roman"/>
                <w:b/>
                <w:noProof/>
                <w:sz w:val="24"/>
              </w:rPr>
              <w:t>Kontroles rezultāts:</w:t>
            </w:r>
          </w:p>
        </w:tc>
      </w:tr>
    </w:tbl>
    <w:p w:rsidR="00211065" w:rsidRPr="003E628F" w:rsidRDefault="00211065" w:rsidP="003E628F">
      <w:pPr>
        <w:jc w:val="both"/>
        <w:rPr>
          <w:rFonts w:ascii="Times New Roman" w:eastAsia="Times New Roman" w:hAnsi="Times New Roman" w:cs="Times New Roman"/>
          <w:noProof/>
          <w:sz w:val="24"/>
          <w:szCs w:val="20"/>
        </w:rPr>
      </w:pPr>
    </w:p>
    <w:sectPr w:rsidR="00211065" w:rsidRPr="003E628F" w:rsidSect="007E06AA">
      <w:headerReference w:type="default" r:id="rId10"/>
      <w:footerReference w:type="default" r:id="rId11"/>
      <w:headerReference w:type="first" r:id="rId12"/>
      <w:footerReference w:type="first" r:id="rId13"/>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42EE" w:rsidRPr="00211065" w:rsidRDefault="00FF42EE">
      <w:pPr>
        <w:rPr>
          <w:noProof/>
        </w:rPr>
      </w:pPr>
      <w:r w:rsidRPr="00211065">
        <w:rPr>
          <w:noProof/>
        </w:rPr>
        <w:separator/>
      </w:r>
    </w:p>
  </w:endnote>
  <w:endnote w:type="continuationSeparator" w:id="0">
    <w:p w:rsidR="00FF42EE" w:rsidRPr="00211065" w:rsidRDefault="00FF42EE">
      <w:pPr>
        <w:rPr>
          <w:noProof/>
        </w:rPr>
      </w:pPr>
      <w:r w:rsidRPr="00211065">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BA"/>
    <w:family w:val="swiss"/>
    <w:pitch w:val="variable"/>
    <w:sig w:usb0="00000687" w:usb1="00000000" w:usb2="00000000" w:usb3="00000000" w:csb0="0000009F" w:csb1="00000000"/>
  </w:font>
  <w:font w:name="Arial">
    <w:panose1 w:val="020B0604020202020204"/>
    <w:charset w:val="BA"/>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42EE" w:rsidRPr="007E06AA" w:rsidRDefault="00FF42EE" w:rsidP="007E06AA">
    <w:pPr>
      <w:pStyle w:val="Galvene"/>
      <w:tabs>
        <w:tab w:val="clear" w:pos="4153"/>
        <w:tab w:val="clear" w:pos="8306"/>
        <w:tab w:val="right" w:pos="9072"/>
      </w:tabs>
      <w:jc w:val="both"/>
      <w:rPr>
        <w:rStyle w:val="Lappusesnumurs"/>
        <w:rFonts w:ascii="Times New Roman" w:hAnsi="Times New Roman" w:cs="Times New Roman"/>
        <w:sz w:val="20"/>
        <w:szCs w:val="20"/>
      </w:rPr>
    </w:pPr>
    <w:r w:rsidRPr="007E06AA">
      <w:rPr>
        <w:rFonts w:ascii="Times New Roman" w:hAnsi="Times New Roman" w:cs="Times New Roman"/>
        <w:sz w:val="20"/>
        <w:szCs w:val="20"/>
      </w:rPr>
      <w:tab/>
    </w:r>
  </w:p>
  <w:p w:rsidR="00FF42EE" w:rsidRPr="007E06AA" w:rsidRDefault="00FF42EE" w:rsidP="007E06AA">
    <w:pPr>
      <w:pStyle w:val="Galvene"/>
      <w:tabs>
        <w:tab w:val="clear" w:pos="4153"/>
        <w:tab w:val="clear" w:pos="8306"/>
        <w:tab w:val="right" w:leader="underscore" w:pos="9072"/>
      </w:tabs>
      <w:jc w:val="both"/>
      <w:rPr>
        <w:rStyle w:val="Lappusesnumurs"/>
        <w:rFonts w:ascii="Times New Roman" w:hAnsi="Times New Roman" w:cs="Times New Roman"/>
        <w:sz w:val="20"/>
        <w:szCs w:val="20"/>
      </w:rPr>
    </w:pPr>
    <w:r>
      <w:rPr>
        <w:rStyle w:val="Lappusesnumurs"/>
        <w:rFonts w:ascii="Times New Roman" w:hAnsi="Times New Roman" w:cs="Times New Roman"/>
        <w:sz w:val="20"/>
        <w:szCs w:val="20"/>
      </w:rPr>
      <w:tab/>
    </w:r>
  </w:p>
  <w:p w:rsidR="00FF42EE" w:rsidRPr="007E06AA" w:rsidRDefault="00FF42EE" w:rsidP="007E06AA">
    <w:pPr>
      <w:pStyle w:val="Galvene"/>
      <w:tabs>
        <w:tab w:val="clear" w:pos="4153"/>
        <w:tab w:val="clear" w:pos="8306"/>
        <w:tab w:val="right" w:pos="9072"/>
      </w:tabs>
      <w:jc w:val="both"/>
      <w:rPr>
        <w:rStyle w:val="Lappusesnumurs"/>
        <w:rFonts w:ascii="Times New Roman" w:hAnsi="Times New Roman" w:cs="Times New Roman"/>
        <w:sz w:val="20"/>
        <w:szCs w:val="20"/>
      </w:rPr>
    </w:pPr>
  </w:p>
  <w:p w:rsidR="00FF42EE" w:rsidRPr="007E06AA" w:rsidRDefault="00FF42EE" w:rsidP="007E06AA">
    <w:pPr>
      <w:pStyle w:val="Kjene"/>
      <w:tabs>
        <w:tab w:val="clear" w:pos="4153"/>
        <w:tab w:val="clear" w:pos="8306"/>
        <w:tab w:val="right" w:pos="9072"/>
      </w:tabs>
      <w:jc w:val="both"/>
      <w:rPr>
        <w:rFonts w:ascii="Times New Roman" w:hAnsi="Times New Roman" w:cs="Times New Roman"/>
        <w:sz w:val="20"/>
        <w:szCs w:val="20"/>
      </w:rPr>
    </w:pPr>
    <w:r w:rsidRPr="007E06AA">
      <w:rPr>
        <w:rFonts w:ascii="Times New Roman" w:hAnsi="Times New Roman" w:cs="Times New Roman"/>
        <w:noProof/>
        <w:sz w:val="20"/>
        <w:szCs w:val="20"/>
      </w:rPr>
      <w:t xml:space="preserve">Tulkojums </w:t>
    </w:r>
    <w:r w:rsidRPr="007E06AA">
      <w:rPr>
        <w:rFonts w:ascii="Times New Roman" w:hAnsi="Times New Roman" w:cs="Times New Roman"/>
        <w:noProof/>
        <w:sz w:val="20"/>
        <w:szCs w:val="20"/>
      </w:rPr>
      <w:fldChar w:fldCharType="begin"/>
    </w:r>
    <w:r w:rsidRPr="007E06AA">
      <w:rPr>
        <w:rFonts w:ascii="Times New Roman" w:hAnsi="Times New Roman" w:cs="Times New Roman"/>
        <w:noProof/>
        <w:sz w:val="20"/>
        <w:szCs w:val="20"/>
      </w:rPr>
      <w:instrText>symbol 211 \f "Symbol" \s 9</w:instrText>
    </w:r>
    <w:r w:rsidRPr="007E06AA">
      <w:rPr>
        <w:rFonts w:ascii="Times New Roman" w:hAnsi="Times New Roman" w:cs="Times New Roman"/>
        <w:noProof/>
        <w:sz w:val="20"/>
        <w:szCs w:val="20"/>
      </w:rPr>
      <w:fldChar w:fldCharType="separate"/>
    </w:r>
    <w:r w:rsidRPr="007E06AA">
      <w:rPr>
        <w:rFonts w:ascii="Times New Roman" w:hAnsi="Times New Roman" w:cs="Times New Roman"/>
        <w:noProof/>
        <w:sz w:val="20"/>
        <w:szCs w:val="20"/>
      </w:rPr>
      <w:t>Ó</w:t>
    </w:r>
    <w:r w:rsidRPr="007E06AA">
      <w:rPr>
        <w:rFonts w:ascii="Times New Roman" w:hAnsi="Times New Roman" w:cs="Times New Roman"/>
        <w:noProof/>
        <w:sz w:val="20"/>
        <w:szCs w:val="20"/>
      </w:rPr>
      <w:fldChar w:fldCharType="end"/>
    </w:r>
    <w:r w:rsidRPr="007E06AA">
      <w:rPr>
        <w:rFonts w:ascii="Times New Roman" w:hAnsi="Times New Roman" w:cs="Times New Roman"/>
        <w:noProof/>
        <w:sz w:val="20"/>
        <w:szCs w:val="20"/>
      </w:rPr>
      <w:t xml:space="preserve"> Valsts valodas centrs, 2017</w:t>
    </w:r>
    <w:r w:rsidRPr="007E06AA">
      <w:rPr>
        <w:rFonts w:ascii="Times New Roman" w:hAnsi="Times New Roman" w:cs="Times New Roman"/>
        <w:sz w:val="20"/>
        <w:szCs w:val="20"/>
      </w:rPr>
      <w:tab/>
    </w:r>
    <w:r w:rsidRPr="007E06AA">
      <w:rPr>
        <w:rStyle w:val="Lappusesnumurs"/>
        <w:rFonts w:ascii="Times New Roman" w:hAnsi="Times New Roman" w:cs="Times New Roman"/>
        <w:sz w:val="20"/>
        <w:szCs w:val="20"/>
      </w:rPr>
      <w:fldChar w:fldCharType="begin"/>
    </w:r>
    <w:r w:rsidRPr="007E06AA">
      <w:rPr>
        <w:rStyle w:val="Lappusesnumurs"/>
        <w:rFonts w:ascii="Times New Roman" w:hAnsi="Times New Roman" w:cs="Times New Roman"/>
        <w:sz w:val="20"/>
        <w:szCs w:val="20"/>
      </w:rPr>
      <w:instrText xml:space="preserve">page </w:instrText>
    </w:r>
    <w:r w:rsidRPr="007E06AA">
      <w:rPr>
        <w:rStyle w:val="Lappusesnumurs"/>
        <w:rFonts w:ascii="Times New Roman" w:hAnsi="Times New Roman" w:cs="Times New Roman"/>
        <w:sz w:val="20"/>
        <w:szCs w:val="20"/>
      </w:rPr>
      <w:fldChar w:fldCharType="separate"/>
    </w:r>
    <w:r w:rsidR="006B12D3">
      <w:rPr>
        <w:rStyle w:val="Lappusesnumurs"/>
        <w:rFonts w:ascii="Times New Roman" w:hAnsi="Times New Roman" w:cs="Times New Roman"/>
        <w:noProof/>
        <w:sz w:val="20"/>
        <w:szCs w:val="20"/>
      </w:rPr>
      <w:t>21</w:t>
    </w:r>
    <w:r w:rsidRPr="007E06AA">
      <w:rPr>
        <w:rStyle w:val="Lappusesnumurs"/>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42EE" w:rsidRPr="007E06AA" w:rsidRDefault="00FF42EE" w:rsidP="007E06AA">
    <w:pPr>
      <w:pStyle w:val="Galvene"/>
      <w:tabs>
        <w:tab w:val="left" w:pos="9072"/>
      </w:tabs>
      <w:jc w:val="both"/>
      <w:rPr>
        <w:rStyle w:val="Lappusesnumurs"/>
        <w:rFonts w:ascii="Times New Roman" w:hAnsi="Times New Roman" w:cs="Times New Roman"/>
        <w:sz w:val="20"/>
        <w:szCs w:val="20"/>
      </w:rPr>
    </w:pPr>
  </w:p>
  <w:p w:rsidR="00FF42EE" w:rsidRPr="007E06AA" w:rsidRDefault="00FF42EE" w:rsidP="007E06AA">
    <w:pPr>
      <w:pStyle w:val="Galvene"/>
      <w:tabs>
        <w:tab w:val="clear" w:pos="4153"/>
        <w:tab w:val="clear" w:pos="8306"/>
        <w:tab w:val="left" w:leader="underscore" w:pos="9072"/>
      </w:tabs>
      <w:jc w:val="both"/>
      <w:rPr>
        <w:rStyle w:val="Lappusesnumurs"/>
        <w:rFonts w:ascii="Times New Roman" w:hAnsi="Times New Roman" w:cs="Times New Roman"/>
        <w:sz w:val="20"/>
        <w:szCs w:val="20"/>
      </w:rPr>
    </w:pPr>
    <w:r>
      <w:rPr>
        <w:rStyle w:val="Lappusesnumurs"/>
        <w:rFonts w:ascii="Times New Roman" w:hAnsi="Times New Roman" w:cs="Times New Roman"/>
        <w:sz w:val="20"/>
        <w:szCs w:val="20"/>
      </w:rPr>
      <w:tab/>
    </w:r>
  </w:p>
  <w:p w:rsidR="00FF42EE" w:rsidRPr="007E06AA" w:rsidRDefault="00FF42EE" w:rsidP="007E06AA">
    <w:pPr>
      <w:pStyle w:val="Galvene"/>
      <w:tabs>
        <w:tab w:val="left" w:pos="9072"/>
      </w:tabs>
      <w:jc w:val="both"/>
      <w:rPr>
        <w:rStyle w:val="Lappusesnumurs"/>
        <w:rFonts w:ascii="Times New Roman" w:hAnsi="Times New Roman" w:cs="Times New Roman"/>
        <w:sz w:val="20"/>
        <w:szCs w:val="20"/>
      </w:rPr>
    </w:pPr>
  </w:p>
  <w:p w:rsidR="00FF42EE" w:rsidRPr="007E06AA" w:rsidRDefault="00FF42EE" w:rsidP="007E06AA">
    <w:pPr>
      <w:pStyle w:val="Kjene"/>
      <w:jc w:val="both"/>
      <w:rPr>
        <w:rFonts w:ascii="Times New Roman" w:hAnsi="Times New Roman" w:cs="Times New Roman"/>
        <w:sz w:val="20"/>
        <w:szCs w:val="20"/>
      </w:rPr>
    </w:pPr>
    <w:r w:rsidRPr="007E06AA">
      <w:rPr>
        <w:rFonts w:ascii="Times New Roman" w:hAnsi="Times New Roman" w:cs="Times New Roman"/>
        <w:noProof/>
        <w:sz w:val="20"/>
        <w:szCs w:val="20"/>
      </w:rPr>
      <w:t xml:space="preserve">Tulkojums </w:t>
    </w:r>
    <w:r w:rsidRPr="007E06AA">
      <w:rPr>
        <w:rFonts w:ascii="Times New Roman" w:hAnsi="Times New Roman" w:cs="Times New Roman"/>
        <w:noProof/>
        <w:sz w:val="20"/>
        <w:szCs w:val="20"/>
      </w:rPr>
      <w:fldChar w:fldCharType="begin"/>
    </w:r>
    <w:r w:rsidRPr="007E06AA">
      <w:rPr>
        <w:rFonts w:ascii="Times New Roman" w:hAnsi="Times New Roman" w:cs="Times New Roman"/>
        <w:noProof/>
        <w:sz w:val="20"/>
        <w:szCs w:val="20"/>
      </w:rPr>
      <w:instrText>symbol 211 \f "Symbol" \s 9</w:instrText>
    </w:r>
    <w:r w:rsidRPr="007E06AA">
      <w:rPr>
        <w:rFonts w:ascii="Times New Roman" w:hAnsi="Times New Roman" w:cs="Times New Roman"/>
        <w:noProof/>
        <w:sz w:val="20"/>
        <w:szCs w:val="20"/>
      </w:rPr>
      <w:fldChar w:fldCharType="separate"/>
    </w:r>
    <w:r w:rsidRPr="007E06AA">
      <w:rPr>
        <w:rFonts w:ascii="Times New Roman" w:hAnsi="Times New Roman" w:cs="Times New Roman"/>
        <w:noProof/>
        <w:sz w:val="20"/>
        <w:szCs w:val="20"/>
      </w:rPr>
      <w:t>Ó</w:t>
    </w:r>
    <w:r w:rsidRPr="007E06AA">
      <w:rPr>
        <w:rFonts w:ascii="Times New Roman" w:hAnsi="Times New Roman" w:cs="Times New Roman"/>
        <w:noProof/>
        <w:sz w:val="20"/>
        <w:szCs w:val="20"/>
      </w:rPr>
      <w:fldChar w:fldCharType="end"/>
    </w:r>
    <w:r w:rsidRPr="007E06AA">
      <w:rPr>
        <w:rFonts w:ascii="Times New Roman" w:hAnsi="Times New Roman" w:cs="Times New Roman"/>
        <w:noProof/>
        <w:sz w:val="20"/>
        <w:szCs w:val="20"/>
      </w:rPr>
      <w:t xml:space="preserve"> Valsts valodas centrs, 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42EE" w:rsidRPr="00211065" w:rsidRDefault="00FF42EE">
      <w:pPr>
        <w:rPr>
          <w:noProof/>
        </w:rPr>
      </w:pPr>
      <w:r w:rsidRPr="00211065">
        <w:rPr>
          <w:noProof/>
        </w:rPr>
        <w:separator/>
      </w:r>
    </w:p>
  </w:footnote>
  <w:footnote w:type="continuationSeparator" w:id="0">
    <w:p w:rsidR="00FF42EE" w:rsidRPr="00211065" w:rsidRDefault="00FF42EE">
      <w:pPr>
        <w:rPr>
          <w:noProof/>
        </w:rPr>
      </w:pPr>
      <w:r w:rsidRPr="00211065">
        <w:rPr>
          <w:noProof/>
        </w:rPr>
        <w:continuationSeparator/>
      </w:r>
    </w:p>
  </w:footnote>
  <w:footnote w:id="1">
    <w:p w:rsidR="00FF42EE" w:rsidRPr="00407233" w:rsidRDefault="00FF42EE">
      <w:pPr>
        <w:pStyle w:val="Vresteksts"/>
        <w:rPr>
          <w:rFonts w:ascii="Times New Roman" w:hAnsi="Times New Roman" w:cs="Times New Roman"/>
        </w:rPr>
      </w:pPr>
      <w:r>
        <w:rPr>
          <w:rStyle w:val="Vresatsauce"/>
          <w:rFonts w:ascii="Times New Roman" w:hAnsi="Times New Roman"/>
        </w:rPr>
        <w:footnoteRef/>
      </w:r>
      <w:r>
        <w:rPr>
          <w:rFonts w:ascii="Times New Roman" w:hAnsi="Times New Roman"/>
        </w:rPr>
        <w:t xml:space="preserve"> Ja vien anulēšana vai atcelšana nav notikusi, pamatojoties uz uzņēmēja pieprasījumu.</w:t>
      </w:r>
    </w:p>
  </w:footnote>
  <w:footnote w:id="2">
    <w:p w:rsidR="00FF42EE" w:rsidRPr="003E7A01" w:rsidRDefault="00FF42EE" w:rsidP="003E7A01">
      <w:pPr>
        <w:jc w:val="both"/>
        <w:rPr>
          <w:rFonts w:ascii="Times New Roman" w:hAnsi="Times New Roman" w:cs="Times New Roman"/>
          <w:noProof/>
          <w:sz w:val="20"/>
          <w:szCs w:val="20"/>
        </w:rPr>
      </w:pPr>
      <w:r>
        <w:rPr>
          <w:rStyle w:val="Vresatsauce"/>
          <w:rFonts w:ascii="Times New Roman" w:hAnsi="Times New Roman"/>
          <w:sz w:val="20"/>
        </w:rPr>
        <w:footnoteRef/>
      </w:r>
      <w:r>
        <w:rPr>
          <w:rFonts w:ascii="Times New Roman" w:hAnsi="Times New Roman"/>
          <w:sz w:val="20"/>
        </w:rPr>
        <w:t xml:space="preserve"> Tādas neatbilstības piemērs, kas rodas, kad aizliegtas/ierobežotas preces tiek ievestas kontrabandas ceļā vai kad preces tiek nelikumīgi ievestas ES: ja gadījums ir saistīts ar aizliegtām vai ierobežotām precēm vai ja ir radies muitas parāds, dalībvalstij, kur notikusi vai varētu būt notikusi nelikumīgā ievešana, jāuzņemas atbildība par izmeklēšanu vai kriminālprocesu. Šādos gadījumos jebkuri strīdi jāadresē šai dalībvalstij un jāpiemēro tās pārsūdzības procedūra.</w:t>
      </w:r>
    </w:p>
    <w:p w:rsidR="00FF42EE" w:rsidRPr="003E7A01" w:rsidRDefault="00FF42EE" w:rsidP="003E7A01">
      <w:pPr>
        <w:jc w:val="both"/>
        <w:rPr>
          <w:rFonts w:ascii="Times New Roman" w:eastAsia="Times New Roman" w:hAnsi="Times New Roman" w:cs="Times New Roman"/>
          <w:noProof/>
          <w:sz w:val="20"/>
          <w:szCs w:val="20"/>
        </w:rPr>
      </w:pPr>
    </w:p>
    <w:p w:rsidR="00FF42EE" w:rsidRPr="003E7A01" w:rsidRDefault="00FF42EE" w:rsidP="003E7A01">
      <w:pPr>
        <w:numPr>
          <w:ilvl w:val="0"/>
          <w:numId w:val="13"/>
        </w:numPr>
        <w:tabs>
          <w:tab w:val="left" w:pos="336"/>
        </w:tabs>
        <w:ind w:left="284" w:hanging="284"/>
        <w:jc w:val="both"/>
        <w:rPr>
          <w:rFonts w:ascii="Times New Roman" w:hAnsi="Times New Roman" w:cs="Times New Roman"/>
          <w:noProof/>
          <w:sz w:val="20"/>
          <w:szCs w:val="20"/>
        </w:rPr>
      </w:pPr>
      <w:r>
        <w:rPr>
          <w:rFonts w:ascii="Times New Roman" w:hAnsi="Times New Roman"/>
          <w:noProof/>
          <w:sz w:val="20"/>
        </w:rPr>
        <w:t>Kriminālprocess vai civilprocess (administratīvie sodi) sakarā ar pārkāpumu var nenotikt atbilstoši iepriekš minētajiem noteikumiem. Šādam procesam vienmēr jānotiek atbilstoši spēkā esošajiem noteikumiem, t. i., valsts noteikumiem.</w:t>
      </w:r>
    </w:p>
  </w:footnote>
  <w:footnote w:id="3">
    <w:p w:rsidR="00FF42EE" w:rsidRPr="003E7A01" w:rsidRDefault="00FF42EE">
      <w:pPr>
        <w:pStyle w:val="Vresteksts"/>
        <w:rPr>
          <w:rFonts w:ascii="Times New Roman" w:hAnsi="Times New Roman" w:cs="Times New Roman"/>
        </w:rPr>
      </w:pPr>
      <w:r>
        <w:rPr>
          <w:rStyle w:val="Vresatsauce"/>
          <w:rFonts w:ascii="Times New Roman" w:hAnsi="Times New Roman"/>
        </w:rPr>
        <w:footnoteRef/>
      </w:r>
      <w:r>
        <w:rPr>
          <w:rFonts w:ascii="Times New Roman" w:hAnsi="Times New Roman"/>
        </w:rPr>
        <w:t xml:space="preserve"> Šie pielikumi sagatavoti, pamatojoties uz spēkā esošajām Vienkāršotās deklarācijas / </w:t>
      </w:r>
      <w:r>
        <w:rPr>
          <w:rFonts w:ascii="Times New Roman" w:hAnsi="Times New Roman"/>
          <w:i/>
        </w:rPr>
        <w:t>SASP</w:t>
      </w:r>
      <w:r>
        <w:rPr>
          <w:rFonts w:ascii="Times New Roman" w:hAnsi="Times New Roman"/>
        </w:rPr>
        <w:t xml:space="preserve"> vadlīnijām; tie ir jālasa SMK kontekstā.</w:t>
      </w:r>
    </w:p>
  </w:footnote>
  <w:footnote w:id="4">
    <w:p w:rsidR="00FF42EE" w:rsidRPr="00ED2A07" w:rsidRDefault="00FF42EE">
      <w:pPr>
        <w:pStyle w:val="Vresteksts"/>
        <w:rPr>
          <w:rFonts w:ascii="Times New Roman" w:hAnsi="Times New Roman" w:cs="Times New Roman"/>
        </w:rPr>
      </w:pPr>
      <w:r>
        <w:rPr>
          <w:rStyle w:val="Vresatsauce"/>
          <w:rFonts w:ascii="Times New Roman" w:hAnsi="Times New Roman"/>
        </w:rPr>
        <w:footnoteRef/>
      </w:r>
      <w:r>
        <w:rPr>
          <w:rFonts w:ascii="Times New Roman" w:hAnsi="Times New Roman"/>
        </w:rPr>
        <w:t xml:space="preserve"> Informācija sagatavota, pamatojoties uz 2010. gada aptaujā sniegtajām atbildēm, kas atsevišķos gadījumos ir atjauninātas.</w:t>
      </w:r>
    </w:p>
  </w:footnote>
  <w:footnote w:id="5">
    <w:p w:rsidR="00FF42EE" w:rsidRPr="005C4E9D" w:rsidRDefault="00FF42EE">
      <w:pPr>
        <w:pStyle w:val="Vresteksts"/>
        <w:rPr>
          <w:rFonts w:ascii="Times New Roman" w:hAnsi="Times New Roman" w:cs="Times New Roman"/>
        </w:rPr>
      </w:pPr>
      <w:r>
        <w:rPr>
          <w:rStyle w:val="Vresatsauce"/>
          <w:rFonts w:ascii="Times New Roman" w:hAnsi="Times New Roman"/>
        </w:rPr>
        <w:footnoteRef/>
      </w:r>
      <w:r>
        <w:rPr>
          <w:rFonts w:ascii="Times New Roman" w:hAnsi="Times New Roman"/>
        </w:rPr>
        <w:t xml:space="preserve"> Preču fizisko pārbaudi veic vietējās iestādes, kas atbildīgas par vietu, kur preces atrodas importēšanas/eksportēšanas brīdī.</w:t>
      </w:r>
    </w:p>
  </w:footnote>
  <w:footnote w:id="6">
    <w:p w:rsidR="00FF42EE" w:rsidRPr="00D326D6" w:rsidRDefault="00FF42EE">
      <w:pPr>
        <w:pStyle w:val="Vresteksts"/>
        <w:rPr>
          <w:rFonts w:ascii="Times New Roman" w:hAnsi="Times New Roman" w:cs="Times New Roman"/>
        </w:rPr>
      </w:pPr>
      <w:r>
        <w:rPr>
          <w:rStyle w:val="Vresatsauce"/>
          <w:rFonts w:ascii="Times New Roman" w:hAnsi="Times New Roman"/>
        </w:rPr>
        <w:footnoteRef/>
      </w:r>
      <w:r>
        <w:rPr>
          <w:rFonts w:ascii="Times New Roman" w:hAnsi="Times New Roman"/>
        </w:rPr>
        <w:t xml:space="preserve"> Ja ir jāpārbauda konkrēts sūtījums, šis pieprasījums ir jāpārsūta tieši vietējai muitas iestādei.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42EE" w:rsidRPr="007E06AA" w:rsidRDefault="00FF42EE" w:rsidP="007E06AA">
    <w:pPr>
      <w:pStyle w:val="Galvene"/>
      <w:jc w:val="both"/>
      <w:rPr>
        <w:rStyle w:val="Lappusesnumurs"/>
        <w:rFonts w:ascii="Times New Roman" w:hAnsi="Times New Roman" w:cs="Times New Roman"/>
        <w:sz w:val="20"/>
        <w:szCs w:val="20"/>
      </w:rPr>
    </w:pPr>
  </w:p>
  <w:p w:rsidR="00FF42EE" w:rsidRPr="007E06AA" w:rsidRDefault="00FF42EE" w:rsidP="007E06AA">
    <w:pPr>
      <w:pStyle w:val="Galvene"/>
      <w:tabs>
        <w:tab w:val="clear" w:pos="4153"/>
        <w:tab w:val="clear" w:pos="8306"/>
        <w:tab w:val="right" w:leader="underscore" w:pos="9072"/>
      </w:tabs>
      <w:jc w:val="both"/>
      <w:rPr>
        <w:rStyle w:val="Lappusesnumurs"/>
        <w:rFonts w:ascii="Times New Roman" w:hAnsi="Times New Roman" w:cs="Times New Roman"/>
        <w:sz w:val="20"/>
        <w:szCs w:val="20"/>
      </w:rPr>
    </w:pPr>
    <w:r>
      <w:rPr>
        <w:rStyle w:val="Lappusesnumurs"/>
        <w:rFonts w:ascii="Times New Roman" w:hAnsi="Times New Roman" w:cs="Times New Roman"/>
        <w:sz w:val="20"/>
        <w:szCs w:val="20"/>
      </w:rPr>
      <w:tab/>
    </w:r>
  </w:p>
  <w:p w:rsidR="00FF42EE" w:rsidRPr="007E06AA" w:rsidRDefault="00FF42EE" w:rsidP="007E06AA">
    <w:pPr>
      <w:pStyle w:val="Galvene"/>
      <w:jc w:val="both"/>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42EE" w:rsidRPr="007E06AA" w:rsidRDefault="00FF42EE" w:rsidP="007E06AA">
    <w:pPr>
      <w:pBdr>
        <w:bottom w:val="single" w:sz="12" w:space="5" w:color="auto"/>
      </w:pBdr>
      <w:jc w:val="both"/>
      <w:rPr>
        <w:rFonts w:ascii="Times New Roman" w:hAnsi="Times New Roman" w:cs="Times New Roman"/>
        <w:spacing w:val="-2"/>
        <w:sz w:val="20"/>
        <w:szCs w:val="20"/>
      </w:rPr>
    </w:pPr>
  </w:p>
  <w:p w:rsidR="00FF42EE" w:rsidRPr="007E06AA" w:rsidRDefault="00FF42EE" w:rsidP="007E06AA">
    <w:pPr>
      <w:pStyle w:val="Galvene"/>
      <w:jc w:val="both"/>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618DE"/>
    <w:multiLevelType w:val="hybridMultilevel"/>
    <w:tmpl w:val="839A4722"/>
    <w:lvl w:ilvl="0" w:tplc="5CDCE7F0">
      <w:start w:val="1"/>
      <w:numFmt w:val="decimal"/>
      <w:lvlText w:val="%1)"/>
      <w:lvlJc w:val="left"/>
      <w:pPr>
        <w:ind w:left="109" w:hanging="365"/>
        <w:jc w:val="left"/>
      </w:pPr>
      <w:rPr>
        <w:rFonts w:ascii="Times New Roman" w:eastAsia="Times New Roman" w:hAnsi="Times New Roman" w:hint="default"/>
        <w:color w:val="17365D"/>
        <w:sz w:val="24"/>
        <w:szCs w:val="24"/>
      </w:rPr>
    </w:lvl>
    <w:lvl w:ilvl="1" w:tplc="6C7C3686">
      <w:start w:val="1"/>
      <w:numFmt w:val="bullet"/>
      <w:lvlText w:val="•"/>
      <w:lvlJc w:val="left"/>
      <w:pPr>
        <w:ind w:left="997" w:hanging="365"/>
      </w:pPr>
      <w:rPr>
        <w:rFonts w:hint="default"/>
      </w:rPr>
    </w:lvl>
    <w:lvl w:ilvl="2" w:tplc="053647F8">
      <w:start w:val="1"/>
      <w:numFmt w:val="bullet"/>
      <w:lvlText w:val="•"/>
      <w:lvlJc w:val="left"/>
      <w:pPr>
        <w:ind w:left="1884" w:hanging="365"/>
      </w:pPr>
      <w:rPr>
        <w:rFonts w:hint="default"/>
      </w:rPr>
    </w:lvl>
    <w:lvl w:ilvl="3" w:tplc="4AE0C7C4">
      <w:start w:val="1"/>
      <w:numFmt w:val="bullet"/>
      <w:lvlText w:val="•"/>
      <w:lvlJc w:val="left"/>
      <w:pPr>
        <w:ind w:left="2772" w:hanging="365"/>
      </w:pPr>
      <w:rPr>
        <w:rFonts w:hint="default"/>
      </w:rPr>
    </w:lvl>
    <w:lvl w:ilvl="4" w:tplc="5240BCFE">
      <w:start w:val="1"/>
      <w:numFmt w:val="bullet"/>
      <w:lvlText w:val="•"/>
      <w:lvlJc w:val="left"/>
      <w:pPr>
        <w:ind w:left="3660" w:hanging="365"/>
      </w:pPr>
      <w:rPr>
        <w:rFonts w:hint="default"/>
      </w:rPr>
    </w:lvl>
    <w:lvl w:ilvl="5" w:tplc="FBCEA56A">
      <w:start w:val="1"/>
      <w:numFmt w:val="bullet"/>
      <w:lvlText w:val="•"/>
      <w:lvlJc w:val="left"/>
      <w:pPr>
        <w:ind w:left="4547" w:hanging="365"/>
      </w:pPr>
      <w:rPr>
        <w:rFonts w:hint="default"/>
      </w:rPr>
    </w:lvl>
    <w:lvl w:ilvl="6" w:tplc="5F025834">
      <w:start w:val="1"/>
      <w:numFmt w:val="bullet"/>
      <w:lvlText w:val="•"/>
      <w:lvlJc w:val="left"/>
      <w:pPr>
        <w:ind w:left="5435" w:hanging="365"/>
      </w:pPr>
      <w:rPr>
        <w:rFonts w:hint="default"/>
      </w:rPr>
    </w:lvl>
    <w:lvl w:ilvl="7" w:tplc="18105EFA">
      <w:start w:val="1"/>
      <w:numFmt w:val="bullet"/>
      <w:lvlText w:val="•"/>
      <w:lvlJc w:val="left"/>
      <w:pPr>
        <w:ind w:left="6323" w:hanging="365"/>
      </w:pPr>
      <w:rPr>
        <w:rFonts w:hint="default"/>
      </w:rPr>
    </w:lvl>
    <w:lvl w:ilvl="8" w:tplc="38FEF912">
      <w:start w:val="1"/>
      <w:numFmt w:val="bullet"/>
      <w:lvlText w:val="•"/>
      <w:lvlJc w:val="left"/>
      <w:pPr>
        <w:ind w:left="7210" w:hanging="365"/>
      </w:pPr>
      <w:rPr>
        <w:rFonts w:hint="default"/>
      </w:rPr>
    </w:lvl>
  </w:abstractNum>
  <w:abstractNum w:abstractNumId="1" w15:restartNumberingAfterBreak="0">
    <w:nsid w:val="02BA43FD"/>
    <w:multiLevelType w:val="hybridMultilevel"/>
    <w:tmpl w:val="10B66CD0"/>
    <w:lvl w:ilvl="0" w:tplc="ECE22E6E">
      <w:start w:val="1"/>
      <w:numFmt w:val="bullet"/>
      <w:lvlText w:val=""/>
      <w:lvlJc w:val="left"/>
      <w:pPr>
        <w:ind w:left="949" w:hanging="360"/>
      </w:pPr>
      <w:rPr>
        <w:rFonts w:ascii="Wingdings" w:eastAsia="Wingdings" w:hAnsi="Wingdings" w:hint="default"/>
        <w:sz w:val="24"/>
        <w:szCs w:val="24"/>
      </w:rPr>
    </w:lvl>
    <w:lvl w:ilvl="1" w:tplc="A3905196">
      <w:start w:val="1"/>
      <w:numFmt w:val="bullet"/>
      <w:lvlText w:val="•"/>
      <w:lvlJc w:val="left"/>
      <w:pPr>
        <w:ind w:left="1770" w:hanging="360"/>
      </w:pPr>
      <w:rPr>
        <w:rFonts w:hint="default"/>
      </w:rPr>
    </w:lvl>
    <w:lvl w:ilvl="2" w:tplc="743454FC">
      <w:start w:val="1"/>
      <w:numFmt w:val="bullet"/>
      <w:lvlText w:val="•"/>
      <w:lvlJc w:val="left"/>
      <w:pPr>
        <w:ind w:left="2592" w:hanging="360"/>
      </w:pPr>
      <w:rPr>
        <w:rFonts w:hint="default"/>
      </w:rPr>
    </w:lvl>
    <w:lvl w:ilvl="3" w:tplc="9C446046">
      <w:start w:val="1"/>
      <w:numFmt w:val="bullet"/>
      <w:lvlText w:val="•"/>
      <w:lvlJc w:val="left"/>
      <w:pPr>
        <w:ind w:left="3414" w:hanging="360"/>
      </w:pPr>
      <w:rPr>
        <w:rFonts w:hint="default"/>
      </w:rPr>
    </w:lvl>
    <w:lvl w:ilvl="4" w:tplc="C8CE0F02">
      <w:start w:val="1"/>
      <w:numFmt w:val="bullet"/>
      <w:lvlText w:val="•"/>
      <w:lvlJc w:val="left"/>
      <w:pPr>
        <w:ind w:left="4236" w:hanging="360"/>
      </w:pPr>
      <w:rPr>
        <w:rFonts w:hint="default"/>
      </w:rPr>
    </w:lvl>
    <w:lvl w:ilvl="5" w:tplc="3F0E6C78">
      <w:start w:val="1"/>
      <w:numFmt w:val="bullet"/>
      <w:lvlText w:val="•"/>
      <w:lvlJc w:val="left"/>
      <w:pPr>
        <w:ind w:left="5057" w:hanging="360"/>
      </w:pPr>
      <w:rPr>
        <w:rFonts w:hint="default"/>
      </w:rPr>
    </w:lvl>
    <w:lvl w:ilvl="6" w:tplc="BE10EEFE">
      <w:start w:val="1"/>
      <w:numFmt w:val="bullet"/>
      <w:lvlText w:val="•"/>
      <w:lvlJc w:val="left"/>
      <w:pPr>
        <w:ind w:left="5879" w:hanging="360"/>
      </w:pPr>
      <w:rPr>
        <w:rFonts w:hint="default"/>
      </w:rPr>
    </w:lvl>
    <w:lvl w:ilvl="7" w:tplc="479EE31A">
      <w:start w:val="1"/>
      <w:numFmt w:val="bullet"/>
      <w:lvlText w:val="•"/>
      <w:lvlJc w:val="left"/>
      <w:pPr>
        <w:ind w:left="6701" w:hanging="360"/>
      </w:pPr>
      <w:rPr>
        <w:rFonts w:hint="default"/>
      </w:rPr>
    </w:lvl>
    <w:lvl w:ilvl="8" w:tplc="E06E70C0">
      <w:start w:val="1"/>
      <w:numFmt w:val="bullet"/>
      <w:lvlText w:val="•"/>
      <w:lvlJc w:val="left"/>
      <w:pPr>
        <w:ind w:left="7522" w:hanging="360"/>
      </w:pPr>
      <w:rPr>
        <w:rFonts w:hint="default"/>
      </w:rPr>
    </w:lvl>
  </w:abstractNum>
  <w:abstractNum w:abstractNumId="2" w15:restartNumberingAfterBreak="0">
    <w:nsid w:val="02D01F86"/>
    <w:multiLevelType w:val="hybridMultilevel"/>
    <w:tmpl w:val="0930DD1C"/>
    <w:lvl w:ilvl="0" w:tplc="1B68D188">
      <w:start w:val="1"/>
      <w:numFmt w:val="bullet"/>
      <w:lvlText w:val="-"/>
      <w:lvlJc w:val="left"/>
      <w:pPr>
        <w:ind w:left="464" w:hanging="360"/>
      </w:pPr>
      <w:rPr>
        <w:rFonts w:ascii="Trebuchet MS" w:eastAsia="Trebuchet MS" w:hAnsi="Trebuchet MS" w:hint="default"/>
        <w:sz w:val="24"/>
        <w:szCs w:val="24"/>
      </w:rPr>
    </w:lvl>
    <w:lvl w:ilvl="1" w:tplc="ED0A3BFC">
      <w:start w:val="1"/>
      <w:numFmt w:val="bullet"/>
      <w:lvlText w:val="•"/>
      <w:lvlJc w:val="left"/>
      <w:pPr>
        <w:ind w:left="842" w:hanging="360"/>
      </w:pPr>
      <w:rPr>
        <w:rFonts w:hint="default"/>
      </w:rPr>
    </w:lvl>
    <w:lvl w:ilvl="2" w:tplc="8C2849DA">
      <w:start w:val="1"/>
      <w:numFmt w:val="bullet"/>
      <w:lvlText w:val="•"/>
      <w:lvlJc w:val="left"/>
      <w:pPr>
        <w:ind w:left="1220" w:hanging="360"/>
      </w:pPr>
      <w:rPr>
        <w:rFonts w:hint="default"/>
      </w:rPr>
    </w:lvl>
    <w:lvl w:ilvl="3" w:tplc="870C5EE2">
      <w:start w:val="1"/>
      <w:numFmt w:val="bullet"/>
      <w:lvlText w:val="•"/>
      <w:lvlJc w:val="left"/>
      <w:pPr>
        <w:ind w:left="1597" w:hanging="360"/>
      </w:pPr>
      <w:rPr>
        <w:rFonts w:hint="default"/>
      </w:rPr>
    </w:lvl>
    <w:lvl w:ilvl="4" w:tplc="7FECF7C0">
      <w:start w:val="1"/>
      <w:numFmt w:val="bullet"/>
      <w:lvlText w:val="•"/>
      <w:lvlJc w:val="left"/>
      <w:pPr>
        <w:ind w:left="1975" w:hanging="360"/>
      </w:pPr>
      <w:rPr>
        <w:rFonts w:hint="default"/>
      </w:rPr>
    </w:lvl>
    <w:lvl w:ilvl="5" w:tplc="3328DA0A">
      <w:start w:val="1"/>
      <w:numFmt w:val="bullet"/>
      <w:lvlText w:val="•"/>
      <w:lvlJc w:val="left"/>
      <w:pPr>
        <w:ind w:left="2353" w:hanging="360"/>
      </w:pPr>
      <w:rPr>
        <w:rFonts w:hint="default"/>
      </w:rPr>
    </w:lvl>
    <w:lvl w:ilvl="6" w:tplc="63D42B76">
      <w:start w:val="1"/>
      <w:numFmt w:val="bullet"/>
      <w:lvlText w:val="•"/>
      <w:lvlJc w:val="left"/>
      <w:pPr>
        <w:ind w:left="2730" w:hanging="360"/>
      </w:pPr>
      <w:rPr>
        <w:rFonts w:hint="default"/>
      </w:rPr>
    </w:lvl>
    <w:lvl w:ilvl="7" w:tplc="BCA48B3A">
      <w:start w:val="1"/>
      <w:numFmt w:val="bullet"/>
      <w:lvlText w:val="•"/>
      <w:lvlJc w:val="left"/>
      <w:pPr>
        <w:ind w:left="3108" w:hanging="360"/>
      </w:pPr>
      <w:rPr>
        <w:rFonts w:hint="default"/>
      </w:rPr>
    </w:lvl>
    <w:lvl w:ilvl="8" w:tplc="C408E408">
      <w:start w:val="1"/>
      <w:numFmt w:val="bullet"/>
      <w:lvlText w:val="•"/>
      <w:lvlJc w:val="left"/>
      <w:pPr>
        <w:ind w:left="3486" w:hanging="360"/>
      </w:pPr>
      <w:rPr>
        <w:rFonts w:hint="default"/>
      </w:rPr>
    </w:lvl>
  </w:abstractNum>
  <w:abstractNum w:abstractNumId="3" w15:restartNumberingAfterBreak="0">
    <w:nsid w:val="04974114"/>
    <w:multiLevelType w:val="hybridMultilevel"/>
    <w:tmpl w:val="D2A82126"/>
    <w:lvl w:ilvl="0" w:tplc="24F64F16">
      <w:start w:val="1"/>
      <w:numFmt w:val="bullet"/>
      <w:lvlText w:val="-"/>
      <w:lvlJc w:val="left"/>
      <w:pPr>
        <w:ind w:left="244" w:hanging="140"/>
      </w:pPr>
      <w:rPr>
        <w:rFonts w:ascii="Times New Roman" w:eastAsia="Times New Roman" w:hAnsi="Times New Roman" w:hint="default"/>
        <w:sz w:val="24"/>
        <w:szCs w:val="24"/>
      </w:rPr>
    </w:lvl>
    <w:lvl w:ilvl="1" w:tplc="71648156">
      <w:start w:val="1"/>
      <w:numFmt w:val="bullet"/>
      <w:lvlText w:val="•"/>
      <w:lvlJc w:val="left"/>
      <w:pPr>
        <w:ind w:left="304" w:hanging="140"/>
      </w:pPr>
      <w:rPr>
        <w:rFonts w:hint="default"/>
      </w:rPr>
    </w:lvl>
    <w:lvl w:ilvl="2" w:tplc="4E70A23C">
      <w:start w:val="1"/>
      <w:numFmt w:val="bullet"/>
      <w:lvlText w:val="•"/>
      <w:lvlJc w:val="left"/>
      <w:pPr>
        <w:ind w:left="757" w:hanging="140"/>
      </w:pPr>
      <w:rPr>
        <w:rFonts w:hint="default"/>
      </w:rPr>
    </w:lvl>
    <w:lvl w:ilvl="3" w:tplc="849CC648">
      <w:start w:val="1"/>
      <w:numFmt w:val="bullet"/>
      <w:lvlText w:val="•"/>
      <w:lvlJc w:val="left"/>
      <w:pPr>
        <w:ind w:left="1210" w:hanging="140"/>
      </w:pPr>
      <w:rPr>
        <w:rFonts w:hint="default"/>
      </w:rPr>
    </w:lvl>
    <w:lvl w:ilvl="4" w:tplc="6346CCFC">
      <w:start w:val="1"/>
      <w:numFmt w:val="bullet"/>
      <w:lvlText w:val="•"/>
      <w:lvlJc w:val="left"/>
      <w:pPr>
        <w:ind w:left="1664" w:hanging="140"/>
      </w:pPr>
      <w:rPr>
        <w:rFonts w:hint="default"/>
      </w:rPr>
    </w:lvl>
    <w:lvl w:ilvl="5" w:tplc="7F820B58">
      <w:start w:val="1"/>
      <w:numFmt w:val="bullet"/>
      <w:lvlText w:val="•"/>
      <w:lvlJc w:val="left"/>
      <w:pPr>
        <w:ind w:left="2117" w:hanging="140"/>
      </w:pPr>
      <w:rPr>
        <w:rFonts w:hint="default"/>
      </w:rPr>
    </w:lvl>
    <w:lvl w:ilvl="6" w:tplc="82E2B664">
      <w:start w:val="1"/>
      <w:numFmt w:val="bullet"/>
      <w:lvlText w:val="•"/>
      <w:lvlJc w:val="left"/>
      <w:pPr>
        <w:ind w:left="2570" w:hanging="140"/>
      </w:pPr>
      <w:rPr>
        <w:rFonts w:hint="default"/>
      </w:rPr>
    </w:lvl>
    <w:lvl w:ilvl="7" w:tplc="933E29B4">
      <w:start w:val="1"/>
      <w:numFmt w:val="bullet"/>
      <w:lvlText w:val="•"/>
      <w:lvlJc w:val="left"/>
      <w:pPr>
        <w:ind w:left="3023" w:hanging="140"/>
      </w:pPr>
      <w:rPr>
        <w:rFonts w:hint="default"/>
      </w:rPr>
    </w:lvl>
    <w:lvl w:ilvl="8" w:tplc="211C7758">
      <w:start w:val="1"/>
      <w:numFmt w:val="bullet"/>
      <w:lvlText w:val="•"/>
      <w:lvlJc w:val="left"/>
      <w:pPr>
        <w:ind w:left="3477" w:hanging="140"/>
      </w:pPr>
      <w:rPr>
        <w:rFonts w:hint="default"/>
      </w:rPr>
    </w:lvl>
  </w:abstractNum>
  <w:abstractNum w:abstractNumId="4" w15:restartNumberingAfterBreak="0">
    <w:nsid w:val="069A69BD"/>
    <w:multiLevelType w:val="hybridMultilevel"/>
    <w:tmpl w:val="A28C85CE"/>
    <w:lvl w:ilvl="0" w:tplc="AD8A196E">
      <w:start w:val="1"/>
      <w:numFmt w:val="decimal"/>
      <w:lvlText w:val="%1-"/>
      <w:lvlJc w:val="left"/>
      <w:pPr>
        <w:ind w:left="109" w:hanging="200"/>
        <w:jc w:val="left"/>
      </w:pPr>
      <w:rPr>
        <w:rFonts w:ascii="Times New Roman" w:eastAsia="Times New Roman" w:hAnsi="Times New Roman" w:hint="default"/>
        <w:i/>
        <w:color w:val="49442A"/>
        <w:sz w:val="24"/>
        <w:szCs w:val="24"/>
      </w:rPr>
    </w:lvl>
    <w:lvl w:ilvl="1" w:tplc="D3DAF032">
      <w:start w:val="1"/>
      <w:numFmt w:val="bullet"/>
      <w:lvlText w:val="•"/>
      <w:lvlJc w:val="left"/>
      <w:pPr>
        <w:ind w:left="997" w:hanging="200"/>
      </w:pPr>
      <w:rPr>
        <w:rFonts w:hint="default"/>
      </w:rPr>
    </w:lvl>
    <w:lvl w:ilvl="2" w:tplc="2CDC3AC0">
      <w:start w:val="1"/>
      <w:numFmt w:val="bullet"/>
      <w:lvlText w:val="•"/>
      <w:lvlJc w:val="left"/>
      <w:pPr>
        <w:ind w:left="1884" w:hanging="200"/>
      </w:pPr>
      <w:rPr>
        <w:rFonts w:hint="default"/>
      </w:rPr>
    </w:lvl>
    <w:lvl w:ilvl="3" w:tplc="6712B384">
      <w:start w:val="1"/>
      <w:numFmt w:val="bullet"/>
      <w:lvlText w:val="•"/>
      <w:lvlJc w:val="left"/>
      <w:pPr>
        <w:ind w:left="2772" w:hanging="200"/>
      </w:pPr>
      <w:rPr>
        <w:rFonts w:hint="default"/>
      </w:rPr>
    </w:lvl>
    <w:lvl w:ilvl="4" w:tplc="623AC28E">
      <w:start w:val="1"/>
      <w:numFmt w:val="bullet"/>
      <w:lvlText w:val="•"/>
      <w:lvlJc w:val="left"/>
      <w:pPr>
        <w:ind w:left="3660" w:hanging="200"/>
      </w:pPr>
      <w:rPr>
        <w:rFonts w:hint="default"/>
      </w:rPr>
    </w:lvl>
    <w:lvl w:ilvl="5" w:tplc="5B2C2B56">
      <w:start w:val="1"/>
      <w:numFmt w:val="bullet"/>
      <w:lvlText w:val="•"/>
      <w:lvlJc w:val="left"/>
      <w:pPr>
        <w:ind w:left="4547" w:hanging="200"/>
      </w:pPr>
      <w:rPr>
        <w:rFonts w:hint="default"/>
      </w:rPr>
    </w:lvl>
    <w:lvl w:ilvl="6" w:tplc="10D048F4">
      <w:start w:val="1"/>
      <w:numFmt w:val="bullet"/>
      <w:lvlText w:val="•"/>
      <w:lvlJc w:val="left"/>
      <w:pPr>
        <w:ind w:left="5435" w:hanging="200"/>
      </w:pPr>
      <w:rPr>
        <w:rFonts w:hint="default"/>
      </w:rPr>
    </w:lvl>
    <w:lvl w:ilvl="7" w:tplc="2B9206E0">
      <w:start w:val="1"/>
      <w:numFmt w:val="bullet"/>
      <w:lvlText w:val="•"/>
      <w:lvlJc w:val="left"/>
      <w:pPr>
        <w:ind w:left="6323" w:hanging="200"/>
      </w:pPr>
      <w:rPr>
        <w:rFonts w:hint="default"/>
      </w:rPr>
    </w:lvl>
    <w:lvl w:ilvl="8" w:tplc="348C3BF6">
      <w:start w:val="1"/>
      <w:numFmt w:val="bullet"/>
      <w:lvlText w:val="•"/>
      <w:lvlJc w:val="left"/>
      <w:pPr>
        <w:ind w:left="7210" w:hanging="200"/>
      </w:pPr>
      <w:rPr>
        <w:rFonts w:hint="default"/>
      </w:rPr>
    </w:lvl>
  </w:abstractNum>
  <w:abstractNum w:abstractNumId="5" w15:restartNumberingAfterBreak="0">
    <w:nsid w:val="07451FD5"/>
    <w:multiLevelType w:val="hybridMultilevel"/>
    <w:tmpl w:val="D9F41F8C"/>
    <w:lvl w:ilvl="0" w:tplc="B46E7788">
      <w:start w:val="1"/>
      <w:numFmt w:val="lowerLetter"/>
      <w:lvlText w:val="%1)"/>
      <w:lvlJc w:val="left"/>
      <w:pPr>
        <w:ind w:left="408" w:hanging="260"/>
        <w:jc w:val="left"/>
      </w:pPr>
      <w:rPr>
        <w:rFonts w:ascii="Times New Roman" w:eastAsia="Times New Roman" w:hAnsi="Times New Roman" w:hint="default"/>
        <w:b/>
        <w:bCs/>
        <w:sz w:val="24"/>
        <w:szCs w:val="24"/>
      </w:rPr>
    </w:lvl>
    <w:lvl w:ilvl="1" w:tplc="1FC063E0">
      <w:start w:val="1"/>
      <w:numFmt w:val="bullet"/>
      <w:lvlText w:val=""/>
      <w:lvlJc w:val="left"/>
      <w:pPr>
        <w:ind w:left="1229" w:hanging="360"/>
      </w:pPr>
      <w:rPr>
        <w:rFonts w:ascii="Wingdings" w:eastAsia="Wingdings" w:hAnsi="Wingdings" w:hint="default"/>
        <w:sz w:val="24"/>
        <w:szCs w:val="24"/>
      </w:rPr>
    </w:lvl>
    <w:lvl w:ilvl="2" w:tplc="13F40012">
      <w:start w:val="1"/>
      <w:numFmt w:val="bullet"/>
      <w:lvlText w:val="•"/>
      <w:lvlJc w:val="left"/>
      <w:pPr>
        <w:ind w:left="2106" w:hanging="360"/>
      </w:pPr>
      <w:rPr>
        <w:rFonts w:hint="default"/>
      </w:rPr>
    </w:lvl>
    <w:lvl w:ilvl="3" w:tplc="1A349FD0">
      <w:start w:val="1"/>
      <w:numFmt w:val="bullet"/>
      <w:lvlText w:val="•"/>
      <w:lvlJc w:val="left"/>
      <w:pPr>
        <w:ind w:left="2984" w:hanging="360"/>
      </w:pPr>
      <w:rPr>
        <w:rFonts w:hint="default"/>
      </w:rPr>
    </w:lvl>
    <w:lvl w:ilvl="4" w:tplc="55C854E2">
      <w:start w:val="1"/>
      <w:numFmt w:val="bullet"/>
      <w:lvlText w:val="•"/>
      <w:lvlJc w:val="left"/>
      <w:pPr>
        <w:ind w:left="3861" w:hanging="360"/>
      </w:pPr>
      <w:rPr>
        <w:rFonts w:hint="default"/>
      </w:rPr>
    </w:lvl>
    <w:lvl w:ilvl="5" w:tplc="F3CA316A">
      <w:start w:val="1"/>
      <w:numFmt w:val="bullet"/>
      <w:lvlText w:val="•"/>
      <w:lvlJc w:val="left"/>
      <w:pPr>
        <w:ind w:left="4739" w:hanging="360"/>
      </w:pPr>
      <w:rPr>
        <w:rFonts w:hint="default"/>
      </w:rPr>
    </w:lvl>
    <w:lvl w:ilvl="6" w:tplc="043E2F6E">
      <w:start w:val="1"/>
      <w:numFmt w:val="bullet"/>
      <w:lvlText w:val="•"/>
      <w:lvlJc w:val="left"/>
      <w:pPr>
        <w:ind w:left="5616" w:hanging="360"/>
      </w:pPr>
      <w:rPr>
        <w:rFonts w:hint="default"/>
      </w:rPr>
    </w:lvl>
    <w:lvl w:ilvl="7" w:tplc="E4B0ED30">
      <w:start w:val="1"/>
      <w:numFmt w:val="bullet"/>
      <w:lvlText w:val="•"/>
      <w:lvlJc w:val="left"/>
      <w:pPr>
        <w:ind w:left="6494" w:hanging="360"/>
      </w:pPr>
      <w:rPr>
        <w:rFonts w:hint="default"/>
      </w:rPr>
    </w:lvl>
    <w:lvl w:ilvl="8" w:tplc="EDBAAB36">
      <w:start w:val="1"/>
      <w:numFmt w:val="bullet"/>
      <w:lvlText w:val="•"/>
      <w:lvlJc w:val="left"/>
      <w:pPr>
        <w:ind w:left="7371" w:hanging="360"/>
      </w:pPr>
      <w:rPr>
        <w:rFonts w:hint="default"/>
      </w:rPr>
    </w:lvl>
  </w:abstractNum>
  <w:abstractNum w:abstractNumId="6" w15:restartNumberingAfterBreak="0">
    <w:nsid w:val="0C7D4DD1"/>
    <w:multiLevelType w:val="hybridMultilevel"/>
    <w:tmpl w:val="3E54A0D6"/>
    <w:lvl w:ilvl="0" w:tplc="DD5A5644">
      <w:start w:val="1"/>
      <w:numFmt w:val="bullet"/>
      <w:lvlText w:val="-"/>
      <w:lvlJc w:val="left"/>
      <w:pPr>
        <w:ind w:left="109" w:hanging="147"/>
      </w:pPr>
      <w:rPr>
        <w:rFonts w:ascii="Times New Roman" w:eastAsia="Times New Roman" w:hAnsi="Times New Roman" w:hint="default"/>
        <w:b/>
        <w:bCs/>
        <w:sz w:val="24"/>
        <w:szCs w:val="24"/>
      </w:rPr>
    </w:lvl>
    <w:lvl w:ilvl="1" w:tplc="E878FB60">
      <w:start w:val="1"/>
      <w:numFmt w:val="bullet"/>
      <w:lvlText w:val="•"/>
      <w:lvlJc w:val="left"/>
      <w:pPr>
        <w:ind w:left="997" w:hanging="147"/>
      </w:pPr>
      <w:rPr>
        <w:rFonts w:hint="default"/>
      </w:rPr>
    </w:lvl>
    <w:lvl w:ilvl="2" w:tplc="2F8EBFA4">
      <w:start w:val="1"/>
      <w:numFmt w:val="bullet"/>
      <w:lvlText w:val="•"/>
      <w:lvlJc w:val="left"/>
      <w:pPr>
        <w:ind w:left="1884" w:hanging="147"/>
      </w:pPr>
      <w:rPr>
        <w:rFonts w:hint="default"/>
      </w:rPr>
    </w:lvl>
    <w:lvl w:ilvl="3" w:tplc="9140A9CE">
      <w:start w:val="1"/>
      <w:numFmt w:val="bullet"/>
      <w:lvlText w:val="•"/>
      <w:lvlJc w:val="left"/>
      <w:pPr>
        <w:ind w:left="2772" w:hanging="147"/>
      </w:pPr>
      <w:rPr>
        <w:rFonts w:hint="default"/>
      </w:rPr>
    </w:lvl>
    <w:lvl w:ilvl="4" w:tplc="C17A12F0">
      <w:start w:val="1"/>
      <w:numFmt w:val="bullet"/>
      <w:lvlText w:val="•"/>
      <w:lvlJc w:val="left"/>
      <w:pPr>
        <w:ind w:left="3660" w:hanging="147"/>
      </w:pPr>
      <w:rPr>
        <w:rFonts w:hint="default"/>
      </w:rPr>
    </w:lvl>
    <w:lvl w:ilvl="5" w:tplc="F94469E6">
      <w:start w:val="1"/>
      <w:numFmt w:val="bullet"/>
      <w:lvlText w:val="•"/>
      <w:lvlJc w:val="left"/>
      <w:pPr>
        <w:ind w:left="4547" w:hanging="147"/>
      </w:pPr>
      <w:rPr>
        <w:rFonts w:hint="default"/>
      </w:rPr>
    </w:lvl>
    <w:lvl w:ilvl="6" w:tplc="2036FE42">
      <w:start w:val="1"/>
      <w:numFmt w:val="bullet"/>
      <w:lvlText w:val="•"/>
      <w:lvlJc w:val="left"/>
      <w:pPr>
        <w:ind w:left="5435" w:hanging="147"/>
      </w:pPr>
      <w:rPr>
        <w:rFonts w:hint="default"/>
      </w:rPr>
    </w:lvl>
    <w:lvl w:ilvl="7" w:tplc="D5DA87D4">
      <w:start w:val="1"/>
      <w:numFmt w:val="bullet"/>
      <w:lvlText w:val="•"/>
      <w:lvlJc w:val="left"/>
      <w:pPr>
        <w:ind w:left="6323" w:hanging="147"/>
      </w:pPr>
      <w:rPr>
        <w:rFonts w:hint="default"/>
      </w:rPr>
    </w:lvl>
    <w:lvl w:ilvl="8" w:tplc="397CAE1E">
      <w:start w:val="1"/>
      <w:numFmt w:val="bullet"/>
      <w:lvlText w:val="•"/>
      <w:lvlJc w:val="left"/>
      <w:pPr>
        <w:ind w:left="7210" w:hanging="147"/>
      </w:pPr>
      <w:rPr>
        <w:rFonts w:hint="default"/>
      </w:rPr>
    </w:lvl>
  </w:abstractNum>
  <w:abstractNum w:abstractNumId="7" w15:restartNumberingAfterBreak="0">
    <w:nsid w:val="0C804F55"/>
    <w:multiLevelType w:val="hybridMultilevel"/>
    <w:tmpl w:val="55EE0892"/>
    <w:lvl w:ilvl="0" w:tplc="38E62B68">
      <w:start w:val="1"/>
      <w:numFmt w:val="bullet"/>
      <w:lvlText w:val="-"/>
      <w:lvlJc w:val="left"/>
      <w:pPr>
        <w:ind w:left="109" w:hanging="164"/>
      </w:pPr>
      <w:rPr>
        <w:rFonts w:ascii="Times New Roman" w:eastAsia="Times New Roman" w:hAnsi="Times New Roman" w:hint="default"/>
        <w:b/>
        <w:bCs/>
        <w:sz w:val="24"/>
        <w:szCs w:val="24"/>
      </w:rPr>
    </w:lvl>
    <w:lvl w:ilvl="1" w:tplc="AC7CC402">
      <w:start w:val="1"/>
      <w:numFmt w:val="bullet"/>
      <w:lvlText w:val="•"/>
      <w:lvlJc w:val="left"/>
      <w:pPr>
        <w:ind w:left="997" w:hanging="164"/>
      </w:pPr>
      <w:rPr>
        <w:rFonts w:hint="default"/>
      </w:rPr>
    </w:lvl>
    <w:lvl w:ilvl="2" w:tplc="3CCCE04E">
      <w:start w:val="1"/>
      <w:numFmt w:val="bullet"/>
      <w:lvlText w:val="•"/>
      <w:lvlJc w:val="left"/>
      <w:pPr>
        <w:ind w:left="1884" w:hanging="164"/>
      </w:pPr>
      <w:rPr>
        <w:rFonts w:hint="default"/>
      </w:rPr>
    </w:lvl>
    <w:lvl w:ilvl="3" w:tplc="B27A7438">
      <w:start w:val="1"/>
      <w:numFmt w:val="bullet"/>
      <w:lvlText w:val="•"/>
      <w:lvlJc w:val="left"/>
      <w:pPr>
        <w:ind w:left="2772" w:hanging="164"/>
      </w:pPr>
      <w:rPr>
        <w:rFonts w:hint="default"/>
      </w:rPr>
    </w:lvl>
    <w:lvl w:ilvl="4" w:tplc="F786638C">
      <w:start w:val="1"/>
      <w:numFmt w:val="bullet"/>
      <w:lvlText w:val="•"/>
      <w:lvlJc w:val="left"/>
      <w:pPr>
        <w:ind w:left="3660" w:hanging="164"/>
      </w:pPr>
      <w:rPr>
        <w:rFonts w:hint="default"/>
      </w:rPr>
    </w:lvl>
    <w:lvl w:ilvl="5" w:tplc="4ED6CB50">
      <w:start w:val="1"/>
      <w:numFmt w:val="bullet"/>
      <w:lvlText w:val="•"/>
      <w:lvlJc w:val="left"/>
      <w:pPr>
        <w:ind w:left="4547" w:hanging="164"/>
      </w:pPr>
      <w:rPr>
        <w:rFonts w:hint="default"/>
      </w:rPr>
    </w:lvl>
    <w:lvl w:ilvl="6" w:tplc="7B469162">
      <w:start w:val="1"/>
      <w:numFmt w:val="bullet"/>
      <w:lvlText w:val="•"/>
      <w:lvlJc w:val="left"/>
      <w:pPr>
        <w:ind w:left="5435" w:hanging="164"/>
      </w:pPr>
      <w:rPr>
        <w:rFonts w:hint="default"/>
      </w:rPr>
    </w:lvl>
    <w:lvl w:ilvl="7" w:tplc="D338B3F2">
      <w:start w:val="1"/>
      <w:numFmt w:val="bullet"/>
      <w:lvlText w:val="•"/>
      <w:lvlJc w:val="left"/>
      <w:pPr>
        <w:ind w:left="6323" w:hanging="164"/>
      </w:pPr>
      <w:rPr>
        <w:rFonts w:hint="default"/>
      </w:rPr>
    </w:lvl>
    <w:lvl w:ilvl="8" w:tplc="CF162B8E">
      <w:start w:val="1"/>
      <w:numFmt w:val="bullet"/>
      <w:lvlText w:val="•"/>
      <w:lvlJc w:val="left"/>
      <w:pPr>
        <w:ind w:left="7210" w:hanging="164"/>
      </w:pPr>
      <w:rPr>
        <w:rFonts w:hint="default"/>
      </w:rPr>
    </w:lvl>
  </w:abstractNum>
  <w:abstractNum w:abstractNumId="8" w15:restartNumberingAfterBreak="0">
    <w:nsid w:val="10EC5430"/>
    <w:multiLevelType w:val="hybridMultilevel"/>
    <w:tmpl w:val="E138D694"/>
    <w:lvl w:ilvl="0" w:tplc="6B3663A8">
      <w:start w:val="1"/>
      <w:numFmt w:val="lowerLetter"/>
      <w:lvlText w:val="%1)"/>
      <w:lvlJc w:val="left"/>
      <w:pPr>
        <w:ind w:left="109" w:hanging="260"/>
        <w:jc w:val="left"/>
      </w:pPr>
      <w:rPr>
        <w:rFonts w:ascii="Times New Roman" w:eastAsia="Times New Roman" w:hAnsi="Times New Roman" w:hint="default"/>
        <w:b/>
        <w:bCs/>
        <w:sz w:val="24"/>
        <w:szCs w:val="24"/>
      </w:rPr>
    </w:lvl>
    <w:lvl w:ilvl="1" w:tplc="92622172">
      <w:start w:val="1"/>
      <w:numFmt w:val="bullet"/>
      <w:lvlText w:val="•"/>
      <w:lvlJc w:val="left"/>
      <w:pPr>
        <w:ind w:left="1015" w:hanging="260"/>
      </w:pPr>
      <w:rPr>
        <w:rFonts w:hint="default"/>
      </w:rPr>
    </w:lvl>
    <w:lvl w:ilvl="2" w:tplc="6B3C4644">
      <w:start w:val="1"/>
      <w:numFmt w:val="bullet"/>
      <w:lvlText w:val="•"/>
      <w:lvlJc w:val="left"/>
      <w:pPr>
        <w:ind w:left="1920" w:hanging="260"/>
      </w:pPr>
      <w:rPr>
        <w:rFonts w:hint="default"/>
      </w:rPr>
    </w:lvl>
    <w:lvl w:ilvl="3" w:tplc="22381722">
      <w:start w:val="1"/>
      <w:numFmt w:val="bullet"/>
      <w:lvlText w:val="•"/>
      <w:lvlJc w:val="left"/>
      <w:pPr>
        <w:ind w:left="2826" w:hanging="260"/>
      </w:pPr>
      <w:rPr>
        <w:rFonts w:hint="default"/>
      </w:rPr>
    </w:lvl>
    <w:lvl w:ilvl="4" w:tplc="D52C78BE">
      <w:start w:val="1"/>
      <w:numFmt w:val="bullet"/>
      <w:lvlText w:val="•"/>
      <w:lvlJc w:val="left"/>
      <w:pPr>
        <w:ind w:left="3732" w:hanging="260"/>
      </w:pPr>
      <w:rPr>
        <w:rFonts w:hint="default"/>
      </w:rPr>
    </w:lvl>
    <w:lvl w:ilvl="5" w:tplc="79D69FAA">
      <w:start w:val="1"/>
      <w:numFmt w:val="bullet"/>
      <w:lvlText w:val="•"/>
      <w:lvlJc w:val="left"/>
      <w:pPr>
        <w:ind w:left="4637" w:hanging="260"/>
      </w:pPr>
      <w:rPr>
        <w:rFonts w:hint="default"/>
      </w:rPr>
    </w:lvl>
    <w:lvl w:ilvl="6" w:tplc="C5A6EB58">
      <w:start w:val="1"/>
      <w:numFmt w:val="bullet"/>
      <w:lvlText w:val="•"/>
      <w:lvlJc w:val="left"/>
      <w:pPr>
        <w:ind w:left="5543" w:hanging="260"/>
      </w:pPr>
      <w:rPr>
        <w:rFonts w:hint="default"/>
      </w:rPr>
    </w:lvl>
    <w:lvl w:ilvl="7" w:tplc="3ED4B090">
      <w:start w:val="1"/>
      <w:numFmt w:val="bullet"/>
      <w:lvlText w:val="•"/>
      <w:lvlJc w:val="left"/>
      <w:pPr>
        <w:ind w:left="6449" w:hanging="260"/>
      </w:pPr>
      <w:rPr>
        <w:rFonts w:hint="default"/>
      </w:rPr>
    </w:lvl>
    <w:lvl w:ilvl="8" w:tplc="301AB194">
      <w:start w:val="1"/>
      <w:numFmt w:val="bullet"/>
      <w:lvlText w:val="•"/>
      <w:lvlJc w:val="left"/>
      <w:pPr>
        <w:ind w:left="7354" w:hanging="260"/>
      </w:pPr>
      <w:rPr>
        <w:rFonts w:hint="default"/>
      </w:rPr>
    </w:lvl>
  </w:abstractNum>
  <w:abstractNum w:abstractNumId="9" w15:restartNumberingAfterBreak="0">
    <w:nsid w:val="118B223B"/>
    <w:multiLevelType w:val="hybridMultilevel"/>
    <w:tmpl w:val="F3883E96"/>
    <w:lvl w:ilvl="0" w:tplc="5096E606">
      <w:start w:val="1"/>
      <w:numFmt w:val="lowerLetter"/>
      <w:lvlText w:val="%1)"/>
      <w:lvlJc w:val="left"/>
      <w:pPr>
        <w:ind w:left="249" w:hanging="262"/>
        <w:jc w:val="right"/>
      </w:pPr>
      <w:rPr>
        <w:rFonts w:ascii="Times New Roman" w:eastAsia="Times New Roman" w:hAnsi="Times New Roman" w:hint="default"/>
        <w:b/>
        <w:bCs/>
        <w:sz w:val="24"/>
        <w:szCs w:val="24"/>
      </w:rPr>
    </w:lvl>
    <w:lvl w:ilvl="1" w:tplc="27AAFB5C">
      <w:start w:val="1"/>
      <w:numFmt w:val="bullet"/>
      <w:lvlText w:val="•"/>
      <w:lvlJc w:val="left"/>
      <w:pPr>
        <w:ind w:left="1145" w:hanging="262"/>
      </w:pPr>
      <w:rPr>
        <w:rFonts w:hint="default"/>
      </w:rPr>
    </w:lvl>
    <w:lvl w:ilvl="2" w:tplc="98A0E1DA">
      <w:start w:val="1"/>
      <w:numFmt w:val="bullet"/>
      <w:lvlText w:val="•"/>
      <w:lvlJc w:val="left"/>
      <w:pPr>
        <w:ind w:left="2040" w:hanging="262"/>
      </w:pPr>
      <w:rPr>
        <w:rFonts w:hint="default"/>
      </w:rPr>
    </w:lvl>
    <w:lvl w:ilvl="3" w:tplc="FEF46474">
      <w:start w:val="1"/>
      <w:numFmt w:val="bullet"/>
      <w:lvlText w:val="•"/>
      <w:lvlJc w:val="left"/>
      <w:pPr>
        <w:ind w:left="2936" w:hanging="262"/>
      </w:pPr>
      <w:rPr>
        <w:rFonts w:hint="default"/>
      </w:rPr>
    </w:lvl>
    <w:lvl w:ilvl="4" w:tplc="4C3ADF92">
      <w:start w:val="1"/>
      <w:numFmt w:val="bullet"/>
      <w:lvlText w:val="•"/>
      <w:lvlJc w:val="left"/>
      <w:pPr>
        <w:ind w:left="3832" w:hanging="262"/>
      </w:pPr>
      <w:rPr>
        <w:rFonts w:hint="default"/>
      </w:rPr>
    </w:lvl>
    <w:lvl w:ilvl="5" w:tplc="63763B3C">
      <w:start w:val="1"/>
      <w:numFmt w:val="bullet"/>
      <w:lvlText w:val="•"/>
      <w:lvlJc w:val="left"/>
      <w:pPr>
        <w:ind w:left="4727" w:hanging="262"/>
      </w:pPr>
      <w:rPr>
        <w:rFonts w:hint="default"/>
      </w:rPr>
    </w:lvl>
    <w:lvl w:ilvl="6" w:tplc="DCBCD68E">
      <w:start w:val="1"/>
      <w:numFmt w:val="bullet"/>
      <w:lvlText w:val="•"/>
      <w:lvlJc w:val="left"/>
      <w:pPr>
        <w:ind w:left="5623" w:hanging="262"/>
      </w:pPr>
      <w:rPr>
        <w:rFonts w:hint="default"/>
      </w:rPr>
    </w:lvl>
    <w:lvl w:ilvl="7" w:tplc="7F50C50C">
      <w:start w:val="1"/>
      <w:numFmt w:val="bullet"/>
      <w:lvlText w:val="•"/>
      <w:lvlJc w:val="left"/>
      <w:pPr>
        <w:ind w:left="6519" w:hanging="262"/>
      </w:pPr>
      <w:rPr>
        <w:rFonts w:hint="default"/>
      </w:rPr>
    </w:lvl>
    <w:lvl w:ilvl="8" w:tplc="FF1C62B4">
      <w:start w:val="1"/>
      <w:numFmt w:val="bullet"/>
      <w:lvlText w:val="•"/>
      <w:lvlJc w:val="left"/>
      <w:pPr>
        <w:ind w:left="7414" w:hanging="262"/>
      </w:pPr>
      <w:rPr>
        <w:rFonts w:hint="default"/>
      </w:rPr>
    </w:lvl>
  </w:abstractNum>
  <w:abstractNum w:abstractNumId="10" w15:restartNumberingAfterBreak="0">
    <w:nsid w:val="12394870"/>
    <w:multiLevelType w:val="hybridMultilevel"/>
    <w:tmpl w:val="4D507DBC"/>
    <w:lvl w:ilvl="0" w:tplc="1D6AE6B4">
      <w:start w:val="1"/>
      <w:numFmt w:val="decimal"/>
      <w:lvlText w:val="%1)"/>
      <w:lvlJc w:val="left"/>
      <w:pPr>
        <w:ind w:left="536" w:hanging="428"/>
        <w:jc w:val="left"/>
      </w:pPr>
      <w:rPr>
        <w:rFonts w:ascii="Times New Roman" w:eastAsia="Times New Roman" w:hAnsi="Times New Roman" w:hint="default"/>
        <w:sz w:val="24"/>
        <w:szCs w:val="24"/>
      </w:rPr>
    </w:lvl>
    <w:lvl w:ilvl="1" w:tplc="2B8E3E02">
      <w:start w:val="1"/>
      <w:numFmt w:val="bullet"/>
      <w:lvlText w:val="•"/>
      <w:lvlJc w:val="left"/>
      <w:pPr>
        <w:ind w:left="1381" w:hanging="428"/>
      </w:pPr>
      <w:rPr>
        <w:rFonts w:hint="default"/>
      </w:rPr>
    </w:lvl>
    <w:lvl w:ilvl="2" w:tplc="3BFC9610">
      <w:start w:val="1"/>
      <w:numFmt w:val="bullet"/>
      <w:lvlText w:val="•"/>
      <w:lvlJc w:val="left"/>
      <w:pPr>
        <w:ind w:left="2226" w:hanging="428"/>
      </w:pPr>
      <w:rPr>
        <w:rFonts w:hint="default"/>
      </w:rPr>
    </w:lvl>
    <w:lvl w:ilvl="3" w:tplc="5EDEF532">
      <w:start w:val="1"/>
      <w:numFmt w:val="bullet"/>
      <w:lvlText w:val="•"/>
      <w:lvlJc w:val="left"/>
      <w:pPr>
        <w:ind w:left="3071" w:hanging="428"/>
      </w:pPr>
      <w:rPr>
        <w:rFonts w:hint="default"/>
      </w:rPr>
    </w:lvl>
    <w:lvl w:ilvl="4" w:tplc="4B208A3E">
      <w:start w:val="1"/>
      <w:numFmt w:val="bullet"/>
      <w:lvlText w:val="•"/>
      <w:lvlJc w:val="left"/>
      <w:pPr>
        <w:ind w:left="3916" w:hanging="428"/>
      </w:pPr>
      <w:rPr>
        <w:rFonts w:hint="default"/>
      </w:rPr>
    </w:lvl>
    <w:lvl w:ilvl="5" w:tplc="CC3CC7A2">
      <w:start w:val="1"/>
      <w:numFmt w:val="bullet"/>
      <w:lvlText w:val="•"/>
      <w:lvlJc w:val="left"/>
      <w:pPr>
        <w:ind w:left="4761" w:hanging="428"/>
      </w:pPr>
      <w:rPr>
        <w:rFonts w:hint="default"/>
      </w:rPr>
    </w:lvl>
    <w:lvl w:ilvl="6" w:tplc="32D6B35E">
      <w:start w:val="1"/>
      <w:numFmt w:val="bullet"/>
      <w:lvlText w:val="•"/>
      <w:lvlJc w:val="left"/>
      <w:pPr>
        <w:ind w:left="5606" w:hanging="428"/>
      </w:pPr>
      <w:rPr>
        <w:rFonts w:hint="default"/>
      </w:rPr>
    </w:lvl>
    <w:lvl w:ilvl="7" w:tplc="D3809612">
      <w:start w:val="1"/>
      <w:numFmt w:val="bullet"/>
      <w:lvlText w:val="•"/>
      <w:lvlJc w:val="left"/>
      <w:pPr>
        <w:ind w:left="6451" w:hanging="428"/>
      </w:pPr>
      <w:rPr>
        <w:rFonts w:hint="default"/>
      </w:rPr>
    </w:lvl>
    <w:lvl w:ilvl="8" w:tplc="C174F0FE">
      <w:start w:val="1"/>
      <w:numFmt w:val="bullet"/>
      <w:lvlText w:val="•"/>
      <w:lvlJc w:val="left"/>
      <w:pPr>
        <w:ind w:left="7296" w:hanging="428"/>
      </w:pPr>
      <w:rPr>
        <w:rFonts w:hint="default"/>
      </w:rPr>
    </w:lvl>
  </w:abstractNum>
  <w:abstractNum w:abstractNumId="11" w15:restartNumberingAfterBreak="0">
    <w:nsid w:val="147758AD"/>
    <w:multiLevelType w:val="multilevel"/>
    <w:tmpl w:val="3FF64EAA"/>
    <w:lvl w:ilvl="0">
      <w:start w:val="3"/>
      <w:numFmt w:val="decimal"/>
      <w:lvlText w:val="%1"/>
      <w:lvlJc w:val="left"/>
      <w:pPr>
        <w:ind w:left="675" w:hanging="567"/>
        <w:jc w:val="left"/>
      </w:pPr>
      <w:rPr>
        <w:rFonts w:hint="default"/>
      </w:rPr>
    </w:lvl>
    <w:lvl w:ilvl="1">
      <w:start w:val="4"/>
      <w:numFmt w:val="decimal"/>
      <w:lvlText w:val="%1.%2."/>
      <w:lvlJc w:val="left"/>
      <w:pPr>
        <w:ind w:left="675" w:hanging="567"/>
        <w:jc w:val="left"/>
      </w:pPr>
      <w:rPr>
        <w:rFonts w:ascii="Times New Roman" w:eastAsia="Times New Roman" w:hAnsi="Times New Roman" w:hint="default"/>
        <w:b/>
        <w:bCs/>
        <w:i/>
        <w:sz w:val="24"/>
        <w:szCs w:val="24"/>
      </w:rPr>
    </w:lvl>
    <w:lvl w:ilvl="2">
      <w:start w:val="1"/>
      <w:numFmt w:val="decimal"/>
      <w:lvlText w:val="%1.%2.%3."/>
      <w:lvlJc w:val="left"/>
      <w:pPr>
        <w:ind w:left="817" w:hanging="708"/>
        <w:jc w:val="left"/>
      </w:pPr>
      <w:rPr>
        <w:rFonts w:ascii="Times New Roman" w:eastAsia="Times New Roman" w:hAnsi="Times New Roman" w:hint="default"/>
        <w:b/>
        <w:bCs/>
        <w:i/>
        <w:sz w:val="24"/>
        <w:szCs w:val="24"/>
      </w:rPr>
    </w:lvl>
    <w:lvl w:ilvl="3">
      <w:start w:val="1"/>
      <w:numFmt w:val="bullet"/>
      <w:lvlText w:val="•"/>
      <w:lvlJc w:val="left"/>
      <w:pPr>
        <w:ind w:left="2632" w:hanging="708"/>
      </w:pPr>
      <w:rPr>
        <w:rFonts w:hint="default"/>
      </w:rPr>
    </w:lvl>
    <w:lvl w:ilvl="4">
      <w:start w:val="1"/>
      <w:numFmt w:val="bullet"/>
      <w:lvlText w:val="•"/>
      <w:lvlJc w:val="left"/>
      <w:pPr>
        <w:ind w:left="3540" w:hanging="708"/>
      </w:pPr>
      <w:rPr>
        <w:rFonts w:hint="default"/>
      </w:rPr>
    </w:lvl>
    <w:lvl w:ilvl="5">
      <w:start w:val="1"/>
      <w:numFmt w:val="bullet"/>
      <w:lvlText w:val="•"/>
      <w:lvlJc w:val="left"/>
      <w:pPr>
        <w:ind w:left="4447" w:hanging="708"/>
      </w:pPr>
      <w:rPr>
        <w:rFonts w:hint="default"/>
      </w:rPr>
    </w:lvl>
    <w:lvl w:ilvl="6">
      <w:start w:val="1"/>
      <w:numFmt w:val="bullet"/>
      <w:lvlText w:val="•"/>
      <w:lvlJc w:val="left"/>
      <w:pPr>
        <w:ind w:left="5355" w:hanging="708"/>
      </w:pPr>
      <w:rPr>
        <w:rFonts w:hint="default"/>
      </w:rPr>
    </w:lvl>
    <w:lvl w:ilvl="7">
      <w:start w:val="1"/>
      <w:numFmt w:val="bullet"/>
      <w:lvlText w:val="•"/>
      <w:lvlJc w:val="left"/>
      <w:pPr>
        <w:ind w:left="6263" w:hanging="708"/>
      </w:pPr>
      <w:rPr>
        <w:rFonts w:hint="default"/>
      </w:rPr>
    </w:lvl>
    <w:lvl w:ilvl="8">
      <w:start w:val="1"/>
      <w:numFmt w:val="bullet"/>
      <w:lvlText w:val="•"/>
      <w:lvlJc w:val="left"/>
      <w:pPr>
        <w:ind w:left="7171" w:hanging="708"/>
      </w:pPr>
      <w:rPr>
        <w:rFonts w:hint="default"/>
      </w:rPr>
    </w:lvl>
  </w:abstractNum>
  <w:abstractNum w:abstractNumId="12" w15:restartNumberingAfterBreak="0">
    <w:nsid w:val="14E25220"/>
    <w:multiLevelType w:val="hybridMultilevel"/>
    <w:tmpl w:val="C098FEA2"/>
    <w:lvl w:ilvl="0" w:tplc="2F1823BE">
      <w:start w:val="1"/>
      <w:numFmt w:val="lowerLetter"/>
      <w:lvlText w:val="(%1)"/>
      <w:lvlJc w:val="left"/>
      <w:pPr>
        <w:ind w:left="712" w:hanging="428"/>
        <w:jc w:val="left"/>
      </w:pPr>
      <w:rPr>
        <w:rFonts w:ascii="Times New Roman" w:eastAsia="Times New Roman" w:hAnsi="Times New Roman" w:hint="default"/>
        <w:sz w:val="24"/>
        <w:szCs w:val="24"/>
      </w:rPr>
    </w:lvl>
    <w:lvl w:ilvl="1" w:tplc="8EA60C82">
      <w:start w:val="1"/>
      <w:numFmt w:val="bullet"/>
      <w:lvlText w:val="•"/>
      <w:lvlJc w:val="left"/>
      <w:pPr>
        <w:ind w:left="1378" w:hanging="428"/>
      </w:pPr>
      <w:rPr>
        <w:rFonts w:hint="default"/>
      </w:rPr>
    </w:lvl>
    <w:lvl w:ilvl="2" w:tplc="4DA2BEAA">
      <w:start w:val="1"/>
      <w:numFmt w:val="bullet"/>
      <w:lvlText w:val="•"/>
      <w:lvlJc w:val="left"/>
      <w:pPr>
        <w:ind w:left="2222" w:hanging="428"/>
      </w:pPr>
      <w:rPr>
        <w:rFonts w:hint="default"/>
      </w:rPr>
    </w:lvl>
    <w:lvl w:ilvl="3" w:tplc="10BEB71E">
      <w:start w:val="1"/>
      <w:numFmt w:val="bullet"/>
      <w:lvlText w:val="•"/>
      <w:lvlJc w:val="left"/>
      <w:pPr>
        <w:ind w:left="3066" w:hanging="428"/>
      </w:pPr>
      <w:rPr>
        <w:rFonts w:hint="default"/>
      </w:rPr>
    </w:lvl>
    <w:lvl w:ilvl="4" w:tplc="A120FA32">
      <w:start w:val="1"/>
      <w:numFmt w:val="bullet"/>
      <w:lvlText w:val="•"/>
      <w:lvlJc w:val="left"/>
      <w:pPr>
        <w:ind w:left="3910" w:hanging="428"/>
      </w:pPr>
      <w:rPr>
        <w:rFonts w:hint="default"/>
      </w:rPr>
    </w:lvl>
    <w:lvl w:ilvl="5" w:tplc="10363AD8">
      <w:start w:val="1"/>
      <w:numFmt w:val="bullet"/>
      <w:lvlText w:val="•"/>
      <w:lvlJc w:val="left"/>
      <w:pPr>
        <w:ind w:left="4754" w:hanging="428"/>
      </w:pPr>
      <w:rPr>
        <w:rFonts w:hint="default"/>
      </w:rPr>
    </w:lvl>
    <w:lvl w:ilvl="6" w:tplc="0166E0AE">
      <w:start w:val="1"/>
      <w:numFmt w:val="bullet"/>
      <w:lvlText w:val="•"/>
      <w:lvlJc w:val="left"/>
      <w:pPr>
        <w:ind w:left="5598" w:hanging="428"/>
      </w:pPr>
      <w:rPr>
        <w:rFonts w:hint="default"/>
      </w:rPr>
    </w:lvl>
    <w:lvl w:ilvl="7" w:tplc="2CD6949C">
      <w:start w:val="1"/>
      <w:numFmt w:val="bullet"/>
      <w:lvlText w:val="•"/>
      <w:lvlJc w:val="left"/>
      <w:pPr>
        <w:ind w:left="6443" w:hanging="428"/>
      </w:pPr>
      <w:rPr>
        <w:rFonts w:hint="default"/>
      </w:rPr>
    </w:lvl>
    <w:lvl w:ilvl="8" w:tplc="ADFE9E0A">
      <w:start w:val="1"/>
      <w:numFmt w:val="bullet"/>
      <w:lvlText w:val="•"/>
      <w:lvlJc w:val="left"/>
      <w:pPr>
        <w:ind w:left="7287" w:hanging="428"/>
      </w:pPr>
      <w:rPr>
        <w:rFonts w:hint="default"/>
      </w:rPr>
    </w:lvl>
  </w:abstractNum>
  <w:abstractNum w:abstractNumId="13" w15:restartNumberingAfterBreak="0">
    <w:nsid w:val="169210DE"/>
    <w:multiLevelType w:val="hybridMultilevel"/>
    <w:tmpl w:val="A76ECD58"/>
    <w:lvl w:ilvl="0" w:tplc="6804E660">
      <w:start w:val="1"/>
      <w:numFmt w:val="bullet"/>
      <w:lvlText w:val="-"/>
      <w:lvlJc w:val="left"/>
      <w:pPr>
        <w:ind w:left="101" w:hanging="296"/>
      </w:pPr>
      <w:rPr>
        <w:rFonts w:ascii="Times New Roman" w:eastAsia="Times New Roman" w:hAnsi="Times New Roman" w:hint="default"/>
        <w:sz w:val="24"/>
        <w:szCs w:val="24"/>
      </w:rPr>
    </w:lvl>
    <w:lvl w:ilvl="1" w:tplc="73248EE2">
      <w:start w:val="1"/>
      <w:numFmt w:val="bullet"/>
      <w:lvlText w:val="•"/>
      <w:lvlJc w:val="left"/>
      <w:pPr>
        <w:ind w:left="281" w:hanging="296"/>
      </w:pPr>
      <w:rPr>
        <w:rFonts w:hint="default"/>
      </w:rPr>
    </w:lvl>
    <w:lvl w:ilvl="2" w:tplc="E4089682">
      <w:start w:val="1"/>
      <w:numFmt w:val="bullet"/>
      <w:lvlText w:val="•"/>
      <w:lvlJc w:val="left"/>
      <w:pPr>
        <w:ind w:left="461" w:hanging="296"/>
      </w:pPr>
      <w:rPr>
        <w:rFonts w:hint="default"/>
      </w:rPr>
    </w:lvl>
    <w:lvl w:ilvl="3" w:tplc="9B464A10">
      <w:start w:val="1"/>
      <w:numFmt w:val="bullet"/>
      <w:lvlText w:val="•"/>
      <w:lvlJc w:val="left"/>
      <w:pPr>
        <w:ind w:left="642" w:hanging="296"/>
      </w:pPr>
      <w:rPr>
        <w:rFonts w:hint="default"/>
      </w:rPr>
    </w:lvl>
    <w:lvl w:ilvl="4" w:tplc="D8280C1E">
      <w:start w:val="1"/>
      <w:numFmt w:val="bullet"/>
      <w:lvlText w:val="•"/>
      <w:lvlJc w:val="left"/>
      <w:pPr>
        <w:ind w:left="822" w:hanging="296"/>
      </w:pPr>
      <w:rPr>
        <w:rFonts w:hint="default"/>
      </w:rPr>
    </w:lvl>
    <w:lvl w:ilvl="5" w:tplc="36D26152">
      <w:start w:val="1"/>
      <w:numFmt w:val="bullet"/>
      <w:lvlText w:val="•"/>
      <w:lvlJc w:val="left"/>
      <w:pPr>
        <w:ind w:left="1002" w:hanging="296"/>
      </w:pPr>
      <w:rPr>
        <w:rFonts w:hint="default"/>
      </w:rPr>
    </w:lvl>
    <w:lvl w:ilvl="6" w:tplc="112C402A">
      <w:start w:val="1"/>
      <w:numFmt w:val="bullet"/>
      <w:lvlText w:val="•"/>
      <w:lvlJc w:val="left"/>
      <w:pPr>
        <w:ind w:left="1183" w:hanging="296"/>
      </w:pPr>
      <w:rPr>
        <w:rFonts w:hint="default"/>
      </w:rPr>
    </w:lvl>
    <w:lvl w:ilvl="7" w:tplc="D62C13CC">
      <w:start w:val="1"/>
      <w:numFmt w:val="bullet"/>
      <w:lvlText w:val="•"/>
      <w:lvlJc w:val="left"/>
      <w:pPr>
        <w:ind w:left="1363" w:hanging="296"/>
      </w:pPr>
      <w:rPr>
        <w:rFonts w:hint="default"/>
      </w:rPr>
    </w:lvl>
    <w:lvl w:ilvl="8" w:tplc="D6365FD4">
      <w:start w:val="1"/>
      <w:numFmt w:val="bullet"/>
      <w:lvlText w:val="•"/>
      <w:lvlJc w:val="left"/>
      <w:pPr>
        <w:ind w:left="1543" w:hanging="296"/>
      </w:pPr>
      <w:rPr>
        <w:rFonts w:hint="default"/>
      </w:rPr>
    </w:lvl>
  </w:abstractNum>
  <w:abstractNum w:abstractNumId="14" w15:restartNumberingAfterBreak="0">
    <w:nsid w:val="1BE97596"/>
    <w:multiLevelType w:val="hybridMultilevel"/>
    <w:tmpl w:val="BBC4BF92"/>
    <w:lvl w:ilvl="0" w:tplc="DE08590E">
      <w:start w:val="1"/>
      <w:numFmt w:val="bullet"/>
      <w:lvlText w:val="-"/>
      <w:lvlJc w:val="left"/>
      <w:pPr>
        <w:ind w:left="269" w:hanging="240"/>
      </w:pPr>
      <w:rPr>
        <w:rFonts w:ascii="Times New Roman" w:eastAsia="Times New Roman" w:hAnsi="Times New Roman" w:hint="default"/>
        <w:i/>
        <w:color w:val="49442A"/>
        <w:sz w:val="23"/>
        <w:szCs w:val="23"/>
      </w:rPr>
    </w:lvl>
    <w:lvl w:ilvl="1" w:tplc="F0966002">
      <w:start w:val="1"/>
      <w:numFmt w:val="bullet"/>
      <w:lvlText w:val="•"/>
      <w:lvlJc w:val="left"/>
      <w:pPr>
        <w:ind w:left="1175" w:hanging="240"/>
      </w:pPr>
      <w:rPr>
        <w:rFonts w:hint="default"/>
      </w:rPr>
    </w:lvl>
    <w:lvl w:ilvl="2" w:tplc="884A1F6C">
      <w:start w:val="1"/>
      <w:numFmt w:val="bullet"/>
      <w:lvlText w:val="•"/>
      <w:lvlJc w:val="left"/>
      <w:pPr>
        <w:ind w:left="2080" w:hanging="240"/>
      </w:pPr>
      <w:rPr>
        <w:rFonts w:hint="default"/>
      </w:rPr>
    </w:lvl>
    <w:lvl w:ilvl="3" w:tplc="FA7C0AD4">
      <w:start w:val="1"/>
      <w:numFmt w:val="bullet"/>
      <w:lvlText w:val="•"/>
      <w:lvlJc w:val="left"/>
      <w:pPr>
        <w:ind w:left="2986" w:hanging="240"/>
      </w:pPr>
      <w:rPr>
        <w:rFonts w:hint="default"/>
      </w:rPr>
    </w:lvl>
    <w:lvl w:ilvl="4" w:tplc="A1522E60">
      <w:start w:val="1"/>
      <w:numFmt w:val="bullet"/>
      <w:lvlText w:val="•"/>
      <w:lvlJc w:val="left"/>
      <w:pPr>
        <w:ind w:left="3892" w:hanging="240"/>
      </w:pPr>
      <w:rPr>
        <w:rFonts w:hint="default"/>
      </w:rPr>
    </w:lvl>
    <w:lvl w:ilvl="5" w:tplc="6EC01D7C">
      <w:start w:val="1"/>
      <w:numFmt w:val="bullet"/>
      <w:lvlText w:val="•"/>
      <w:lvlJc w:val="left"/>
      <w:pPr>
        <w:ind w:left="4797" w:hanging="240"/>
      </w:pPr>
      <w:rPr>
        <w:rFonts w:hint="default"/>
      </w:rPr>
    </w:lvl>
    <w:lvl w:ilvl="6" w:tplc="67F6E6AA">
      <w:start w:val="1"/>
      <w:numFmt w:val="bullet"/>
      <w:lvlText w:val="•"/>
      <w:lvlJc w:val="left"/>
      <w:pPr>
        <w:ind w:left="5703" w:hanging="240"/>
      </w:pPr>
      <w:rPr>
        <w:rFonts w:hint="default"/>
      </w:rPr>
    </w:lvl>
    <w:lvl w:ilvl="7" w:tplc="95AE9D26">
      <w:start w:val="1"/>
      <w:numFmt w:val="bullet"/>
      <w:lvlText w:val="•"/>
      <w:lvlJc w:val="left"/>
      <w:pPr>
        <w:ind w:left="6609" w:hanging="240"/>
      </w:pPr>
      <w:rPr>
        <w:rFonts w:hint="default"/>
      </w:rPr>
    </w:lvl>
    <w:lvl w:ilvl="8" w:tplc="551C7404">
      <w:start w:val="1"/>
      <w:numFmt w:val="bullet"/>
      <w:lvlText w:val="•"/>
      <w:lvlJc w:val="left"/>
      <w:pPr>
        <w:ind w:left="7514" w:hanging="240"/>
      </w:pPr>
      <w:rPr>
        <w:rFonts w:hint="default"/>
      </w:rPr>
    </w:lvl>
  </w:abstractNum>
  <w:abstractNum w:abstractNumId="15" w15:restartNumberingAfterBreak="0">
    <w:nsid w:val="1C076604"/>
    <w:multiLevelType w:val="hybridMultilevel"/>
    <w:tmpl w:val="E7BA71AE"/>
    <w:lvl w:ilvl="0" w:tplc="C13CB576">
      <w:start w:val="1"/>
      <w:numFmt w:val="lowerLetter"/>
      <w:lvlText w:val="%1)"/>
      <w:lvlJc w:val="left"/>
      <w:pPr>
        <w:ind w:left="488" w:hanging="260"/>
        <w:jc w:val="left"/>
      </w:pPr>
      <w:rPr>
        <w:rFonts w:ascii="Times New Roman" w:eastAsia="Times New Roman" w:hAnsi="Times New Roman" w:hint="default"/>
        <w:b/>
        <w:bCs/>
        <w:sz w:val="24"/>
        <w:szCs w:val="24"/>
      </w:rPr>
    </w:lvl>
    <w:lvl w:ilvl="1" w:tplc="E9609AC8">
      <w:start w:val="1"/>
      <w:numFmt w:val="bullet"/>
      <w:lvlText w:val="•"/>
      <w:lvlJc w:val="left"/>
      <w:pPr>
        <w:ind w:left="1360" w:hanging="260"/>
      </w:pPr>
      <w:rPr>
        <w:rFonts w:hint="default"/>
      </w:rPr>
    </w:lvl>
    <w:lvl w:ilvl="2" w:tplc="64D82A60">
      <w:start w:val="1"/>
      <w:numFmt w:val="bullet"/>
      <w:lvlText w:val="•"/>
      <w:lvlJc w:val="left"/>
      <w:pPr>
        <w:ind w:left="2232" w:hanging="260"/>
      </w:pPr>
      <w:rPr>
        <w:rFonts w:hint="default"/>
      </w:rPr>
    </w:lvl>
    <w:lvl w:ilvl="3" w:tplc="2E164FDA">
      <w:start w:val="1"/>
      <w:numFmt w:val="bullet"/>
      <w:lvlText w:val="•"/>
      <w:lvlJc w:val="left"/>
      <w:pPr>
        <w:ind w:left="3103" w:hanging="260"/>
      </w:pPr>
      <w:rPr>
        <w:rFonts w:hint="default"/>
      </w:rPr>
    </w:lvl>
    <w:lvl w:ilvl="4" w:tplc="C93ED5CA">
      <w:start w:val="1"/>
      <w:numFmt w:val="bullet"/>
      <w:lvlText w:val="•"/>
      <w:lvlJc w:val="left"/>
      <w:pPr>
        <w:ind w:left="3975" w:hanging="260"/>
      </w:pPr>
      <w:rPr>
        <w:rFonts w:hint="default"/>
      </w:rPr>
    </w:lvl>
    <w:lvl w:ilvl="5" w:tplc="3B8CF90C">
      <w:start w:val="1"/>
      <w:numFmt w:val="bullet"/>
      <w:lvlText w:val="•"/>
      <w:lvlJc w:val="left"/>
      <w:pPr>
        <w:ind w:left="4847" w:hanging="260"/>
      </w:pPr>
      <w:rPr>
        <w:rFonts w:hint="default"/>
      </w:rPr>
    </w:lvl>
    <w:lvl w:ilvl="6" w:tplc="0CE87AEE">
      <w:start w:val="1"/>
      <w:numFmt w:val="bullet"/>
      <w:lvlText w:val="•"/>
      <w:lvlJc w:val="left"/>
      <w:pPr>
        <w:ind w:left="5719" w:hanging="260"/>
      </w:pPr>
      <w:rPr>
        <w:rFonts w:hint="default"/>
      </w:rPr>
    </w:lvl>
    <w:lvl w:ilvl="7" w:tplc="60B0B8B6">
      <w:start w:val="1"/>
      <w:numFmt w:val="bullet"/>
      <w:lvlText w:val="•"/>
      <w:lvlJc w:val="left"/>
      <w:pPr>
        <w:ind w:left="6591" w:hanging="260"/>
      </w:pPr>
      <w:rPr>
        <w:rFonts w:hint="default"/>
      </w:rPr>
    </w:lvl>
    <w:lvl w:ilvl="8" w:tplc="9DFC7A46">
      <w:start w:val="1"/>
      <w:numFmt w:val="bullet"/>
      <w:lvlText w:val="•"/>
      <w:lvlJc w:val="left"/>
      <w:pPr>
        <w:ind w:left="7462" w:hanging="260"/>
      </w:pPr>
      <w:rPr>
        <w:rFonts w:hint="default"/>
      </w:rPr>
    </w:lvl>
  </w:abstractNum>
  <w:abstractNum w:abstractNumId="16" w15:restartNumberingAfterBreak="0">
    <w:nsid w:val="1CB21EBB"/>
    <w:multiLevelType w:val="hybridMultilevel"/>
    <w:tmpl w:val="3E5481C2"/>
    <w:lvl w:ilvl="0" w:tplc="738C2DE6">
      <w:start w:val="1"/>
      <w:numFmt w:val="bullet"/>
      <w:lvlText w:val="-"/>
      <w:lvlJc w:val="left"/>
      <w:pPr>
        <w:ind w:left="541" w:hanging="428"/>
      </w:pPr>
      <w:rPr>
        <w:rFonts w:ascii="Arial" w:eastAsia="Arial" w:hAnsi="Arial" w:hint="default"/>
        <w:sz w:val="24"/>
        <w:szCs w:val="24"/>
      </w:rPr>
    </w:lvl>
    <w:lvl w:ilvl="1" w:tplc="5A5E3492">
      <w:start w:val="1"/>
      <w:numFmt w:val="bullet"/>
      <w:lvlText w:val="•"/>
      <w:lvlJc w:val="left"/>
      <w:pPr>
        <w:ind w:left="1395" w:hanging="428"/>
      </w:pPr>
      <w:rPr>
        <w:rFonts w:hint="default"/>
      </w:rPr>
    </w:lvl>
    <w:lvl w:ilvl="2" w:tplc="0C7C4416">
      <w:start w:val="1"/>
      <w:numFmt w:val="bullet"/>
      <w:lvlText w:val="•"/>
      <w:lvlJc w:val="left"/>
      <w:pPr>
        <w:ind w:left="2250" w:hanging="428"/>
      </w:pPr>
      <w:rPr>
        <w:rFonts w:hint="default"/>
      </w:rPr>
    </w:lvl>
    <w:lvl w:ilvl="3" w:tplc="796461E8">
      <w:start w:val="1"/>
      <w:numFmt w:val="bullet"/>
      <w:lvlText w:val="•"/>
      <w:lvlJc w:val="left"/>
      <w:pPr>
        <w:ind w:left="3104" w:hanging="428"/>
      </w:pPr>
      <w:rPr>
        <w:rFonts w:hint="default"/>
      </w:rPr>
    </w:lvl>
    <w:lvl w:ilvl="4" w:tplc="80282018">
      <w:start w:val="1"/>
      <w:numFmt w:val="bullet"/>
      <w:lvlText w:val="•"/>
      <w:lvlJc w:val="left"/>
      <w:pPr>
        <w:ind w:left="3959" w:hanging="428"/>
      </w:pPr>
      <w:rPr>
        <w:rFonts w:hint="default"/>
      </w:rPr>
    </w:lvl>
    <w:lvl w:ilvl="5" w:tplc="A286A224">
      <w:start w:val="1"/>
      <w:numFmt w:val="bullet"/>
      <w:lvlText w:val="•"/>
      <w:lvlJc w:val="left"/>
      <w:pPr>
        <w:ind w:left="4814" w:hanging="428"/>
      </w:pPr>
      <w:rPr>
        <w:rFonts w:hint="default"/>
      </w:rPr>
    </w:lvl>
    <w:lvl w:ilvl="6" w:tplc="C4407570">
      <w:start w:val="1"/>
      <w:numFmt w:val="bullet"/>
      <w:lvlText w:val="•"/>
      <w:lvlJc w:val="left"/>
      <w:pPr>
        <w:ind w:left="5668" w:hanging="428"/>
      </w:pPr>
      <w:rPr>
        <w:rFonts w:hint="default"/>
      </w:rPr>
    </w:lvl>
    <w:lvl w:ilvl="7" w:tplc="BF4A1914">
      <w:start w:val="1"/>
      <w:numFmt w:val="bullet"/>
      <w:lvlText w:val="•"/>
      <w:lvlJc w:val="left"/>
      <w:pPr>
        <w:ind w:left="6523" w:hanging="428"/>
      </w:pPr>
      <w:rPr>
        <w:rFonts w:hint="default"/>
      </w:rPr>
    </w:lvl>
    <w:lvl w:ilvl="8" w:tplc="82A8D73E">
      <w:start w:val="1"/>
      <w:numFmt w:val="bullet"/>
      <w:lvlText w:val="•"/>
      <w:lvlJc w:val="left"/>
      <w:pPr>
        <w:ind w:left="7378" w:hanging="428"/>
      </w:pPr>
      <w:rPr>
        <w:rFonts w:hint="default"/>
      </w:rPr>
    </w:lvl>
  </w:abstractNum>
  <w:abstractNum w:abstractNumId="17" w15:restartNumberingAfterBreak="0">
    <w:nsid w:val="1DC263E1"/>
    <w:multiLevelType w:val="hybridMultilevel"/>
    <w:tmpl w:val="10169F4A"/>
    <w:lvl w:ilvl="0" w:tplc="74C87BD8">
      <w:start w:val="1"/>
      <w:numFmt w:val="bullet"/>
      <w:lvlText w:val="-"/>
      <w:lvlJc w:val="left"/>
      <w:pPr>
        <w:ind w:left="392" w:hanging="284"/>
      </w:pPr>
      <w:rPr>
        <w:rFonts w:ascii="Arial" w:eastAsia="Arial" w:hAnsi="Arial" w:hint="default"/>
        <w:sz w:val="24"/>
        <w:szCs w:val="24"/>
      </w:rPr>
    </w:lvl>
    <w:lvl w:ilvl="1" w:tplc="A5261E98">
      <w:start w:val="1"/>
      <w:numFmt w:val="bullet"/>
      <w:lvlText w:val=""/>
      <w:lvlJc w:val="left"/>
      <w:pPr>
        <w:ind w:left="829" w:hanging="360"/>
      </w:pPr>
      <w:rPr>
        <w:rFonts w:ascii="Wingdings" w:eastAsia="Wingdings" w:hAnsi="Wingdings" w:hint="default"/>
        <w:sz w:val="22"/>
        <w:szCs w:val="22"/>
      </w:rPr>
    </w:lvl>
    <w:lvl w:ilvl="2" w:tplc="08D0547E">
      <w:start w:val="1"/>
      <w:numFmt w:val="bullet"/>
      <w:lvlText w:val="•"/>
      <w:lvlJc w:val="left"/>
      <w:pPr>
        <w:ind w:left="1735" w:hanging="360"/>
      </w:pPr>
      <w:rPr>
        <w:rFonts w:hint="default"/>
      </w:rPr>
    </w:lvl>
    <w:lvl w:ilvl="3" w:tplc="F75E6CE8">
      <w:start w:val="1"/>
      <w:numFmt w:val="bullet"/>
      <w:lvlText w:val="•"/>
      <w:lvlJc w:val="left"/>
      <w:pPr>
        <w:ind w:left="2641" w:hanging="360"/>
      </w:pPr>
      <w:rPr>
        <w:rFonts w:hint="default"/>
      </w:rPr>
    </w:lvl>
    <w:lvl w:ilvl="4" w:tplc="7546980C">
      <w:start w:val="1"/>
      <w:numFmt w:val="bullet"/>
      <w:lvlText w:val="•"/>
      <w:lvlJc w:val="left"/>
      <w:pPr>
        <w:ind w:left="3548" w:hanging="360"/>
      </w:pPr>
      <w:rPr>
        <w:rFonts w:hint="default"/>
      </w:rPr>
    </w:lvl>
    <w:lvl w:ilvl="5" w:tplc="A2EE26B0">
      <w:start w:val="1"/>
      <w:numFmt w:val="bullet"/>
      <w:lvlText w:val="•"/>
      <w:lvlJc w:val="left"/>
      <w:pPr>
        <w:ind w:left="4454" w:hanging="360"/>
      </w:pPr>
      <w:rPr>
        <w:rFonts w:hint="default"/>
      </w:rPr>
    </w:lvl>
    <w:lvl w:ilvl="6" w:tplc="712AE7E8">
      <w:start w:val="1"/>
      <w:numFmt w:val="bullet"/>
      <w:lvlText w:val="•"/>
      <w:lvlJc w:val="left"/>
      <w:pPr>
        <w:ind w:left="5360" w:hanging="360"/>
      </w:pPr>
      <w:rPr>
        <w:rFonts w:hint="default"/>
      </w:rPr>
    </w:lvl>
    <w:lvl w:ilvl="7" w:tplc="65FA9670">
      <w:start w:val="1"/>
      <w:numFmt w:val="bullet"/>
      <w:lvlText w:val="•"/>
      <w:lvlJc w:val="left"/>
      <w:pPr>
        <w:ind w:left="6267" w:hanging="360"/>
      </w:pPr>
      <w:rPr>
        <w:rFonts w:hint="default"/>
      </w:rPr>
    </w:lvl>
    <w:lvl w:ilvl="8" w:tplc="C658A912">
      <w:start w:val="1"/>
      <w:numFmt w:val="bullet"/>
      <w:lvlText w:val="•"/>
      <w:lvlJc w:val="left"/>
      <w:pPr>
        <w:ind w:left="7173" w:hanging="360"/>
      </w:pPr>
      <w:rPr>
        <w:rFonts w:hint="default"/>
      </w:rPr>
    </w:lvl>
  </w:abstractNum>
  <w:abstractNum w:abstractNumId="18" w15:restartNumberingAfterBreak="0">
    <w:nsid w:val="1F23385E"/>
    <w:multiLevelType w:val="hybridMultilevel"/>
    <w:tmpl w:val="4140B162"/>
    <w:lvl w:ilvl="0" w:tplc="86C82754">
      <w:start w:val="1"/>
      <w:numFmt w:val="lowerLetter"/>
      <w:lvlText w:val="%1)"/>
      <w:lvlJc w:val="left"/>
      <w:pPr>
        <w:ind w:left="368" w:hanging="260"/>
        <w:jc w:val="left"/>
      </w:pPr>
      <w:rPr>
        <w:rFonts w:ascii="Times New Roman" w:eastAsia="Times New Roman" w:hAnsi="Times New Roman" w:hint="default"/>
        <w:b/>
        <w:bCs/>
        <w:sz w:val="24"/>
        <w:szCs w:val="24"/>
      </w:rPr>
    </w:lvl>
    <w:lvl w:ilvl="1" w:tplc="16344F80">
      <w:start w:val="1"/>
      <w:numFmt w:val="bullet"/>
      <w:lvlText w:val="•"/>
      <w:lvlJc w:val="left"/>
      <w:pPr>
        <w:ind w:left="1230" w:hanging="260"/>
      </w:pPr>
      <w:rPr>
        <w:rFonts w:hint="default"/>
      </w:rPr>
    </w:lvl>
    <w:lvl w:ilvl="2" w:tplc="5D088BB4">
      <w:start w:val="1"/>
      <w:numFmt w:val="bullet"/>
      <w:lvlText w:val="•"/>
      <w:lvlJc w:val="left"/>
      <w:pPr>
        <w:ind w:left="2092" w:hanging="260"/>
      </w:pPr>
      <w:rPr>
        <w:rFonts w:hint="default"/>
      </w:rPr>
    </w:lvl>
    <w:lvl w:ilvl="3" w:tplc="EBD60CEC">
      <w:start w:val="1"/>
      <w:numFmt w:val="bullet"/>
      <w:lvlText w:val="•"/>
      <w:lvlJc w:val="left"/>
      <w:pPr>
        <w:ind w:left="2953" w:hanging="260"/>
      </w:pPr>
      <w:rPr>
        <w:rFonts w:hint="default"/>
      </w:rPr>
    </w:lvl>
    <w:lvl w:ilvl="4" w:tplc="23B8AD4C">
      <w:start w:val="1"/>
      <w:numFmt w:val="bullet"/>
      <w:lvlText w:val="•"/>
      <w:lvlJc w:val="left"/>
      <w:pPr>
        <w:ind w:left="3815" w:hanging="260"/>
      </w:pPr>
      <w:rPr>
        <w:rFonts w:hint="default"/>
      </w:rPr>
    </w:lvl>
    <w:lvl w:ilvl="5" w:tplc="ACD612AA">
      <w:start w:val="1"/>
      <w:numFmt w:val="bullet"/>
      <w:lvlText w:val="•"/>
      <w:lvlJc w:val="left"/>
      <w:pPr>
        <w:ind w:left="4677" w:hanging="260"/>
      </w:pPr>
      <w:rPr>
        <w:rFonts w:hint="default"/>
      </w:rPr>
    </w:lvl>
    <w:lvl w:ilvl="6" w:tplc="6E60C7B8">
      <w:start w:val="1"/>
      <w:numFmt w:val="bullet"/>
      <w:lvlText w:val="•"/>
      <w:lvlJc w:val="left"/>
      <w:pPr>
        <w:ind w:left="5539" w:hanging="260"/>
      </w:pPr>
      <w:rPr>
        <w:rFonts w:hint="default"/>
      </w:rPr>
    </w:lvl>
    <w:lvl w:ilvl="7" w:tplc="6FAEFDC0">
      <w:start w:val="1"/>
      <w:numFmt w:val="bullet"/>
      <w:lvlText w:val="•"/>
      <w:lvlJc w:val="left"/>
      <w:pPr>
        <w:ind w:left="6401" w:hanging="260"/>
      </w:pPr>
      <w:rPr>
        <w:rFonts w:hint="default"/>
      </w:rPr>
    </w:lvl>
    <w:lvl w:ilvl="8" w:tplc="5A863490">
      <w:start w:val="1"/>
      <w:numFmt w:val="bullet"/>
      <w:lvlText w:val="•"/>
      <w:lvlJc w:val="left"/>
      <w:pPr>
        <w:ind w:left="7262" w:hanging="260"/>
      </w:pPr>
      <w:rPr>
        <w:rFonts w:hint="default"/>
      </w:rPr>
    </w:lvl>
  </w:abstractNum>
  <w:abstractNum w:abstractNumId="19" w15:restartNumberingAfterBreak="0">
    <w:nsid w:val="21FA214C"/>
    <w:multiLevelType w:val="multilevel"/>
    <w:tmpl w:val="5D8E8A1C"/>
    <w:lvl w:ilvl="0">
      <w:start w:val="2"/>
      <w:numFmt w:val="decimal"/>
      <w:lvlText w:val="%1"/>
      <w:lvlJc w:val="left"/>
      <w:pPr>
        <w:ind w:left="675" w:hanging="567"/>
        <w:jc w:val="left"/>
      </w:pPr>
      <w:rPr>
        <w:rFonts w:hint="default"/>
      </w:rPr>
    </w:lvl>
    <w:lvl w:ilvl="1">
      <w:start w:val="2"/>
      <w:numFmt w:val="decimal"/>
      <w:lvlText w:val="%1.%2."/>
      <w:lvlJc w:val="left"/>
      <w:pPr>
        <w:ind w:left="675" w:hanging="567"/>
        <w:jc w:val="left"/>
      </w:pPr>
      <w:rPr>
        <w:rFonts w:ascii="Times New Roman" w:eastAsia="Times New Roman" w:hAnsi="Times New Roman" w:hint="default"/>
        <w:b/>
        <w:bCs/>
        <w:i/>
        <w:sz w:val="24"/>
        <w:szCs w:val="24"/>
      </w:rPr>
    </w:lvl>
    <w:lvl w:ilvl="2">
      <w:start w:val="1"/>
      <w:numFmt w:val="decimal"/>
      <w:lvlText w:val="%1.%2.%3."/>
      <w:lvlJc w:val="left"/>
      <w:pPr>
        <w:ind w:left="817" w:hanging="708"/>
        <w:jc w:val="left"/>
      </w:pPr>
      <w:rPr>
        <w:rFonts w:ascii="Times New Roman" w:eastAsia="Times New Roman" w:hAnsi="Times New Roman" w:hint="default"/>
        <w:b/>
        <w:bCs/>
        <w:i/>
        <w:sz w:val="24"/>
        <w:szCs w:val="24"/>
      </w:rPr>
    </w:lvl>
    <w:lvl w:ilvl="3">
      <w:start w:val="1"/>
      <w:numFmt w:val="bullet"/>
      <w:lvlText w:val="•"/>
      <w:lvlJc w:val="left"/>
      <w:pPr>
        <w:ind w:left="2632" w:hanging="708"/>
      </w:pPr>
      <w:rPr>
        <w:rFonts w:hint="default"/>
      </w:rPr>
    </w:lvl>
    <w:lvl w:ilvl="4">
      <w:start w:val="1"/>
      <w:numFmt w:val="bullet"/>
      <w:lvlText w:val="•"/>
      <w:lvlJc w:val="left"/>
      <w:pPr>
        <w:ind w:left="3540" w:hanging="708"/>
      </w:pPr>
      <w:rPr>
        <w:rFonts w:hint="default"/>
      </w:rPr>
    </w:lvl>
    <w:lvl w:ilvl="5">
      <w:start w:val="1"/>
      <w:numFmt w:val="bullet"/>
      <w:lvlText w:val="•"/>
      <w:lvlJc w:val="left"/>
      <w:pPr>
        <w:ind w:left="4447" w:hanging="708"/>
      </w:pPr>
      <w:rPr>
        <w:rFonts w:hint="default"/>
      </w:rPr>
    </w:lvl>
    <w:lvl w:ilvl="6">
      <w:start w:val="1"/>
      <w:numFmt w:val="bullet"/>
      <w:lvlText w:val="•"/>
      <w:lvlJc w:val="left"/>
      <w:pPr>
        <w:ind w:left="5355" w:hanging="708"/>
      </w:pPr>
      <w:rPr>
        <w:rFonts w:hint="default"/>
      </w:rPr>
    </w:lvl>
    <w:lvl w:ilvl="7">
      <w:start w:val="1"/>
      <w:numFmt w:val="bullet"/>
      <w:lvlText w:val="•"/>
      <w:lvlJc w:val="left"/>
      <w:pPr>
        <w:ind w:left="6263" w:hanging="708"/>
      </w:pPr>
      <w:rPr>
        <w:rFonts w:hint="default"/>
      </w:rPr>
    </w:lvl>
    <w:lvl w:ilvl="8">
      <w:start w:val="1"/>
      <w:numFmt w:val="bullet"/>
      <w:lvlText w:val="•"/>
      <w:lvlJc w:val="left"/>
      <w:pPr>
        <w:ind w:left="7171" w:hanging="708"/>
      </w:pPr>
      <w:rPr>
        <w:rFonts w:hint="default"/>
      </w:rPr>
    </w:lvl>
  </w:abstractNum>
  <w:abstractNum w:abstractNumId="20" w15:restartNumberingAfterBreak="0">
    <w:nsid w:val="242C7788"/>
    <w:multiLevelType w:val="hybridMultilevel"/>
    <w:tmpl w:val="DEAE5828"/>
    <w:lvl w:ilvl="0" w:tplc="8FA8CB60">
      <w:start w:val="6"/>
      <w:numFmt w:val="lowerLetter"/>
      <w:lvlText w:val="%1)"/>
      <w:lvlJc w:val="left"/>
      <w:pPr>
        <w:ind w:left="330" w:hanging="221"/>
        <w:jc w:val="left"/>
      </w:pPr>
      <w:rPr>
        <w:rFonts w:ascii="Times New Roman" w:eastAsia="Times New Roman" w:hAnsi="Times New Roman" w:hint="default"/>
        <w:b/>
        <w:bCs/>
        <w:spacing w:val="1"/>
        <w:sz w:val="24"/>
        <w:szCs w:val="24"/>
      </w:rPr>
    </w:lvl>
    <w:lvl w:ilvl="1" w:tplc="C9E025C4">
      <w:start w:val="1"/>
      <w:numFmt w:val="bullet"/>
      <w:lvlText w:val=""/>
      <w:lvlJc w:val="left"/>
      <w:pPr>
        <w:ind w:left="829" w:hanging="360"/>
      </w:pPr>
      <w:rPr>
        <w:rFonts w:ascii="Wingdings" w:eastAsia="Wingdings" w:hAnsi="Wingdings" w:hint="default"/>
        <w:sz w:val="24"/>
        <w:szCs w:val="24"/>
      </w:rPr>
    </w:lvl>
    <w:lvl w:ilvl="2" w:tplc="31EA68FA">
      <w:start w:val="1"/>
      <w:numFmt w:val="bullet"/>
      <w:lvlText w:val="•"/>
      <w:lvlJc w:val="left"/>
      <w:pPr>
        <w:ind w:left="1735" w:hanging="360"/>
      </w:pPr>
      <w:rPr>
        <w:rFonts w:hint="default"/>
      </w:rPr>
    </w:lvl>
    <w:lvl w:ilvl="3" w:tplc="D0CE261A">
      <w:start w:val="1"/>
      <w:numFmt w:val="bullet"/>
      <w:lvlText w:val="•"/>
      <w:lvlJc w:val="left"/>
      <w:pPr>
        <w:ind w:left="2641" w:hanging="360"/>
      </w:pPr>
      <w:rPr>
        <w:rFonts w:hint="default"/>
      </w:rPr>
    </w:lvl>
    <w:lvl w:ilvl="4" w:tplc="3848720A">
      <w:start w:val="1"/>
      <w:numFmt w:val="bullet"/>
      <w:lvlText w:val="•"/>
      <w:lvlJc w:val="left"/>
      <w:pPr>
        <w:ind w:left="3548" w:hanging="360"/>
      </w:pPr>
      <w:rPr>
        <w:rFonts w:hint="default"/>
      </w:rPr>
    </w:lvl>
    <w:lvl w:ilvl="5" w:tplc="68C4C1D4">
      <w:start w:val="1"/>
      <w:numFmt w:val="bullet"/>
      <w:lvlText w:val="•"/>
      <w:lvlJc w:val="left"/>
      <w:pPr>
        <w:ind w:left="4454" w:hanging="360"/>
      </w:pPr>
      <w:rPr>
        <w:rFonts w:hint="default"/>
      </w:rPr>
    </w:lvl>
    <w:lvl w:ilvl="6" w:tplc="649EA1C2">
      <w:start w:val="1"/>
      <w:numFmt w:val="bullet"/>
      <w:lvlText w:val="•"/>
      <w:lvlJc w:val="left"/>
      <w:pPr>
        <w:ind w:left="5360" w:hanging="360"/>
      </w:pPr>
      <w:rPr>
        <w:rFonts w:hint="default"/>
      </w:rPr>
    </w:lvl>
    <w:lvl w:ilvl="7" w:tplc="277E7E2A">
      <w:start w:val="1"/>
      <w:numFmt w:val="bullet"/>
      <w:lvlText w:val="•"/>
      <w:lvlJc w:val="left"/>
      <w:pPr>
        <w:ind w:left="6267" w:hanging="360"/>
      </w:pPr>
      <w:rPr>
        <w:rFonts w:hint="default"/>
      </w:rPr>
    </w:lvl>
    <w:lvl w:ilvl="8" w:tplc="9E06F244">
      <w:start w:val="1"/>
      <w:numFmt w:val="bullet"/>
      <w:lvlText w:val="•"/>
      <w:lvlJc w:val="left"/>
      <w:pPr>
        <w:ind w:left="7173" w:hanging="360"/>
      </w:pPr>
      <w:rPr>
        <w:rFonts w:hint="default"/>
      </w:rPr>
    </w:lvl>
  </w:abstractNum>
  <w:abstractNum w:abstractNumId="21" w15:restartNumberingAfterBreak="0">
    <w:nsid w:val="272B4C2F"/>
    <w:multiLevelType w:val="hybridMultilevel"/>
    <w:tmpl w:val="BEE840F8"/>
    <w:lvl w:ilvl="0" w:tplc="DAA8E16A">
      <w:start w:val="1"/>
      <w:numFmt w:val="lowerLetter"/>
      <w:lvlText w:val="%1)"/>
      <w:lvlJc w:val="left"/>
      <w:pPr>
        <w:ind w:left="109" w:hanging="264"/>
        <w:jc w:val="left"/>
      </w:pPr>
      <w:rPr>
        <w:rFonts w:ascii="Times New Roman" w:eastAsia="Times New Roman" w:hAnsi="Times New Roman" w:hint="default"/>
        <w:b/>
        <w:bCs/>
        <w:sz w:val="24"/>
        <w:szCs w:val="24"/>
      </w:rPr>
    </w:lvl>
    <w:lvl w:ilvl="1" w:tplc="40EC1392">
      <w:start w:val="1"/>
      <w:numFmt w:val="bullet"/>
      <w:lvlText w:val=""/>
      <w:lvlJc w:val="left"/>
      <w:pPr>
        <w:ind w:left="829" w:hanging="360"/>
      </w:pPr>
      <w:rPr>
        <w:rFonts w:ascii="Wingdings" w:eastAsia="Wingdings" w:hAnsi="Wingdings" w:hint="default"/>
        <w:sz w:val="24"/>
        <w:szCs w:val="24"/>
      </w:rPr>
    </w:lvl>
    <w:lvl w:ilvl="2" w:tplc="3098BE7C">
      <w:start w:val="1"/>
      <w:numFmt w:val="bullet"/>
      <w:lvlText w:val="•"/>
      <w:lvlJc w:val="left"/>
      <w:pPr>
        <w:ind w:left="1735" w:hanging="360"/>
      </w:pPr>
      <w:rPr>
        <w:rFonts w:hint="default"/>
      </w:rPr>
    </w:lvl>
    <w:lvl w:ilvl="3" w:tplc="2C0041BC">
      <w:start w:val="1"/>
      <w:numFmt w:val="bullet"/>
      <w:lvlText w:val="•"/>
      <w:lvlJc w:val="left"/>
      <w:pPr>
        <w:ind w:left="2641" w:hanging="360"/>
      </w:pPr>
      <w:rPr>
        <w:rFonts w:hint="default"/>
      </w:rPr>
    </w:lvl>
    <w:lvl w:ilvl="4" w:tplc="1564DF0C">
      <w:start w:val="1"/>
      <w:numFmt w:val="bullet"/>
      <w:lvlText w:val="•"/>
      <w:lvlJc w:val="left"/>
      <w:pPr>
        <w:ind w:left="3548" w:hanging="360"/>
      </w:pPr>
      <w:rPr>
        <w:rFonts w:hint="default"/>
      </w:rPr>
    </w:lvl>
    <w:lvl w:ilvl="5" w:tplc="55FC13E8">
      <w:start w:val="1"/>
      <w:numFmt w:val="bullet"/>
      <w:lvlText w:val="•"/>
      <w:lvlJc w:val="left"/>
      <w:pPr>
        <w:ind w:left="4454" w:hanging="360"/>
      </w:pPr>
      <w:rPr>
        <w:rFonts w:hint="default"/>
      </w:rPr>
    </w:lvl>
    <w:lvl w:ilvl="6" w:tplc="10B09DF6">
      <w:start w:val="1"/>
      <w:numFmt w:val="bullet"/>
      <w:lvlText w:val="•"/>
      <w:lvlJc w:val="left"/>
      <w:pPr>
        <w:ind w:left="5360" w:hanging="360"/>
      </w:pPr>
      <w:rPr>
        <w:rFonts w:hint="default"/>
      </w:rPr>
    </w:lvl>
    <w:lvl w:ilvl="7" w:tplc="6F2EAD4E">
      <w:start w:val="1"/>
      <w:numFmt w:val="bullet"/>
      <w:lvlText w:val="•"/>
      <w:lvlJc w:val="left"/>
      <w:pPr>
        <w:ind w:left="6267" w:hanging="360"/>
      </w:pPr>
      <w:rPr>
        <w:rFonts w:hint="default"/>
      </w:rPr>
    </w:lvl>
    <w:lvl w:ilvl="8" w:tplc="2E7470E2">
      <w:start w:val="1"/>
      <w:numFmt w:val="bullet"/>
      <w:lvlText w:val="•"/>
      <w:lvlJc w:val="left"/>
      <w:pPr>
        <w:ind w:left="7173" w:hanging="360"/>
      </w:pPr>
      <w:rPr>
        <w:rFonts w:hint="default"/>
      </w:rPr>
    </w:lvl>
  </w:abstractNum>
  <w:abstractNum w:abstractNumId="22" w15:restartNumberingAfterBreak="0">
    <w:nsid w:val="27BB5E1D"/>
    <w:multiLevelType w:val="hybridMultilevel"/>
    <w:tmpl w:val="9EF806EA"/>
    <w:lvl w:ilvl="0" w:tplc="9B5A69EC">
      <w:start w:val="1"/>
      <w:numFmt w:val="bullet"/>
      <w:lvlText w:val=""/>
      <w:lvlJc w:val="left"/>
      <w:pPr>
        <w:ind w:left="465" w:hanging="360"/>
      </w:pPr>
      <w:rPr>
        <w:rFonts w:ascii="Symbol" w:eastAsia="Symbol" w:hAnsi="Symbol" w:hint="default"/>
        <w:sz w:val="24"/>
        <w:szCs w:val="24"/>
      </w:rPr>
    </w:lvl>
    <w:lvl w:ilvl="1" w:tplc="FDC057B0">
      <w:start w:val="1"/>
      <w:numFmt w:val="bullet"/>
      <w:lvlText w:val="•"/>
      <w:lvlJc w:val="left"/>
      <w:pPr>
        <w:ind w:left="856" w:hanging="360"/>
      </w:pPr>
      <w:rPr>
        <w:rFonts w:hint="default"/>
      </w:rPr>
    </w:lvl>
    <w:lvl w:ilvl="2" w:tplc="893EB6AE">
      <w:start w:val="1"/>
      <w:numFmt w:val="bullet"/>
      <w:lvlText w:val="•"/>
      <w:lvlJc w:val="left"/>
      <w:pPr>
        <w:ind w:left="1248" w:hanging="360"/>
      </w:pPr>
      <w:rPr>
        <w:rFonts w:hint="default"/>
      </w:rPr>
    </w:lvl>
    <w:lvl w:ilvl="3" w:tplc="CD884EA8">
      <w:start w:val="1"/>
      <w:numFmt w:val="bullet"/>
      <w:lvlText w:val="•"/>
      <w:lvlJc w:val="left"/>
      <w:pPr>
        <w:ind w:left="1640" w:hanging="360"/>
      </w:pPr>
      <w:rPr>
        <w:rFonts w:hint="default"/>
      </w:rPr>
    </w:lvl>
    <w:lvl w:ilvl="4" w:tplc="F5E4B4A6">
      <w:start w:val="1"/>
      <w:numFmt w:val="bullet"/>
      <w:lvlText w:val="•"/>
      <w:lvlJc w:val="left"/>
      <w:pPr>
        <w:ind w:left="2032" w:hanging="360"/>
      </w:pPr>
      <w:rPr>
        <w:rFonts w:hint="default"/>
      </w:rPr>
    </w:lvl>
    <w:lvl w:ilvl="5" w:tplc="C23E49E8">
      <w:start w:val="1"/>
      <w:numFmt w:val="bullet"/>
      <w:lvlText w:val="•"/>
      <w:lvlJc w:val="left"/>
      <w:pPr>
        <w:ind w:left="2424" w:hanging="360"/>
      </w:pPr>
      <w:rPr>
        <w:rFonts w:hint="default"/>
      </w:rPr>
    </w:lvl>
    <w:lvl w:ilvl="6" w:tplc="969446CA">
      <w:start w:val="1"/>
      <w:numFmt w:val="bullet"/>
      <w:lvlText w:val="•"/>
      <w:lvlJc w:val="left"/>
      <w:pPr>
        <w:ind w:left="2816" w:hanging="360"/>
      </w:pPr>
      <w:rPr>
        <w:rFonts w:hint="default"/>
      </w:rPr>
    </w:lvl>
    <w:lvl w:ilvl="7" w:tplc="187811DA">
      <w:start w:val="1"/>
      <w:numFmt w:val="bullet"/>
      <w:lvlText w:val="•"/>
      <w:lvlJc w:val="left"/>
      <w:pPr>
        <w:ind w:left="3208" w:hanging="360"/>
      </w:pPr>
      <w:rPr>
        <w:rFonts w:hint="default"/>
      </w:rPr>
    </w:lvl>
    <w:lvl w:ilvl="8" w:tplc="13F2AD54">
      <w:start w:val="1"/>
      <w:numFmt w:val="bullet"/>
      <w:lvlText w:val="•"/>
      <w:lvlJc w:val="left"/>
      <w:pPr>
        <w:ind w:left="3600" w:hanging="360"/>
      </w:pPr>
      <w:rPr>
        <w:rFonts w:hint="default"/>
      </w:rPr>
    </w:lvl>
  </w:abstractNum>
  <w:abstractNum w:abstractNumId="23" w15:restartNumberingAfterBreak="0">
    <w:nsid w:val="282E3386"/>
    <w:multiLevelType w:val="hybridMultilevel"/>
    <w:tmpl w:val="C5549BCE"/>
    <w:lvl w:ilvl="0" w:tplc="B5FC0E9C">
      <w:start w:val="1"/>
      <w:numFmt w:val="lowerLetter"/>
      <w:lvlText w:val="%1)"/>
      <w:lvlJc w:val="left"/>
      <w:pPr>
        <w:ind w:left="368" w:hanging="260"/>
        <w:jc w:val="left"/>
      </w:pPr>
      <w:rPr>
        <w:rFonts w:ascii="Times New Roman" w:eastAsia="Times New Roman" w:hAnsi="Times New Roman" w:hint="default"/>
        <w:b/>
        <w:bCs/>
        <w:sz w:val="24"/>
        <w:szCs w:val="24"/>
      </w:rPr>
    </w:lvl>
    <w:lvl w:ilvl="1" w:tplc="BBD43706">
      <w:start w:val="1"/>
      <w:numFmt w:val="bullet"/>
      <w:lvlText w:val="•"/>
      <w:lvlJc w:val="left"/>
      <w:pPr>
        <w:ind w:left="1230" w:hanging="260"/>
      </w:pPr>
      <w:rPr>
        <w:rFonts w:hint="default"/>
      </w:rPr>
    </w:lvl>
    <w:lvl w:ilvl="2" w:tplc="3EC6A39A">
      <w:start w:val="1"/>
      <w:numFmt w:val="bullet"/>
      <w:lvlText w:val="•"/>
      <w:lvlJc w:val="left"/>
      <w:pPr>
        <w:ind w:left="2092" w:hanging="260"/>
      </w:pPr>
      <w:rPr>
        <w:rFonts w:hint="default"/>
      </w:rPr>
    </w:lvl>
    <w:lvl w:ilvl="3" w:tplc="B9EC1EB0">
      <w:start w:val="1"/>
      <w:numFmt w:val="bullet"/>
      <w:lvlText w:val="•"/>
      <w:lvlJc w:val="left"/>
      <w:pPr>
        <w:ind w:left="2953" w:hanging="260"/>
      </w:pPr>
      <w:rPr>
        <w:rFonts w:hint="default"/>
      </w:rPr>
    </w:lvl>
    <w:lvl w:ilvl="4" w:tplc="A70CF504">
      <w:start w:val="1"/>
      <w:numFmt w:val="bullet"/>
      <w:lvlText w:val="•"/>
      <w:lvlJc w:val="left"/>
      <w:pPr>
        <w:ind w:left="3815" w:hanging="260"/>
      </w:pPr>
      <w:rPr>
        <w:rFonts w:hint="default"/>
      </w:rPr>
    </w:lvl>
    <w:lvl w:ilvl="5" w:tplc="324878C2">
      <w:start w:val="1"/>
      <w:numFmt w:val="bullet"/>
      <w:lvlText w:val="•"/>
      <w:lvlJc w:val="left"/>
      <w:pPr>
        <w:ind w:left="4677" w:hanging="260"/>
      </w:pPr>
      <w:rPr>
        <w:rFonts w:hint="default"/>
      </w:rPr>
    </w:lvl>
    <w:lvl w:ilvl="6" w:tplc="2D126EFE">
      <w:start w:val="1"/>
      <w:numFmt w:val="bullet"/>
      <w:lvlText w:val="•"/>
      <w:lvlJc w:val="left"/>
      <w:pPr>
        <w:ind w:left="5539" w:hanging="260"/>
      </w:pPr>
      <w:rPr>
        <w:rFonts w:hint="default"/>
      </w:rPr>
    </w:lvl>
    <w:lvl w:ilvl="7" w:tplc="628AAC60">
      <w:start w:val="1"/>
      <w:numFmt w:val="bullet"/>
      <w:lvlText w:val="•"/>
      <w:lvlJc w:val="left"/>
      <w:pPr>
        <w:ind w:left="6401" w:hanging="260"/>
      </w:pPr>
      <w:rPr>
        <w:rFonts w:hint="default"/>
      </w:rPr>
    </w:lvl>
    <w:lvl w:ilvl="8" w:tplc="5ED47EF2">
      <w:start w:val="1"/>
      <w:numFmt w:val="bullet"/>
      <w:lvlText w:val="•"/>
      <w:lvlJc w:val="left"/>
      <w:pPr>
        <w:ind w:left="7262" w:hanging="260"/>
      </w:pPr>
      <w:rPr>
        <w:rFonts w:hint="default"/>
      </w:rPr>
    </w:lvl>
  </w:abstractNum>
  <w:abstractNum w:abstractNumId="24" w15:restartNumberingAfterBreak="0">
    <w:nsid w:val="2D0319DF"/>
    <w:multiLevelType w:val="multilevel"/>
    <w:tmpl w:val="F77CFE50"/>
    <w:lvl w:ilvl="0">
      <w:start w:val="1"/>
      <w:numFmt w:val="decimal"/>
      <w:lvlText w:val="%1."/>
      <w:lvlJc w:val="left"/>
      <w:pPr>
        <w:ind w:left="711" w:hanging="483"/>
        <w:jc w:val="right"/>
      </w:pPr>
      <w:rPr>
        <w:rFonts w:ascii="Times New Roman" w:eastAsia="Times New Roman" w:hAnsi="Times New Roman" w:hint="default"/>
        <w:sz w:val="24"/>
        <w:szCs w:val="24"/>
      </w:rPr>
    </w:lvl>
    <w:lvl w:ilvl="1">
      <w:start w:val="1"/>
      <w:numFmt w:val="decimal"/>
      <w:lvlText w:val="%1.%2."/>
      <w:lvlJc w:val="left"/>
      <w:pPr>
        <w:ind w:left="1306" w:hanging="596"/>
        <w:jc w:val="left"/>
      </w:pPr>
      <w:rPr>
        <w:rFonts w:ascii="Times New Roman" w:eastAsia="Times New Roman" w:hAnsi="Times New Roman" w:hint="default"/>
        <w:i/>
        <w:sz w:val="24"/>
        <w:szCs w:val="24"/>
      </w:rPr>
    </w:lvl>
    <w:lvl w:ilvl="2">
      <w:start w:val="1"/>
      <w:numFmt w:val="decimal"/>
      <w:lvlText w:val="%1.%2.%3."/>
      <w:lvlJc w:val="left"/>
      <w:pPr>
        <w:ind w:left="2144" w:hanging="838"/>
        <w:jc w:val="left"/>
      </w:pPr>
      <w:rPr>
        <w:rFonts w:ascii="Times New Roman" w:eastAsia="Times New Roman" w:hAnsi="Times New Roman" w:hint="default"/>
        <w:sz w:val="24"/>
        <w:szCs w:val="24"/>
      </w:rPr>
    </w:lvl>
    <w:lvl w:ilvl="3">
      <w:start w:val="1"/>
      <w:numFmt w:val="bullet"/>
      <w:lvlText w:val="•"/>
      <w:lvlJc w:val="left"/>
      <w:pPr>
        <w:ind w:left="2024" w:hanging="838"/>
      </w:pPr>
      <w:rPr>
        <w:rFonts w:hint="default"/>
      </w:rPr>
    </w:lvl>
    <w:lvl w:ilvl="4">
      <w:start w:val="1"/>
      <w:numFmt w:val="bullet"/>
      <w:lvlText w:val="•"/>
      <w:lvlJc w:val="left"/>
      <w:pPr>
        <w:ind w:left="2144" w:hanging="838"/>
      </w:pPr>
      <w:rPr>
        <w:rFonts w:hint="default"/>
      </w:rPr>
    </w:lvl>
    <w:lvl w:ilvl="5">
      <w:start w:val="1"/>
      <w:numFmt w:val="bullet"/>
      <w:lvlText w:val="•"/>
      <w:lvlJc w:val="left"/>
      <w:pPr>
        <w:ind w:left="3284" w:hanging="838"/>
      </w:pPr>
      <w:rPr>
        <w:rFonts w:hint="default"/>
      </w:rPr>
    </w:lvl>
    <w:lvl w:ilvl="6">
      <w:start w:val="1"/>
      <w:numFmt w:val="bullet"/>
      <w:lvlText w:val="•"/>
      <w:lvlJc w:val="left"/>
      <w:pPr>
        <w:ind w:left="4425" w:hanging="838"/>
      </w:pPr>
      <w:rPr>
        <w:rFonts w:hint="default"/>
      </w:rPr>
    </w:lvl>
    <w:lvl w:ilvl="7">
      <w:start w:val="1"/>
      <w:numFmt w:val="bullet"/>
      <w:lvlText w:val="•"/>
      <w:lvlJc w:val="left"/>
      <w:pPr>
        <w:ind w:left="5565" w:hanging="838"/>
      </w:pPr>
      <w:rPr>
        <w:rFonts w:hint="default"/>
      </w:rPr>
    </w:lvl>
    <w:lvl w:ilvl="8">
      <w:start w:val="1"/>
      <w:numFmt w:val="bullet"/>
      <w:lvlText w:val="•"/>
      <w:lvlJc w:val="left"/>
      <w:pPr>
        <w:ind w:left="6705" w:hanging="838"/>
      </w:pPr>
      <w:rPr>
        <w:rFonts w:hint="default"/>
      </w:rPr>
    </w:lvl>
  </w:abstractNum>
  <w:abstractNum w:abstractNumId="25" w15:restartNumberingAfterBreak="0">
    <w:nsid w:val="2F713BBC"/>
    <w:multiLevelType w:val="hybridMultilevel"/>
    <w:tmpl w:val="9992138E"/>
    <w:lvl w:ilvl="0" w:tplc="A1A0F952">
      <w:start w:val="1"/>
      <w:numFmt w:val="bullet"/>
      <w:lvlText w:val=""/>
      <w:lvlJc w:val="left"/>
      <w:pPr>
        <w:ind w:left="829" w:hanging="360"/>
      </w:pPr>
      <w:rPr>
        <w:rFonts w:ascii="Wingdings" w:eastAsia="Wingdings" w:hAnsi="Wingdings" w:hint="default"/>
        <w:sz w:val="24"/>
        <w:szCs w:val="24"/>
      </w:rPr>
    </w:lvl>
    <w:lvl w:ilvl="1" w:tplc="68ECC032">
      <w:start w:val="1"/>
      <w:numFmt w:val="bullet"/>
      <w:lvlText w:val="•"/>
      <w:lvlJc w:val="left"/>
      <w:pPr>
        <w:ind w:left="1644" w:hanging="360"/>
      </w:pPr>
      <w:rPr>
        <w:rFonts w:hint="default"/>
      </w:rPr>
    </w:lvl>
    <w:lvl w:ilvl="2" w:tplc="C0DADB26">
      <w:start w:val="1"/>
      <w:numFmt w:val="bullet"/>
      <w:lvlText w:val="•"/>
      <w:lvlJc w:val="left"/>
      <w:pPr>
        <w:ind w:left="2460" w:hanging="360"/>
      </w:pPr>
      <w:rPr>
        <w:rFonts w:hint="default"/>
      </w:rPr>
    </w:lvl>
    <w:lvl w:ilvl="3" w:tplc="C3F2CE66">
      <w:start w:val="1"/>
      <w:numFmt w:val="bullet"/>
      <w:lvlText w:val="•"/>
      <w:lvlJc w:val="left"/>
      <w:pPr>
        <w:ind w:left="3276" w:hanging="360"/>
      </w:pPr>
      <w:rPr>
        <w:rFonts w:hint="default"/>
      </w:rPr>
    </w:lvl>
    <w:lvl w:ilvl="4" w:tplc="ABA468AC">
      <w:start w:val="1"/>
      <w:numFmt w:val="bullet"/>
      <w:lvlText w:val="•"/>
      <w:lvlJc w:val="left"/>
      <w:pPr>
        <w:ind w:left="4092" w:hanging="360"/>
      </w:pPr>
      <w:rPr>
        <w:rFonts w:hint="default"/>
      </w:rPr>
    </w:lvl>
    <w:lvl w:ilvl="5" w:tplc="183C389A">
      <w:start w:val="1"/>
      <w:numFmt w:val="bullet"/>
      <w:lvlText w:val="•"/>
      <w:lvlJc w:val="left"/>
      <w:pPr>
        <w:ind w:left="4907" w:hanging="360"/>
      </w:pPr>
      <w:rPr>
        <w:rFonts w:hint="default"/>
      </w:rPr>
    </w:lvl>
    <w:lvl w:ilvl="6" w:tplc="CABE5446">
      <w:start w:val="1"/>
      <w:numFmt w:val="bullet"/>
      <w:lvlText w:val="•"/>
      <w:lvlJc w:val="left"/>
      <w:pPr>
        <w:ind w:left="5723" w:hanging="360"/>
      </w:pPr>
      <w:rPr>
        <w:rFonts w:hint="default"/>
      </w:rPr>
    </w:lvl>
    <w:lvl w:ilvl="7" w:tplc="859ACEF8">
      <w:start w:val="1"/>
      <w:numFmt w:val="bullet"/>
      <w:lvlText w:val="•"/>
      <w:lvlJc w:val="left"/>
      <w:pPr>
        <w:ind w:left="6539" w:hanging="360"/>
      </w:pPr>
      <w:rPr>
        <w:rFonts w:hint="default"/>
      </w:rPr>
    </w:lvl>
    <w:lvl w:ilvl="8" w:tplc="7EF84D62">
      <w:start w:val="1"/>
      <w:numFmt w:val="bullet"/>
      <w:lvlText w:val="•"/>
      <w:lvlJc w:val="left"/>
      <w:pPr>
        <w:ind w:left="7354" w:hanging="360"/>
      </w:pPr>
      <w:rPr>
        <w:rFonts w:hint="default"/>
      </w:rPr>
    </w:lvl>
  </w:abstractNum>
  <w:abstractNum w:abstractNumId="26" w15:restartNumberingAfterBreak="0">
    <w:nsid w:val="2F870431"/>
    <w:multiLevelType w:val="hybridMultilevel"/>
    <w:tmpl w:val="E5464C54"/>
    <w:lvl w:ilvl="0" w:tplc="BB149266">
      <w:start w:val="1"/>
      <w:numFmt w:val="bullet"/>
      <w:lvlText w:val="-"/>
      <w:lvlJc w:val="left"/>
      <w:pPr>
        <w:ind w:left="392" w:hanging="284"/>
      </w:pPr>
      <w:rPr>
        <w:rFonts w:ascii="Arial" w:eastAsia="Arial" w:hAnsi="Arial" w:hint="default"/>
        <w:sz w:val="24"/>
        <w:szCs w:val="24"/>
      </w:rPr>
    </w:lvl>
    <w:lvl w:ilvl="1" w:tplc="D668F010">
      <w:start w:val="1"/>
      <w:numFmt w:val="bullet"/>
      <w:lvlText w:val="•"/>
      <w:lvlJc w:val="left"/>
      <w:pPr>
        <w:ind w:left="1251" w:hanging="284"/>
      </w:pPr>
      <w:rPr>
        <w:rFonts w:hint="default"/>
      </w:rPr>
    </w:lvl>
    <w:lvl w:ilvl="2" w:tplc="25DE0C22">
      <w:start w:val="1"/>
      <w:numFmt w:val="bullet"/>
      <w:lvlText w:val="•"/>
      <w:lvlJc w:val="left"/>
      <w:pPr>
        <w:ind w:left="2111" w:hanging="284"/>
      </w:pPr>
      <w:rPr>
        <w:rFonts w:hint="default"/>
      </w:rPr>
    </w:lvl>
    <w:lvl w:ilvl="3" w:tplc="E5DE20CA">
      <w:start w:val="1"/>
      <w:numFmt w:val="bullet"/>
      <w:lvlText w:val="•"/>
      <w:lvlJc w:val="left"/>
      <w:pPr>
        <w:ind w:left="2970" w:hanging="284"/>
      </w:pPr>
      <w:rPr>
        <w:rFonts w:hint="default"/>
      </w:rPr>
    </w:lvl>
    <w:lvl w:ilvl="4" w:tplc="6156AF04">
      <w:start w:val="1"/>
      <w:numFmt w:val="bullet"/>
      <w:lvlText w:val="•"/>
      <w:lvlJc w:val="left"/>
      <w:pPr>
        <w:ind w:left="3830" w:hanging="284"/>
      </w:pPr>
      <w:rPr>
        <w:rFonts w:hint="default"/>
      </w:rPr>
    </w:lvl>
    <w:lvl w:ilvl="5" w:tplc="C1FC5394">
      <w:start w:val="1"/>
      <w:numFmt w:val="bullet"/>
      <w:lvlText w:val="•"/>
      <w:lvlJc w:val="left"/>
      <w:pPr>
        <w:ind w:left="4689" w:hanging="284"/>
      </w:pPr>
      <w:rPr>
        <w:rFonts w:hint="default"/>
      </w:rPr>
    </w:lvl>
    <w:lvl w:ilvl="6" w:tplc="C1488E82">
      <w:start w:val="1"/>
      <w:numFmt w:val="bullet"/>
      <w:lvlText w:val="•"/>
      <w:lvlJc w:val="left"/>
      <w:pPr>
        <w:ind w:left="5548" w:hanging="284"/>
      </w:pPr>
      <w:rPr>
        <w:rFonts w:hint="default"/>
      </w:rPr>
    </w:lvl>
    <w:lvl w:ilvl="7" w:tplc="81761A58">
      <w:start w:val="1"/>
      <w:numFmt w:val="bullet"/>
      <w:lvlText w:val="•"/>
      <w:lvlJc w:val="left"/>
      <w:pPr>
        <w:ind w:left="6408" w:hanging="284"/>
      </w:pPr>
      <w:rPr>
        <w:rFonts w:hint="default"/>
      </w:rPr>
    </w:lvl>
    <w:lvl w:ilvl="8" w:tplc="FDEE5D66">
      <w:start w:val="1"/>
      <w:numFmt w:val="bullet"/>
      <w:lvlText w:val="•"/>
      <w:lvlJc w:val="left"/>
      <w:pPr>
        <w:ind w:left="7267" w:hanging="284"/>
      </w:pPr>
      <w:rPr>
        <w:rFonts w:hint="default"/>
      </w:rPr>
    </w:lvl>
  </w:abstractNum>
  <w:abstractNum w:abstractNumId="27" w15:restartNumberingAfterBreak="0">
    <w:nsid w:val="30BC51B2"/>
    <w:multiLevelType w:val="hybridMultilevel"/>
    <w:tmpl w:val="C7BAA5F4"/>
    <w:lvl w:ilvl="0" w:tplc="112E6C34">
      <w:start w:val="1"/>
      <w:numFmt w:val="lowerLetter"/>
      <w:lvlText w:val="%1)"/>
      <w:lvlJc w:val="left"/>
      <w:pPr>
        <w:ind w:left="109" w:hanging="250"/>
        <w:jc w:val="left"/>
      </w:pPr>
      <w:rPr>
        <w:rFonts w:ascii="Times New Roman" w:eastAsia="Times New Roman" w:hAnsi="Times New Roman" w:hint="default"/>
        <w:spacing w:val="-1"/>
        <w:sz w:val="24"/>
        <w:szCs w:val="24"/>
      </w:rPr>
    </w:lvl>
    <w:lvl w:ilvl="1" w:tplc="9AF2E3EC">
      <w:start w:val="1"/>
      <w:numFmt w:val="bullet"/>
      <w:lvlText w:val="•"/>
      <w:lvlJc w:val="left"/>
      <w:pPr>
        <w:ind w:left="997" w:hanging="250"/>
      </w:pPr>
      <w:rPr>
        <w:rFonts w:hint="default"/>
      </w:rPr>
    </w:lvl>
    <w:lvl w:ilvl="2" w:tplc="7BAAAB76">
      <w:start w:val="1"/>
      <w:numFmt w:val="bullet"/>
      <w:lvlText w:val="•"/>
      <w:lvlJc w:val="left"/>
      <w:pPr>
        <w:ind w:left="1884" w:hanging="250"/>
      </w:pPr>
      <w:rPr>
        <w:rFonts w:hint="default"/>
      </w:rPr>
    </w:lvl>
    <w:lvl w:ilvl="3" w:tplc="5F525CEE">
      <w:start w:val="1"/>
      <w:numFmt w:val="bullet"/>
      <w:lvlText w:val="•"/>
      <w:lvlJc w:val="left"/>
      <w:pPr>
        <w:ind w:left="2772" w:hanging="250"/>
      </w:pPr>
      <w:rPr>
        <w:rFonts w:hint="default"/>
      </w:rPr>
    </w:lvl>
    <w:lvl w:ilvl="4" w:tplc="A4B672B4">
      <w:start w:val="1"/>
      <w:numFmt w:val="bullet"/>
      <w:lvlText w:val="•"/>
      <w:lvlJc w:val="left"/>
      <w:pPr>
        <w:ind w:left="3660" w:hanging="250"/>
      </w:pPr>
      <w:rPr>
        <w:rFonts w:hint="default"/>
      </w:rPr>
    </w:lvl>
    <w:lvl w:ilvl="5" w:tplc="026094AE">
      <w:start w:val="1"/>
      <w:numFmt w:val="bullet"/>
      <w:lvlText w:val="•"/>
      <w:lvlJc w:val="left"/>
      <w:pPr>
        <w:ind w:left="4547" w:hanging="250"/>
      </w:pPr>
      <w:rPr>
        <w:rFonts w:hint="default"/>
      </w:rPr>
    </w:lvl>
    <w:lvl w:ilvl="6" w:tplc="48961E50">
      <w:start w:val="1"/>
      <w:numFmt w:val="bullet"/>
      <w:lvlText w:val="•"/>
      <w:lvlJc w:val="left"/>
      <w:pPr>
        <w:ind w:left="5435" w:hanging="250"/>
      </w:pPr>
      <w:rPr>
        <w:rFonts w:hint="default"/>
      </w:rPr>
    </w:lvl>
    <w:lvl w:ilvl="7" w:tplc="596E67B6">
      <w:start w:val="1"/>
      <w:numFmt w:val="bullet"/>
      <w:lvlText w:val="•"/>
      <w:lvlJc w:val="left"/>
      <w:pPr>
        <w:ind w:left="6323" w:hanging="250"/>
      </w:pPr>
      <w:rPr>
        <w:rFonts w:hint="default"/>
      </w:rPr>
    </w:lvl>
    <w:lvl w:ilvl="8" w:tplc="52B66F02">
      <w:start w:val="1"/>
      <w:numFmt w:val="bullet"/>
      <w:lvlText w:val="•"/>
      <w:lvlJc w:val="left"/>
      <w:pPr>
        <w:ind w:left="7210" w:hanging="250"/>
      </w:pPr>
      <w:rPr>
        <w:rFonts w:hint="default"/>
      </w:rPr>
    </w:lvl>
  </w:abstractNum>
  <w:abstractNum w:abstractNumId="28" w15:restartNumberingAfterBreak="0">
    <w:nsid w:val="3227466B"/>
    <w:multiLevelType w:val="hybridMultilevel"/>
    <w:tmpl w:val="7570E5CA"/>
    <w:lvl w:ilvl="0" w:tplc="3484FB96">
      <w:start w:val="1"/>
      <w:numFmt w:val="bullet"/>
      <w:lvlText w:val=""/>
      <w:lvlJc w:val="left"/>
      <w:pPr>
        <w:ind w:left="829" w:hanging="360"/>
      </w:pPr>
      <w:rPr>
        <w:rFonts w:ascii="Wingdings" w:eastAsia="Wingdings" w:hAnsi="Wingdings" w:hint="default"/>
        <w:sz w:val="22"/>
        <w:szCs w:val="22"/>
      </w:rPr>
    </w:lvl>
    <w:lvl w:ilvl="1" w:tplc="534E3082">
      <w:start w:val="1"/>
      <w:numFmt w:val="bullet"/>
      <w:lvlText w:val="•"/>
      <w:lvlJc w:val="left"/>
      <w:pPr>
        <w:ind w:left="1644" w:hanging="360"/>
      </w:pPr>
      <w:rPr>
        <w:rFonts w:hint="default"/>
      </w:rPr>
    </w:lvl>
    <w:lvl w:ilvl="2" w:tplc="598CC790">
      <w:start w:val="1"/>
      <w:numFmt w:val="bullet"/>
      <w:lvlText w:val="•"/>
      <w:lvlJc w:val="left"/>
      <w:pPr>
        <w:ind w:left="2460" w:hanging="360"/>
      </w:pPr>
      <w:rPr>
        <w:rFonts w:hint="default"/>
      </w:rPr>
    </w:lvl>
    <w:lvl w:ilvl="3" w:tplc="621C4B86">
      <w:start w:val="1"/>
      <w:numFmt w:val="bullet"/>
      <w:lvlText w:val="•"/>
      <w:lvlJc w:val="left"/>
      <w:pPr>
        <w:ind w:left="3276" w:hanging="360"/>
      </w:pPr>
      <w:rPr>
        <w:rFonts w:hint="default"/>
      </w:rPr>
    </w:lvl>
    <w:lvl w:ilvl="4" w:tplc="C2DAC674">
      <w:start w:val="1"/>
      <w:numFmt w:val="bullet"/>
      <w:lvlText w:val="•"/>
      <w:lvlJc w:val="left"/>
      <w:pPr>
        <w:ind w:left="4092" w:hanging="360"/>
      </w:pPr>
      <w:rPr>
        <w:rFonts w:hint="default"/>
      </w:rPr>
    </w:lvl>
    <w:lvl w:ilvl="5" w:tplc="F40E4AB4">
      <w:start w:val="1"/>
      <w:numFmt w:val="bullet"/>
      <w:lvlText w:val="•"/>
      <w:lvlJc w:val="left"/>
      <w:pPr>
        <w:ind w:left="4907" w:hanging="360"/>
      </w:pPr>
      <w:rPr>
        <w:rFonts w:hint="default"/>
      </w:rPr>
    </w:lvl>
    <w:lvl w:ilvl="6" w:tplc="3266E47A">
      <w:start w:val="1"/>
      <w:numFmt w:val="bullet"/>
      <w:lvlText w:val="•"/>
      <w:lvlJc w:val="left"/>
      <w:pPr>
        <w:ind w:left="5723" w:hanging="360"/>
      </w:pPr>
      <w:rPr>
        <w:rFonts w:hint="default"/>
      </w:rPr>
    </w:lvl>
    <w:lvl w:ilvl="7" w:tplc="BCC0B072">
      <w:start w:val="1"/>
      <w:numFmt w:val="bullet"/>
      <w:lvlText w:val="•"/>
      <w:lvlJc w:val="left"/>
      <w:pPr>
        <w:ind w:left="6539" w:hanging="360"/>
      </w:pPr>
      <w:rPr>
        <w:rFonts w:hint="default"/>
      </w:rPr>
    </w:lvl>
    <w:lvl w:ilvl="8" w:tplc="98A45956">
      <w:start w:val="1"/>
      <w:numFmt w:val="bullet"/>
      <w:lvlText w:val="•"/>
      <w:lvlJc w:val="left"/>
      <w:pPr>
        <w:ind w:left="7354" w:hanging="360"/>
      </w:pPr>
      <w:rPr>
        <w:rFonts w:hint="default"/>
      </w:rPr>
    </w:lvl>
  </w:abstractNum>
  <w:abstractNum w:abstractNumId="29" w15:restartNumberingAfterBreak="0">
    <w:nsid w:val="33FA3FEA"/>
    <w:multiLevelType w:val="hybridMultilevel"/>
    <w:tmpl w:val="55B8E674"/>
    <w:lvl w:ilvl="0" w:tplc="AA088FD8">
      <w:start w:val="1"/>
      <w:numFmt w:val="bullet"/>
      <w:lvlText w:val=""/>
      <w:lvlJc w:val="left"/>
      <w:pPr>
        <w:ind w:left="829" w:hanging="360"/>
      </w:pPr>
      <w:rPr>
        <w:rFonts w:ascii="Wingdings" w:eastAsia="Wingdings" w:hAnsi="Wingdings" w:hint="default"/>
        <w:sz w:val="24"/>
        <w:szCs w:val="24"/>
      </w:rPr>
    </w:lvl>
    <w:lvl w:ilvl="1" w:tplc="B9D234C6">
      <w:start w:val="1"/>
      <w:numFmt w:val="bullet"/>
      <w:lvlText w:val="•"/>
      <w:lvlJc w:val="left"/>
      <w:pPr>
        <w:ind w:left="1644" w:hanging="360"/>
      </w:pPr>
      <w:rPr>
        <w:rFonts w:hint="default"/>
      </w:rPr>
    </w:lvl>
    <w:lvl w:ilvl="2" w:tplc="03CE416A">
      <w:start w:val="1"/>
      <w:numFmt w:val="bullet"/>
      <w:lvlText w:val="•"/>
      <w:lvlJc w:val="left"/>
      <w:pPr>
        <w:ind w:left="2460" w:hanging="360"/>
      </w:pPr>
      <w:rPr>
        <w:rFonts w:hint="default"/>
      </w:rPr>
    </w:lvl>
    <w:lvl w:ilvl="3" w:tplc="06E8507E">
      <w:start w:val="1"/>
      <w:numFmt w:val="bullet"/>
      <w:lvlText w:val="•"/>
      <w:lvlJc w:val="left"/>
      <w:pPr>
        <w:ind w:left="3276" w:hanging="360"/>
      </w:pPr>
      <w:rPr>
        <w:rFonts w:hint="default"/>
      </w:rPr>
    </w:lvl>
    <w:lvl w:ilvl="4" w:tplc="85522740">
      <w:start w:val="1"/>
      <w:numFmt w:val="bullet"/>
      <w:lvlText w:val="•"/>
      <w:lvlJc w:val="left"/>
      <w:pPr>
        <w:ind w:left="4092" w:hanging="360"/>
      </w:pPr>
      <w:rPr>
        <w:rFonts w:hint="default"/>
      </w:rPr>
    </w:lvl>
    <w:lvl w:ilvl="5" w:tplc="48262632">
      <w:start w:val="1"/>
      <w:numFmt w:val="bullet"/>
      <w:lvlText w:val="•"/>
      <w:lvlJc w:val="left"/>
      <w:pPr>
        <w:ind w:left="4907" w:hanging="360"/>
      </w:pPr>
      <w:rPr>
        <w:rFonts w:hint="default"/>
      </w:rPr>
    </w:lvl>
    <w:lvl w:ilvl="6" w:tplc="AC1886D4">
      <w:start w:val="1"/>
      <w:numFmt w:val="bullet"/>
      <w:lvlText w:val="•"/>
      <w:lvlJc w:val="left"/>
      <w:pPr>
        <w:ind w:left="5723" w:hanging="360"/>
      </w:pPr>
      <w:rPr>
        <w:rFonts w:hint="default"/>
      </w:rPr>
    </w:lvl>
    <w:lvl w:ilvl="7" w:tplc="E54298EE">
      <w:start w:val="1"/>
      <w:numFmt w:val="bullet"/>
      <w:lvlText w:val="•"/>
      <w:lvlJc w:val="left"/>
      <w:pPr>
        <w:ind w:left="6539" w:hanging="360"/>
      </w:pPr>
      <w:rPr>
        <w:rFonts w:hint="default"/>
      </w:rPr>
    </w:lvl>
    <w:lvl w:ilvl="8" w:tplc="83EEA028">
      <w:start w:val="1"/>
      <w:numFmt w:val="bullet"/>
      <w:lvlText w:val="•"/>
      <w:lvlJc w:val="left"/>
      <w:pPr>
        <w:ind w:left="7354" w:hanging="360"/>
      </w:pPr>
      <w:rPr>
        <w:rFonts w:hint="default"/>
      </w:rPr>
    </w:lvl>
  </w:abstractNum>
  <w:abstractNum w:abstractNumId="30" w15:restartNumberingAfterBreak="0">
    <w:nsid w:val="37A57AAB"/>
    <w:multiLevelType w:val="multilevel"/>
    <w:tmpl w:val="F39A1D0A"/>
    <w:lvl w:ilvl="0">
      <w:start w:val="2"/>
      <w:numFmt w:val="decimal"/>
      <w:lvlText w:val="%1"/>
      <w:lvlJc w:val="left"/>
      <w:pPr>
        <w:ind w:left="675" w:hanging="567"/>
        <w:jc w:val="left"/>
      </w:pPr>
      <w:rPr>
        <w:rFonts w:hint="default"/>
      </w:rPr>
    </w:lvl>
    <w:lvl w:ilvl="1">
      <w:start w:val="4"/>
      <w:numFmt w:val="decimal"/>
      <w:lvlText w:val="%1.%2."/>
      <w:lvlJc w:val="left"/>
      <w:pPr>
        <w:ind w:left="675" w:hanging="567"/>
        <w:jc w:val="left"/>
      </w:pPr>
      <w:rPr>
        <w:rFonts w:ascii="Times New Roman" w:eastAsia="Times New Roman" w:hAnsi="Times New Roman" w:hint="default"/>
        <w:b/>
        <w:bCs/>
        <w:i/>
        <w:sz w:val="24"/>
        <w:szCs w:val="24"/>
      </w:rPr>
    </w:lvl>
    <w:lvl w:ilvl="2">
      <w:start w:val="1"/>
      <w:numFmt w:val="decimal"/>
      <w:lvlText w:val="%1.%2.%3."/>
      <w:lvlJc w:val="left"/>
      <w:pPr>
        <w:ind w:left="977" w:hanging="708"/>
        <w:jc w:val="right"/>
      </w:pPr>
      <w:rPr>
        <w:rFonts w:ascii="Times New Roman" w:eastAsia="Times New Roman" w:hAnsi="Times New Roman" w:hint="default"/>
        <w:b/>
        <w:bCs/>
        <w:i/>
        <w:sz w:val="24"/>
        <w:szCs w:val="24"/>
      </w:rPr>
    </w:lvl>
    <w:lvl w:ilvl="3">
      <w:start w:val="1"/>
      <w:numFmt w:val="bullet"/>
      <w:lvlText w:val="•"/>
      <w:lvlJc w:val="left"/>
      <w:pPr>
        <w:ind w:left="2757" w:hanging="708"/>
      </w:pPr>
      <w:rPr>
        <w:rFonts w:hint="default"/>
      </w:rPr>
    </w:lvl>
    <w:lvl w:ilvl="4">
      <w:start w:val="1"/>
      <w:numFmt w:val="bullet"/>
      <w:lvlText w:val="•"/>
      <w:lvlJc w:val="left"/>
      <w:pPr>
        <w:ind w:left="3646" w:hanging="708"/>
      </w:pPr>
      <w:rPr>
        <w:rFonts w:hint="default"/>
      </w:rPr>
    </w:lvl>
    <w:lvl w:ilvl="5">
      <w:start w:val="1"/>
      <w:numFmt w:val="bullet"/>
      <w:lvlText w:val="•"/>
      <w:lvlJc w:val="left"/>
      <w:pPr>
        <w:ind w:left="4536" w:hanging="708"/>
      </w:pPr>
      <w:rPr>
        <w:rFonts w:hint="default"/>
      </w:rPr>
    </w:lvl>
    <w:lvl w:ilvl="6">
      <w:start w:val="1"/>
      <w:numFmt w:val="bullet"/>
      <w:lvlText w:val="•"/>
      <w:lvlJc w:val="left"/>
      <w:pPr>
        <w:ind w:left="5426" w:hanging="708"/>
      </w:pPr>
      <w:rPr>
        <w:rFonts w:hint="default"/>
      </w:rPr>
    </w:lvl>
    <w:lvl w:ilvl="7">
      <w:start w:val="1"/>
      <w:numFmt w:val="bullet"/>
      <w:lvlText w:val="•"/>
      <w:lvlJc w:val="left"/>
      <w:pPr>
        <w:ind w:left="6316" w:hanging="708"/>
      </w:pPr>
      <w:rPr>
        <w:rFonts w:hint="default"/>
      </w:rPr>
    </w:lvl>
    <w:lvl w:ilvl="8">
      <w:start w:val="1"/>
      <w:numFmt w:val="bullet"/>
      <w:lvlText w:val="•"/>
      <w:lvlJc w:val="left"/>
      <w:pPr>
        <w:ind w:left="7206" w:hanging="708"/>
      </w:pPr>
      <w:rPr>
        <w:rFonts w:hint="default"/>
      </w:rPr>
    </w:lvl>
  </w:abstractNum>
  <w:abstractNum w:abstractNumId="31" w15:restartNumberingAfterBreak="0">
    <w:nsid w:val="39E54DEE"/>
    <w:multiLevelType w:val="hybridMultilevel"/>
    <w:tmpl w:val="B5B0BCD0"/>
    <w:lvl w:ilvl="0" w:tplc="08248F92">
      <w:start w:val="1"/>
      <w:numFmt w:val="lowerLetter"/>
      <w:lvlText w:val="%1)"/>
      <w:lvlJc w:val="left"/>
      <w:pPr>
        <w:ind w:left="488" w:hanging="260"/>
        <w:jc w:val="left"/>
      </w:pPr>
      <w:rPr>
        <w:rFonts w:ascii="Times New Roman" w:eastAsia="Times New Roman" w:hAnsi="Times New Roman" w:hint="default"/>
        <w:b/>
        <w:bCs/>
        <w:sz w:val="24"/>
        <w:szCs w:val="24"/>
      </w:rPr>
    </w:lvl>
    <w:lvl w:ilvl="1" w:tplc="49FEFB26">
      <w:start w:val="1"/>
      <w:numFmt w:val="bullet"/>
      <w:lvlText w:val=""/>
      <w:lvlJc w:val="left"/>
      <w:pPr>
        <w:ind w:left="949" w:hanging="360"/>
      </w:pPr>
      <w:rPr>
        <w:rFonts w:ascii="Wingdings" w:eastAsia="Wingdings" w:hAnsi="Wingdings" w:hint="default"/>
        <w:sz w:val="24"/>
        <w:szCs w:val="24"/>
      </w:rPr>
    </w:lvl>
    <w:lvl w:ilvl="2" w:tplc="AEAC9B1A">
      <w:start w:val="1"/>
      <w:numFmt w:val="bullet"/>
      <w:lvlText w:val="•"/>
      <w:lvlJc w:val="left"/>
      <w:pPr>
        <w:ind w:left="1866" w:hanging="360"/>
      </w:pPr>
      <w:rPr>
        <w:rFonts w:hint="default"/>
      </w:rPr>
    </w:lvl>
    <w:lvl w:ilvl="3" w:tplc="A9FCB0C2">
      <w:start w:val="1"/>
      <w:numFmt w:val="bullet"/>
      <w:lvlText w:val="•"/>
      <w:lvlJc w:val="left"/>
      <w:pPr>
        <w:ind w:left="2784" w:hanging="360"/>
      </w:pPr>
      <w:rPr>
        <w:rFonts w:hint="default"/>
      </w:rPr>
    </w:lvl>
    <w:lvl w:ilvl="4" w:tplc="B0285B42">
      <w:start w:val="1"/>
      <w:numFmt w:val="bullet"/>
      <w:lvlText w:val="•"/>
      <w:lvlJc w:val="left"/>
      <w:pPr>
        <w:ind w:left="3701" w:hanging="360"/>
      </w:pPr>
      <w:rPr>
        <w:rFonts w:hint="default"/>
      </w:rPr>
    </w:lvl>
    <w:lvl w:ilvl="5" w:tplc="7004AE2E">
      <w:start w:val="1"/>
      <w:numFmt w:val="bullet"/>
      <w:lvlText w:val="•"/>
      <w:lvlJc w:val="left"/>
      <w:pPr>
        <w:ind w:left="4619" w:hanging="360"/>
      </w:pPr>
      <w:rPr>
        <w:rFonts w:hint="default"/>
      </w:rPr>
    </w:lvl>
    <w:lvl w:ilvl="6" w:tplc="95F8BFE0">
      <w:start w:val="1"/>
      <w:numFmt w:val="bullet"/>
      <w:lvlText w:val="•"/>
      <w:lvlJc w:val="left"/>
      <w:pPr>
        <w:ind w:left="5536" w:hanging="360"/>
      </w:pPr>
      <w:rPr>
        <w:rFonts w:hint="default"/>
      </w:rPr>
    </w:lvl>
    <w:lvl w:ilvl="7" w:tplc="692C2FD8">
      <w:start w:val="1"/>
      <w:numFmt w:val="bullet"/>
      <w:lvlText w:val="•"/>
      <w:lvlJc w:val="left"/>
      <w:pPr>
        <w:ind w:left="6454" w:hanging="360"/>
      </w:pPr>
      <w:rPr>
        <w:rFonts w:hint="default"/>
      </w:rPr>
    </w:lvl>
    <w:lvl w:ilvl="8" w:tplc="F4F05BE6">
      <w:start w:val="1"/>
      <w:numFmt w:val="bullet"/>
      <w:lvlText w:val="•"/>
      <w:lvlJc w:val="left"/>
      <w:pPr>
        <w:ind w:left="7371" w:hanging="360"/>
      </w:pPr>
      <w:rPr>
        <w:rFonts w:hint="default"/>
      </w:rPr>
    </w:lvl>
  </w:abstractNum>
  <w:abstractNum w:abstractNumId="32" w15:restartNumberingAfterBreak="0">
    <w:nsid w:val="3C041457"/>
    <w:multiLevelType w:val="hybridMultilevel"/>
    <w:tmpl w:val="DFA2DAF8"/>
    <w:lvl w:ilvl="0" w:tplc="DA6035EA">
      <w:start w:val="1"/>
      <w:numFmt w:val="decimal"/>
      <w:lvlText w:val="%1."/>
      <w:lvlJc w:val="left"/>
      <w:pPr>
        <w:ind w:left="826" w:hanging="363"/>
        <w:jc w:val="left"/>
      </w:pPr>
      <w:rPr>
        <w:rFonts w:ascii="Times New Roman" w:eastAsia="Times New Roman" w:hAnsi="Times New Roman" w:hint="default"/>
        <w:b/>
        <w:bCs/>
        <w:sz w:val="24"/>
        <w:szCs w:val="24"/>
      </w:rPr>
    </w:lvl>
    <w:lvl w:ilvl="1" w:tplc="AD729F34">
      <w:start w:val="1"/>
      <w:numFmt w:val="bullet"/>
      <w:lvlText w:val="•"/>
      <w:lvlJc w:val="left"/>
      <w:pPr>
        <w:ind w:left="1686" w:hanging="363"/>
      </w:pPr>
      <w:rPr>
        <w:rFonts w:hint="default"/>
      </w:rPr>
    </w:lvl>
    <w:lvl w:ilvl="2" w:tplc="162E2124">
      <w:start w:val="1"/>
      <w:numFmt w:val="bullet"/>
      <w:lvlText w:val="•"/>
      <w:lvlJc w:val="left"/>
      <w:pPr>
        <w:ind w:left="2546" w:hanging="363"/>
      </w:pPr>
      <w:rPr>
        <w:rFonts w:hint="default"/>
      </w:rPr>
    </w:lvl>
    <w:lvl w:ilvl="3" w:tplc="BB10DADA">
      <w:start w:val="1"/>
      <w:numFmt w:val="bullet"/>
      <w:lvlText w:val="•"/>
      <w:lvlJc w:val="left"/>
      <w:pPr>
        <w:ind w:left="3406" w:hanging="363"/>
      </w:pPr>
      <w:rPr>
        <w:rFonts w:hint="default"/>
      </w:rPr>
    </w:lvl>
    <w:lvl w:ilvl="4" w:tplc="8604F264">
      <w:start w:val="1"/>
      <w:numFmt w:val="bullet"/>
      <w:lvlText w:val="•"/>
      <w:lvlJc w:val="left"/>
      <w:pPr>
        <w:ind w:left="4266" w:hanging="363"/>
      </w:pPr>
      <w:rPr>
        <w:rFonts w:hint="default"/>
      </w:rPr>
    </w:lvl>
    <w:lvl w:ilvl="5" w:tplc="8D2A1F62">
      <w:start w:val="1"/>
      <w:numFmt w:val="bullet"/>
      <w:lvlText w:val="•"/>
      <w:lvlJc w:val="left"/>
      <w:pPr>
        <w:ind w:left="5126" w:hanging="363"/>
      </w:pPr>
      <w:rPr>
        <w:rFonts w:hint="default"/>
      </w:rPr>
    </w:lvl>
    <w:lvl w:ilvl="6" w:tplc="43D01176">
      <w:start w:val="1"/>
      <w:numFmt w:val="bullet"/>
      <w:lvlText w:val="•"/>
      <w:lvlJc w:val="left"/>
      <w:pPr>
        <w:ind w:left="5986" w:hanging="363"/>
      </w:pPr>
      <w:rPr>
        <w:rFonts w:hint="default"/>
      </w:rPr>
    </w:lvl>
    <w:lvl w:ilvl="7" w:tplc="617C4E0E">
      <w:start w:val="1"/>
      <w:numFmt w:val="bullet"/>
      <w:lvlText w:val="•"/>
      <w:lvlJc w:val="left"/>
      <w:pPr>
        <w:ind w:left="6846" w:hanging="363"/>
      </w:pPr>
      <w:rPr>
        <w:rFonts w:hint="default"/>
      </w:rPr>
    </w:lvl>
    <w:lvl w:ilvl="8" w:tplc="03ECE656">
      <w:start w:val="1"/>
      <w:numFmt w:val="bullet"/>
      <w:lvlText w:val="•"/>
      <w:lvlJc w:val="left"/>
      <w:pPr>
        <w:ind w:left="7706" w:hanging="363"/>
      </w:pPr>
      <w:rPr>
        <w:rFonts w:hint="default"/>
      </w:rPr>
    </w:lvl>
  </w:abstractNum>
  <w:abstractNum w:abstractNumId="33" w15:restartNumberingAfterBreak="0">
    <w:nsid w:val="3EBF76E4"/>
    <w:multiLevelType w:val="hybridMultilevel"/>
    <w:tmpl w:val="DA020728"/>
    <w:lvl w:ilvl="0" w:tplc="DCB0DBDC">
      <w:start w:val="1"/>
      <w:numFmt w:val="bullet"/>
      <w:lvlText w:val="-"/>
      <w:lvlJc w:val="left"/>
      <w:pPr>
        <w:ind w:left="412" w:hanging="284"/>
      </w:pPr>
      <w:rPr>
        <w:rFonts w:ascii="Arial" w:eastAsia="Arial" w:hAnsi="Arial" w:hint="default"/>
        <w:sz w:val="24"/>
        <w:szCs w:val="24"/>
      </w:rPr>
    </w:lvl>
    <w:lvl w:ilvl="1" w:tplc="FF6EB318">
      <w:start w:val="1"/>
      <w:numFmt w:val="bullet"/>
      <w:lvlText w:val="•"/>
      <w:lvlJc w:val="left"/>
      <w:pPr>
        <w:ind w:left="1297" w:hanging="284"/>
      </w:pPr>
      <w:rPr>
        <w:rFonts w:hint="default"/>
      </w:rPr>
    </w:lvl>
    <w:lvl w:ilvl="2" w:tplc="4BC88AE6">
      <w:start w:val="1"/>
      <w:numFmt w:val="bullet"/>
      <w:lvlText w:val="•"/>
      <w:lvlJc w:val="left"/>
      <w:pPr>
        <w:ind w:left="2183" w:hanging="284"/>
      </w:pPr>
      <w:rPr>
        <w:rFonts w:hint="default"/>
      </w:rPr>
    </w:lvl>
    <w:lvl w:ilvl="3" w:tplc="2830054E">
      <w:start w:val="1"/>
      <w:numFmt w:val="bullet"/>
      <w:lvlText w:val="•"/>
      <w:lvlJc w:val="left"/>
      <w:pPr>
        <w:ind w:left="3068" w:hanging="284"/>
      </w:pPr>
      <w:rPr>
        <w:rFonts w:hint="default"/>
      </w:rPr>
    </w:lvl>
    <w:lvl w:ilvl="4" w:tplc="FC0880C4">
      <w:start w:val="1"/>
      <w:numFmt w:val="bullet"/>
      <w:lvlText w:val="•"/>
      <w:lvlJc w:val="left"/>
      <w:pPr>
        <w:ind w:left="3954" w:hanging="284"/>
      </w:pPr>
      <w:rPr>
        <w:rFonts w:hint="default"/>
      </w:rPr>
    </w:lvl>
    <w:lvl w:ilvl="5" w:tplc="4D4E3E6A">
      <w:start w:val="1"/>
      <w:numFmt w:val="bullet"/>
      <w:lvlText w:val="•"/>
      <w:lvlJc w:val="left"/>
      <w:pPr>
        <w:ind w:left="4839" w:hanging="284"/>
      </w:pPr>
      <w:rPr>
        <w:rFonts w:hint="default"/>
      </w:rPr>
    </w:lvl>
    <w:lvl w:ilvl="6" w:tplc="B4FE21FE">
      <w:start w:val="1"/>
      <w:numFmt w:val="bullet"/>
      <w:lvlText w:val="•"/>
      <w:lvlJc w:val="left"/>
      <w:pPr>
        <w:ind w:left="5724" w:hanging="284"/>
      </w:pPr>
      <w:rPr>
        <w:rFonts w:hint="default"/>
      </w:rPr>
    </w:lvl>
    <w:lvl w:ilvl="7" w:tplc="658AF580">
      <w:start w:val="1"/>
      <w:numFmt w:val="bullet"/>
      <w:lvlText w:val="•"/>
      <w:lvlJc w:val="left"/>
      <w:pPr>
        <w:ind w:left="6610" w:hanging="284"/>
      </w:pPr>
      <w:rPr>
        <w:rFonts w:hint="default"/>
      </w:rPr>
    </w:lvl>
    <w:lvl w:ilvl="8" w:tplc="F8DE02D0">
      <w:start w:val="1"/>
      <w:numFmt w:val="bullet"/>
      <w:lvlText w:val="•"/>
      <w:lvlJc w:val="left"/>
      <w:pPr>
        <w:ind w:left="7495" w:hanging="284"/>
      </w:pPr>
      <w:rPr>
        <w:rFonts w:hint="default"/>
      </w:rPr>
    </w:lvl>
  </w:abstractNum>
  <w:abstractNum w:abstractNumId="34" w15:restartNumberingAfterBreak="0">
    <w:nsid w:val="40D906E0"/>
    <w:multiLevelType w:val="hybridMultilevel"/>
    <w:tmpl w:val="DC0C7C10"/>
    <w:lvl w:ilvl="0" w:tplc="E0361B8A">
      <w:start w:val="1"/>
      <w:numFmt w:val="bullet"/>
      <w:lvlText w:val="-"/>
      <w:lvlJc w:val="left"/>
      <w:pPr>
        <w:ind w:left="323" w:hanging="216"/>
      </w:pPr>
      <w:rPr>
        <w:rFonts w:ascii="Arial" w:eastAsia="Arial" w:hAnsi="Arial" w:hint="default"/>
        <w:sz w:val="24"/>
        <w:szCs w:val="24"/>
      </w:rPr>
    </w:lvl>
    <w:lvl w:ilvl="1" w:tplc="F5FA2E0E">
      <w:start w:val="1"/>
      <w:numFmt w:val="bullet"/>
      <w:lvlText w:val="•"/>
      <w:lvlJc w:val="left"/>
      <w:pPr>
        <w:ind w:left="1181" w:hanging="216"/>
      </w:pPr>
      <w:rPr>
        <w:rFonts w:hint="default"/>
      </w:rPr>
    </w:lvl>
    <w:lvl w:ilvl="2" w:tplc="2F923C3A">
      <w:start w:val="1"/>
      <w:numFmt w:val="bullet"/>
      <w:lvlText w:val="•"/>
      <w:lvlJc w:val="left"/>
      <w:pPr>
        <w:ind w:left="2040" w:hanging="216"/>
      </w:pPr>
      <w:rPr>
        <w:rFonts w:hint="default"/>
      </w:rPr>
    </w:lvl>
    <w:lvl w:ilvl="3" w:tplc="0DCCCF74">
      <w:start w:val="1"/>
      <w:numFmt w:val="bullet"/>
      <w:lvlText w:val="•"/>
      <w:lvlJc w:val="left"/>
      <w:pPr>
        <w:ind w:left="2898" w:hanging="216"/>
      </w:pPr>
      <w:rPr>
        <w:rFonts w:hint="default"/>
      </w:rPr>
    </w:lvl>
    <w:lvl w:ilvl="4" w:tplc="42B0D982">
      <w:start w:val="1"/>
      <w:numFmt w:val="bullet"/>
      <w:lvlText w:val="•"/>
      <w:lvlJc w:val="left"/>
      <w:pPr>
        <w:ind w:left="3757" w:hanging="216"/>
      </w:pPr>
      <w:rPr>
        <w:rFonts w:hint="default"/>
      </w:rPr>
    </w:lvl>
    <w:lvl w:ilvl="5" w:tplc="E3BC695C">
      <w:start w:val="1"/>
      <w:numFmt w:val="bullet"/>
      <w:lvlText w:val="•"/>
      <w:lvlJc w:val="left"/>
      <w:pPr>
        <w:ind w:left="4615" w:hanging="216"/>
      </w:pPr>
      <w:rPr>
        <w:rFonts w:hint="default"/>
      </w:rPr>
    </w:lvl>
    <w:lvl w:ilvl="6" w:tplc="7ACC6770">
      <w:start w:val="1"/>
      <w:numFmt w:val="bullet"/>
      <w:lvlText w:val="•"/>
      <w:lvlJc w:val="left"/>
      <w:pPr>
        <w:ind w:left="5474" w:hanging="216"/>
      </w:pPr>
      <w:rPr>
        <w:rFonts w:hint="default"/>
      </w:rPr>
    </w:lvl>
    <w:lvl w:ilvl="7" w:tplc="8D068D66">
      <w:start w:val="1"/>
      <w:numFmt w:val="bullet"/>
      <w:lvlText w:val="•"/>
      <w:lvlJc w:val="left"/>
      <w:pPr>
        <w:ind w:left="6332" w:hanging="216"/>
      </w:pPr>
      <w:rPr>
        <w:rFonts w:hint="default"/>
      </w:rPr>
    </w:lvl>
    <w:lvl w:ilvl="8" w:tplc="E7101578">
      <w:start w:val="1"/>
      <w:numFmt w:val="bullet"/>
      <w:lvlText w:val="•"/>
      <w:lvlJc w:val="left"/>
      <w:pPr>
        <w:ind w:left="7191" w:hanging="216"/>
      </w:pPr>
      <w:rPr>
        <w:rFonts w:hint="default"/>
      </w:rPr>
    </w:lvl>
  </w:abstractNum>
  <w:abstractNum w:abstractNumId="35" w15:restartNumberingAfterBreak="0">
    <w:nsid w:val="40F53038"/>
    <w:multiLevelType w:val="multilevel"/>
    <w:tmpl w:val="71C6309E"/>
    <w:lvl w:ilvl="0">
      <w:start w:val="2"/>
      <w:numFmt w:val="decimal"/>
      <w:lvlText w:val="%1"/>
      <w:lvlJc w:val="left"/>
      <w:pPr>
        <w:ind w:left="695" w:hanging="567"/>
        <w:jc w:val="left"/>
      </w:pPr>
      <w:rPr>
        <w:rFonts w:hint="default"/>
      </w:rPr>
    </w:lvl>
    <w:lvl w:ilvl="1">
      <w:start w:val="3"/>
      <w:numFmt w:val="decimal"/>
      <w:lvlText w:val="%1.%2."/>
      <w:lvlJc w:val="left"/>
      <w:pPr>
        <w:ind w:left="695" w:hanging="567"/>
        <w:jc w:val="left"/>
      </w:pPr>
      <w:rPr>
        <w:rFonts w:ascii="Times New Roman" w:eastAsia="Times New Roman" w:hAnsi="Times New Roman" w:hint="default"/>
        <w:b/>
        <w:bCs/>
        <w:i/>
        <w:sz w:val="24"/>
        <w:szCs w:val="24"/>
      </w:rPr>
    </w:lvl>
    <w:lvl w:ilvl="2">
      <w:start w:val="1"/>
      <w:numFmt w:val="decimal"/>
      <w:lvlText w:val="%1.%2.%3."/>
      <w:lvlJc w:val="left"/>
      <w:pPr>
        <w:ind w:left="837" w:hanging="708"/>
        <w:jc w:val="right"/>
      </w:pPr>
      <w:rPr>
        <w:rFonts w:ascii="Times New Roman" w:eastAsia="Times New Roman" w:hAnsi="Times New Roman" w:hint="default"/>
        <w:b/>
        <w:bCs/>
        <w:i/>
        <w:sz w:val="24"/>
        <w:szCs w:val="24"/>
      </w:rPr>
    </w:lvl>
    <w:lvl w:ilvl="3">
      <w:start w:val="1"/>
      <w:numFmt w:val="bullet"/>
      <w:lvlText w:val="•"/>
      <w:lvlJc w:val="left"/>
      <w:pPr>
        <w:ind w:left="2657" w:hanging="708"/>
      </w:pPr>
      <w:rPr>
        <w:rFonts w:hint="default"/>
      </w:rPr>
    </w:lvl>
    <w:lvl w:ilvl="4">
      <w:start w:val="1"/>
      <w:numFmt w:val="bullet"/>
      <w:lvlText w:val="•"/>
      <w:lvlJc w:val="left"/>
      <w:pPr>
        <w:ind w:left="3566" w:hanging="708"/>
      </w:pPr>
      <w:rPr>
        <w:rFonts w:hint="default"/>
      </w:rPr>
    </w:lvl>
    <w:lvl w:ilvl="5">
      <w:start w:val="1"/>
      <w:numFmt w:val="bullet"/>
      <w:lvlText w:val="•"/>
      <w:lvlJc w:val="left"/>
      <w:pPr>
        <w:ind w:left="4476" w:hanging="708"/>
      </w:pPr>
      <w:rPr>
        <w:rFonts w:hint="default"/>
      </w:rPr>
    </w:lvl>
    <w:lvl w:ilvl="6">
      <w:start w:val="1"/>
      <w:numFmt w:val="bullet"/>
      <w:lvlText w:val="•"/>
      <w:lvlJc w:val="left"/>
      <w:pPr>
        <w:ind w:left="5386" w:hanging="708"/>
      </w:pPr>
      <w:rPr>
        <w:rFonts w:hint="default"/>
      </w:rPr>
    </w:lvl>
    <w:lvl w:ilvl="7">
      <w:start w:val="1"/>
      <w:numFmt w:val="bullet"/>
      <w:lvlText w:val="•"/>
      <w:lvlJc w:val="left"/>
      <w:pPr>
        <w:ind w:left="6296" w:hanging="708"/>
      </w:pPr>
      <w:rPr>
        <w:rFonts w:hint="default"/>
      </w:rPr>
    </w:lvl>
    <w:lvl w:ilvl="8">
      <w:start w:val="1"/>
      <w:numFmt w:val="bullet"/>
      <w:lvlText w:val="•"/>
      <w:lvlJc w:val="left"/>
      <w:pPr>
        <w:ind w:left="7206" w:hanging="708"/>
      </w:pPr>
      <w:rPr>
        <w:rFonts w:hint="default"/>
      </w:rPr>
    </w:lvl>
  </w:abstractNum>
  <w:abstractNum w:abstractNumId="36" w15:restartNumberingAfterBreak="0">
    <w:nsid w:val="4120203D"/>
    <w:multiLevelType w:val="multilevel"/>
    <w:tmpl w:val="639CE596"/>
    <w:lvl w:ilvl="0">
      <w:start w:val="2"/>
      <w:numFmt w:val="decimal"/>
      <w:lvlText w:val="%1"/>
      <w:lvlJc w:val="left"/>
      <w:pPr>
        <w:ind w:left="675" w:hanging="567"/>
        <w:jc w:val="left"/>
      </w:pPr>
      <w:rPr>
        <w:rFonts w:hint="default"/>
      </w:rPr>
    </w:lvl>
    <w:lvl w:ilvl="1">
      <w:start w:val="5"/>
      <w:numFmt w:val="decimal"/>
      <w:lvlText w:val="%1.%2."/>
      <w:lvlJc w:val="left"/>
      <w:pPr>
        <w:ind w:left="675" w:hanging="567"/>
        <w:jc w:val="left"/>
      </w:pPr>
      <w:rPr>
        <w:rFonts w:ascii="Times New Roman" w:eastAsia="Times New Roman" w:hAnsi="Times New Roman" w:hint="default"/>
        <w:b/>
        <w:bCs/>
        <w:i/>
        <w:sz w:val="24"/>
        <w:szCs w:val="24"/>
      </w:rPr>
    </w:lvl>
    <w:lvl w:ilvl="2">
      <w:start w:val="1"/>
      <w:numFmt w:val="decimal"/>
      <w:lvlText w:val="%1.%2.%3."/>
      <w:lvlJc w:val="left"/>
      <w:pPr>
        <w:ind w:left="817" w:hanging="708"/>
        <w:jc w:val="right"/>
      </w:pPr>
      <w:rPr>
        <w:rFonts w:ascii="Times New Roman" w:eastAsia="Times New Roman" w:hAnsi="Times New Roman" w:hint="default"/>
        <w:b/>
        <w:bCs/>
        <w:i/>
        <w:sz w:val="24"/>
        <w:szCs w:val="24"/>
      </w:rPr>
    </w:lvl>
    <w:lvl w:ilvl="3">
      <w:start w:val="1"/>
      <w:numFmt w:val="bullet"/>
      <w:lvlText w:val="•"/>
      <w:lvlJc w:val="left"/>
      <w:pPr>
        <w:ind w:left="2632" w:hanging="708"/>
      </w:pPr>
      <w:rPr>
        <w:rFonts w:hint="default"/>
      </w:rPr>
    </w:lvl>
    <w:lvl w:ilvl="4">
      <w:start w:val="1"/>
      <w:numFmt w:val="bullet"/>
      <w:lvlText w:val="•"/>
      <w:lvlJc w:val="left"/>
      <w:pPr>
        <w:ind w:left="3540" w:hanging="708"/>
      </w:pPr>
      <w:rPr>
        <w:rFonts w:hint="default"/>
      </w:rPr>
    </w:lvl>
    <w:lvl w:ilvl="5">
      <w:start w:val="1"/>
      <w:numFmt w:val="bullet"/>
      <w:lvlText w:val="•"/>
      <w:lvlJc w:val="left"/>
      <w:pPr>
        <w:ind w:left="4447" w:hanging="708"/>
      </w:pPr>
      <w:rPr>
        <w:rFonts w:hint="default"/>
      </w:rPr>
    </w:lvl>
    <w:lvl w:ilvl="6">
      <w:start w:val="1"/>
      <w:numFmt w:val="bullet"/>
      <w:lvlText w:val="•"/>
      <w:lvlJc w:val="left"/>
      <w:pPr>
        <w:ind w:left="5355" w:hanging="708"/>
      </w:pPr>
      <w:rPr>
        <w:rFonts w:hint="default"/>
      </w:rPr>
    </w:lvl>
    <w:lvl w:ilvl="7">
      <w:start w:val="1"/>
      <w:numFmt w:val="bullet"/>
      <w:lvlText w:val="•"/>
      <w:lvlJc w:val="left"/>
      <w:pPr>
        <w:ind w:left="6263" w:hanging="708"/>
      </w:pPr>
      <w:rPr>
        <w:rFonts w:hint="default"/>
      </w:rPr>
    </w:lvl>
    <w:lvl w:ilvl="8">
      <w:start w:val="1"/>
      <w:numFmt w:val="bullet"/>
      <w:lvlText w:val="•"/>
      <w:lvlJc w:val="left"/>
      <w:pPr>
        <w:ind w:left="7171" w:hanging="708"/>
      </w:pPr>
      <w:rPr>
        <w:rFonts w:hint="default"/>
      </w:rPr>
    </w:lvl>
  </w:abstractNum>
  <w:abstractNum w:abstractNumId="37" w15:restartNumberingAfterBreak="0">
    <w:nsid w:val="41CB3F02"/>
    <w:multiLevelType w:val="hybridMultilevel"/>
    <w:tmpl w:val="C234E0A4"/>
    <w:lvl w:ilvl="0" w:tplc="6DCCA6AA">
      <w:start w:val="1"/>
      <w:numFmt w:val="bullet"/>
      <w:lvlText w:val="-"/>
      <w:lvlJc w:val="left"/>
      <w:pPr>
        <w:ind w:left="546" w:hanging="147"/>
      </w:pPr>
      <w:rPr>
        <w:rFonts w:ascii="Times New Roman" w:eastAsia="Times New Roman" w:hAnsi="Times New Roman" w:hint="default"/>
        <w:w w:val="99"/>
        <w:sz w:val="20"/>
        <w:szCs w:val="20"/>
      </w:rPr>
    </w:lvl>
    <w:lvl w:ilvl="1" w:tplc="6ECE2F48">
      <w:start w:val="1"/>
      <w:numFmt w:val="bullet"/>
      <w:lvlText w:val=""/>
      <w:lvlJc w:val="left"/>
      <w:pPr>
        <w:ind w:left="826" w:hanging="360"/>
      </w:pPr>
      <w:rPr>
        <w:rFonts w:ascii="Symbol" w:eastAsia="Symbol" w:hAnsi="Symbol" w:hint="default"/>
        <w:sz w:val="24"/>
        <w:szCs w:val="24"/>
      </w:rPr>
    </w:lvl>
    <w:lvl w:ilvl="2" w:tplc="23106080">
      <w:start w:val="1"/>
      <w:numFmt w:val="bullet"/>
      <w:lvlText w:val="•"/>
      <w:lvlJc w:val="left"/>
      <w:pPr>
        <w:ind w:left="1717" w:hanging="360"/>
      </w:pPr>
      <w:rPr>
        <w:rFonts w:hint="default"/>
      </w:rPr>
    </w:lvl>
    <w:lvl w:ilvl="3" w:tplc="6A7813FC">
      <w:start w:val="1"/>
      <w:numFmt w:val="bullet"/>
      <w:lvlText w:val="•"/>
      <w:lvlJc w:val="left"/>
      <w:pPr>
        <w:ind w:left="2608" w:hanging="360"/>
      </w:pPr>
      <w:rPr>
        <w:rFonts w:hint="default"/>
      </w:rPr>
    </w:lvl>
    <w:lvl w:ilvl="4" w:tplc="EDE03A76">
      <w:start w:val="1"/>
      <w:numFmt w:val="bullet"/>
      <w:lvlText w:val="•"/>
      <w:lvlJc w:val="left"/>
      <w:pPr>
        <w:ind w:left="3500" w:hanging="360"/>
      </w:pPr>
      <w:rPr>
        <w:rFonts w:hint="default"/>
      </w:rPr>
    </w:lvl>
    <w:lvl w:ilvl="5" w:tplc="3872D38C">
      <w:start w:val="1"/>
      <w:numFmt w:val="bullet"/>
      <w:lvlText w:val="•"/>
      <w:lvlJc w:val="left"/>
      <w:pPr>
        <w:ind w:left="4391" w:hanging="360"/>
      </w:pPr>
      <w:rPr>
        <w:rFonts w:hint="default"/>
      </w:rPr>
    </w:lvl>
    <w:lvl w:ilvl="6" w:tplc="220A1B6A">
      <w:start w:val="1"/>
      <w:numFmt w:val="bullet"/>
      <w:lvlText w:val="•"/>
      <w:lvlJc w:val="left"/>
      <w:pPr>
        <w:ind w:left="5282" w:hanging="360"/>
      </w:pPr>
      <w:rPr>
        <w:rFonts w:hint="default"/>
      </w:rPr>
    </w:lvl>
    <w:lvl w:ilvl="7" w:tplc="F7E815E8">
      <w:start w:val="1"/>
      <w:numFmt w:val="bullet"/>
      <w:lvlText w:val="•"/>
      <w:lvlJc w:val="left"/>
      <w:pPr>
        <w:ind w:left="6173" w:hanging="360"/>
      </w:pPr>
      <w:rPr>
        <w:rFonts w:hint="default"/>
      </w:rPr>
    </w:lvl>
    <w:lvl w:ilvl="8" w:tplc="C2E8CEAE">
      <w:start w:val="1"/>
      <w:numFmt w:val="bullet"/>
      <w:lvlText w:val="•"/>
      <w:lvlJc w:val="left"/>
      <w:pPr>
        <w:ind w:left="7064" w:hanging="360"/>
      </w:pPr>
      <w:rPr>
        <w:rFonts w:hint="default"/>
      </w:rPr>
    </w:lvl>
  </w:abstractNum>
  <w:abstractNum w:abstractNumId="38" w15:restartNumberingAfterBreak="0">
    <w:nsid w:val="45367CBB"/>
    <w:multiLevelType w:val="hybridMultilevel"/>
    <w:tmpl w:val="D8CA6A08"/>
    <w:lvl w:ilvl="0" w:tplc="407EB2F2">
      <w:start w:val="1"/>
      <w:numFmt w:val="bullet"/>
      <w:lvlText w:val="-"/>
      <w:lvlJc w:val="left"/>
      <w:pPr>
        <w:ind w:left="109" w:hanging="195"/>
      </w:pPr>
      <w:rPr>
        <w:rFonts w:ascii="Times New Roman" w:eastAsia="Times New Roman" w:hAnsi="Times New Roman" w:hint="default"/>
        <w:b/>
        <w:bCs/>
        <w:sz w:val="24"/>
        <w:szCs w:val="24"/>
      </w:rPr>
    </w:lvl>
    <w:lvl w:ilvl="1" w:tplc="6EB0CF98">
      <w:start w:val="1"/>
      <w:numFmt w:val="bullet"/>
      <w:lvlText w:val=""/>
      <w:lvlJc w:val="left"/>
      <w:pPr>
        <w:ind w:left="829" w:hanging="360"/>
      </w:pPr>
      <w:rPr>
        <w:rFonts w:ascii="Wingdings" w:eastAsia="Wingdings" w:hAnsi="Wingdings" w:hint="default"/>
        <w:sz w:val="22"/>
        <w:szCs w:val="22"/>
      </w:rPr>
    </w:lvl>
    <w:lvl w:ilvl="2" w:tplc="7F542B60">
      <w:start w:val="1"/>
      <w:numFmt w:val="bullet"/>
      <w:lvlText w:val="•"/>
      <w:lvlJc w:val="left"/>
      <w:pPr>
        <w:ind w:left="1735" w:hanging="360"/>
      </w:pPr>
      <w:rPr>
        <w:rFonts w:hint="default"/>
      </w:rPr>
    </w:lvl>
    <w:lvl w:ilvl="3" w:tplc="86D4FBA4">
      <w:start w:val="1"/>
      <w:numFmt w:val="bullet"/>
      <w:lvlText w:val="•"/>
      <w:lvlJc w:val="left"/>
      <w:pPr>
        <w:ind w:left="2641" w:hanging="360"/>
      </w:pPr>
      <w:rPr>
        <w:rFonts w:hint="default"/>
      </w:rPr>
    </w:lvl>
    <w:lvl w:ilvl="4" w:tplc="81AAD718">
      <w:start w:val="1"/>
      <w:numFmt w:val="bullet"/>
      <w:lvlText w:val="•"/>
      <w:lvlJc w:val="left"/>
      <w:pPr>
        <w:ind w:left="3548" w:hanging="360"/>
      </w:pPr>
      <w:rPr>
        <w:rFonts w:hint="default"/>
      </w:rPr>
    </w:lvl>
    <w:lvl w:ilvl="5" w:tplc="63E4B4B2">
      <w:start w:val="1"/>
      <w:numFmt w:val="bullet"/>
      <w:lvlText w:val="•"/>
      <w:lvlJc w:val="left"/>
      <w:pPr>
        <w:ind w:left="4454" w:hanging="360"/>
      </w:pPr>
      <w:rPr>
        <w:rFonts w:hint="default"/>
      </w:rPr>
    </w:lvl>
    <w:lvl w:ilvl="6" w:tplc="A4AC061C">
      <w:start w:val="1"/>
      <w:numFmt w:val="bullet"/>
      <w:lvlText w:val="•"/>
      <w:lvlJc w:val="left"/>
      <w:pPr>
        <w:ind w:left="5360" w:hanging="360"/>
      </w:pPr>
      <w:rPr>
        <w:rFonts w:hint="default"/>
      </w:rPr>
    </w:lvl>
    <w:lvl w:ilvl="7" w:tplc="C6A09B14">
      <w:start w:val="1"/>
      <w:numFmt w:val="bullet"/>
      <w:lvlText w:val="•"/>
      <w:lvlJc w:val="left"/>
      <w:pPr>
        <w:ind w:left="6267" w:hanging="360"/>
      </w:pPr>
      <w:rPr>
        <w:rFonts w:hint="default"/>
      </w:rPr>
    </w:lvl>
    <w:lvl w:ilvl="8" w:tplc="F6FEF08C">
      <w:start w:val="1"/>
      <w:numFmt w:val="bullet"/>
      <w:lvlText w:val="•"/>
      <w:lvlJc w:val="left"/>
      <w:pPr>
        <w:ind w:left="7173" w:hanging="360"/>
      </w:pPr>
      <w:rPr>
        <w:rFonts w:hint="default"/>
      </w:rPr>
    </w:lvl>
  </w:abstractNum>
  <w:abstractNum w:abstractNumId="39" w15:restartNumberingAfterBreak="0">
    <w:nsid w:val="46B43871"/>
    <w:multiLevelType w:val="hybridMultilevel"/>
    <w:tmpl w:val="31B088AE"/>
    <w:lvl w:ilvl="0" w:tplc="EE1EA98A">
      <w:start w:val="1"/>
      <w:numFmt w:val="bullet"/>
      <w:lvlText w:val="—"/>
      <w:lvlJc w:val="left"/>
      <w:pPr>
        <w:ind w:left="824" w:hanging="360"/>
      </w:pPr>
      <w:rPr>
        <w:rFonts w:ascii="Times New Roman" w:eastAsia="Times New Roman" w:hAnsi="Times New Roman" w:hint="default"/>
        <w:sz w:val="24"/>
        <w:szCs w:val="24"/>
      </w:rPr>
    </w:lvl>
    <w:lvl w:ilvl="1" w:tplc="A6CC8E0E">
      <w:start w:val="1"/>
      <w:numFmt w:val="bullet"/>
      <w:lvlText w:val="•"/>
      <w:lvlJc w:val="left"/>
      <w:pPr>
        <w:ind w:left="1166" w:hanging="360"/>
      </w:pPr>
      <w:rPr>
        <w:rFonts w:hint="default"/>
      </w:rPr>
    </w:lvl>
    <w:lvl w:ilvl="2" w:tplc="2A009872">
      <w:start w:val="1"/>
      <w:numFmt w:val="bullet"/>
      <w:lvlText w:val="•"/>
      <w:lvlJc w:val="left"/>
      <w:pPr>
        <w:ind w:left="1508" w:hanging="360"/>
      </w:pPr>
      <w:rPr>
        <w:rFonts w:hint="default"/>
      </w:rPr>
    </w:lvl>
    <w:lvl w:ilvl="3" w:tplc="FBD6CFDE">
      <w:start w:val="1"/>
      <w:numFmt w:val="bullet"/>
      <w:lvlText w:val="•"/>
      <w:lvlJc w:val="left"/>
      <w:pPr>
        <w:ind w:left="1849" w:hanging="360"/>
      </w:pPr>
      <w:rPr>
        <w:rFonts w:hint="default"/>
      </w:rPr>
    </w:lvl>
    <w:lvl w:ilvl="4" w:tplc="25244C50">
      <w:start w:val="1"/>
      <w:numFmt w:val="bullet"/>
      <w:lvlText w:val="•"/>
      <w:lvlJc w:val="left"/>
      <w:pPr>
        <w:ind w:left="2191" w:hanging="360"/>
      </w:pPr>
      <w:rPr>
        <w:rFonts w:hint="default"/>
      </w:rPr>
    </w:lvl>
    <w:lvl w:ilvl="5" w:tplc="1CA07338">
      <w:start w:val="1"/>
      <w:numFmt w:val="bullet"/>
      <w:lvlText w:val="•"/>
      <w:lvlJc w:val="left"/>
      <w:pPr>
        <w:ind w:left="2533" w:hanging="360"/>
      </w:pPr>
      <w:rPr>
        <w:rFonts w:hint="default"/>
      </w:rPr>
    </w:lvl>
    <w:lvl w:ilvl="6" w:tplc="B5FC05F8">
      <w:start w:val="1"/>
      <w:numFmt w:val="bullet"/>
      <w:lvlText w:val="•"/>
      <w:lvlJc w:val="left"/>
      <w:pPr>
        <w:ind w:left="2874" w:hanging="360"/>
      </w:pPr>
      <w:rPr>
        <w:rFonts w:hint="default"/>
      </w:rPr>
    </w:lvl>
    <w:lvl w:ilvl="7" w:tplc="78028066">
      <w:start w:val="1"/>
      <w:numFmt w:val="bullet"/>
      <w:lvlText w:val="•"/>
      <w:lvlJc w:val="left"/>
      <w:pPr>
        <w:ind w:left="3216" w:hanging="360"/>
      </w:pPr>
      <w:rPr>
        <w:rFonts w:hint="default"/>
      </w:rPr>
    </w:lvl>
    <w:lvl w:ilvl="8" w:tplc="3184E082">
      <w:start w:val="1"/>
      <w:numFmt w:val="bullet"/>
      <w:lvlText w:val="•"/>
      <w:lvlJc w:val="left"/>
      <w:pPr>
        <w:ind w:left="3558" w:hanging="360"/>
      </w:pPr>
      <w:rPr>
        <w:rFonts w:hint="default"/>
      </w:rPr>
    </w:lvl>
  </w:abstractNum>
  <w:abstractNum w:abstractNumId="40" w15:restartNumberingAfterBreak="0">
    <w:nsid w:val="47BB0813"/>
    <w:multiLevelType w:val="hybridMultilevel"/>
    <w:tmpl w:val="ECE822CC"/>
    <w:lvl w:ilvl="0" w:tplc="5D6A2FC8">
      <w:start w:val="1"/>
      <w:numFmt w:val="bullet"/>
      <w:lvlText w:val="*"/>
      <w:lvlJc w:val="left"/>
      <w:pPr>
        <w:ind w:left="39" w:hanging="190"/>
      </w:pPr>
      <w:rPr>
        <w:rFonts w:ascii="Times New Roman" w:eastAsia="Times New Roman" w:hAnsi="Times New Roman" w:hint="default"/>
        <w:sz w:val="24"/>
        <w:szCs w:val="24"/>
      </w:rPr>
    </w:lvl>
    <w:lvl w:ilvl="1" w:tplc="7C3215BC">
      <w:start w:val="1"/>
      <w:numFmt w:val="bullet"/>
      <w:lvlText w:val="•"/>
      <w:lvlJc w:val="left"/>
      <w:pPr>
        <w:ind w:left="460" w:hanging="190"/>
      </w:pPr>
      <w:rPr>
        <w:rFonts w:hint="default"/>
      </w:rPr>
    </w:lvl>
    <w:lvl w:ilvl="2" w:tplc="29642A2E">
      <w:start w:val="1"/>
      <w:numFmt w:val="bullet"/>
      <w:lvlText w:val="•"/>
      <w:lvlJc w:val="left"/>
      <w:pPr>
        <w:ind w:left="881" w:hanging="190"/>
      </w:pPr>
      <w:rPr>
        <w:rFonts w:hint="default"/>
      </w:rPr>
    </w:lvl>
    <w:lvl w:ilvl="3" w:tplc="90A8E782">
      <w:start w:val="1"/>
      <w:numFmt w:val="bullet"/>
      <w:lvlText w:val="•"/>
      <w:lvlJc w:val="left"/>
      <w:pPr>
        <w:ind w:left="1301" w:hanging="190"/>
      </w:pPr>
      <w:rPr>
        <w:rFonts w:hint="default"/>
      </w:rPr>
    </w:lvl>
    <w:lvl w:ilvl="4" w:tplc="0DD86950">
      <w:start w:val="1"/>
      <w:numFmt w:val="bullet"/>
      <w:lvlText w:val="•"/>
      <w:lvlJc w:val="left"/>
      <w:pPr>
        <w:ind w:left="1722" w:hanging="190"/>
      </w:pPr>
      <w:rPr>
        <w:rFonts w:hint="default"/>
      </w:rPr>
    </w:lvl>
    <w:lvl w:ilvl="5" w:tplc="93C6A9E2">
      <w:start w:val="1"/>
      <w:numFmt w:val="bullet"/>
      <w:lvlText w:val="•"/>
      <w:lvlJc w:val="left"/>
      <w:pPr>
        <w:ind w:left="2143" w:hanging="190"/>
      </w:pPr>
      <w:rPr>
        <w:rFonts w:hint="default"/>
      </w:rPr>
    </w:lvl>
    <w:lvl w:ilvl="6" w:tplc="B00AEFC8">
      <w:start w:val="1"/>
      <w:numFmt w:val="bullet"/>
      <w:lvlText w:val="•"/>
      <w:lvlJc w:val="left"/>
      <w:pPr>
        <w:ind w:left="2564" w:hanging="190"/>
      </w:pPr>
      <w:rPr>
        <w:rFonts w:hint="default"/>
      </w:rPr>
    </w:lvl>
    <w:lvl w:ilvl="7" w:tplc="7980C7BA">
      <w:start w:val="1"/>
      <w:numFmt w:val="bullet"/>
      <w:lvlText w:val="•"/>
      <w:lvlJc w:val="left"/>
      <w:pPr>
        <w:ind w:left="2984" w:hanging="190"/>
      </w:pPr>
      <w:rPr>
        <w:rFonts w:hint="default"/>
      </w:rPr>
    </w:lvl>
    <w:lvl w:ilvl="8" w:tplc="A814A6F6">
      <w:start w:val="1"/>
      <w:numFmt w:val="bullet"/>
      <w:lvlText w:val="•"/>
      <w:lvlJc w:val="left"/>
      <w:pPr>
        <w:ind w:left="3405" w:hanging="190"/>
      </w:pPr>
      <w:rPr>
        <w:rFonts w:hint="default"/>
      </w:rPr>
    </w:lvl>
  </w:abstractNum>
  <w:abstractNum w:abstractNumId="41" w15:restartNumberingAfterBreak="0">
    <w:nsid w:val="4C2C72DB"/>
    <w:multiLevelType w:val="multilevel"/>
    <w:tmpl w:val="4BDA3FC2"/>
    <w:lvl w:ilvl="0">
      <w:start w:val="3"/>
      <w:numFmt w:val="decimal"/>
      <w:lvlText w:val="%1."/>
      <w:lvlJc w:val="left"/>
      <w:pPr>
        <w:ind w:left="589" w:hanging="480"/>
        <w:jc w:val="left"/>
      </w:pPr>
      <w:rPr>
        <w:rFonts w:ascii="Times New Roman" w:eastAsia="Times New Roman" w:hAnsi="Times New Roman" w:hint="default"/>
        <w:b/>
        <w:bCs/>
        <w:spacing w:val="1"/>
        <w:sz w:val="28"/>
        <w:szCs w:val="28"/>
      </w:rPr>
    </w:lvl>
    <w:lvl w:ilvl="1">
      <w:start w:val="1"/>
      <w:numFmt w:val="decimal"/>
      <w:lvlText w:val="%1.%2."/>
      <w:lvlJc w:val="left"/>
      <w:pPr>
        <w:ind w:left="675" w:hanging="567"/>
        <w:jc w:val="right"/>
      </w:pPr>
      <w:rPr>
        <w:rFonts w:ascii="Times New Roman" w:eastAsia="Times New Roman" w:hAnsi="Times New Roman" w:hint="default"/>
        <w:b/>
        <w:bCs/>
        <w:i/>
        <w:sz w:val="24"/>
        <w:szCs w:val="24"/>
      </w:rPr>
    </w:lvl>
    <w:lvl w:ilvl="2">
      <w:start w:val="1"/>
      <w:numFmt w:val="decimal"/>
      <w:lvlText w:val="%1.%2.%3."/>
      <w:lvlJc w:val="left"/>
      <w:pPr>
        <w:ind w:left="817" w:hanging="708"/>
        <w:jc w:val="right"/>
      </w:pPr>
      <w:rPr>
        <w:rFonts w:ascii="Times New Roman" w:eastAsia="Times New Roman" w:hAnsi="Times New Roman" w:hint="default"/>
        <w:b/>
        <w:bCs/>
        <w:i/>
        <w:sz w:val="24"/>
        <w:szCs w:val="24"/>
      </w:rPr>
    </w:lvl>
    <w:lvl w:ilvl="3">
      <w:start w:val="1"/>
      <w:numFmt w:val="bullet"/>
      <w:lvlText w:val="•"/>
      <w:lvlJc w:val="left"/>
      <w:pPr>
        <w:ind w:left="957" w:hanging="708"/>
      </w:pPr>
      <w:rPr>
        <w:rFonts w:hint="default"/>
      </w:rPr>
    </w:lvl>
    <w:lvl w:ilvl="4">
      <w:start w:val="1"/>
      <w:numFmt w:val="bullet"/>
      <w:lvlText w:val="•"/>
      <w:lvlJc w:val="left"/>
      <w:pPr>
        <w:ind w:left="2104" w:hanging="708"/>
      </w:pPr>
      <w:rPr>
        <w:rFonts w:hint="default"/>
      </w:rPr>
    </w:lvl>
    <w:lvl w:ilvl="5">
      <w:start w:val="1"/>
      <w:numFmt w:val="bullet"/>
      <w:lvlText w:val="•"/>
      <w:lvlJc w:val="left"/>
      <w:pPr>
        <w:ind w:left="3251" w:hanging="708"/>
      </w:pPr>
      <w:rPr>
        <w:rFonts w:hint="default"/>
      </w:rPr>
    </w:lvl>
    <w:lvl w:ilvl="6">
      <w:start w:val="1"/>
      <w:numFmt w:val="bullet"/>
      <w:lvlText w:val="•"/>
      <w:lvlJc w:val="left"/>
      <w:pPr>
        <w:ind w:left="4398" w:hanging="708"/>
      </w:pPr>
      <w:rPr>
        <w:rFonts w:hint="default"/>
      </w:rPr>
    </w:lvl>
    <w:lvl w:ilvl="7">
      <w:start w:val="1"/>
      <w:numFmt w:val="bullet"/>
      <w:lvlText w:val="•"/>
      <w:lvlJc w:val="left"/>
      <w:pPr>
        <w:ind w:left="5545" w:hanging="708"/>
      </w:pPr>
      <w:rPr>
        <w:rFonts w:hint="default"/>
      </w:rPr>
    </w:lvl>
    <w:lvl w:ilvl="8">
      <w:start w:val="1"/>
      <w:numFmt w:val="bullet"/>
      <w:lvlText w:val="•"/>
      <w:lvlJc w:val="left"/>
      <w:pPr>
        <w:ind w:left="6692" w:hanging="708"/>
      </w:pPr>
      <w:rPr>
        <w:rFonts w:hint="default"/>
      </w:rPr>
    </w:lvl>
  </w:abstractNum>
  <w:abstractNum w:abstractNumId="42" w15:restartNumberingAfterBreak="0">
    <w:nsid w:val="4FB175F7"/>
    <w:multiLevelType w:val="hybridMultilevel"/>
    <w:tmpl w:val="B21A067C"/>
    <w:lvl w:ilvl="0" w:tplc="42D0A70A">
      <w:start w:val="1"/>
      <w:numFmt w:val="decimal"/>
      <w:lvlText w:val="%1."/>
      <w:lvlJc w:val="left"/>
      <w:pPr>
        <w:ind w:left="824" w:hanging="360"/>
        <w:jc w:val="left"/>
      </w:pPr>
      <w:rPr>
        <w:rFonts w:ascii="Times New Roman" w:eastAsia="Times New Roman" w:hAnsi="Times New Roman" w:hint="default"/>
        <w:sz w:val="24"/>
        <w:szCs w:val="24"/>
      </w:rPr>
    </w:lvl>
    <w:lvl w:ilvl="1" w:tplc="DDF494B0">
      <w:start w:val="1"/>
      <w:numFmt w:val="bullet"/>
      <w:lvlText w:val="•"/>
      <w:lvlJc w:val="left"/>
      <w:pPr>
        <w:ind w:left="1166" w:hanging="360"/>
      </w:pPr>
      <w:rPr>
        <w:rFonts w:hint="default"/>
      </w:rPr>
    </w:lvl>
    <w:lvl w:ilvl="2" w:tplc="9CB8BFD2">
      <w:start w:val="1"/>
      <w:numFmt w:val="bullet"/>
      <w:lvlText w:val="•"/>
      <w:lvlJc w:val="left"/>
      <w:pPr>
        <w:ind w:left="1508" w:hanging="360"/>
      </w:pPr>
      <w:rPr>
        <w:rFonts w:hint="default"/>
      </w:rPr>
    </w:lvl>
    <w:lvl w:ilvl="3" w:tplc="88F210C2">
      <w:start w:val="1"/>
      <w:numFmt w:val="bullet"/>
      <w:lvlText w:val="•"/>
      <w:lvlJc w:val="left"/>
      <w:pPr>
        <w:ind w:left="1849" w:hanging="360"/>
      </w:pPr>
      <w:rPr>
        <w:rFonts w:hint="default"/>
      </w:rPr>
    </w:lvl>
    <w:lvl w:ilvl="4" w:tplc="37A643F4">
      <w:start w:val="1"/>
      <w:numFmt w:val="bullet"/>
      <w:lvlText w:val="•"/>
      <w:lvlJc w:val="left"/>
      <w:pPr>
        <w:ind w:left="2191" w:hanging="360"/>
      </w:pPr>
      <w:rPr>
        <w:rFonts w:hint="default"/>
      </w:rPr>
    </w:lvl>
    <w:lvl w:ilvl="5" w:tplc="52DC1320">
      <w:start w:val="1"/>
      <w:numFmt w:val="bullet"/>
      <w:lvlText w:val="•"/>
      <w:lvlJc w:val="left"/>
      <w:pPr>
        <w:ind w:left="2533" w:hanging="360"/>
      </w:pPr>
      <w:rPr>
        <w:rFonts w:hint="default"/>
      </w:rPr>
    </w:lvl>
    <w:lvl w:ilvl="6" w:tplc="F8E890A8">
      <w:start w:val="1"/>
      <w:numFmt w:val="bullet"/>
      <w:lvlText w:val="•"/>
      <w:lvlJc w:val="left"/>
      <w:pPr>
        <w:ind w:left="2874" w:hanging="360"/>
      </w:pPr>
      <w:rPr>
        <w:rFonts w:hint="default"/>
      </w:rPr>
    </w:lvl>
    <w:lvl w:ilvl="7" w:tplc="11F2E7B4">
      <w:start w:val="1"/>
      <w:numFmt w:val="bullet"/>
      <w:lvlText w:val="•"/>
      <w:lvlJc w:val="left"/>
      <w:pPr>
        <w:ind w:left="3216" w:hanging="360"/>
      </w:pPr>
      <w:rPr>
        <w:rFonts w:hint="default"/>
      </w:rPr>
    </w:lvl>
    <w:lvl w:ilvl="8" w:tplc="658E6CAC">
      <w:start w:val="1"/>
      <w:numFmt w:val="bullet"/>
      <w:lvlText w:val="•"/>
      <w:lvlJc w:val="left"/>
      <w:pPr>
        <w:ind w:left="3558" w:hanging="360"/>
      </w:pPr>
      <w:rPr>
        <w:rFonts w:hint="default"/>
      </w:rPr>
    </w:lvl>
  </w:abstractNum>
  <w:abstractNum w:abstractNumId="43" w15:restartNumberingAfterBreak="0">
    <w:nsid w:val="502C6282"/>
    <w:multiLevelType w:val="hybridMultilevel"/>
    <w:tmpl w:val="CFEC3AEE"/>
    <w:lvl w:ilvl="0" w:tplc="0A941B84">
      <w:start w:val="4"/>
      <w:numFmt w:val="lowerLetter"/>
      <w:lvlText w:val="%1)"/>
      <w:lvlJc w:val="left"/>
      <w:pPr>
        <w:ind w:left="368" w:hanging="260"/>
        <w:jc w:val="left"/>
      </w:pPr>
      <w:rPr>
        <w:rFonts w:ascii="Times New Roman" w:eastAsia="Times New Roman" w:hAnsi="Times New Roman" w:hint="default"/>
        <w:b/>
        <w:bCs/>
        <w:i/>
        <w:sz w:val="24"/>
        <w:szCs w:val="24"/>
      </w:rPr>
    </w:lvl>
    <w:lvl w:ilvl="1" w:tplc="F692D0E0">
      <w:start w:val="1"/>
      <w:numFmt w:val="bullet"/>
      <w:lvlText w:val=""/>
      <w:lvlJc w:val="left"/>
      <w:pPr>
        <w:ind w:left="829" w:hanging="360"/>
      </w:pPr>
      <w:rPr>
        <w:rFonts w:ascii="Wingdings" w:eastAsia="Wingdings" w:hAnsi="Wingdings" w:hint="default"/>
        <w:sz w:val="24"/>
        <w:szCs w:val="24"/>
      </w:rPr>
    </w:lvl>
    <w:lvl w:ilvl="2" w:tplc="C966F094">
      <w:start w:val="1"/>
      <w:numFmt w:val="bullet"/>
      <w:lvlText w:val="•"/>
      <w:lvlJc w:val="left"/>
      <w:pPr>
        <w:ind w:left="1735" w:hanging="360"/>
      </w:pPr>
      <w:rPr>
        <w:rFonts w:hint="default"/>
      </w:rPr>
    </w:lvl>
    <w:lvl w:ilvl="3" w:tplc="F0B27576">
      <w:start w:val="1"/>
      <w:numFmt w:val="bullet"/>
      <w:lvlText w:val="•"/>
      <w:lvlJc w:val="left"/>
      <w:pPr>
        <w:ind w:left="2641" w:hanging="360"/>
      </w:pPr>
      <w:rPr>
        <w:rFonts w:hint="default"/>
      </w:rPr>
    </w:lvl>
    <w:lvl w:ilvl="4" w:tplc="CECC11C0">
      <w:start w:val="1"/>
      <w:numFmt w:val="bullet"/>
      <w:lvlText w:val="•"/>
      <w:lvlJc w:val="left"/>
      <w:pPr>
        <w:ind w:left="3548" w:hanging="360"/>
      </w:pPr>
      <w:rPr>
        <w:rFonts w:hint="default"/>
      </w:rPr>
    </w:lvl>
    <w:lvl w:ilvl="5" w:tplc="6AB65EFE">
      <w:start w:val="1"/>
      <w:numFmt w:val="bullet"/>
      <w:lvlText w:val="•"/>
      <w:lvlJc w:val="left"/>
      <w:pPr>
        <w:ind w:left="4454" w:hanging="360"/>
      </w:pPr>
      <w:rPr>
        <w:rFonts w:hint="default"/>
      </w:rPr>
    </w:lvl>
    <w:lvl w:ilvl="6" w:tplc="CFBE3666">
      <w:start w:val="1"/>
      <w:numFmt w:val="bullet"/>
      <w:lvlText w:val="•"/>
      <w:lvlJc w:val="left"/>
      <w:pPr>
        <w:ind w:left="5360" w:hanging="360"/>
      </w:pPr>
      <w:rPr>
        <w:rFonts w:hint="default"/>
      </w:rPr>
    </w:lvl>
    <w:lvl w:ilvl="7" w:tplc="460477A4">
      <w:start w:val="1"/>
      <w:numFmt w:val="bullet"/>
      <w:lvlText w:val="•"/>
      <w:lvlJc w:val="left"/>
      <w:pPr>
        <w:ind w:left="6267" w:hanging="360"/>
      </w:pPr>
      <w:rPr>
        <w:rFonts w:hint="default"/>
      </w:rPr>
    </w:lvl>
    <w:lvl w:ilvl="8" w:tplc="45F0643C">
      <w:start w:val="1"/>
      <w:numFmt w:val="bullet"/>
      <w:lvlText w:val="•"/>
      <w:lvlJc w:val="left"/>
      <w:pPr>
        <w:ind w:left="7173" w:hanging="360"/>
      </w:pPr>
      <w:rPr>
        <w:rFonts w:hint="default"/>
      </w:rPr>
    </w:lvl>
  </w:abstractNum>
  <w:abstractNum w:abstractNumId="44" w15:restartNumberingAfterBreak="0">
    <w:nsid w:val="503D68EC"/>
    <w:multiLevelType w:val="hybridMultilevel"/>
    <w:tmpl w:val="D62875B8"/>
    <w:lvl w:ilvl="0" w:tplc="B83C5174">
      <w:start w:val="1"/>
      <w:numFmt w:val="lowerLetter"/>
      <w:lvlText w:val="%1)"/>
      <w:lvlJc w:val="left"/>
      <w:pPr>
        <w:ind w:left="368" w:hanging="260"/>
        <w:jc w:val="left"/>
      </w:pPr>
      <w:rPr>
        <w:rFonts w:ascii="Times New Roman" w:eastAsia="Times New Roman" w:hAnsi="Times New Roman" w:hint="default"/>
        <w:b/>
        <w:bCs/>
        <w:sz w:val="24"/>
        <w:szCs w:val="24"/>
      </w:rPr>
    </w:lvl>
    <w:lvl w:ilvl="1" w:tplc="4BFEC758">
      <w:start w:val="1"/>
      <w:numFmt w:val="bullet"/>
      <w:lvlText w:val=""/>
      <w:lvlJc w:val="left"/>
      <w:pPr>
        <w:ind w:left="829" w:hanging="360"/>
      </w:pPr>
      <w:rPr>
        <w:rFonts w:ascii="Wingdings" w:eastAsia="Wingdings" w:hAnsi="Wingdings" w:hint="default"/>
        <w:sz w:val="24"/>
        <w:szCs w:val="24"/>
      </w:rPr>
    </w:lvl>
    <w:lvl w:ilvl="2" w:tplc="FEF24102">
      <w:start w:val="1"/>
      <w:numFmt w:val="bullet"/>
      <w:lvlText w:val="•"/>
      <w:lvlJc w:val="left"/>
      <w:pPr>
        <w:ind w:left="1735" w:hanging="360"/>
      </w:pPr>
      <w:rPr>
        <w:rFonts w:hint="default"/>
      </w:rPr>
    </w:lvl>
    <w:lvl w:ilvl="3" w:tplc="7EEE1504">
      <w:start w:val="1"/>
      <w:numFmt w:val="bullet"/>
      <w:lvlText w:val="•"/>
      <w:lvlJc w:val="left"/>
      <w:pPr>
        <w:ind w:left="2641" w:hanging="360"/>
      </w:pPr>
      <w:rPr>
        <w:rFonts w:hint="default"/>
      </w:rPr>
    </w:lvl>
    <w:lvl w:ilvl="4" w:tplc="9D985AEC">
      <w:start w:val="1"/>
      <w:numFmt w:val="bullet"/>
      <w:lvlText w:val="•"/>
      <w:lvlJc w:val="left"/>
      <w:pPr>
        <w:ind w:left="3548" w:hanging="360"/>
      </w:pPr>
      <w:rPr>
        <w:rFonts w:hint="default"/>
      </w:rPr>
    </w:lvl>
    <w:lvl w:ilvl="5" w:tplc="99F60B98">
      <w:start w:val="1"/>
      <w:numFmt w:val="bullet"/>
      <w:lvlText w:val="•"/>
      <w:lvlJc w:val="left"/>
      <w:pPr>
        <w:ind w:left="4454" w:hanging="360"/>
      </w:pPr>
      <w:rPr>
        <w:rFonts w:hint="default"/>
      </w:rPr>
    </w:lvl>
    <w:lvl w:ilvl="6" w:tplc="185A9EDC">
      <w:start w:val="1"/>
      <w:numFmt w:val="bullet"/>
      <w:lvlText w:val="•"/>
      <w:lvlJc w:val="left"/>
      <w:pPr>
        <w:ind w:left="5360" w:hanging="360"/>
      </w:pPr>
      <w:rPr>
        <w:rFonts w:hint="default"/>
      </w:rPr>
    </w:lvl>
    <w:lvl w:ilvl="7" w:tplc="D2F6AD30">
      <w:start w:val="1"/>
      <w:numFmt w:val="bullet"/>
      <w:lvlText w:val="•"/>
      <w:lvlJc w:val="left"/>
      <w:pPr>
        <w:ind w:left="6267" w:hanging="360"/>
      </w:pPr>
      <w:rPr>
        <w:rFonts w:hint="default"/>
      </w:rPr>
    </w:lvl>
    <w:lvl w:ilvl="8" w:tplc="9CB09716">
      <w:start w:val="1"/>
      <w:numFmt w:val="bullet"/>
      <w:lvlText w:val="•"/>
      <w:lvlJc w:val="left"/>
      <w:pPr>
        <w:ind w:left="7173" w:hanging="360"/>
      </w:pPr>
      <w:rPr>
        <w:rFonts w:hint="default"/>
      </w:rPr>
    </w:lvl>
  </w:abstractNum>
  <w:abstractNum w:abstractNumId="45" w15:restartNumberingAfterBreak="0">
    <w:nsid w:val="519E5902"/>
    <w:multiLevelType w:val="hybridMultilevel"/>
    <w:tmpl w:val="D940004E"/>
    <w:lvl w:ilvl="0" w:tplc="2C12093C">
      <w:start w:val="1"/>
      <w:numFmt w:val="bullet"/>
      <w:lvlText w:val="-"/>
      <w:lvlJc w:val="left"/>
      <w:pPr>
        <w:ind w:left="109" w:hanging="173"/>
      </w:pPr>
      <w:rPr>
        <w:rFonts w:ascii="Times New Roman" w:eastAsia="Times New Roman" w:hAnsi="Times New Roman" w:hint="default"/>
        <w:sz w:val="23"/>
        <w:szCs w:val="23"/>
      </w:rPr>
    </w:lvl>
    <w:lvl w:ilvl="1" w:tplc="B1EC3CD4">
      <w:start w:val="1"/>
      <w:numFmt w:val="bullet"/>
      <w:lvlText w:val="•"/>
      <w:lvlJc w:val="left"/>
      <w:pPr>
        <w:ind w:left="997" w:hanging="173"/>
      </w:pPr>
      <w:rPr>
        <w:rFonts w:hint="default"/>
      </w:rPr>
    </w:lvl>
    <w:lvl w:ilvl="2" w:tplc="DCF68A28">
      <w:start w:val="1"/>
      <w:numFmt w:val="bullet"/>
      <w:lvlText w:val="•"/>
      <w:lvlJc w:val="left"/>
      <w:pPr>
        <w:ind w:left="1884" w:hanging="173"/>
      </w:pPr>
      <w:rPr>
        <w:rFonts w:hint="default"/>
      </w:rPr>
    </w:lvl>
    <w:lvl w:ilvl="3" w:tplc="ABCAE3A8">
      <w:start w:val="1"/>
      <w:numFmt w:val="bullet"/>
      <w:lvlText w:val="•"/>
      <w:lvlJc w:val="left"/>
      <w:pPr>
        <w:ind w:left="2772" w:hanging="173"/>
      </w:pPr>
      <w:rPr>
        <w:rFonts w:hint="default"/>
      </w:rPr>
    </w:lvl>
    <w:lvl w:ilvl="4" w:tplc="563EF9FA">
      <w:start w:val="1"/>
      <w:numFmt w:val="bullet"/>
      <w:lvlText w:val="•"/>
      <w:lvlJc w:val="left"/>
      <w:pPr>
        <w:ind w:left="3660" w:hanging="173"/>
      </w:pPr>
      <w:rPr>
        <w:rFonts w:hint="default"/>
      </w:rPr>
    </w:lvl>
    <w:lvl w:ilvl="5" w:tplc="B1187C26">
      <w:start w:val="1"/>
      <w:numFmt w:val="bullet"/>
      <w:lvlText w:val="•"/>
      <w:lvlJc w:val="left"/>
      <w:pPr>
        <w:ind w:left="4547" w:hanging="173"/>
      </w:pPr>
      <w:rPr>
        <w:rFonts w:hint="default"/>
      </w:rPr>
    </w:lvl>
    <w:lvl w:ilvl="6" w:tplc="2BF6F21A">
      <w:start w:val="1"/>
      <w:numFmt w:val="bullet"/>
      <w:lvlText w:val="•"/>
      <w:lvlJc w:val="left"/>
      <w:pPr>
        <w:ind w:left="5435" w:hanging="173"/>
      </w:pPr>
      <w:rPr>
        <w:rFonts w:hint="default"/>
      </w:rPr>
    </w:lvl>
    <w:lvl w:ilvl="7" w:tplc="8EDC13F8">
      <w:start w:val="1"/>
      <w:numFmt w:val="bullet"/>
      <w:lvlText w:val="•"/>
      <w:lvlJc w:val="left"/>
      <w:pPr>
        <w:ind w:left="6323" w:hanging="173"/>
      </w:pPr>
      <w:rPr>
        <w:rFonts w:hint="default"/>
      </w:rPr>
    </w:lvl>
    <w:lvl w:ilvl="8" w:tplc="4E8A7A7C">
      <w:start w:val="1"/>
      <w:numFmt w:val="bullet"/>
      <w:lvlText w:val="•"/>
      <w:lvlJc w:val="left"/>
      <w:pPr>
        <w:ind w:left="7210" w:hanging="173"/>
      </w:pPr>
      <w:rPr>
        <w:rFonts w:hint="default"/>
      </w:rPr>
    </w:lvl>
  </w:abstractNum>
  <w:abstractNum w:abstractNumId="46" w15:restartNumberingAfterBreak="0">
    <w:nsid w:val="52901659"/>
    <w:multiLevelType w:val="hybridMultilevel"/>
    <w:tmpl w:val="2A8EF15E"/>
    <w:lvl w:ilvl="0" w:tplc="41F01932">
      <w:start w:val="1"/>
      <w:numFmt w:val="bullet"/>
      <w:lvlText w:val="-"/>
      <w:lvlJc w:val="left"/>
      <w:pPr>
        <w:ind w:left="656" w:hanging="428"/>
      </w:pPr>
      <w:rPr>
        <w:rFonts w:ascii="Arial" w:eastAsia="Arial" w:hAnsi="Arial" w:hint="default"/>
        <w:sz w:val="24"/>
        <w:szCs w:val="24"/>
      </w:rPr>
    </w:lvl>
    <w:lvl w:ilvl="1" w:tplc="160C1A00">
      <w:start w:val="1"/>
      <w:numFmt w:val="bullet"/>
      <w:lvlText w:val="•"/>
      <w:lvlJc w:val="left"/>
      <w:pPr>
        <w:ind w:left="1513" w:hanging="428"/>
      </w:pPr>
      <w:rPr>
        <w:rFonts w:hint="default"/>
      </w:rPr>
    </w:lvl>
    <w:lvl w:ilvl="2" w:tplc="D4B239B0">
      <w:start w:val="1"/>
      <w:numFmt w:val="bullet"/>
      <w:lvlText w:val="•"/>
      <w:lvlJc w:val="left"/>
      <w:pPr>
        <w:ind w:left="2370" w:hanging="428"/>
      </w:pPr>
      <w:rPr>
        <w:rFonts w:hint="default"/>
      </w:rPr>
    </w:lvl>
    <w:lvl w:ilvl="3" w:tplc="A294AB82">
      <w:start w:val="1"/>
      <w:numFmt w:val="bullet"/>
      <w:lvlText w:val="•"/>
      <w:lvlJc w:val="left"/>
      <w:pPr>
        <w:ind w:left="3227" w:hanging="428"/>
      </w:pPr>
      <w:rPr>
        <w:rFonts w:hint="default"/>
      </w:rPr>
    </w:lvl>
    <w:lvl w:ilvl="4" w:tplc="42EE0DB2">
      <w:start w:val="1"/>
      <w:numFmt w:val="bullet"/>
      <w:lvlText w:val="•"/>
      <w:lvlJc w:val="left"/>
      <w:pPr>
        <w:ind w:left="4084" w:hanging="428"/>
      </w:pPr>
      <w:rPr>
        <w:rFonts w:hint="default"/>
      </w:rPr>
    </w:lvl>
    <w:lvl w:ilvl="5" w:tplc="D2664EFC">
      <w:start w:val="1"/>
      <w:numFmt w:val="bullet"/>
      <w:lvlText w:val="•"/>
      <w:lvlJc w:val="left"/>
      <w:pPr>
        <w:ind w:left="4941" w:hanging="428"/>
      </w:pPr>
      <w:rPr>
        <w:rFonts w:hint="default"/>
      </w:rPr>
    </w:lvl>
    <w:lvl w:ilvl="6" w:tplc="69E4AA30">
      <w:start w:val="1"/>
      <w:numFmt w:val="bullet"/>
      <w:lvlText w:val="•"/>
      <w:lvlJc w:val="left"/>
      <w:pPr>
        <w:ind w:left="5798" w:hanging="428"/>
      </w:pPr>
      <w:rPr>
        <w:rFonts w:hint="default"/>
      </w:rPr>
    </w:lvl>
    <w:lvl w:ilvl="7" w:tplc="A0BE2284">
      <w:start w:val="1"/>
      <w:numFmt w:val="bullet"/>
      <w:lvlText w:val="•"/>
      <w:lvlJc w:val="left"/>
      <w:pPr>
        <w:ind w:left="6655" w:hanging="428"/>
      </w:pPr>
      <w:rPr>
        <w:rFonts w:hint="default"/>
      </w:rPr>
    </w:lvl>
    <w:lvl w:ilvl="8" w:tplc="8806F818">
      <w:start w:val="1"/>
      <w:numFmt w:val="bullet"/>
      <w:lvlText w:val="•"/>
      <w:lvlJc w:val="left"/>
      <w:pPr>
        <w:ind w:left="7512" w:hanging="428"/>
      </w:pPr>
      <w:rPr>
        <w:rFonts w:hint="default"/>
      </w:rPr>
    </w:lvl>
  </w:abstractNum>
  <w:abstractNum w:abstractNumId="47" w15:restartNumberingAfterBreak="0">
    <w:nsid w:val="53983483"/>
    <w:multiLevelType w:val="hybridMultilevel"/>
    <w:tmpl w:val="86D874CE"/>
    <w:lvl w:ilvl="0" w:tplc="70341826">
      <w:start w:val="1"/>
      <w:numFmt w:val="lowerLetter"/>
      <w:lvlText w:val="(%1)"/>
      <w:lvlJc w:val="left"/>
      <w:pPr>
        <w:ind w:left="1102" w:hanging="994"/>
        <w:jc w:val="left"/>
      </w:pPr>
      <w:rPr>
        <w:rFonts w:ascii="Times New Roman" w:eastAsia="Times New Roman" w:hAnsi="Times New Roman" w:hint="default"/>
        <w:b/>
        <w:bCs/>
        <w:sz w:val="24"/>
        <w:szCs w:val="24"/>
      </w:rPr>
    </w:lvl>
    <w:lvl w:ilvl="1" w:tplc="E138A258">
      <w:start w:val="1"/>
      <w:numFmt w:val="decimal"/>
      <w:lvlText w:val="%2."/>
      <w:lvlJc w:val="left"/>
      <w:pPr>
        <w:ind w:left="926" w:hanging="363"/>
        <w:jc w:val="right"/>
      </w:pPr>
      <w:rPr>
        <w:rFonts w:ascii="Times New Roman" w:eastAsia="Times New Roman" w:hAnsi="Times New Roman" w:hint="default"/>
        <w:b/>
        <w:bCs/>
        <w:sz w:val="24"/>
        <w:szCs w:val="24"/>
      </w:rPr>
    </w:lvl>
    <w:lvl w:ilvl="2" w:tplc="BB5A0936">
      <w:start w:val="1"/>
      <w:numFmt w:val="lowerLetter"/>
      <w:lvlText w:val="%3)"/>
      <w:lvlJc w:val="left"/>
      <w:pPr>
        <w:ind w:left="814" w:hanging="186"/>
        <w:jc w:val="left"/>
      </w:pPr>
      <w:rPr>
        <w:rFonts w:hint="default"/>
        <w:spacing w:val="-1"/>
        <w:u w:val="single" w:color="000000"/>
      </w:rPr>
    </w:lvl>
    <w:lvl w:ilvl="3" w:tplc="BF3C1C1C">
      <w:start w:val="1"/>
      <w:numFmt w:val="bullet"/>
      <w:lvlText w:val="•"/>
      <w:lvlJc w:val="left"/>
      <w:pPr>
        <w:ind w:left="1672" w:hanging="186"/>
      </w:pPr>
      <w:rPr>
        <w:rFonts w:hint="default"/>
      </w:rPr>
    </w:lvl>
    <w:lvl w:ilvl="4" w:tplc="9F620BCC">
      <w:start w:val="1"/>
      <w:numFmt w:val="bullet"/>
      <w:lvlText w:val="•"/>
      <w:lvlJc w:val="left"/>
      <w:pPr>
        <w:ind w:left="2697" w:hanging="186"/>
      </w:pPr>
      <w:rPr>
        <w:rFonts w:hint="default"/>
      </w:rPr>
    </w:lvl>
    <w:lvl w:ilvl="5" w:tplc="1554B6F2">
      <w:start w:val="1"/>
      <w:numFmt w:val="bullet"/>
      <w:lvlText w:val="•"/>
      <w:lvlJc w:val="left"/>
      <w:pPr>
        <w:ind w:left="3722" w:hanging="186"/>
      </w:pPr>
      <w:rPr>
        <w:rFonts w:hint="default"/>
      </w:rPr>
    </w:lvl>
    <w:lvl w:ilvl="6" w:tplc="0A06D002">
      <w:start w:val="1"/>
      <w:numFmt w:val="bullet"/>
      <w:lvlText w:val="•"/>
      <w:lvlJc w:val="left"/>
      <w:pPr>
        <w:ind w:left="4746" w:hanging="186"/>
      </w:pPr>
      <w:rPr>
        <w:rFonts w:hint="default"/>
      </w:rPr>
    </w:lvl>
    <w:lvl w:ilvl="7" w:tplc="73D2D702">
      <w:start w:val="1"/>
      <w:numFmt w:val="bullet"/>
      <w:lvlText w:val="•"/>
      <w:lvlJc w:val="left"/>
      <w:pPr>
        <w:ind w:left="5771" w:hanging="186"/>
      </w:pPr>
      <w:rPr>
        <w:rFonts w:hint="default"/>
      </w:rPr>
    </w:lvl>
    <w:lvl w:ilvl="8" w:tplc="0BEA7BCC">
      <w:start w:val="1"/>
      <w:numFmt w:val="bullet"/>
      <w:lvlText w:val="•"/>
      <w:lvlJc w:val="left"/>
      <w:pPr>
        <w:ind w:left="6796" w:hanging="186"/>
      </w:pPr>
      <w:rPr>
        <w:rFonts w:hint="default"/>
      </w:rPr>
    </w:lvl>
  </w:abstractNum>
  <w:abstractNum w:abstractNumId="48" w15:restartNumberingAfterBreak="0">
    <w:nsid w:val="53A77D76"/>
    <w:multiLevelType w:val="hybridMultilevel"/>
    <w:tmpl w:val="C744EDD0"/>
    <w:lvl w:ilvl="0" w:tplc="00F064B2">
      <w:start w:val="1"/>
      <w:numFmt w:val="bullet"/>
      <w:lvlText w:val=""/>
      <w:lvlJc w:val="left"/>
      <w:pPr>
        <w:ind w:left="829" w:hanging="360"/>
      </w:pPr>
      <w:rPr>
        <w:rFonts w:ascii="Wingdings" w:eastAsia="Wingdings" w:hAnsi="Wingdings" w:hint="default"/>
        <w:sz w:val="24"/>
        <w:szCs w:val="24"/>
      </w:rPr>
    </w:lvl>
    <w:lvl w:ilvl="1" w:tplc="74F0C0F0">
      <w:start w:val="1"/>
      <w:numFmt w:val="bullet"/>
      <w:lvlText w:val="•"/>
      <w:lvlJc w:val="left"/>
      <w:pPr>
        <w:ind w:left="1644" w:hanging="360"/>
      </w:pPr>
      <w:rPr>
        <w:rFonts w:hint="default"/>
      </w:rPr>
    </w:lvl>
    <w:lvl w:ilvl="2" w:tplc="510CCDFE">
      <w:start w:val="1"/>
      <w:numFmt w:val="bullet"/>
      <w:lvlText w:val="•"/>
      <w:lvlJc w:val="left"/>
      <w:pPr>
        <w:ind w:left="2460" w:hanging="360"/>
      </w:pPr>
      <w:rPr>
        <w:rFonts w:hint="default"/>
      </w:rPr>
    </w:lvl>
    <w:lvl w:ilvl="3" w:tplc="15D83F1C">
      <w:start w:val="1"/>
      <w:numFmt w:val="bullet"/>
      <w:lvlText w:val="•"/>
      <w:lvlJc w:val="left"/>
      <w:pPr>
        <w:ind w:left="3276" w:hanging="360"/>
      </w:pPr>
      <w:rPr>
        <w:rFonts w:hint="default"/>
      </w:rPr>
    </w:lvl>
    <w:lvl w:ilvl="4" w:tplc="818410F0">
      <w:start w:val="1"/>
      <w:numFmt w:val="bullet"/>
      <w:lvlText w:val="•"/>
      <w:lvlJc w:val="left"/>
      <w:pPr>
        <w:ind w:left="4092" w:hanging="360"/>
      </w:pPr>
      <w:rPr>
        <w:rFonts w:hint="default"/>
      </w:rPr>
    </w:lvl>
    <w:lvl w:ilvl="5" w:tplc="0BE240D6">
      <w:start w:val="1"/>
      <w:numFmt w:val="bullet"/>
      <w:lvlText w:val="•"/>
      <w:lvlJc w:val="left"/>
      <w:pPr>
        <w:ind w:left="4907" w:hanging="360"/>
      </w:pPr>
      <w:rPr>
        <w:rFonts w:hint="default"/>
      </w:rPr>
    </w:lvl>
    <w:lvl w:ilvl="6" w:tplc="B2307AC2">
      <w:start w:val="1"/>
      <w:numFmt w:val="bullet"/>
      <w:lvlText w:val="•"/>
      <w:lvlJc w:val="left"/>
      <w:pPr>
        <w:ind w:left="5723" w:hanging="360"/>
      </w:pPr>
      <w:rPr>
        <w:rFonts w:hint="default"/>
      </w:rPr>
    </w:lvl>
    <w:lvl w:ilvl="7" w:tplc="F8A46B24">
      <w:start w:val="1"/>
      <w:numFmt w:val="bullet"/>
      <w:lvlText w:val="•"/>
      <w:lvlJc w:val="left"/>
      <w:pPr>
        <w:ind w:left="6539" w:hanging="360"/>
      </w:pPr>
      <w:rPr>
        <w:rFonts w:hint="default"/>
      </w:rPr>
    </w:lvl>
    <w:lvl w:ilvl="8" w:tplc="D3504AF8">
      <w:start w:val="1"/>
      <w:numFmt w:val="bullet"/>
      <w:lvlText w:val="•"/>
      <w:lvlJc w:val="left"/>
      <w:pPr>
        <w:ind w:left="7354" w:hanging="360"/>
      </w:pPr>
      <w:rPr>
        <w:rFonts w:hint="default"/>
      </w:rPr>
    </w:lvl>
  </w:abstractNum>
  <w:abstractNum w:abstractNumId="49" w15:restartNumberingAfterBreak="0">
    <w:nsid w:val="5CE1002F"/>
    <w:multiLevelType w:val="hybridMultilevel"/>
    <w:tmpl w:val="4C7A3E7C"/>
    <w:lvl w:ilvl="0" w:tplc="A746AE18">
      <w:start w:val="1"/>
      <w:numFmt w:val="lowerLetter"/>
      <w:lvlText w:val="(%1)"/>
      <w:lvlJc w:val="left"/>
      <w:pPr>
        <w:ind w:left="109" w:hanging="325"/>
        <w:jc w:val="left"/>
      </w:pPr>
      <w:rPr>
        <w:rFonts w:ascii="Times New Roman" w:eastAsia="Times New Roman" w:hAnsi="Times New Roman" w:hint="default"/>
        <w:sz w:val="24"/>
        <w:szCs w:val="24"/>
      </w:rPr>
    </w:lvl>
    <w:lvl w:ilvl="1" w:tplc="7DB27A5C">
      <w:start w:val="1"/>
      <w:numFmt w:val="bullet"/>
      <w:lvlText w:val="•"/>
      <w:lvlJc w:val="left"/>
      <w:pPr>
        <w:ind w:left="997" w:hanging="325"/>
      </w:pPr>
      <w:rPr>
        <w:rFonts w:hint="default"/>
      </w:rPr>
    </w:lvl>
    <w:lvl w:ilvl="2" w:tplc="91F872FE">
      <w:start w:val="1"/>
      <w:numFmt w:val="bullet"/>
      <w:lvlText w:val="•"/>
      <w:lvlJc w:val="left"/>
      <w:pPr>
        <w:ind w:left="1884" w:hanging="325"/>
      </w:pPr>
      <w:rPr>
        <w:rFonts w:hint="default"/>
      </w:rPr>
    </w:lvl>
    <w:lvl w:ilvl="3" w:tplc="0D6415BC">
      <w:start w:val="1"/>
      <w:numFmt w:val="bullet"/>
      <w:lvlText w:val="•"/>
      <w:lvlJc w:val="left"/>
      <w:pPr>
        <w:ind w:left="2772" w:hanging="325"/>
      </w:pPr>
      <w:rPr>
        <w:rFonts w:hint="default"/>
      </w:rPr>
    </w:lvl>
    <w:lvl w:ilvl="4" w:tplc="1D2C6BAC">
      <w:start w:val="1"/>
      <w:numFmt w:val="bullet"/>
      <w:lvlText w:val="•"/>
      <w:lvlJc w:val="left"/>
      <w:pPr>
        <w:ind w:left="3660" w:hanging="325"/>
      </w:pPr>
      <w:rPr>
        <w:rFonts w:hint="default"/>
      </w:rPr>
    </w:lvl>
    <w:lvl w:ilvl="5" w:tplc="38E2A6FE">
      <w:start w:val="1"/>
      <w:numFmt w:val="bullet"/>
      <w:lvlText w:val="•"/>
      <w:lvlJc w:val="left"/>
      <w:pPr>
        <w:ind w:left="4547" w:hanging="325"/>
      </w:pPr>
      <w:rPr>
        <w:rFonts w:hint="default"/>
      </w:rPr>
    </w:lvl>
    <w:lvl w:ilvl="6" w:tplc="FA589472">
      <w:start w:val="1"/>
      <w:numFmt w:val="bullet"/>
      <w:lvlText w:val="•"/>
      <w:lvlJc w:val="left"/>
      <w:pPr>
        <w:ind w:left="5435" w:hanging="325"/>
      </w:pPr>
      <w:rPr>
        <w:rFonts w:hint="default"/>
      </w:rPr>
    </w:lvl>
    <w:lvl w:ilvl="7" w:tplc="8034B396">
      <w:start w:val="1"/>
      <w:numFmt w:val="bullet"/>
      <w:lvlText w:val="•"/>
      <w:lvlJc w:val="left"/>
      <w:pPr>
        <w:ind w:left="6323" w:hanging="325"/>
      </w:pPr>
      <w:rPr>
        <w:rFonts w:hint="default"/>
      </w:rPr>
    </w:lvl>
    <w:lvl w:ilvl="8" w:tplc="01E03948">
      <w:start w:val="1"/>
      <w:numFmt w:val="bullet"/>
      <w:lvlText w:val="•"/>
      <w:lvlJc w:val="left"/>
      <w:pPr>
        <w:ind w:left="7210" w:hanging="325"/>
      </w:pPr>
      <w:rPr>
        <w:rFonts w:hint="default"/>
      </w:rPr>
    </w:lvl>
  </w:abstractNum>
  <w:abstractNum w:abstractNumId="50" w15:restartNumberingAfterBreak="0">
    <w:nsid w:val="5DF140A4"/>
    <w:multiLevelType w:val="hybridMultilevel"/>
    <w:tmpl w:val="18862C60"/>
    <w:lvl w:ilvl="0" w:tplc="D08E69A0">
      <w:start w:val="1"/>
      <w:numFmt w:val="bullet"/>
      <w:lvlText w:val=""/>
      <w:lvlJc w:val="left"/>
      <w:pPr>
        <w:ind w:left="385" w:hanging="284"/>
      </w:pPr>
      <w:rPr>
        <w:rFonts w:ascii="Symbol" w:eastAsia="Symbol" w:hAnsi="Symbol" w:hint="default"/>
        <w:sz w:val="24"/>
        <w:szCs w:val="24"/>
      </w:rPr>
    </w:lvl>
    <w:lvl w:ilvl="1" w:tplc="BD1EDBA4">
      <w:start w:val="1"/>
      <w:numFmt w:val="bullet"/>
      <w:lvlText w:val="•"/>
      <w:lvlJc w:val="left"/>
      <w:pPr>
        <w:ind w:left="787" w:hanging="284"/>
      </w:pPr>
      <w:rPr>
        <w:rFonts w:hint="default"/>
      </w:rPr>
    </w:lvl>
    <w:lvl w:ilvl="2" w:tplc="CBCE2F54">
      <w:start w:val="1"/>
      <w:numFmt w:val="bullet"/>
      <w:lvlText w:val="•"/>
      <w:lvlJc w:val="left"/>
      <w:pPr>
        <w:ind w:left="1190" w:hanging="284"/>
      </w:pPr>
      <w:rPr>
        <w:rFonts w:hint="default"/>
      </w:rPr>
    </w:lvl>
    <w:lvl w:ilvl="3" w:tplc="2F6C950E">
      <w:start w:val="1"/>
      <w:numFmt w:val="bullet"/>
      <w:lvlText w:val="•"/>
      <w:lvlJc w:val="left"/>
      <w:pPr>
        <w:ind w:left="1592" w:hanging="284"/>
      </w:pPr>
      <w:rPr>
        <w:rFonts w:hint="default"/>
      </w:rPr>
    </w:lvl>
    <w:lvl w:ilvl="4" w:tplc="AD8694E0">
      <w:start w:val="1"/>
      <w:numFmt w:val="bullet"/>
      <w:lvlText w:val="•"/>
      <w:lvlJc w:val="left"/>
      <w:pPr>
        <w:ind w:left="1995" w:hanging="284"/>
      </w:pPr>
      <w:rPr>
        <w:rFonts w:hint="default"/>
      </w:rPr>
    </w:lvl>
    <w:lvl w:ilvl="5" w:tplc="D0DC2148">
      <w:start w:val="1"/>
      <w:numFmt w:val="bullet"/>
      <w:lvlText w:val="•"/>
      <w:lvlJc w:val="left"/>
      <w:pPr>
        <w:ind w:left="2397" w:hanging="284"/>
      </w:pPr>
      <w:rPr>
        <w:rFonts w:hint="default"/>
      </w:rPr>
    </w:lvl>
    <w:lvl w:ilvl="6" w:tplc="0BE0143A">
      <w:start w:val="1"/>
      <w:numFmt w:val="bullet"/>
      <w:lvlText w:val="•"/>
      <w:lvlJc w:val="left"/>
      <w:pPr>
        <w:ind w:left="2799" w:hanging="284"/>
      </w:pPr>
      <w:rPr>
        <w:rFonts w:hint="default"/>
      </w:rPr>
    </w:lvl>
    <w:lvl w:ilvl="7" w:tplc="5D282E32">
      <w:start w:val="1"/>
      <w:numFmt w:val="bullet"/>
      <w:lvlText w:val="•"/>
      <w:lvlJc w:val="left"/>
      <w:pPr>
        <w:ind w:left="3202" w:hanging="284"/>
      </w:pPr>
      <w:rPr>
        <w:rFonts w:hint="default"/>
      </w:rPr>
    </w:lvl>
    <w:lvl w:ilvl="8" w:tplc="8EE2F714">
      <w:start w:val="1"/>
      <w:numFmt w:val="bullet"/>
      <w:lvlText w:val="•"/>
      <w:lvlJc w:val="left"/>
      <w:pPr>
        <w:ind w:left="3604" w:hanging="284"/>
      </w:pPr>
      <w:rPr>
        <w:rFonts w:hint="default"/>
      </w:rPr>
    </w:lvl>
  </w:abstractNum>
  <w:abstractNum w:abstractNumId="51" w15:restartNumberingAfterBreak="0">
    <w:nsid w:val="5E7D2183"/>
    <w:multiLevelType w:val="hybridMultilevel"/>
    <w:tmpl w:val="C8A4BE8C"/>
    <w:lvl w:ilvl="0" w:tplc="8FDC546E">
      <w:start w:val="1"/>
      <w:numFmt w:val="lowerLetter"/>
      <w:lvlText w:val="%1)"/>
      <w:lvlJc w:val="left"/>
      <w:pPr>
        <w:ind w:left="109" w:hanging="284"/>
        <w:jc w:val="right"/>
      </w:pPr>
      <w:rPr>
        <w:rFonts w:ascii="Times New Roman" w:eastAsia="Times New Roman" w:hAnsi="Times New Roman" w:hint="default"/>
        <w:spacing w:val="-1"/>
        <w:sz w:val="24"/>
        <w:szCs w:val="24"/>
      </w:rPr>
    </w:lvl>
    <w:lvl w:ilvl="1" w:tplc="648809AE">
      <w:start w:val="1"/>
      <w:numFmt w:val="bullet"/>
      <w:lvlText w:val="•"/>
      <w:lvlJc w:val="left"/>
      <w:pPr>
        <w:ind w:left="997" w:hanging="284"/>
      </w:pPr>
      <w:rPr>
        <w:rFonts w:hint="default"/>
      </w:rPr>
    </w:lvl>
    <w:lvl w:ilvl="2" w:tplc="C5142356">
      <w:start w:val="1"/>
      <w:numFmt w:val="bullet"/>
      <w:lvlText w:val="•"/>
      <w:lvlJc w:val="left"/>
      <w:pPr>
        <w:ind w:left="1884" w:hanging="284"/>
      </w:pPr>
      <w:rPr>
        <w:rFonts w:hint="default"/>
      </w:rPr>
    </w:lvl>
    <w:lvl w:ilvl="3" w:tplc="207478CA">
      <w:start w:val="1"/>
      <w:numFmt w:val="bullet"/>
      <w:lvlText w:val="•"/>
      <w:lvlJc w:val="left"/>
      <w:pPr>
        <w:ind w:left="2772" w:hanging="284"/>
      </w:pPr>
      <w:rPr>
        <w:rFonts w:hint="default"/>
      </w:rPr>
    </w:lvl>
    <w:lvl w:ilvl="4" w:tplc="77940396">
      <w:start w:val="1"/>
      <w:numFmt w:val="bullet"/>
      <w:lvlText w:val="•"/>
      <w:lvlJc w:val="left"/>
      <w:pPr>
        <w:ind w:left="3660" w:hanging="284"/>
      </w:pPr>
      <w:rPr>
        <w:rFonts w:hint="default"/>
      </w:rPr>
    </w:lvl>
    <w:lvl w:ilvl="5" w:tplc="D2B895D0">
      <w:start w:val="1"/>
      <w:numFmt w:val="bullet"/>
      <w:lvlText w:val="•"/>
      <w:lvlJc w:val="left"/>
      <w:pPr>
        <w:ind w:left="4547" w:hanging="284"/>
      </w:pPr>
      <w:rPr>
        <w:rFonts w:hint="default"/>
      </w:rPr>
    </w:lvl>
    <w:lvl w:ilvl="6" w:tplc="C3FC53E2">
      <w:start w:val="1"/>
      <w:numFmt w:val="bullet"/>
      <w:lvlText w:val="•"/>
      <w:lvlJc w:val="left"/>
      <w:pPr>
        <w:ind w:left="5435" w:hanging="284"/>
      </w:pPr>
      <w:rPr>
        <w:rFonts w:hint="default"/>
      </w:rPr>
    </w:lvl>
    <w:lvl w:ilvl="7" w:tplc="870EB16C">
      <w:start w:val="1"/>
      <w:numFmt w:val="bullet"/>
      <w:lvlText w:val="•"/>
      <w:lvlJc w:val="left"/>
      <w:pPr>
        <w:ind w:left="6323" w:hanging="284"/>
      </w:pPr>
      <w:rPr>
        <w:rFonts w:hint="default"/>
      </w:rPr>
    </w:lvl>
    <w:lvl w:ilvl="8" w:tplc="05B8C218">
      <w:start w:val="1"/>
      <w:numFmt w:val="bullet"/>
      <w:lvlText w:val="•"/>
      <w:lvlJc w:val="left"/>
      <w:pPr>
        <w:ind w:left="7210" w:hanging="284"/>
      </w:pPr>
      <w:rPr>
        <w:rFonts w:hint="default"/>
      </w:rPr>
    </w:lvl>
  </w:abstractNum>
  <w:abstractNum w:abstractNumId="52" w15:restartNumberingAfterBreak="0">
    <w:nsid w:val="614320CA"/>
    <w:multiLevelType w:val="hybridMultilevel"/>
    <w:tmpl w:val="585E9846"/>
    <w:lvl w:ilvl="0" w:tplc="213EA9BA">
      <w:start w:val="1"/>
      <w:numFmt w:val="lowerLetter"/>
      <w:lvlText w:val="%1)"/>
      <w:lvlJc w:val="left"/>
      <w:pPr>
        <w:ind w:left="388" w:hanging="260"/>
        <w:jc w:val="right"/>
      </w:pPr>
      <w:rPr>
        <w:rFonts w:ascii="Times New Roman" w:eastAsia="Times New Roman" w:hAnsi="Times New Roman" w:hint="default"/>
        <w:b/>
        <w:bCs/>
        <w:sz w:val="24"/>
        <w:szCs w:val="24"/>
      </w:rPr>
    </w:lvl>
    <w:lvl w:ilvl="1" w:tplc="DCB474C8">
      <w:start w:val="1"/>
      <w:numFmt w:val="bullet"/>
      <w:lvlText w:val="•"/>
      <w:lvlJc w:val="left"/>
      <w:pPr>
        <w:ind w:left="1252" w:hanging="260"/>
      </w:pPr>
      <w:rPr>
        <w:rFonts w:hint="default"/>
      </w:rPr>
    </w:lvl>
    <w:lvl w:ilvl="2" w:tplc="C13828D0">
      <w:start w:val="1"/>
      <w:numFmt w:val="bullet"/>
      <w:lvlText w:val="•"/>
      <w:lvlJc w:val="left"/>
      <w:pPr>
        <w:ind w:left="2116" w:hanging="260"/>
      </w:pPr>
      <w:rPr>
        <w:rFonts w:hint="default"/>
      </w:rPr>
    </w:lvl>
    <w:lvl w:ilvl="3" w:tplc="0D5273C8">
      <w:start w:val="1"/>
      <w:numFmt w:val="bullet"/>
      <w:lvlText w:val="•"/>
      <w:lvlJc w:val="left"/>
      <w:pPr>
        <w:ind w:left="2979" w:hanging="260"/>
      </w:pPr>
      <w:rPr>
        <w:rFonts w:hint="default"/>
      </w:rPr>
    </w:lvl>
    <w:lvl w:ilvl="4" w:tplc="369E92D8">
      <w:start w:val="1"/>
      <w:numFmt w:val="bullet"/>
      <w:lvlText w:val="•"/>
      <w:lvlJc w:val="left"/>
      <w:pPr>
        <w:ind w:left="3843" w:hanging="260"/>
      </w:pPr>
      <w:rPr>
        <w:rFonts w:hint="default"/>
      </w:rPr>
    </w:lvl>
    <w:lvl w:ilvl="5" w:tplc="D8D60A10">
      <w:start w:val="1"/>
      <w:numFmt w:val="bullet"/>
      <w:lvlText w:val="•"/>
      <w:lvlJc w:val="left"/>
      <w:pPr>
        <w:ind w:left="4707" w:hanging="260"/>
      </w:pPr>
      <w:rPr>
        <w:rFonts w:hint="default"/>
      </w:rPr>
    </w:lvl>
    <w:lvl w:ilvl="6" w:tplc="8856D666">
      <w:start w:val="1"/>
      <w:numFmt w:val="bullet"/>
      <w:lvlText w:val="•"/>
      <w:lvlJc w:val="left"/>
      <w:pPr>
        <w:ind w:left="5571" w:hanging="260"/>
      </w:pPr>
      <w:rPr>
        <w:rFonts w:hint="default"/>
      </w:rPr>
    </w:lvl>
    <w:lvl w:ilvl="7" w:tplc="7FC05E6E">
      <w:start w:val="1"/>
      <w:numFmt w:val="bullet"/>
      <w:lvlText w:val="•"/>
      <w:lvlJc w:val="left"/>
      <w:pPr>
        <w:ind w:left="6435" w:hanging="260"/>
      </w:pPr>
      <w:rPr>
        <w:rFonts w:hint="default"/>
      </w:rPr>
    </w:lvl>
    <w:lvl w:ilvl="8" w:tplc="022A761C">
      <w:start w:val="1"/>
      <w:numFmt w:val="bullet"/>
      <w:lvlText w:val="•"/>
      <w:lvlJc w:val="left"/>
      <w:pPr>
        <w:ind w:left="7298" w:hanging="260"/>
      </w:pPr>
      <w:rPr>
        <w:rFonts w:hint="default"/>
      </w:rPr>
    </w:lvl>
  </w:abstractNum>
  <w:abstractNum w:abstractNumId="53" w15:restartNumberingAfterBreak="0">
    <w:nsid w:val="617F0684"/>
    <w:multiLevelType w:val="hybridMultilevel"/>
    <w:tmpl w:val="45485C4E"/>
    <w:lvl w:ilvl="0" w:tplc="90405200">
      <w:start w:val="1"/>
      <w:numFmt w:val="lowerLetter"/>
      <w:lvlText w:val="%1)"/>
      <w:lvlJc w:val="left"/>
      <w:pPr>
        <w:ind w:left="368" w:hanging="260"/>
        <w:jc w:val="left"/>
      </w:pPr>
      <w:rPr>
        <w:rFonts w:ascii="Times New Roman" w:eastAsia="Times New Roman" w:hAnsi="Times New Roman" w:hint="default"/>
        <w:b/>
        <w:bCs/>
        <w:sz w:val="24"/>
        <w:szCs w:val="24"/>
      </w:rPr>
    </w:lvl>
    <w:lvl w:ilvl="1" w:tplc="41943CE4">
      <w:start w:val="1"/>
      <w:numFmt w:val="bullet"/>
      <w:lvlText w:val="•"/>
      <w:lvlJc w:val="left"/>
      <w:pPr>
        <w:ind w:left="1240" w:hanging="260"/>
      </w:pPr>
      <w:rPr>
        <w:rFonts w:hint="default"/>
      </w:rPr>
    </w:lvl>
    <w:lvl w:ilvl="2" w:tplc="757C9B70">
      <w:start w:val="1"/>
      <w:numFmt w:val="bullet"/>
      <w:lvlText w:val="•"/>
      <w:lvlJc w:val="left"/>
      <w:pPr>
        <w:ind w:left="2112" w:hanging="260"/>
      </w:pPr>
      <w:rPr>
        <w:rFonts w:hint="default"/>
      </w:rPr>
    </w:lvl>
    <w:lvl w:ilvl="3" w:tplc="C1AC8D00">
      <w:start w:val="1"/>
      <w:numFmt w:val="bullet"/>
      <w:lvlText w:val="•"/>
      <w:lvlJc w:val="left"/>
      <w:pPr>
        <w:ind w:left="2983" w:hanging="260"/>
      </w:pPr>
      <w:rPr>
        <w:rFonts w:hint="default"/>
      </w:rPr>
    </w:lvl>
    <w:lvl w:ilvl="4" w:tplc="C1CC31D4">
      <w:start w:val="1"/>
      <w:numFmt w:val="bullet"/>
      <w:lvlText w:val="•"/>
      <w:lvlJc w:val="left"/>
      <w:pPr>
        <w:ind w:left="3855" w:hanging="260"/>
      </w:pPr>
      <w:rPr>
        <w:rFonts w:hint="default"/>
      </w:rPr>
    </w:lvl>
    <w:lvl w:ilvl="5" w:tplc="00089A68">
      <w:start w:val="1"/>
      <w:numFmt w:val="bullet"/>
      <w:lvlText w:val="•"/>
      <w:lvlJc w:val="left"/>
      <w:pPr>
        <w:ind w:left="4727" w:hanging="260"/>
      </w:pPr>
      <w:rPr>
        <w:rFonts w:hint="default"/>
      </w:rPr>
    </w:lvl>
    <w:lvl w:ilvl="6" w:tplc="FB7C7778">
      <w:start w:val="1"/>
      <w:numFmt w:val="bullet"/>
      <w:lvlText w:val="•"/>
      <w:lvlJc w:val="left"/>
      <w:pPr>
        <w:ind w:left="5599" w:hanging="260"/>
      </w:pPr>
      <w:rPr>
        <w:rFonts w:hint="default"/>
      </w:rPr>
    </w:lvl>
    <w:lvl w:ilvl="7" w:tplc="D628432C">
      <w:start w:val="1"/>
      <w:numFmt w:val="bullet"/>
      <w:lvlText w:val="•"/>
      <w:lvlJc w:val="left"/>
      <w:pPr>
        <w:ind w:left="6471" w:hanging="260"/>
      </w:pPr>
      <w:rPr>
        <w:rFonts w:hint="default"/>
      </w:rPr>
    </w:lvl>
    <w:lvl w:ilvl="8" w:tplc="525E5DE8">
      <w:start w:val="1"/>
      <w:numFmt w:val="bullet"/>
      <w:lvlText w:val="•"/>
      <w:lvlJc w:val="left"/>
      <w:pPr>
        <w:ind w:left="7342" w:hanging="260"/>
      </w:pPr>
      <w:rPr>
        <w:rFonts w:hint="default"/>
      </w:rPr>
    </w:lvl>
  </w:abstractNum>
  <w:abstractNum w:abstractNumId="54" w15:restartNumberingAfterBreak="0">
    <w:nsid w:val="61BF30F2"/>
    <w:multiLevelType w:val="hybridMultilevel"/>
    <w:tmpl w:val="E3582F68"/>
    <w:lvl w:ilvl="0" w:tplc="087CC930">
      <w:start w:val="1"/>
      <w:numFmt w:val="decimal"/>
      <w:lvlText w:val="%1."/>
      <w:lvlJc w:val="left"/>
      <w:pPr>
        <w:ind w:left="109" w:hanging="305"/>
        <w:jc w:val="left"/>
      </w:pPr>
      <w:rPr>
        <w:rFonts w:ascii="Times New Roman" w:eastAsia="Times New Roman" w:hAnsi="Times New Roman" w:hint="default"/>
        <w:sz w:val="24"/>
        <w:szCs w:val="24"/>
      </w:rPr>
    </w:lvl>
    <w:lvl w:ilvl="1" w:tplc="C7FA5000">
      <w:start w:val="1"/>
      <w:numFmt w:val="bullet"/>
      <w:lvlText w:val=""/>
      <w:lvlJc w:val="left"/>
      <w:pPr>
        <w:ind w:left="829" w:hanging="360"/>
      </w:pPr>
      <w:rPr>
        <w:rFonts w:ascii="Wingdings" w:eastAsia="Wingdings" w:hAnsi="Wingdings" w:hint="default"/>
        <w:sz w:val="24"/>
        <w:szCs w:val="24"/>
      </w:rPr>
    </w:lvl>
    <w:lvl w:ilvl="2" w:tplc="5F98A9FC">
      <w:start w:val="1"/>
      <w:numFmt w:val="bullet"/>
      <w:lvlText w:val="•"/>
      <w:lvlJc w:val="left"/>
      <w:pPr>
        <w:ind w:left="1735" w:hanging="360"/>
      </w:pPr>
      <w:rPr>
        <w:rFonts w:hint="default"/>
      </w:rPr>
    </w:lvl>
    <w:lvl w:ilvl="3" w:tplc="BEC28F3A">
      <w:start w:val="1"/>
      <w:numFmt w:val="bullet"/>
      <w:lvlText w:val="•"/>
      <w:lvlJc w:val="left"/>
      <w:pPr>
        <w:ind w:left="2641" w:hanging="360"/>
      </w:pPr>
      <w:rPr>
        <w:rFonts w:hint="default"/>
      </w:rPr>
    </w:lvl>
    <w:lvl w:ilvl="4" w:tplc="37506A1A">
      <w:start w:val="1"/>
      <w:numFmt w:val="bullet"/>
      <w:lvlText w:val="•"/>
      <w:lvlJc w:val="left"/>
      <w:pPr>
        <w:ind w:left="3548" w:hanging="360"/>
      </w:pPr>
      <w:rPr>
        <w:rFonts w:hint="default"/>
      </w:rPr>
    </w:lvl>
    <w:lvl w:ilvl="5" w:tplc="E64A626A">
      <w:start w:val="1"/>
      <w:numFmt w:val="bullet"/>
      <w:lvlText w:val="•"/>
      <w:lvlJc w:val="left"/>
      <w:pPr>
        <w:ind w:left="4454" w:hanging="360"/>
      </w:pPr>
      <w:rPr>
        <w:rFonts w:hint="default"/>
      </w:rPr>
    </w:lvl>
    <w:lvl w:ilvl="6" w:tplc="DEA06598">
      <w:start w:val="1"/>
      <w:numFmt w:val="bullet"/>
      <w:lvlText w:val="•"/>
      <w:lvlJc w:val="left"/>
      <w:pPr>
        <w:ind w:left="5360" w:hanging="360"/>
      </w:pPr>
      <w:rPr>
        <w:rFonts w:hint="default"/>
      </w:rPr>
    </w:lvl>
    <w:lvl w:ilvl="7" w:tplc="DEA84F04">
      <w:start w:val="1"/>
      <w:numFmt w:val="bullet"/>
      <w:lvlText w:val="•"/>
      <w:lvlJc w:val="left"/>
      <w:pPr>
        <w:ind w:left="6267" w:hanging="360"/>
      </w:pPr>
      <w:rPr>
        <w:rFonts w:hint="default"/>
      </w:rPr>
    </w:lvl>
    <w:lvl w:ilvl="8" w:tplc="E6E09EA0">
      <w:start w:val="1"/>
      <w:numFmt w:val="bullet"/>
      <w:lvlText w:val="•"/>
      <w:lvlJc w:val="left"/>
      <w:pPr>
        <w:ind w:left="7173" w:hanging="360"/>
      </w:pPr>
      <w:rPr>
        <w:rFonts w:hint="default"/>
      </w:rPr>
    </w:lvl>
  </w:abstractNum>
  <w:abstractNum w:abstractNumId="55" w15:restartNumberingAfterBreak="0">
    <w:nsid w:val="641B3C7B"/>
    <w:multiLevelType w:val="multilevel"/>
    <w:tmpl w:val="83444EE6"/>
    <w:lvl w:ilvl="0">
      <w:start w:val="1"/>
      <w:numFmt w:val="decimal"/>
      <w:lvlText w:val="%1."/>
      <w:lvlJc w:val="left"/>
      <w:pPr>
        <w:ind w:left="589" w:hanging="536"/>
        <w:jc w:val="left"/>
      </w:pPr>
      <w:rPr>
        <w:rFonts w:ascii="Times New Roman" w:eastAsia="Times New Roman" w:hAnsi="Times New Roman" w:hint="default"/>
        <w:b/>
        <w:bCs/>
        <w:spacing w:val="1"/>
        <w:sz w:val="28"/>
        <w:szCs w:val="28"/>
      </w:rPr>
    </w:lvl>
    <w:lvl w:ilvl="1">
      <w:start w:val="1"/>
      <w:numFmt w:val="decimal"/>
      <w:lvlText w:val="%1.%2."/>
      <w:lvlJc w:val="left"/>
      <w:pPr>
        <w:ind w:left="675" w:hanging="567"/>
        <w:jc w:val="left"/>
      </w:pPr>
      <w:rPr>
        <w:rFonts w:ascii="Times New Roman" w:eastAsia="Times New Roman" w:hAnsi="Times New Roman" w:hint="default"/>
        <w:b/>
        <w:bCs/>
        <w:i/>
        <w:sz w:val="24"/>
        <w:szCs w:val="24"/>
      </w:rPr>
    </w:lvl>
    <w:lvl w:ilvl="2">
      <w:start w:val="1"/>
      <w:numFmt w:val="decimal"/>
      <w:lvlText w:val="%1.%2.%3."/>
      <w:lvlJc w:val="left"/>
      <w:pPr>
        <w:ind w:left="817" w:hanging="708"/>
        <w:jc w:val="left"/>
      </w:pPr>
      <w:rPr>
        <w:rFonts w:ascii="Times New Roman" w:eastAsia="Times New Roman" w:hAnsi="Times New Roman" w:hint="default"/>
        <w:b/>
        <w:bCs/>
        <w:i/>
        <w:sz w:val="24"/>
        <w:szCs w:val="24"/>
      </w:rPr>
    </w:lvl>
    <w:lvl w:ilvl="3">
      <w:start w:val="1"/>
      <w:numFmt w:val="bullet"/>
      <w:lvlText w:val="•"/>
      <w:lvlJc w:val="left"/>
      <w:pPr>
        <w:ind w:left="1838" w:hanging="708"/>
      </w:pPr>
      <w:rPr>
        <w:rFonts w:hint="default"/>
      </w:rPr>
    </w:lvl>
    <w:lvl w:ilvl="4">
      <w:start w:val="1"/>
      <w:numFmt w:val="bullet"/>
      <w:lvlText w:val="•"/>
      <w:lvlJc w:val="left"/>
      <w:pPr>
        <w:ind w:left="2859" w:hanging="708"/>
      </w:pPr>
      <w:rPr>
        <w:rFonts w:hint="default"/>
      </w:rPr>
    </w:lvl>
    <w:lvl w:ilvl="5">
      <w:start w:val="1"/>
      <w:numFmt w:val="bullet"/>
      <w:lvlText w:val="•"/>
      <w:lvlJc w:val="left"/>
      <w:pPr>
        <w:ind w:left="3880" w:hanging="708"/>
      </w:pPr>
      <w:rPr>
        <w:rFonts w:hint="default"/>
      </w:rPr>
    </w:lvl>
    <w:lvl w:ilvl="6">
      <w:start w:val="1"/>
      <w:numFmt w:val="bullet"/>
      <w:lvlText w:val="•"/>
      <w:lvlJc w:val="left"/>
      <w:pPr>
        <w:ind w:left="4901" w:hanging="708"/>
      </w:pPr>
      <w:rPr>
        <w:rFonts w:hint="default"/>
      </w:rPr>
    </w:lvl>
    <w:lvl w:ilvl="7">
      <w:start w:val="1"/>
      <w:numFmt w:val="bullet"/>
      <w:lvlText w:val="•"/>
      <w:lvlJc w:val="left"/>
      <w:pPr>
        <w:ind w:left="5922" w:hanging="708"/>
      </w:pPr>
      <w:rPr>
        <w:rFonts w:hint="default"/>
      </w:rPr>
    </w:lvl>
    <w:lvl w:ilvl="8">
      <w:start w:val="1"/>
      <w:numFmt w:val="bullet"/>
      <w:lvlText w:val="•"/>
      <w:lvlJc w:val="left"/>
      <w:pPr>
        <w:ind w:left="6944" w:hanging="708"/>
      </w:pPr>
      <w:rPr>
        <w:rFonts w:hint="default"/>
      </w:rPr>
    </w:lvl>
  </w:abstractNum>
  <w:abstractNum w:abstractNumId="56" w15:restartNumberingAfterBreak="0">
    <w:nsid w:val="646418F4"/>
    <w:multiLevelType w:val="hybridMultilevel"/>
    <w:tmpl w:val="F24CEA20"/>
    <w:lvl w:ilvl="0" w:tplc="7068B330">
      <w:start w:val="1"/>
      <w:numFmt w:val="bullet"/>
      <w:lvlText w:val="*"/>
      <w:lvlJc w:val="left"/>
      <w:pPr>
        <w:ind w:left="219" w:hanging="180"/>
      </w:pPr>
      <w:rPr>
        <w:rFonts w:ascii="Times New Roman" w:eastAsia="Times New Roman" w:hAnsi="Times New Roman" w:hint="default"/>
        <w:sz w:val="24"/>
        <w:szCs w:val="24"/>
      </w:rPr>
    </w:lvl>
    <w:lvl w:ilvl="1" w:tplc="E54C4706">
      <w:start w:val="1"/>
      <w:numFmt w:val="bullet"/>
      <w:lvlText w:val="•"/>
      <w:lvlJc w:val="left"/>
      <w:pPr>
        <w:ind w:left="622" w:hanging="180"/>
      </w:pPr>
      <w:rPr>
        <w:rFonts w:hint="default"/>
      </w:rPr>
    </w:lvl>
    <w:lvl w:ilvl="2" w:tplc="14485C4C">
      <w:start w:val="1"/>
      <w:numFmt w:val="bullet"/>
      <w:lvlText w:val="•"/>
      <w:lvlJc w:val="left"/>
      <w:pPr>
        <w:ind w:left="1025" w:hanging="180"/>
      </w:pPr>
      <w:rPr>
        <w:rFonts w:hint="default"/>
      </w:rPr>
    </w:lvl>
    <w:lvl w:ilvl="3" w:tplc="32E60470">
      <w:start w:val="1"/>
      <w:numFmt w:val="bullet"/>
      <w:lvlText w:val="•"/>
      <w:lvlJc w:val="left"/>
      <w:pPr>
        <w:ind w:left="1427" w:hanging="180"/>
      </w:pPr>
      <w:rPr>
        <w:rFonts w:hint="default"/>
      </w:rPr>
    </w:lvl>
    <w:lvl w:ilvl="4" w:tplc="9532267C">
      <w:start w:val="1"/>
      <w:numFmt w:val="bullet"/>
      <w:lvlText w:val="•"/>
      <w:lvlJc w:val="left"/>
      <w:pPr>
        <w:ind w:left="1830" w:hanging="180"/>
      </w:pPr>
      <w:rPr>
        <w:rFonts w:hint="default"/>
      </w:rPr>
    </w:lvl>
    <w:lvl w:ilvl="5" w:tplc="AC8288FE">
      <w:start w:val="1"/>
      <w:numFmt w:val="bullet"/>
      <w:lvlText w:val="•"/>
      <w:lvlJc w:val="left"/>
      <w:pPr>
        <w:ind w:left="2233" w:hanging="180"/>
      </w:pPr>
      <w:rPr>
        <w:rFonts w:hint="default"/>
      </w:rPr>
    </w:lvl>
    <w:lvl w:ilvl="6" w:tplc="E0F4A32A">
      <w:start w:val="1"/>
      <w:numFmt w:val="bullet"/>
      <w:lvlText w:val="•"/>
      <w:lvlJc w:val="left"/>
      <w:pPr>
        <w:ind w:left="2636" w:hanging="180"/>
      </w:pPr>
      <w:rPr>
        <w:rFonts w:hint="default"/>
      </w:rPr>
    </w:lvl>
    <w:lvl w:ilvl="7" w:tplc="32BCBEF0">
      <w:start w:val="1"/>
      <w:numFmt w:val="bullet"/>
      <w:lvlText w:val="•"/>
      <w:lvlJc w:val="left"/>
      <w:pPr>
        <w:ind w:left="3038" w:hanging="180"/>
      </w:pPr>
      <w:rPr>
        <w:rFonts w:hint="default"/>
      </w:rPr>
    </w:lvl>
    <w:lvl w:ilvl="8" w:tplc="7EE0B97E">
      <w:start w:val="1"/>
      <w:numFmt w:val="bullet"/>
      <w:lvlText w:val="•"/>
      <w:lvlJc w:val="left"/>
      <w:pPr>
        <w:ind w:left="3441" w:hanging="180"/>
      </w:pPr>
      <w:rPr>
        <w:rFonts w:hint="default"/>
      </w:rPr>
    </w:lvl>
  </w:abstractNum>
  <w:abstractNum w:abstractNumId="57" w15:restartNumberingAfterBreak="0">
    <w:nsid w:val="66326725"/>
    <w:multiLevelType w:val="hybridMultilevel"/>
    <w:tmpl w:val="AB52F79C"/>
    <w:lvl w:ilvl="0" w:tplc="A9D271B2">
      <w:start w:val="1"/>
      <w:numFmt w:val="bullet"/>
      <w:lvlText w:val=""/>
      <w:lvlJc w:val="left"/>
      <w:pPr>
        <w:ind w:left="829" w:hanging="360"/>
      </w:pPr>
      <w:rPr>
        <w:rFonts w:ascii="Wingdings" w:eastAsia="Wingdings" w:hAnsi="Wingdings" w:hint="default"/>
        <w:sz w:val="24"/>
        <w:szCs w:val="24"/>
      </w:rPr>
    </w:lvl>
    <w:lvl w:ilvl="1" w:tplc="47F85C3A">
      <w:start w:val="1"/>
      <w:numFmt w:val="bullet"/>
      <w:lvlText w:val="•"/>
      <w:lvlJc w:val="left"/>
      <w:pPr>
        <w:ind w:left="1644" w:hanging="360"/>
      </w:pPr>
      <w:rPr>
        <w:rFonts w:hint="default"/>
      </w:rPr>
    </w:lvl>
    <w:lvl w:ilvl="2" w:tplc="AB36E286">
      <w:start w:val="1"/>
      <w:numFmt w:val="bullet"/>
      <w:lvlText w:val="•"/>
      <w:lvlJc w:val="left"/>
      <w:pPr>
        <w:ind w:left="2460" w:hanging="360"/>
      </w:pPr>
      <w:rPr>
        <w:rFonts w:hint="default"/>
      </w:rPr>
    </w:lvl>
    <w:lvl w:ilvl="3" w:tplc="DF404922">
      <w:start w:val="1"/>
      <w:numFmt w:val="bullet"/>
      <w:lvlText w:val="•"/>
      <w:lvlJc w:val="left"/>
      <w:pPr>
        <w:ind w:left="3276" w:hanging="360"/>
      </w:pPr>
      <w:rPr>
        <w:rFonts w:hint="default"/>
      </w:rPr>
    </w:lvl>
    <w:lvl w:ilvl="4" w:tplc="12442F24">
      <w:start w:val="1"/>
      <w:numFmt w:val="bullet"/>
      <w:lvlText w:val="•"/>
      <w:lvlJc w:val="left"/>
      <w:pPr>
        <w:ind w:left="4092" w:hanging="360"/>
      </w:pPr>
      <w:rPr>
        <w:rFonts w:hint="default"/>
      </w:rPr>
    </w:lvl>
    <w:lvl w:ilvl="5" w:tplc="BE26470C">
      <w:start w:val="1"/>
      <w:numFmt w:val="bullet"/>
      <w:lvlText w:val="•"/>
      <w:lvlJc w:val="left"/>
      <w:pPr>
        <w:ind w:left="4907" w:hanging="360"/>
      </w:pPr>
      <w:rPr>
        <w:rFonts w:hint="default"/>
      </w:rPr>
    </w:lvl>
    <w:lvl w:ilvl="6" w:tplc="EDEADEC6">
      <w:start w:val="1"/>
      <w:numFmt w:val="bullet"/>
      <w:lvlText w:val="•"/>
      <w:lvlJc w:val="left"/>
      <w:pPr>
        <w:ind w:left="5723" w:hanging="360"/>
      </w:pPr>
      <w:rPr>
        <w:rFonts w:hint="default"/>
      </w:rPr>
    </w:lvl>
    <w:lvl w:ilvl="7" w:tplc="F97A7008">
      <w:start w:val="1"/>
      <w:numFmt w:val="bullet"/>
      <w:lvlText w:val="•"/>
      <w:lvlJc w:val="left"/>
      <w:pPr>
        <w:ind w:left="6539" w:hanging="360"/>
      </w:pPr>
      <w:rPr>
        <w:rFonts w:hint="default"/>
      </w:rPr>
    </w:lvl>
    <w:lvl w:ilvl="8" w:tplc="497EBB56">
      <w:start w:val="1"/>
      <w:numFmt w:val="bullet"/>
      <w:lvlText w:val="•"/>
      <w:lvlJc w:val="left"/>
      <w:pPr>
        <w:ind w:left="7354" w:hanging="360"/>
      </w:pPr>
      <w:rPr>
        <w:rFonts w:hint="default"/>
      </w:rPr>
    </w:lvl>
  </w:abstractNum>
  <w:abstractNum w:abstractNumId="58" w15:restartNumberingAfterBreak="0">
    <w:nsid w:val="676A0970"/>
    <w:multiLevelType w:val="hybridMultilevel"/>
    <w:tmpl w:val="94AC0F1E"/>
    <w:lvl w:ilvl="0" w:tplc="3FD2CAB2">
      <w:start w:val="1"/>
      <w:numFmt w:val="bullet"/>
      <w:lvlText w:val="-"/>
      <w:lvlJc w:val="left"/>
      <w:pPr>
        <w:ind w:left="198" w:hanging="245"/>
      </w:pPr>
      <w:rPr>
        <w:rFonts w:ascii="Times New Roman" w:eastAsia="Times New Roman" w:hAnsi="Times New Roman" w:hint="default"/>
        <w:sz w:val="24"/>
        <w:szCs w:val="24"/>
      </w:rPr>
    </w:lvl>
    <w:lvl w:ilvl="1" w:tplc="A5BA709C">
      <w:start w:val="1"/>
      <w:numFmt w:val="bullet"/>
      <w:lvlText w:val="•"/>
      <w:lvlJc w:val="left"/>
      <w:pPr>
        <w:ind w:left="369" w:hanging="245"/>
      </w:pPr>
      <w:rPr>
        <w:rFonts w:hint="default"/>
      </w:rPr>
    </w:lvl>
    <w:lvl w:ilvl="2" w:tplc="9F225E72">
      <w:start w:val="1"/>
      <w:numFmt w:val="bullet"/>
      <w:lvlText w:val="•"/>
      <w:lvlJc w:val="left"/>
      <w:pPr>
        <w:ind w:left="539" w:hanging="245"/>
      </w:pPr>
      <w:rPr>
        <w:rFonts w:hint="default"/>
      </w:rPr>
    </w:lvl>
    <w:lvl w:ilvl="3" w:tplc="B48CE534">
      <w:start w:val="1"/>
      <w:numFmt w:val="bullet"/>
      <w:lvlText w:val="•"/>
      <w:lvlJc w:val="left"/>
      <w:pPr>
        <w:ind w:left="709" w:hanging="245"/>
      </w:pPr>
      <w:rPr>
        <w:rFonts w:hint="default"/>
      </w:rPr>
    </w:lvl>
    <w:lvl w:ilvl="4" w:tplc="A6708038">
      <w:start w:val="1"/>
      <w:numFmt w:val="bullet"/>
      <w:lvlText w:val="•"/>
      <w:lvlJc w:val="left"/>
      <w:pPr>
        <w:ind w:left="879" w:hanging="245"/>
      </w:pPr>
      <w:rPr>
        <w:rFonts w:hint="default"/>
      </w:rPr>
    </w:lvl>
    <w:lvl w:ilvl="5" w:tplc="66DA2274">
      <w:start w:val="1"/>
      <w:numFmt w:val="bullet"/>
      <w:lvlText w:val="•"/>
      <w:lvlJc w:val="left"/>
      <w:pPr>
        <w:ind w:left="1049" w:hanging="245"/>
      </w:pPr>
      <w:rPr>
        <w:rFonts w:hint="default"/>
      </w:rPr>
    </w:lvl>
    <w:lvl w:ilvl="6" w:tplc="33AA893C">
      <w:start w:val="1"/>
      <w:numFmt w:val="bullet"/>
      <w:lvlText w:val="•"/>
      <w:lvlJc w:val="left"/>
      <w:pPr>
        <w:ind w:left="1220" w:hanging="245"/>
      </w:pPr>
      <w:rPr>
        <w:rFonts w:hint="default"/>
      </w:rPr>
    </w:lvl>
    <w:lvl w:ilvl="7" w:tplc="2AC2DEB2">
      <w:start w:val="1"/>
      <w:numFmt w:val="bullet"/>
      <w:lvlText w:val="•"/>
      <w:lvlJc w:val="left"/>
      <w:pPr>
        <w:ind w:left="1390" w:hanging="245"/>
      </w:pPr>
      <w:rPr>
        <w:rFonts w:hint="default"/>
      </w:rPr>
    </w:lvl>
    <w:lvl w:ilvl="8" w:tplc="FF2A905C">
      <w:start w:val="1"/>
      <w:numFmt w:val="bullet"/>
      <w:lvlText w:val="•"/>
      <w:lvlJc w:val="left"/>
      <w:pPr>
        <w:ind w:left="1560" w:hanging="245"/>
      </w:pPr>
      <w:rPr>
        <w:rFonts w:hint="default"/>
      </w:rPr>
    </w:lvl>
  </w:abstractNum>
  <w:abstractNum w:abstractNumId="59" w15:restartNumberingAfterBreak="0">
    <w:nsid w:val="67AF005F"/>
    <w:multiLevelType w:val="hybridMultilevel"/>
    <w:tmpl w:val="F62A5D5A"/>
    <w:lvl w:ilvl="0" w:tplc="C2FE421E">
      <w:start w:val="1"/>
      <w:numFmt w:val="bullet"/>
      <w:lvlText w:val=""/>
      <w:lvlJc w:val="left"/>
      <w:pPr>
        <w:ind w:left="822" w:hanging="360"/>
      </w:pPr>
      <w:rPr>
        <w:rFonts w:ascii="Symbol" w:eastAsia="Symbol" w:hAnsi="Symbol" w:hint="default"/>
        <w:sz w:val="22"/>
        <w:szCs w:val="22"/>
      </w:rPr>
    </w:lvl>
    <w:lvl w:ilvl="1" w:tplc="F7CA9614">
      <w:start w:val="1"/>
      <w:numFmt w:val="bullet"/>
      <w:lvlText w:val="•"/>
      <w:lvlJc w:val="left"/>
      <w:pPr>
        <w:ind w:left="1186" w:hanging="360"/>
      </w:pPr>
      <w:rPr>
        <w:rFonts w:hint="default"/>
      </w:rPr>
    </w:lvl>
    <w:lvl w:ilvl="2" w:tplc="1C02DD4C">
      <w:start w:val="1"/>
      <w:numFmt w:val="bullet"/>
      <w:lvlText w:val="•"/>
      <w:lvlJc w:val="left"/>
      <w:pPr>
        <w:ind w:left="1550" w:hanging="360"/>
      </w:pPr>
      <w:rPr>
        <w:rFonts w:hint="default"/>
      </w:rPr>
    </w:lvl>
    <w:lvl w:ilvl="3" w:tplc="360A8512">
      <w:start w:val="1"/>
      <w:numFmt w:val="bullet"/>
      <w:lvlText w:val="•"/>
      <w:lvlJc w:val="left"/>
      <w:pPr>
        <w:ind w:left="1914" w:hanging="360"/>
      </w:pPr>
      <w:rPr>
        <w:rFonts w:hint="default"/>
      </w:rPr>
    </w:lvl>
    <w:lvl w:ilvl="4" w:tplc="9C620354">
      <w:start w:val="1"/>
      <w:numFmt w:val="bullet"/>
      <w:lvlText w:val="•"/>
      <w:lvlJc w:val="left"/>
      <w:pPr>
        <w:ind w:left="2277" w:hanging="360"/>
      </w:pPr>
      <w:rPr>
        <w:rFonts w:hint="default"/>
      </w:rPr>
    </w:lvl>
    <w:lvl w:ilvl="5" w:tplc="0FE299B4">
      <w:start w:val="1"/>
      <w:numFmt w:val="bullet"/>
      <w:lvlText w:val="•"/>
      <w:lvlJc w:val="left"/>
      <w:pPr>
        <w:ind w:left="2641" w:hanging="360"/>
      </w:pPr>
      <w:rPr>
        <w:rFonts w:hint="default"/>
      </w:rPr>
    </w:lvl>
    <w:lvl w:ilvl="6" w:tplc="0456A8EC">
      <w:start w:val="1"/>
      <w:numFmt w:val="bullet"/>
      <w:lvlText w:val="•"/>
      <w:lvlJc w:val="left"/>
      <w:pPr>
        <w:ind w:left="3005" w:hanging="360"/>
      </w:pPr>
      <w:rPr>
        <w:rFonts w:hint="default"/>
      </w:rPr>
    </w:lvl>
    <w:lvl w:ilvl="7" w:tplc="FF806624">
      <w:start w:val="1"/>
      <w:numFmt w:val="bullet"/>
      <w:lvlText w:val="•"/>
      <w:lvlJc w:val="left"/>
      <w:pPr>
        <w:ind w:left="3369" w:hanging="360"/>
      </w:pPr>
      <w:rPr>
        <w:rFonts w:hint="default"/>
      </w:rPr>
    </w:lvl>
    <w:lvl w:ilvl="8" w:tplc="E6D61F3E">
      <w:start w:val="1"/>
      <w:numFmt w:val="bullet"/>
      <w:lvlText w:val="•"/>
      <w:lvlJc w:val="left"/>
      <w:pPr>
        <w:ind w:left="3733" w:hanging="360"/>
      </w:pPr>
      <w:rPr>
        <w:rFonts w:hint="default"/>
      </w:rPr>
    </w:lvl>
  </w:abstractNum>
  <w:abstractNum w:abstractNumId="60" w15:restartNumberingAfterBreak="0">
    <w:nsid w:val="68E97BF8"/>
    <w:multiLevelType w:val="hybridMultilevel"/>
    <w:tmpl w:val="35FC68A4"/>
    <w:lvl w:ilvl="0" w:tplc="BC42C3B6">
      <w:start w:val="1"/>
      <w:numFmt w:val="bullet"/>
      <w:lvlText w:val="-"/>
      <w:lvlJc w:val="left"/>
      <w:pPr>
        <w:ind w:left="512" w:hanging="284"/>
      </w:pPr>
      <w:rPr>
        <w:rFonts w:ascii="Arial" w:eastAsia="Arial" w:hAnsi="Arial" w:hint="default"/>
        <w:sz w:val="24"/>
        <w:szCs w:val="24"/>
      </w:rPr>
    </w:lvl>
    <w:lvl w:ilvl="1" w:tplc="9CA281BE">
      <w:start w:val="1"/>
      <w:numFmt w:val="bullet"/>
      <w:lvlText w:val="•"/>
      <w:lvlJc w:val="left"/>
      <w:pPr>
        <w:ind w:left="1383" w:hanging="284"/>
      </w:pPr>
      <w:rPr>
        <w:rFonts w:hint="default"/>
      </w:rPr>
    </w:lvl>
    <w:lvl w:ilvl="2" w:tplc="F0CEB132">
      <w:start w:val="1"/>
      <w:numFmt w:val="bullet"/>
      <w:lvlText w:val="•"/>
      <w:lvlJc w:val="left"/>
      <w:pPr>
        <w:ind w:left="2255" w:hanging="284"/>
      </w:pPr>
      <w:rPr>
        <w:rFonts w:hint="default"/>
      </w:rPr>
    </w:lvl>
    <w:lvl w:ilvl="3" w:tplc="46603C04">
      <w:start w:val="1"/>
      <w:numFmt w:val="bullet"/>
      <w:lvlText w:val="•"/>
      <w:lvlJc w:val="left"/>
      <w:pPr>
        <w:ind w:left="3126" w:hanging="284"/>
      </w:pPr>
      <w:rPr>
        <w:rFonts w:hint="default"/>
      </w:rPr>
    </w:lvl>
    <w:lvl w:ilvl="4" w:tplc="C312FE4A">
      <w:start w:val="1"/>
      <w:numFmt w:val="bullet"/>
      <w:lvlText w:val="•"/>
      <w:lvlJc w:val="left"/>
      <w:pPr>
        <w:ind w:left="3998" w:hanging="284"/>
      </w:pPr>
      <w:rPr>
        <w:rFonts w:hint="default"/>
      </w:rPr>
    </w:lvl>
    <w:lvl w:ilvl="5" w:tplc="E8D606C2">
      <w:start w:val="1"/>
      <w:numFmt w:val="bullet"/>
      <w:lvlText w:val="•"/>
      <w:lvlJc w:val="left"/>
      <w:pPr>
        <w:ind w:left="4869" w:hanging="284"/>
      </w:pPr>
      <w:rPr>
        <w:rFonts w:hint="default"/>
      </w:rPr>
    </w:lvl>
    <w:lvl w:ilvl="6" w:tplc="AE3CC8BE">
      <w:start w:val="1"/>
      <w:numFmt w:val="bullet"/>
      <w:lvlText w:val="•"/>
      <w:lvlJc w:val="left"/>
      <w:pPr>
        <w:ind w:left="5740" w:hanging="284"/>
      </w:pPr>
      <w:rPr>
        <w:rFonts w:hint="default"/>
      </w:rPr>
    </w:lvl>
    <w:lvl w:ilvl="7" w:tplc="B6241A66">
      <w:start w:val="1"/>
      <w:numFmt w:val="bullet"/>
      <w:lvlText w:val="•"/>
      <w:lvlJc w:val="left"/>
      <w:pPr>
        <w:ind w:left="6612" w:hanging="284"/>
      </w:pPr>
      <w:rPr>
        <w:rFonts w:hint="default"/>
      </w:rPr>
    </w:lvl>
    <w:lvl w:ilvl="8" w:tplc="0D9A415A">
      <w:start w:val="1"/>
      <w:numFmt w:val="bullet"/>
      <w:lvlText w:val="•"/>
      <w:lvlJc w:val="left"/>
      <w:pPr>
        <w:ind w:left="7483" w:hanging="284"/>
      </w:pPr>
      <w:rPr>
        <w:rFonts w:hint="default"/>
      </w:rPr>
    </w:lvl>
  </w:abstractNum>
  <w:abstractNum w:abstractNumId="61" w15:restartNumberingAfterBreak="0">
    <w:nsid w:val="69010DBD"/>
    <w:multiLevelType w:val="hybridMultilevel"/>
    <w:tmpl w:val="897CE9A8"/>
    <w:lvl w:ilvl="0" w:tplc="69BCCF6C">
      <w:start w:val="1"/>
      <w:numFmt w:val="bullet"/>
      <w:lvlText w:val="-"/>
      <w:lvlJc w:val="left"/>
      <w:pPr>
        <w:ind w:left="536" w:hanging="428"/>
      </w:pPr>
      <w:rPr>
        <w:rFonts w:ascii="Arial" w:eastAsia="Arial" w:hAnsi="Arial" w:hint="default"/>
        <w:sz w:val="24"/>
        <w:szCs w:val="24"/>
      </w:rPr>
    </w:lvl>
    <w:lvl w:ilvl="1" w:tplc="E5AC7456">
      <w:start w:val="1"/>
      <w:numFmt w:val="bullet"/>
      <w:lvlText w:val="•"/>
      <w:lvlJc w:val="left"/>
      <w:pPr>
        <w:ind w:left="1381" w:hanging="428"/>
      </w:pPr>
      <w:rPr>
        <w:rFonts w:hint="default"/>
      </w:rPr>
    </w:lvl>
    <w:lvl w:ilvl="2" w:tplc="8B7C963A">
      <w:start w:val="1"/>
      <w:numFmt w:val="bullet"/>
      <w:lvlText w:val="•"/>
      <w:lvlJc w:val="left"/>
      <w:pPr>
        <w:ind w:left="2226" w:hanging="428"/>
      </w:pPr>
      <w:rPr>
        <w:rFonts w:hint="default"/>
      </w:rPr>
    </w:lvl>
    <w:lvl w:ilvl="3" w:tplc="9E6AEE6E">
      <w:start w:val="1"/>
      <w:numFmt w:val="bullet"/>
      <w:lvlText w:val="•"/>
      <w:lvlJc w:val="left"/>
      <w:pPr>
        <w:ind w:left="3071" w:hanging="428"/>
      </w:pPr>
      <w:rPr>
        <w:rFonts w:hint="default"/>
      </w:rPr>
    </w:lvl>
    <w:lvl w:ilvl="4" w:tplc="ACC0CADA">
      <w:start w:val="1"/>
      <w:numFmt w:val="bullet"/>
      <w:lvlText w:val="•"/>
      <w:lvlJc w:val="left"/>
      <w:pPr>
        <w:ind w:left="3916" w:hanging="428"/>
      </w:pPr>
      <w:rPr>
        <w:rFonts w:hint="default"/>
      </w:rPr>
    </w:lvl>
    <w:lvl w:ilvl="5" w:tplc="9EB4D558">
      <w:start w:val="1"/>
      <w:numFmt w:val="bullet"/>
      <w:lvlText w:val="•"/>
      <w:lvlJc w:val="left"/>
      <w:pPr>
        <w:ind w:left="4761" w:hanging="428"/>
      </w:pPr>
      <w:rPr>
        <w:rFonts w:hint="default"/>
      </w:rPr>
    </w:lvl>
    <w:lvl w:ilvl="6" w:tplc="0C987ED8">
      <w:start w:val="1"/>
      <w:numFmt w:val="bullet"/>
      <w:lvlText w:val="•"/>
      <w:lvlJc w:val="left"/>
      <w:pPr>
        <w:ind w:left="5606" w:hanging="428"/>
      </w:pPr>
      <w:rPr>
        <w:rFonts w:hint="default"/>
      </w:rPr>
    </w:lvl>
    <w:lvl w:ilvl="7" w:tplc="94FAC4CC">
      <w:start w:val="1"/>
      <w:numFmt w:val="bullet"/>
      <w:lvlText w:val="•"/>
      <w:lvlJc w:val="left"/>
      <w:pPr>
        <w:ind w:left="6451" w:hanging="428"/>
      </w:pPr>
      <w:rPr>
        <w:rFonts w:hint="default"/>
      </w:rPr>
    </w:lvl>
    <w:lvl w:ilvl="8" w:tplc="73E23246">
      <w:start w:val="1"/>
      <w:numFmt w:val="bullet"/>
      <w:lvlText w:val="•"/>
      <w:lvlJc w:val="left"/>
      <w:pPr>
        <w:ind w:left="7296" w:hanging="428"/>
      </w:pPr>
      <w:rPr>
        <w:rFonts w:hint="default"/>
      </w:rPr>
    </w:lvl>
  </w:abstractNum>
  <w:abstractNum w:abstractNumId="62" w15:restartNumberingAfterBreak="0">
    <w:nsid w:val="69412DC6"/>
    <w:multiLevelType w:val="hybridMultilevel"/>
    <w:tmpl w:val="95A2EBC8"/>
    <w:lvl w:ilvl="0" w:tplc="11E4B636">
      <w:start w:val="1"/>
      <w:numFmt w:val="bullet"/>
      <w:lvlText w:val="-"/>
      <w:lvlJc w:val="left"/>
      <w:pPr>
        <w:ind w:left="536" w:hanging="428"/>
      </w:pPr>
      <w:rPr>
        <w:rFonts w:ascii="Arial" w:eastAsia="Arial" w:hAnsi="Arial" w:hint="default"/>
        <w:sz w:val="24"/>
        <w:szCs w:val="24"/>
      </w:rPr>
    </w:lvl>
    <w:lvl w:ilvl="1" w:tplc="AAD8A048">
      <w:start w:val="1"/>
      <w:numFmt w:val="bullet"/>
      <w:lvlText w:val="•"/>
      <w:lvlJc w:val="left"/>
      <w:pPr>
        <w:ind w:left="1381" w:hanging="428"/>
      </w:pPr>
      <w:rPr>
        <w:rFonts w:hint="default"/>
      </w:rPr>
    </w:lvl>
    <w:lvl w:ilvl="2" w:tplc="9634C764">
      <w:start w:val="1"/>
      <w:numFmt w:val="bullet"/>
      <w:lvlText w:val="•"/>
      <w:lvlJc w:val="left"/>
      <w:pPr>
        <w:ind w:left="2226" w:hanging="428"/>
      </w:pPr>
      <w:rPr>
        <w:rFonts w:hint="default"/>
      </w:rPr>
    </w:lvl>
    <w:lvl w:ilvl="3" w:tplc="CABE89F4">
      <w:start w:val="1"/>
      <w:numFmt w:val="bullet"/>
      <w:lvlText w:val="•"/>
      <w:lvlJc w:val="left"/>
      <w:pPr>
        <w:ind w:left="3071" w:hanging="428"/>
      </w:pPr>
      <w:rPr>
        <w:rFonts w:hint="default"/>
      </w:rPr>
    </w:lvl>
    <w:lvl w:ilvl="4" w:tplc="B7782A2C">
      <w:start w:val="1"/>
      <w:numFmt w:val="bullet"/>
      <w:lvlText w:val="•"/>
      <w:lvlJc w:val="left"/>
      <w:pPr>
        <w:ind w:left="3916" w:hanging="428"/>
      </w:pPr>
      <w:rPr>
        <w:rFonts w:hint="default"/>
      </w:rPr>
    </w:lvl>
    <w:lvl w:ilvl="5" w:tplc="24C057C0">
      <w:start w:val="1"/>
      <w:numFmt w:val="bullet"/>
      <w:lvlText w:val="•"/>
      <w:lvlJc w:val="left"/>
      <w:pPr>
        <w:ind w:left="4761" w:hanging="428"/>
      </w:pPr>
      <w:rPr>
        <w:rFonts w:hint="default"/>
      </w:rPr>
    </w:lvl>
    <w:lvl w:ilvl="6" w:tplc="B2AE5EDC">
      <w:start w:val="1"/>
      <w:numFmt w:val="bullet"/>
      <w:lvlText w:val="•"/>
      <w:lvlJc w:val="left"/>
      <w:pPr>
        <w:ind w:left="5606" w:hanging="428"/>
      </w:pPr>
      <w:rPr>
        <w:rFonts w:hint="default"/>
      </w:rPr>
    </w:lvl>
    <w:lvl w:ilvl="7" w:tplc="7FFEBBA0">
      <w:start w:val="1"/>
      <w:numFmt w:val="bullet"/>
      <w:lvlText w:val="•"/>
      <w:lvlJc w:val="left"/>
      <w:pPr>
        <w:ind w:left="6451" w:hanging="428"/>
      </w:pPr>
      <w:rPr>
        <w:rFonts w:hint="default"/>
      </w:rPr>
    </w:lvl>
    <w:lvl w:ilvl="8" w:tplc="6ADCF3BC">
      <w:start w:val="1"/>
      <w:numFmt w:val="bullet"/>
      <w:lvlText w:val="•"/>
      <w:lvlJc w:val="left"/>
      <w:pPr>
        <w:ind w:left="7296" w:hanging="428"/>
      </w:pPr>
      <w:rPr>
        <w:rFonts w:hint="default"/>
      </w:rPr>
    </w:lvl>
  </w:abstractNum>
  <w:abstractNum w:abstractNumId="63" w15:restartNumberingAfterBreak="0">
    <w:nsid w:val="6C426777"/>
    <w:multiLevelType w:val="hybridMultilevel"/>
    <w:tmpl w:val="0700FB10"/>
    <w:lvl w:ilvl="0" w:tplc="3B021C8E">
      <w:start w:val="1"/>
      <w:numFmt w:val="bullet"/>
      <w:lvlText w:val="o"/>
      <w:lvlJc w:val="left"/>
      <w:pPr>
        <w:ind w:left="536" w:hanging="428"/>
      </w:pPr>
      <w:rPr>
        <w:rFonts w:ascii="Courier New" w:eastAsia="Courier New" w:hAnsi="Courier New" w:hint="default"/>
        <w:sz w:val="24"/>
        <w:szCs w:val="24"/>
      </w:rPr>
    </w:lvl>
    <w:lvl w:ilvl="1" w:tplc="E8AEDC4A">
      <w:start w:val="1"/>
      <w:numFmt w:val="bullet"/>
      <w:lvlText w:val="•"/>
      <w:lvlJc w:val="left"/>
      <w:pPr>
        <w:ind w:left="1381" w:hanging="428"/>
      </w:pPr>
      <w:rPr>
        <w:rFonts w:hint="default"/>
      </w:rPr>
    </w:lvl>
    <w:lvl w:ilvl="2" w:tplc="8D709E4C">
      <w:start w:val="1"/>
      <w:numFmt w:val="bullet"/>
      <w:lvlText w:val="•"/>
      <w:lvlJc w:val="left"/>
      <w:pPr>
        <w:ind w:left="2226" w:hanging="428"/>
      </w:pPr>
      <w:rPr>
        <w:rFonts w:hint="default"/>
      </w:rPr>
    </w:lvl>
    <w:lvl w:ilvl="3" w:tplc="3CEA35BE">
      <w:start w:val="1"/>
      <w:numFmt w:val="bullet"/>
      <w:lvlText w:val="•"/>
      <w:lvlJc w:val="left"/>
      <w:pPr>
        <w:ind w:left="3071" w:hanging="428"/>
      </w:pPr>
      <w:rPr>
        <w:rFonts w:hint="default"/>
      </w:rPr>
    </w:lvl>
    <w:lvl w:ilvl="4" w:tplc="3DB8076E">
      <w:start w:val="1"/>
      <w:numFmt w:val="bullet"/>
      <w:lvlText w:val="•"/>
      <w:lvlJc w:val="left"/>
      <w:pPr>
        <w:ind w:left="3916" w:hanging="428"/>
      </w:pPr>
      <w:rPr>
        <w:rFonts w:hint="default"/>
      </w:rPr>
    </w:lvl>
    <w:lvl w:ilvl="5" w:tplc="8390B12C">
      <w:start w:val="1"/>
      <w:numFmt w:val="bullet"/>
      <w:lvlText w:val="•"/>
      <w:lvlJc w:val="left"/>
      <w:pPr>
        <w:ind w:left="4761" w:hanging="428"/>
      </w:pPr>
      <w:rPr>
        <w:rFonts w:hint="default"/>
      </w:rPr>
    </w:lvl>
    <w:lvl w:ilvl="6" w:tplc="92E6294C">
      <w:start w:val="1"/>
      <w:numFmt w:val="bullet"/>
      <w:lvlText w:val="•"/>
      <w:lvlJc w:val="left"/>
      <w:pPr>
        <w:ind w:left="5606" w:hanging="428"/>
      </w:pPr>
      <w:rPr>
        <w:rFonts w:hint="default"/>
      </w:rPr>
    </w:lvl>
    <w:lvl w:ilvl="7" w:tplc="D0946296">
      <w:start w:val="1"/>
      <w:numFmt w:val="bullet"/>
      <w:lvlText w:val="•"/>
      <w:lvlJc w:val="left"/>
      <w:pPr>
        <w:ind w:left="6451" w:hanging="428"/>
      </w:pPr>
      <w:rPr>
        <w:rFonts w:hint="default"/>
      </w:rPr>
    </w:lvl>
    <w:lvl w:ilvl="8" w:tplc="9A8C5D28">
      <w:start w:val="1"/>
      <w:numFmt w:val="bullet"/>
      <w:lvlText w:val="•"/>
      <w:lvlJc w:val="left"/>
      <w:pPr>
        <w:ind w:left="7296" w:hanging="428"/>
      </w:pPr>
      <w:rPr>
        <w:rFonts w:hint="default"/>
      </w:rPr>
    </w:lvl>
  </w:abstractNum>
  <w:abstractNum w:abstractNumId="64" w15:restartNumberingAfterBreak="0">
    <w:nsid w:val="6D5B7BE5"/>
    <w:multiLevelType w:val="hybridMultilevel"/>
    <w:tmpl w:val="CD46B48E"/>
    <w:lvl w:ilvl="0" w:tplc="243EE608">
      <w:start w:val="1"/>
      <w:numFmt w:val="bullet"/>
      <w:lvlText w:val="-"/>
      <w:lvlJc w:val="left"/>
      <w:pPr>
        <w:ind w:left="109" w:hanging="140"/>
      </w:pPr>
      <w:rPr>
        <w:rFonts w:ascii="Times New Roman" w:eastAsia="Times New Roman" w:hAnsi="Times New Roman" w:hint="default"/>
        <w:i/>
        <w:color w:val="17365D"/>
        <w:sz w:val="24"/>
        <w:szCs w:val="24"/>
      </w:rPr>
    </w:lvl>
    <w:lvl w:ilvl="1" w:tplc="3C3C5AC0">
      <w:start w:val="1"/>
      <w:numFmt w:val="bullet"/>
      <w:lvlText w:val="•"/>
      <w:lvlJc w:val="left"/>
      <w:pPr>
        <w:ind w:left="997" w:hanging="140"/>
      </w:pPr>
      <w:rPr>
        <w:rFonts w:hint="default"/>
      </w:rPr>
    </w:lvl>
    <w:lvl w:ilvl="2" w:tplc="0616D8A0">
      <w:start w:val="1"/>
      <w:numFmt w:val="bullet"/>
      <w:lvlText w:val="•"/>
      <w:lvlJc w:val="left"/>
      <w:pPr>
        <w:ind w:left="1884" w:hanging="140"/>
      </w:pPr>
      <w:rPr>
        <w:rFonts w:hint="default"/>
      </w:rPr>
    </w:lvl>
    <w:lvl w:ilvl="3" w:tplc="164E2B3C">
      <w:start w:val="1"/>
      <w:numFmt w:val="bullet"/>
      <w:lvlText w:val="•"/>
      <w:lvlJc w:val="left"/>
      <w:pPr>
        <w:ind w:left="2772" w:hanging="140"/>
      </w:pPr>
      <w:rPr>
        <w:rFonts w:hint="default"/>
      </w:rPr>
    </w:lvl>
    <w:lvl w:ilvl="4" w:tplc="0978BCF0">
      <w:start w:val="1"/>
      <w:numFmt w:val="bullet"/>
      <w:lvlText w:val="•"/>
      <w:lvlJc w:val="left"/>
      <w:pPr>
        <w:ind w:left="3660" w:hanging="140"/>
      </w:pPr>
      <w:rPr>
        <w:rFonts w:hint="default"/>
      </w:rPr>
    </w:lvl>
    <w:lvl w:ilvl="5" w:tplc="CC2A1628">
      <w:start w:val="1"/>
      <w:numFmt w:val="bullet"/>
      <w:lvlText w:val="•"/>
      <w:lvlJc w:val="left"/>
      <w:pPr>
        <w:ind w:left="4547" w:hanging="140"/>
      </w:pPr>
      <w:rPr>
        <w:rFonts w:hint="default"/>
      </w:rPr>
    </w:lvl>
    <w:lvl w:ilvl="6" w:tplc="5240C276">
      <w:start w:val="1"/>
      <w:numFmt w:val="bullet"/>
      <w:lvlText w:val="•"/>
      <w:lvlJc w:val="left"/>
      <w:pPr>
        <w:ind w:left="5435" w:hanging="140"/>
      </w:pPr>
      <w:rPr>
        <w:rFonts w:hint="default"/>
      </w:rPr>
    </w:lvl>
    <w:lvl w:ilvl="7" w:tplc="B85655DC">
      <w:start w:val="1"/>
      <w:numFmt w:val="bullet"/>
      <w:lvlText w:val="•"/>
      <w:lvlJc w:val="left"/>
      <w:pPr>
        <w:ind w:left="6323" w:hanging="140"/>
      </w:pPr>
      <w:rPr>
        <w:rFonts w:hint="default"/>
      </w:rPr>
    </w:lvl>
    <w:lvl w:ilvl="8" w:tplc="60D2BDB8">
      <w:start w:val="1"/>
      <w:numFmt w:val="bullet"/>
      <w:lvlText w:val="•"/>
      <w:lvlJc w:val="left"/>
      <w:pPr>
        <w:ind w:left="7210" w:hanging="140"/>
      </w:pPr>
      <w:rPr>
        <w:rFonts w:hint="default"/>
      </w:rPr>
    </w:lvl>
  </w:abstractNum>
  <w:abstractNum w:abstractNumId="65" w15:restartNumberingAfterBreak="0">
    <w:nsid w:val="6FFD14C4"/>
    <w:multiLevelType w:val="hybridMultilevel"/>
    <w:tmpl w:val="A16EA718"/>
    <w:lvl w:ilvl="0" w:tplc="E20EC550">
      <w:start w:val="1"/>
      <w:numFmt w:val="lowerLetter"/>
      <w:lvlText w:val="%1)"/>
      <w:lvlJc w:val="left"/>
      <w:pPr>
        <w:ind w:left="368" w:hanging="260"/>
        <w:jc w:val="left"/>
      </w:pPr>
      <w:rPr>
        <w:rFonts w:ascii="Times New Roman" w:eastAsia="Times New Roman" w:hAnsi="Times New Roman" w:hint="default"/>
        <w:b/>
        <w:bCs/>
        <w:sz w:val="24"/>
        <w:szCs w:val="24"/>
      </w:rPr>
    </w:lvl>
    <w:lvl w:ilvl="1" w:tplc="3BE8AB28">
      <w:start w:val="1"/>
      <w:numFmt w:val="bullet"/>
      <w:lvlText w:val="•"/>
      <w:lvlJc w:val="left"/>
      <w:pPr>
        <w:ind w:left="1230" w:hanging="260"/>
      </w:pPr>
      <w:rPr>
        <w:rFonts w:hint="default"/>
      </w:rPr>
    </w:lvl>
    <w:lvl w:ilvl="2" w:tplc="913C1668">
      <w:start w:val="1"/>
      <w:numFmt w:val="bullet"/>
      <w:lvlText w:val="•"/>
      <w:lvlJc w:val="left"/>
      <w:pPr>
        <w:ind w:left="2092" w:hanging="260"/>
      </w:pPr>
      <w:rPr>
        <w:rFonts w:hint="default"/>
      </w:rPr>
    </w:lvl>
    <w:lvl w:ilvl="3" w:tplc="FE82677C">
      <w:start w:val="1"/>
      <w:numFmt w:val="bullet"/>
      <w:lvlText w:val="•"/>
      <w:lvlJc w:val="left"/>
      <w:pPr>
        <w:ind w:left="2953" w:hanging="260"/>
      </w:pPr>
      <w:rPr>
        <w:rFonts w:hint="default"/>
      </w:rPr>
    </w:lvl>
    <w:lvl w:ilvl="4" w:tplc="98C08AA8">
      <w:start w:val="1"/>
      <w:numFmt w:val="bullet"/>
      <w:lvlText w:val="•"/>
      <w:lvlJc w:val="left"/>
      <w:pPr>
        <w:ind w:left="3815" w:hanging="260"/>
      </w:pPr>
      <w:rPr>
        <w:rFonts w:hint="default"/>
      </w:rPr>
    </w:lvl>
    <w:lvl w:ilvl="5" w:tplc="C81EB8D2">
      <w:start w:val="1"/>
      <w:numFmt w:val="bullet"/>
      <w:lvlText w:val="•"/>
      <w:lvlJc w:val="left"/>
      <w:pPr>
        <w:ind w:left="4677" w:hanging="260"/>
      </w:pPr>
      <w:rPr>
        <w:rFonts w:hint="default"/>
      </w:rPr>
    </w:lvl>
    <w:lvl w:ilvl="6" w:tplc="022A67E4">
      <w:start w:val="1"/>
      <w:numFmt w:val="bullet"/>
      <w:lvlText w:val="•"/>
      <w:lvlJc w:val="left"/>
      <w:pPr>
        <w:ind w:left="5539" w:hanging="260"/>
      </w:pPr>
      <w:rPr>
        <w:rFonts w:hint="default"/>
      </w:rPr>
    </w:lvl>
    <w:lvl w:ilvl="7" w:tplc="257A19A0">
      <w:start w:val="1"/>
      <w:numFmt w:val="bullet"/>
      <w:lvlText w:val="•"/>
      <w:lvlJc w:val="left"/>
      <w:pPr>
        <w:ind w:left="6401" w:hanging="260"/>
      </w:pPr>
      <w:rPr>
        <w:rFonts w:hint="default"/>
      </w:rPr>
    </w:lvl>
    <w:lvl w:ilvl="8" w:tplc="7342290C">
      <w:start w:val="1"/>
      <w:numFmt w:val="bullet"/>
      <w:lvlText w:val="•"/>
      <w:lvlJc w:val="left"/>
      <w:pPr>
        <w:ind w:left="7262" w:hanging="260"/>
      </w:pPr>
      <w:rPr>
        <w:rFonts w:hint="default"/>
      </w:rPr>
    </w:lvl>
  </w:abstractNum>
  <w:abstractNum w:abstractNumId="66" w15:restartNumberingAfterBreak="0">
    <w:nsid w:val="7182627C"/>
    <w:multiLevelType w:val="hybridMultilevel"/>
    <w:tmpl w:val="D810611A"/>
    <w:lvl w:ilvl="0" w:tplc="9DFA3012">
      <w:start w:val="1"/>
      <w:numFmt w:val="lowerLetter"/>
      <w:lvlText w:val="%1)"/>
      <w:lvlJc w:val="left"/>
      <w:pPr>
        <w:ind w:left="368" w:hanging="260"/>
        <w:jc w:val="left"/>
      </w:pPr>
      <w:rPr>
        <w:rFonts w:ascii="Times New Roman" w:eastAsia="Times New Roman" w:hAnsi="Times New Roman" w:hint="default"/>
        <w:b/>
        <w:bCs/>
        <w:sz w:val="24"/>
        <w:szCs w:val="24"/>
      </w:rPr>
    </w:lvl>
    <w:lvl w:ilvl="1" w:tplc="7AC09D26">
      <w:start w:val="1"/>
      <w:numFmt w:val="bullet"/>
      <w:lvlText w:val="•"/>
      <w:lvlJc w:val="left"/>
      <w:pPr>
        <w:ind w:left="1230" w:hanging="260"/>
      </w:pPr>
      <w:rPr>
        <w:rFonts w:hint="default"/>
      </w:rPr>
    </w:lvl>
    <w:lvl w:ilvl="2" w:tplc="5B08D7BE">
      <w:start w:val="1"/>
      <w:numFmt w:val="bullet"/>
      <w:lvlText w:val="•"/>
      <w:lvlJc w:val="left"/>
      <w:pPr>
        <w:ind w:left="2092" w:hanging="260"/>
      </w:pPr>
      <w:rPr>
        <w:rFonts w:hint="default"/>
      </w:rPr>
    </w:lvl>
    <w:lvl w:ilvl="3" w:tplc="402C6CE2">
      <w:start w:val="1"/>
      <w:numFmt w:val="bullet"/>
      <w:lvlText w:val="•"/>
      <w:lvlJc w:val="left"/>
      <w:pPr>
        <w:ind w:left="2953" w:hanging="260"/>
      </w:pPr>
      <w:rPr>
        <w:rFonts w:hint="default"/>
      </w:rPr>
    </w:lvl>
    <w:lvl w:ilvl="4" w:tplc="721048F6">
      <w:start w:val="1"/>
      <w:numFmt w:val="bullet"/>
      <w:lvlText w:val="•"/>
      <w:lvlJc w:val="left"/>
      <w:pPr>
        <w:ind w:left="3815" w:hanging="260"/>
      </w:pPr>
      <w:rPr>
        <w:rFonts w:hint="default"/>
      </w:rPr>
    </w:lvl>
    <w:lvl w:ilvl="5" w:tplc="630A0B28">
      <w:start w:val="1"/>
      <w:numFmt w:val="bullet"/>
      <w:lvlText w:val="•"/>
      <w:lvlJc w:val="left"/>
      <w:pPr>
        <w:ind w:left="4677" w:hanging="260"/>
      </w:pPr>
      <w:rPr>
        <w:rFonts w:hint="default"/>
      </w:rPr>
    </w:lvl>
    <w:lvl w:ilvl="6" w:tplc="7C50A69C">
      <w:start w:val="1"/>
      <w:numFmt w:val="bullet"/>
      <w:lvlText w:val="•"/>
      <w:lvlJc w:val="left"/>
      <w:pPr>
        <w:ind w:left="5539" w:hanging="260"/>
      </w:pPr>
      <w:rPr>
        <w:rFonts w:hint="default"/>
      </w:rPr>
    </w:lvl>
    <w:lvl w:ilvl="7" w:tplc="1C7E8D2A">
      <w:start w:val="1"/>
      <w:numFmt w:val="bullet"/>
      <w:lvlText w:val="•"/>
      <w:lvlJc w:val="left"/>
      <w:pPr>
        <w:ind w:left="6401" w:hanging="260"/>
      </w:pPr>
      <w:rPr>
        <w:rFonts w:hint="default"/>
      </w:rPr>
    </w:lvl>
    <w:lvl w:ilvl="8" w:tplc="1D5CDAE2">
      <w:start w:val="1"/>
      <w:numFmt w:val="bullet"/>
      <w:lvlText w:val="•"/>
      <w:lvlJc w:val="left"/>
      <w:pPr>
        <w:ind w:left="7262" w:hanging="260"/>
      </w:pPr>
      <w:rPr>
        <w:rFonts w:hint="default"/>
      </w:rPr>
    </w:lvl>
  </w:abstractNum>
  <w:abstractNum w:abstractNumId="67" w15:restartNumberingAfterBreak="0">
    <w:nsid w:val="71B618D7"/>
    <w:multiLevelType w:val="hybridMultilevel"/>
    <w:tmpl w:val="54CA5A60"/>
    <w:lvl w:ilvl="0" w:tplc="9A44C9EE">
      <w:start w:val="1"/>
      <w:numFmt w:val="bullet"/>
      <w:lvlText w:val="-"/>
      <w:lvlJc w:val="left"/>
      <w:pPr>
        <w:ind w:left="104" w:hanging="140"/>
      </w:pPr>
      <w:rPr>
        <w:rFonts w:ascii="Times New Roman" w:eastAsia="Times New Roman" w:hAnsi="Times New Roman" w:hint="default"/>
        <w:sz w:val="24"/>
        <w:szCs w:val="24"/>
      </w:rPr>
    </w:lvl>
    <w:lvl w:ilvl="1" w:tplc="2DCC309C">
      <w:start w:val="1"/>
      <w:numFmt w:val="bullet"/>
      <w:lvlText w:val="•"/>
      <w:lvlJc w:val="left"/>
      <w:pPr>
        <w:ind w:left="518" w:hanging="140"/>
      </w:pPr>
      <w:rPr>
        <w:rFonts w:hint="default"/>
      </w:rPr>
    </w:lvl>
    <w:lvl w:ilvl="2" w:tplc="2A5A0808">
      <w:start w:val="1"/>
      <w:numFmt w:val="bullet"/>
      <w:lvlText w:val="•"/>
      <w:lvlJc w:val="left"/>
      <w:pPr>
        <w:ind w:left="932" w:hanging="140"/>
      </w:pPr>
      <w:rPr>
        <w:rFonts w:hint="default"/>
      </w:rPr>
    </w:lvl>
    <w:lvl w:ilvl="3" w:tplc="772C2DD2">
      <w:start w:val="1"/>
      <w:numFmt w:val="bullet"/>
      <w:lvlText w:val="•"/>
      <w:lvlJc w:val="left"/>
      <w:pPr>
        <w:ind w:left="1345" w:hanging="140"/>
      </w:pPr>
      <w:rPr>
        <w:rFonts w:hint="default"/>
      </w:rPr>
    </w:lvl>
    <w:lvl w:ilvl="4" w:tplc="3188AA4E">
      <w:start w:val="1"/>
      <w:numFmt w:val="bullet"/>
      <w:lvlText w:val="•"/>
      <w:lvlJc w:val="left"/>
      <w:pPr>
        <w:ind w:left="1759" w:hanging="140"/>
      </w:pPr>
      <w:rPr>
        <w:rFonts w:hint="default"/>
      </w:rPr>
    </w:lvl>
    <w:lvl w:ilvl="5" w:tplc="F6FCC53E">
      <w:start w:val="1"/>
      <w:numFmt w:val="bullet"/>
      <w:lvlText w:val="•"/>
      <w:lvlJc w:val="left"/>
      <w:pPr>
        <w:ind w:left="2173" w:hanging="140"/>
      </w:pPr>
      <w:rPr>
        <w:rFonts w:hint="default"/>
      </w:rPr>
    </w:lvl>
    <w:lvl w:ilvl="6" w:tplc="9726FA46">
      <w:start w:val="1"/>
      <w:numFmt w:val="bullet"/>
      <w:lvlText w:val="•"/>
      <w:lvlJc w:val="left"/>
      <w:pPr>
        <w:ind w:left="2586" w:hanging="140"/>
      </w:pPr>
      <w:rPr>
        <w:rFonts w:hint="default"/>
      </w:rPr>
    </w:lvl>
    <w:lvl w:ilvl="7" w:tplc="15DCEAD0">
      <w:start w:val="1"/>
      <w:numFmt w:val="bullet"/>
      <w:lvlText w:val="•"/>
      <w:lvlJc w:val="left"/>
      <w:pPr>
        <w:ind w:left="3000" w:hanging="140"/>
      </w:pPr>
      <w:rPr>
        <w:rFonts w:hint="default"/>
      </w:rPr>
    </w:lvl>
    <w:lvl w:ilvl="8" w:tplc="BFC2F298">
      <w:start w:val="1"/>
      <w:numFmt w:val="bullet"/>
      <w:lvlText w:val="•"/>
      <w:lvlJc w:val="left"/>
      <w:pPr>
        <w:ind w:left="3414" w:hanging="140"/>
      </w:pPr>
      <w:rPr>
        <w:rFonts w:hint="default"/>
      </w:rPr>
    </w:lvl>
  </w:abstractNum>
  <w:abstractNum w:abstractNumId="68" w15:restartNumberingAfterBreak="0">
    <w:nsid w:val="71D96A13"/>
    <w:multiLevelType w:val="hybridMultilevel"/>
    <w:tmpl w:val="3306FD22"/>
    <w:lvl w:ilvl="0" w:tplc="C5D88E18">
      <w:start w:val="1"/>
      <w:numFmt w:val="lowerLetter"/>
      <w:lvlText w:val="%1)"/>
      <w:lvlJc w:val="left"/>
      <w:pPr>
        <w:ind w:left="368" w:hanging="260"/>
        <w:jc w:val="left"/>
      </w:pPr>
      <w:rPr>
        <w:rFonts w:ascii="Times New Roman" w:eastAsia="Times New Roman" w:hAnsi="Times New Roman" w:hint="default"/>
        <w:b/>
        <w:bCs/>
        <w:sz w:val="24"/>
        <w:szCs w:val="24"/>
      </w:rPr>
    </w:lvl>
    <w:lvl w:ilvl="1" w:tplc="B328890E">
      <w:start w:val="1"/>
      <w:numFmt w:val="bullet"/>
      <w:lvlText w:val="•"/>
      <w:lvlJc w:val="left"/>
      <w:pPr>
        <w:ind w:left="1230" w:hanging="260"/>
      </w:pPr>
      <w:rPr>
        <w:rFonts w:hint="default"/>
      </w:rPr>
    </w:lvl>
    <w:lvl w:ilvl="2" w:tplc="6F9065CE">
      <w:start w:val="1"/>
      <w:numFmt w:val="bullet"/>
      <w:lvlText w:val="•"/>
      <w:lvlJc w:val="left"/>
      <w:pPr>
        <w:ind w:left="2092" w:hanging="260"/>
      </w:pPr>
      <w:rPr>
        <w:rFonts w:hint="default"/>
      </w:rPr>
    </w:lvl>
    <w:lvl w:ilvl="3" w:tplc="2EE45E36">
      <w:start w:val="1"/>
      <w:numFmt w:val="bullet"/>
      <w:lvlText w:val="•"/>
      <w:lvlJc w:val="left"/>
      <w:pPr>
        <w:ind w:left="2953" w:hanging="260"/>
      </w:pPr>
      <w:rPr>
        <w:rFonts w:hint="default"/>
      </w:rPr>
    </w:lvl>
    <w:lvl w:ilvl="4" w:tplc="DC4AC178">
      <w:start w:val="1"/>
      <w:numFmt w:val="bullet"/>
      <w:lvlText w:val="•"/>
      <w:lvlJc w:val="left"/>
      <w:pPr>
        <w:ind w:left="3815" w:hanging="260"/>
      </w:pPr>
      <w:rPr>
        <w:rFonts w:hint="default"/>
      </w:rPr>
    </w:lvl>
    <w:lvl w:ilvl="5" w:tplc="AC4C91EE">
      <w:start w:val="1"/>
      <w:numFmt w:val="bullet"/>
      <w:lvlText w:val="•"/>
      <w:lvlJc w:val="left"/>
      <w:pPr>
        <w:ind w:left="4677" w:hanging="260"/>
      </w:pPr>
      <w:rPr>
        <w:rFonts w:hint="default"/>
      </w:rPr>
    </w:lvl>
    <w:lvl w:ilvl="6" w:tplc="FA6214DC">
      <w:start w:val="1"/>
      <w:numFmt w:val="bullet"/>
      <w:lvlText w:val="•"/>
      <w:lvlJc w:val="left"/>
      <w:pPr>
        <w:ind w:left="5539" w:hanging="260"/>
      </w:pPr>
      <w:rPr>
        <w:rFonts w:hint="default"/>
      </w:rPr>
    </w:lvl>
    <w:lvl w:ilvl="7" w:tplc="A23C51D8">
      <w:start w:val="1"/>
      <w:numFmt w:val="bullet"/>
      <w:lvlText w:val="•"/>
      <w:lvlJc w:val="left"/>
      <w:pPr>
        <w:ind w:left="6401" w:hanging="260"/>
      </w:pPr>
      <w:rPr>
        <w:rFonts w:hint="default"/>
      </w:rPr>
    </w:lvl>
    <w:lvl w:ilvl="8" w:tplc="4BC64E16">
      <w:start w:val="1"/>
      <w:numFmt w:val="bullet"/>
      <w:lvlText w:val="•"/>
      <w:lvlJc w:val="left"/>
      <w:pPr>
        <w:ind w:left="7262" w:hanging="260"/>
      </w:pPr>
      <w:rPr>
        <w:rFonts w:hint="default"/>
      </w:rPr>
    </w:lvl>
  </w:abstractNum>
  <w:abstractNum w:abstractNumId="69" w15:restartNumberingAfterBreak="0">
    <w:nsid w:val="72975396"/>
    <w:multiLevelType w:val="hybridMultilevel"/>
    <w:tmpl w:val="C5EEC594"/>
    <w:lvl w:ilvl="0" w:tplc="5B1E172A">
      <w:start w:val="1"/>
      <w:numFmt w:val="lowerLetter"/>
      <w:lvlText w:val="%1)"/>
      <w:lvlJc w:val="left"/>
      <w:pPr>
        <w:ind w:left="368" w:hanging="260"/>
        <w:jc w:val="left"/>
      </w:pPr>
      <w:rPr>
        <w:rFonts w:ascii="Times New Roman" w:eastAsia="Times New Roman" w:hAnsi="Times New Roman" w:hint="default"/>
        <w:b/>
        <w:bCs/>
        <w:i/>
        <w:sz w:val="24"/>
        <w:szCs w:val="24"/>
      </w:rPr>
    </w:lvl>
    <w:lvl w:ilvl="1" w:tplc="E90AA618">
      <w:start w:val="1"/>
      <w:numFmt w:val="bullet"/>
      <w:lvlText w:val="•"/>
      <w:lvlJc w:val="left"/>
      <w:pPr>
        <w:ind w:left="1230" w:hanging="260"/>
      </w:pPr>
      <w:rPr>
        <w:rFonts w:hint="default"/>
      </w:rPr>
    </w:lvl>
    <w:lvl w:ilvl="2" w:tplc="99A4D030">
      <w:start w:val="1"/>
      <w:numFmt w:val="bullet"/>
      <w:lvlText w:val="•"/>
      <w:lvlJc w:val="left"/>
      <w:pPr>
        <w:ind w:left="2092" w:hanging="260"/>
      </w:pPr>
      <w:rPr>
        <w:rFonts w:hint="default"/>
      </w:rPr>
    </w:lvl>
    <w:lvl w:ilvl="3" w:tplc="5DBE9ADC">
      <w:start w:val="1"/>
      <w:numFmt w:val="bullet"/>
      <w:lvlText w:val="•"/>
      <w:lvlJc w:val="left"/>
      <w:pPr>
        <w:ind w:left="2953" w:hanging="260"/>
      </w:pPr>
      <w:rPr>
        <w:rFonts w:hint="default"/>
      </w:rPr>
    </w:lvl>
    <w:lvl w:ilvl="4" w:tplc="4EE05002">
      <w:start w:val="1"/>
      <w:numFmt w:val="bullet"/>
      <w:lvlText w:val="•"/>
      <w:lvlJc w:val="left"/>
      <w:pPr>
        <w:ind w:left="3815" w:hanging="260"/>
      </w:pPr>
      <w:rPr>
        <w:rFonts w:hint="default"/>
      </w:rPr>
    </w:lvl>
    <w:lvl w:ilvl="5" w:tplc="C728E51E">
      <w:start w:val="1"/>
      <w:numFmt w:val="bullet"/>
      <w:lvlText w:val="•"/>
      <w:lvlJc w:val="left"/>
      <w:pPr>
        <w:ind w:left="4677" w:hanging="260"/>
      </w:pPr>
      <w:rPr>
        <w:rFonts w:hint="default"/>
      </w:rPr>
    </w:lvl>
    <w:lvl w:ilvl="6" w:tplc="4E940338">
      <w:start w:val="1"/>
      <w:numFmt w:val="bullet"/>
      <w:lvlText w:val="•"/>
      <w:lvlJc w:val="left"/>
      <w:pPr>
        <w:ind w:left="5539" w:hanging="260"/>
      </w:pPr>
      <w:rPr>
        <w:rFonts w:hint="default"/>
      </w:rPr>
    </w:lvl>
    <w:lvl w:ilvl="7" w:tplc="C7AA8090">
      <w:start w:val="1"/>
      <w:numFmt w:val="bullet"/>
      <w:lvlText w:val="•"/>
      <w:lvlJc w:val="left"/>
      <w:pPr>
        <w:ind w:left="6401" w:hanging="260"/>
      </w:pPr>
      <w:rPr>
        <w:rFonts w:hint="default"/>
      </w:rPr>
    </w:lvl>
    <w:lvl w:ilvl="8" w:tplc="BD70FEF4">
      <w:start w:val="1"/>
      <w:numFmt w:val="bullet"/>
      <w:lvlText w:val="•"/>
      <w:lvlJc w:val="left"/>
      <w:pPr>
        <w:ind w:left="7262" w:hanging="260"/>
      </w:pPr>
      <w:rPr>
        <w:rFonts w:hint="default"/>
      </w:rPr>
    </w:lvl>
  </w:abstractNum>
  <w:abstractNum w:abstractNumId="70" w15:restartNumberingAfterBreak="0">
    <w:nsid w:val="73F37888"/>
    <w:multiLevelType w:val="hybridMultilevel"/>
    <w:tmpl w:val="71507974"/>
    <w:lvl w:ilvl="0" w:tplc="B59249D4">
      <w:start w:val="1"/>
      <w:numFmt w:val="lowerLetter"/>
      <w:lvlText w:val="(%1)"/>
      <w:lvlJc w:val="left"/>
      <w:pPr>
        <w:ind w:left="447" w:hanging="339"/>
        <w:jc w:val="left"/>
      </w:pPr>
      <w:rPr>
        <w:rFonts w:ascii="Times New Roman" w:eastAsia="Times New Roman" w:hAnsi="Times New Roman" w:hint="default"/>
        <w:b/>
        <w:bCs/>
        <w:i/>
        <w:sz w:val="24"/>
        <w:szCs w:val="24"/>
      </w:rPr>
    </w:lvl>
    <w:lvl w:ilvl="1" w:tplc="AD9248DC">
      <w:start w:val="1"/>
      <w:numFmt w:val="bullet"/>
      <w:lvlText w:val="•"/>
      <w:lvlJc w:val="left"/>
      <w:pPr>
        <w:ind w:left="1301" w:hanging="339"/>
      </w:pPr>
      <w:rPr>
        <w:rFonts w:hint="default"/>
      </w:rPr>
    </w:lvl>
    <w:lvl w:ilvl="2" w:tplc="87FC57F8">
      <w:start w:val="1"/>
      <w:numFmt w:val="bullet"/>
      <w:lvlText w:val="•"/>
      <w:lvlJc w:val="left"/>
      <w:pPr>
        <w:ind w:left="2155" w:hanging="339"/>
      </w:pPr>
      <w:rPr>
        <w:rFonts w:hint="default"/>
      </w:rPr>
    </w:lvl>
    <w:lvl w:ilvl="3" w:tplc="2B06E53A">
      <w:start w:val="1"/>
      <w:numFmt w:val="bullet"/>
      <w:lvlText w:val="•"/>
      <w:lvlJc w:val="left"/>
      <w:pPr>
        <w:ind w:left="3009" w:hanging="339"/>
      </w:pPr>
      <w:rPr>
        <w:rFonts w:hint="default"/>
      </w:rPr>
    </w:lvl>
    <w:lvl w:ilvl="4" w:tplc="8B50E450">
      <w:start w:val="1"/>
      <w:numFmt w:val="bullet"/>
      <w:lvlText w:val="•"/>
      <w:lvlJc w:val="left"/>
      <w:pPr>
        <w:ind w:left="3863" w:hanging="339"/>
      </w:pPr>
      <w:rPr>
        <w:rFonts w:hint="default"/>
      </w:rPr>
    </w:lvl>
    <w:lvl w:ilvl="5" w:tplc="98406044">
      <w:start w:val="1"/>
      <w:numFmt w:val="bullet"/>
      <w:lvlText w:val="•"/>
      <w:lvlJc w:val="left"/>
      <w:pPr>
        <w:ind w:left="4717" w:hanging="339"/>
      </w:pPr>
      <w:rPr>
        <w:rFonts w:hint="default"/>
      </w:rPr>
    </w:lvl>
    <w:lvl w:ilvl="6" w:tplc="7F209310">
      <w:start w:val="1"/>
      <w:numFmt w:val="bullet"/>
      <w:lvlText w:val="•"/>
      <w:lvlJc w:val="left"/>
      <w:pPr>
        <w:ind w:left="5570" w:hanging="339"/>
      </w:pPr>
      <w:rPr>
        <w:rFonts w:hint="default"/>
      </w:rPr>
    </w:lvl>
    <w:lvl w:ilvl="7" w:tplc="7A3E1B3E">
      <w:start w:val="1"/>
      <w:numFmt w:val="bullet"/>
      <w:lvlText w:val="•"/>
      <w:lvlJc w:val="left"/>
      <w:pPr>
        <w:ind w:left="6424" w:hanging="339"/>
      </w:pPr>
      <w:rPr>
        <w:rFonts w:hint="default"/>
      </w:rPr>
    </w:lvl>
    <w:lvl w:ilvl="8" w:tplc="9C7A6488">
      <w:start w:val="1"/>
      <w:numFmt w:val="bullet"/>
      <w:lvlText w:val="•"/>
      <w:lvlJc w:val="left"/>
      <w:pPr>
        <w:ind w:left="7278" w:hanging="339"/>
      </w:pPr>
      <w:rPr>
        <w:rFonts w:hint="default"/>
      </w:rPr>
    </w:lvl>
  </w:abstractNum>
  <w:abstractNum w:abstractNumId="71" w15:restartNumberingAfterBreak="0">
    <w:nsid w:val="74E25FDF"/>
    <w:multiLevelType w:val="hybridMultilevel"/>
    <w:tmpl w:val="5C162D50"/>
    <w:lvl w:ilvl="0" w:tplc="9AF8AA76">
      <w:start w:val="1"/>
      <w:numFmt w:val="decimal"/>
      <w:lvlText w:val="%1)"/>
      <w:lvlJc w:val="left"/>
      <w:pPr>
        <w:ind w:left="107" w:hanging="260"/>
        <w:jc w:val="left"/>
      </w:pPr>
      <w:rPr>
        <w:rFonts w:ascii="Times New Roman" w:eastAsia="Times New Roman" w:hAnsi="Times New Roman" w:hint="default"/>
        <w:sz w:val="24"/>
        <w:szCs w:val="24"/>
      </w:rPr>
    </w:lvl>
    <w:lvl w:ilvl="1" w:tplc="22F2195A">
      <w:start w:val="1"/>
      <w:numFmt w:val="bullet"/>
      <w:lvlText w:val="•"/>
      <w:lvlJc w:val="left"/>
      <w:pPr>
        <w:ind w:left="993" w:hanging="260"/>
      </w:pPr>
      <w:rPr>
        <w:rFonts w:hint="default"/>
      </w:rPr>
    </w:lvl>
    <w:lvl w:ilvl="2" w:tplc="0010B024">
      <w:start w:val="1"/>
      <w:numFmt w:val="bullet"/>
      <w:lvlText w:val="•"/>
      <w:lvlJc w:val="left"/>
      <w:pPr>
        <w:ind w:left="1880" w:hanging="260"/>
      </w:pPr>
      <w:rPr>
        <w:rFonts w:hint="default"/>
      </w:rPr>
    </w:lvl>
    <w:lvl w:ilvl="3" w:tplc="C7BE6F00">
      <w:start w:val="1"/>
      <w:numFmt w:val="bullet"/>
      <w:lvlText w:val="•"/>
      <w:lvlJc w:val="left"/>
      <w:pPr>
        <w:ind w:left="2767" w:hanging="260"/>
      </w:pPr>
      <w:rPr>
        <w:rFonts w:hint="default"/>
      </w:rPr>
    </w:lvl>
    <w:lvl w:ilvl="4" w:tplc="DF1CEADA">
      <w:start w:val="1"/>
      <w:numFmt w:val="bullet"/>
      <w:lvlText w:val="•"/>
      <w:lvlJc w:val="left"/>
      <w:pPr>
        <w:ind w:left="3654" w:hanging="260"/>
      </w:pPr>
      <w:rPr>
        <w:rFonts w:hint="default"/>
      </w:rPr>
    </w:lvl>
    <w:lvl w:ilvl="5" w:tplc="43FEC84E">
      <w:start w:val="1"/>
      <w:numFmt w:val="bullet"/>
      <w:lvlText w:val="•"/>
      <w:lvlJc w:val="left"/>
      <w:pPr>
        <w:ind w:left="4541" w:hanging="260"/>
      </w:pPr>
      <w:rPr>
        <w:rFonts w:hint="default"/>
      </w:rPr>
    </w:lvl>
    <w:lvl w:ilvl="6" w:tplc="01C42606">
      <w:start w:val="1"/>
      <w:numFmt w:val="bullet"/>
      <w:lvlText w:val="•"/>
      <w:lvlJc w:val="left"/>
      <w:pPr>
        <w:ind w:left="5428" w:hanging="260"/>
      </w:pPr>
      <w:rPr>
        <w:rFonts w:hint="default"/>
      </w:rPr>
    </w:lvl>
    <w:lvl w:ilvl="7" w:tplc="31BEAF3C">
      <w:start w:val="1"/>
      <w:numFmt w:val="bullet"/>
      <w:lvlText w:val="•"/>
      <w:lvlJc w:val="left"/>
      <w:pPr>
        <w:ind w:left="6314" w:hanging="260"/>
      </w:pPr>
      <w:rPr>
        <w:rFonts w:hint="default"/>
      </w:rPr>
    </w:lvl>
    <w:lvl w:ilvl="8" w:tplc="2340C85A">
      <w:start w:val="1"/>
      <w:numFmt w:val="bullet"/>
      <w:lvlText w:val="•"/>
      <w:lvlJc w:val="left"/>
      <w:pPr>
        <w:ind w:left="7201" w:hanging="260"/>
      </w:pPr>
      <w:rPr>
        <w:rFonts w:hint="default"/>
      </w:rPr>
    </w:lvl>
  </w:abstractNum>
  <w:abstractNum w:abstractNumId="72" w15:restartNumberingAfterBreak="0">
    <w:nsid w:val="77C647F6"/>
    <w:multiLevelType w:val="hybridMultilevel"/>
    <w:tmpl w:val="FB3A9F64"/>
    <w:lvl w:ilvl="0" w:tplc="4D7CE0FA">
      <w:start w:val="1"/>
      <w:numFmt w:val="lowerLetter"/>
      <w:lvlText w:val="%1)"/>
      <w:lvlJc w:val="left"/>
      <w:pPr>
        <w:ind w:left="368" w:hanging="260"/>
        <w:jc w:val="left"/>
      </w:pPr>
      <w:rPr>
        <w:rFonts w:ascii="Times New Roman" w:eastAsia="Times New Roman" w:hAnsi="Times New Roman" w:hint="default"/>
        <w:b/>
        <w:bCs/>
        <w:sz w:val="24"/>
        <w:szCs w:val="24"/>
      </w:rPr>
    </w:lvl>
    <w:lvl w:ilvl="1" w:tplc="6E6EFE1A">
      <w:start w:val="1"/>
      <w:numFmt w:val="bullet"/>
      <w:lvlText w:val="•"/>
      <w:lvlJc w:val="left"/>
      <w:pPr>
        <w:ind w:left="1230" w:hanging="260"/>
      </w:pPr>
      <w:rPr>
        <w:rFonts w:hint="default"/>
      </w:rPr>
    </w:lvl>
    <w:lvl w:ilvl="2" w:tplc="C3BEE75A">
      <w:start w:val="1"/>
      <w:numFmt w:val="bullet"/>
      <w:lvlText w:val="•"/>
      <w:lvlJc w:val="left"/>
      <w:pPr>
        <w:ind w:left="2092" w:hanging="260"/>
      </w:pPr>
      <w:rPr>
        <w:rFonts w:hint="default"/>
      </w:rPr>
    </w:lvl>
    <w:lvl w:ilvl="3" w:tplc="FEE07A34">
      <w:start w:val="1"/>
      <w:numFmt w:val="bullet"/>
      <w:lvlText w:val="•"/>
      <w:lvlJc w:val="left"/>
      <w:pPr>
        <w:ind w:left="2953" w:hanging="260"/>
      </w:pPr>
      <w:rPr>
        <w:rFonts w:hint="default"/>
      </w:rPr>
    </w:lvl>
    <w:lvl w:ilvl="4" w:tplc="7F14C72E">
      <w:start w:val="1"/>
      <w:numFmt w:val="bullet"/>
      <w:lvlText w:val="•"/>
      <w:lvlJc w:val="left"/>
      <w:pPr>
        <w:ind w:left="3815" w:hanging="260"/>
      </w:pPr>
      <w:rPr>
        <w:rFonts w:hint="default"/>
      </w:rPr>
    </w:lvl>
    <w:lvl w:ilvl="5" w:tplc="CBB8F57A">
      <w:start w:val="1"/>
      <w:numFmt w:val="bullet"/>
      <w:lvlText w:val="•"/>
      <w:lvlJc w:val="left"/>
      <w:pPr>
        <w:ind w:left="4677" w:hanging="260"/>
      </w:pPr>
      <w:rPr>
        <w:rFonts w:hint="default"/>
      </w:rPr>
    </w:lvl>
    <w:lvl w:ilvl="6" w:tplc="CD5AB460">
      <w:start w:val="1"/>
      <w:numFmt w:val="bullet"/>
      <w:lvlText w:val="•"/>
      <w:lvlJc w:val="left"/>
      <w:pPr>
        <w:ind w:left="5539" w:hanging="260"/>
      </w:pPr>
      <w:rPr>
        <w:rFonts w:hint="default"/>
      </w:rPr>
    </w:lvl>
    <w:lvl w:ilvl="7" w:tplc="5BE83980">
      <w:start w:val="1"/>
      <w:numFmt w:val="bullet"/>
      <w:lvlText w:val="•"/>
      <w:lvlJc w:val="left"/>
      <w:pPr>
        <w:ind w:left="6401" w:hanging="260"/>
      </w:pPr>
      <w:rPr>
        <w:rFonts w:hint="default"/>
      </w:rPr>
    </w:lvl>
    <w:lvl w:ilvl="8" w:tplc="46941A6E">
      <w:start w:val="1"/>
      <w:numFmt w:val="bullet"/>
      <w:lvlText w:val="•"/>
      <w:lvlJc w:val="left"/>
      <w:pPr>
        <w:ind w:left="7262" w:hanging="260"/>
      </w:pPr>
      <w:rPr>
        <w:rFonts w:hint="default"/>
      </w:rPr>
    </w:lvl>
  </w:abstractNum>
  <w:abstractNum w:abstractNumId="73" w15:restartNumberingAfterBreak="0">
    <w:nsid w:val="794466C5"/>
    <w:multiLevelType w:val="hybridMultilevel"/>
    <w:tmpl w:val="A168A468"/>
    <w:lvl w:ilvl="0" w:tplc="D464AFC6">
      <w:start w:val="1"/>
      <w:numFmt w:val="bullet"/>
      <w:lvlText w:val=""/>
      <w:lvlJc w:val="left"/>
      <w:pPr>
        <w:ind w:left="822" w:hanging="360"/>
      </w:pPr>
      <w:rPr>
        <w:rFonts w:ascii="Symbol" w:eastAsia="Symbol" w:hAnsi="Symbol" w:hint="default"/>
        <w:sz w:val="24"/>
        <w:szCs w:val="24"/>
      </w:rPr>
    </w:lvl>
    <w:lvl w:ilvl="1" w:tplc="B762C730">
      <w:start w:val="1"/>
      <w:numFmt w:val="bullet"/>
      <w:lvlText w:val="•"/>
      <w:lvlJc w:val="left"/>
      <w:pPr>
        <w:ind w:left="1186" w:hanging="360"/>
      </w:pPr>
      <w:rPr>
        <w:rFonts w:hint="default"/>
      </w:rPr>
    </w:lvl>
    <w:lvl w:ilvl="2" w:tplc="F9D04BE0">
      <w:start w:val="1"/>
      <w:numFmt w:val="bullet"/>
      <w:lvlText w:val="•"/>
      <w:lvlJc w:val="left"/>
      <w:pPr>
        <w:ind w:left="1550" w:hanging="360"/>
      </w:pPr>
      <w:rPr>
        <w:rFonts w:hint="default"/>
      </w:rPr>
    </w:lvl>
    <w:lvl w:ilvl="3" w:tplc="50F40CCE">
      <w:start w:val="1"/>
      <w:numFmt w:val="bullet"/>
      <w:lvlText w:val="•"/>
      <w:lvlJc w:val="left"/>
      <w:pPr>
        <w:ind w:left="1914" w:hanging="360"/>
      </w:pPr>
      <w:rPr>
        <w:rFonts w:hint="default"/>
      </w:rPr>
    </w:lvl>
    <w:lvl w:ilvl="4" w:tplc="96027526">
      <w:start w:val="1"/>
      <w:numFmt w:val="bullet"/>
      <w:lvlText w:val="•"/>
      <w:lvlJc w:val="left"/>
      <w:pPr>
        <w:ind w:left="2277" w:hanging="360"/>
      </w:pPr>
      <w:rPr>
        <w:rFonts w:hint="default"/>
      </w:rPr>
    </w:lvl>
    <w:lvl w:ilvl="5" w:tplc="ADD2DB42">
      <w:start w:val="1"/>
      <w:numFmt w:val="bullet"/>
      <w:lvlText w:val="•"/>
      <w:lvlJc w:val="left"/>
      <w:pPr>
        <w:ind w:left="2641" w:hanging="360"/>
      </w:pPr>
      <w:rPr>
        <w:rFonts w:hint="default"/>
      </w:rPr>
    </w:lvl>
    <w:lvl w:ilvl="6" w:tplc="06CAAEDA">
      <w:start w:val="1"/>
      <w:numFmt w:val="bullet"/>
      <w:lvlText w:val="•"/>
      <w:lvlJc w:val="left"/>
      <w:pPr>
        <w:ind w:left="3005" w:hanging="360"/>
      </w:pPr>
      <w:rPr>
        <w:rFonts w:hint="default"/>
      </w:rPr>
    </w:lvl>
    <w:lvl w:ilvl="7" w:tplc="84E25F92">
      <w:start w:val="1"/>
      <w:numFmt w:val="bullet"/>
      <w:lvlText w:val="•"/>
      <w:lvlJc w:val="left"/>
      <w:pPr>
        <w:ind w:left="3369" w:hanging="360"/>
      </w:pPr>
      <w:rPr>
        <w:rFonts w:hint="default"/>
      </w:rPr>
    </w:lvl>
    <w:lvl w:ilvl="8" w:tplc="BF6E85B4">
      <w:start w:val="1"/>
      <w:numFmt w:val="bullet"/>
      <w:lvlText w:val="•"/>
      <w:lvlJc w:val="left"/>
      <w:pPr>
        <w:ind w:left="3733" w:hanging="360"/>
      </w:pPr>
      <w:rPr>
        <w:rFonts w:hint="default"/>
      </w:rPr>
    </w:lvl>
  </w:abstractNum>
  <w:abstractNum w:abstractNumId="74" w15:restartNumberingAfterBreak="0">
    <w:nsid w:val="79EE0041"/>
    <w:multiLevelType w:val="hybridMultilevel"/>
    <w:tmpl w:val="F838FD10"/>
    <w:lvl w:ilvl="0" w:tplc="E50458D8">
      <w:start w:val="1"/>
      <w:numFmt w:val="bullet"/>
      <w:lvlText w:val="-"/>
      <w:lvlJc w:val="left"/>
      <w:pPr>
        <w:ind w:left="39" w:hanging="178"/>
      </w:pPr>
      <w:rPr>
        <w:rFonts w:ascii="Times New Roman" w:eastAsia="Times New Roman" w:hAnsi="Times New Roman" w:hint="default"/>
        <w:sz w:val="24"/>
        <w:szCs w:val="24"/>
      </w:rPr>
    </w:lvl>
    <w:lvl w:ilvl="1" w:tplc="D2463C98">
      <w:start w:val="1"/>
      <w:numFmt w:val="bullet"/>
      <w:lvlText w:val="•"/>
      <w:lvlJc w:val="left"/>
      <w:pPr>
        <w:ind w:left="460" w:hanging="178"/>
      </w:pPr>
      <w:rPr>
        <w:rFonts w:hint="default"/>
      </w:rPr>
    </w:lvl>
    <w:lvl w:ilvl="2" w:tplc="F86AB294">
      <w:start w:val="1"/>
      <w:numFmt w:val="bullet"/>
      <w:lvlText w:val="•"/>
      <w:lvlJc w:val="left"/>
      <w:pPr>
        <w:ind w:left="881" w:hanging="178"/>
      </w:pPr>
      <w:rPr>
        <w:rFonts w:hint="default"/>
      </w:rPr>
    </w:lvl>
    <w:lvl w:ilvl="3" w:tplc="5218C2AA">
      <w:start w:val="1"/>
      <w:numFmt w:val="bullet"/>
      <w:lvlText w:val="•"/>
      <w:lvlJc w:val="left"/>
      <w:pPr>
        <w:ind w:left="1301" w:hanging="178"/>
      </w:pPr>
      <w:rPr>
        <w:rFonts w:hint="default"/>
      </w:rPr>
    </w:lvl>
    <w:lvl w:ilvl="4" w:tplc="A11AEECE">
      <w:start w:val="1"/>
      <w:numFmt w:val="bullet"/>
      <w:lvlText w:val="•"/>
      <w:lvlJc w:val="left"/>
      <w:pPr>
        <w:ind w:left="1722" w:hanging="178"/>
      </w:pPr>
      <w:rPr>
        <w:rFonts w:hint="default"/>
      </w:rPr>
    </w:lvl>
    <w:lvl w:ilvl="5" w:tplc="024C80DA">
      <w:start w:val="1"/>
      <w:numFmt w:val="bullet"/>
      <w:lvlText w:val="•"/>
      <w:lvlJc w:val="left"/>
      <w:pPr>
        <w:ind w:left="2143" w:hanging="178"/>
      </w:pPr>
      <w:rPr>
        <w:rFonts w:hint="default"/>
      </w:rPr>
    </w:lvl>
    <w:lvl w:ilvl="6" w:tplc="C82E35B0">
      <w:start w:val="1"/>
      <w:numFmt w:val="bullet"/>
      <w:lvlText w:val="•"/>
      <w:lvlJc w:val="left"/>
      <w:pPr>
        <w:ind w:left="2564" w:hanging="178"/>
      </w:pPr>
      <w:rPr>
        <w:rFonts w:hint="default"/>
      </w:rPr>
    </w:lvl>
    <w:lvl w:ilvl="7" w:tplc="28D49EF2">
      <w:start w:val="1"/>
      <w:numFmt w:val="bullet"/>
      <w:lvlText w:val="•"/>
      <w:lvlJc w:val="left"/>
      <w:pPr>
        <w:ind w:left="2984" w:hanging="178"/>
      </w:pPr>
      <w:rPr>
        <w:rFonts w:hint="default"/>
      </w:rPr>
    </w:lvl>
    <w:lvl w:ilvl="8" w:tplc="431E468C">
      <w:start w:val="1"/>
      <w:numFmt w:val="bullet"/>
      <w:lvlText w:val="•"/>
      <w:lvlJc w:val="left"/>
      <w:pPr>
        <w:ind w:left="3405" w:hanging="178"/>
      </w:pPr>
      <w:rPr>
        <w:rFonts w:hint="default"/>
      </w:rPr>
    </w:lvl>
  </w:abstractNum>
  <w:abstractNum w:abstractNumId="75" w15:restartNumberingAfterBreak="0">
    <w:nsid w:val="7A5F6030"/>
    <w:multiLevelType w:val="hybridMultilevel"/>
    <w:tmpl w:val="C218C9B0"/>
    <w:lvl w:ilvl="0" w:tplc="1D3837E6">
      <w:start w:val="1"/>
      <w:numFmt w:val="lowerLetter"/>
      <w:lvlText w:val="%1)"/>
      <w:lvlJc w:val="left"/>
      <w:pPr>
        <w:ind w:left="368" w:hanging="260"/>
        <w:jc w:val="left"/>
      </w:pPr>
      <w:rPr>
        <w:rFonts w:ascii="Times New Roman" w:eastAsia="Times New Roman" w:hAnsi="Times New Roman" w:hint="default"/>
        <w:b/>
        <w:bCs/>
        <w:sz w:val="24"/>
        <w:szCs w:val="24"/>
      </w:rPr>
    </w:lvl>
    <w:lvl w:ilvl="1" w:tplc="ED240414">
      <w:start w:val="1"/>
      <w:numFmt w:val="bullet"/>
      <w:lvlText w:val=""/>
      <w:lvlJc w:val="left"/>
      <w:pPr>
        <w:ind w:left="829" w:hanging="360"/>
      </w:pPr>
      <w:rPr>
        <w:rFonts w:ascii="Wingdings" w:eastAsia="Wingdings" w:hAnsi="Wingdings" w:hint="default"/>
        <w:sz w:val="24"/>
        <w:szCs w:val="24"/>
      </w:rPr>
    </w:lvl>
    <w:lvl w:ilvl="2" w:tplc="CEFE86CC">
      <w:start w:val="1"/>
      <w:numFmt w:val="bullet"/>
      <w:lvlText w:val="•"/>
      <w:lvlJc w:val="left"/>
      <w:pPr>
        <w:ind w:left="1735" w:hanging="360"/>
      </w:pPr>
      <w:rPr>
        <w:rFonts w:hint="default"/>
      </w:rPr>
    </w:lvl>
    <w:lvl w:ilvl="3" w:tplc="DBE2F264">
      <w:start w:val="1"/>
      <w:numFmt w:val="bullet"/>
      <w:lvlText w:val="•"/>
      <w:lvlJc w:val="left"/>
      <w:pPr>
        <w:ind w:left="2641" w:hanging="360"/>
      </w:pPr>
      <w:rPr>
        <w:rFonts w:hint="default"/>
      </w:rPr>
    </w:lvl>
    <w:lvl w:ilvl="4" w:tplc="976EE5DE">
      <w:start w:val="1"/>
      <w:numFmt w:val="bullet"/>
      <w:lvlText w:val="•"/>
      <w:lvlJc w:val="left"/>
      <w:pPr>
        <w:ind w:left="3548" w:hanging="360"/>
      </w:pPr>
      <w:rPr>
        <w:rFonts w:hint="default"/>
      </w:rPr>
    </w:lvl>
    <w:lvl w:ilvl="5" w:tplc="FBEC2FD0">
      <w:start w:val="1"/>
      <w:numFmt w:val="bullet"/>
      <w:lvlText w:val="•"/>
      <w:lvlJc w:val="left"/>
      <w:pPr>
        <w:ind w:left="4454" w:hanging="360"/>
      </w:pPr>
      <w:rPr>
        <w:rFonts w:hint="default"/>
      </w:rPr>
    </w:lvl>
    <w:lvl w:ilvl="6" w:tplc="A47482E2">
      <w:start w:val="1"/>
      <w:numFmt w:val="bullet"/>
      <w:lvlText w:val="•"/>
      <w:lvlJc w:val="left"/>
      <w:pPr>
        <w:ind w:left="5360" w:hanging="360"/>
      </w:pPr>
      <w:rPr>
        <w:rFonts w:hint="default"/>
      </w:rPr>
    </w:lvl>
    <w:lvl w:ilvl="7" w:tplc="87C61F42">
      <w:start w:val="1"/>
      <w:numFmt w:val="bullet"/>
      <w:lvlText w:val="•"/>
      <w:lvlJc w:val="left"/>
      <w:pPr>
        <w:ind w:left="6267" w:hanging="360"/>
      </w:pPr>
      <w:rPr>
        <w:rFonts w:hint="default"/>
      </w:rPr>
    </w:lvl>
    <w:lvl w:ilvl="8" w:tplc="79BA5134">
      <w:start w:val="1"/>
      <w:numFmt w:val="bullet"/>
      <w:lvlText w:val="•"/>
      <w:lvlJc w:val="left"/>
      <w:pPr>
        <w:ind w:left="7173" w:hanging="360"/>
      </w:pPr>
      <w:rPr>
        <w:rFonts w:hint="default"/>
      </w:rPr>
    </w:lvl>
  </w:abstractNum>
  <w:abstractNum w:abstractNumId="76" w15:restartNumberingAfterBreak="0">
    <w:nsid w:val="7B665899"/>
    <w:multiLevelType w:val="hybridMultilevel"/>
    <w:tmpl w:val="3708ACA6"/>
    <w:lvl w:ilvl="0" w:tplc="ECD8BBE2">
      <w:start w:val="1"/>
      <w:numFmt w:val="lowerLetter"/>
      <w:lvlText w:val="%1)"/>
      <w:lvlJc w:val="left"/>
      <w:pPr>
        <w:ind w:left="368" w:hanging="260"/>
        <w:jc w:val="left"/>
      </w:pPr>
      <w:rPr>
        <w:rFonts w:ascii="Times New Roman" w:eastAsia="Times New Roman" w:hAnsi="Times New Roman" w:hint="default"/>
        <w:b/>
        <w:bCs/>
        <w:sz w:val="24"/>
        <w:szCs w:val="24"/>
      </w:rPr>
    </w:lvl>
    <w:lvl w:ilvl="1" w:tplc="6900A226">
      <w:start w:val="1"/>
      <w:numFmt w:val="bullet"/>
      <w:lvlText w:val="•"/>
      <w:lvlJc w:val="left"/>
      <w:pPr>
        <w:ind w:left="1230" w:hanging="260"/>
      </w:pPr>
      <w:rPr>
        <w:rFonts w:hint="default"/>
      </w:rPr>
    </w:lvl>
    <w:lvl w:ilvl="2" w:tplc="254C4820">
      <w:start w:val="1"/>
      <w:numFmt w:val="bullet"/>
      <w:lvlText w:val="•"/>
      <w:lvlJc w:val="left"/>
      <w:pPr>
        <w:ind w:left="2092" w:hanging="260"/>
      </w:pPr>
      <w:rPr>
        <w:rFonts w:hint="default"/>
      </w:rPr>
    </w:lvl>
    <w:lvl w:ilvl="3" w:tplc="6C624364">
      <w:start w:val="1"/>
      <w:numFmt w:val="bullet"/>
      <w:lvlText w:val="•"/>
      <w:lvlJc w:val="left"/>
      <w:pPr>
        <w:ind w:left="2953" w:hanging="260"/>
      </w:pPr>
      <w:rPr>
        <w:rFonts w:hint="default"/>
      </w:rPr>
    </w:lvl>
    <w:lvl w:ilvl="4" w:tplc="E2A442BE">
      <w:start w:val="1"/>
      <w:numFmt w:val="bullet"/>
      <w:lvlText w:val="•"/>
      <w:lvlJc w:val="left"/>
      <w:pPr>
        <w:ind w:left="3815" w:hanging="260"/>
      </w:pPr>
      <w:rPr>
        <w:rFonts w:hint="default"/>
      </w:rPr>
    </w:lvl>
    <w:lvl w:ilvl="5" w:tplc="D5E8D3C6">
      <w:start w:val="1"/>
      <w:numFmt w:val="bullet"/>
      <w:lvlText w:val="•"/>
      <w:lvlJc w:val="left"/>
      <w:pPr>
        <w:ind w:left="4677" w:hanging="260"/>
      </w:pPr>
      <w:rPr>
        <w:rFonts w:hint="default"/>
      </w:rPr>
    </w:lvl>
    <w:lvl w:ilvl="6" w:tplc="FC0E2CBE">
      <w:start w:val="1"/>
      <w:numFmt w:val="bullet"/>
      <w:lvlText w:val="•"/>
      <w:lvlJc w:val="left"/>
      <w:pPr>
        <w:ind w:left="5539" w:hanging="260"/>
      </w:pPr>
      <w:rPr>
        <w:rFonts w:hint="default"/>
      </w:rPr>
    </w:lvl>
    <w:lvl w:ilvl="7" w:tplc="CD944076">
      <w:start w:val="1"/>
      <w:numFmt w:val="bullet"/>
      <w:lvlText w:val="•"/>
      <w:lvlJc w:val="left"/>
      <w:pPr>
        <w:ind w:left="6401" w:hanging="260"/>
      </w:pPr>
      <w:rPr>
        <w:rFonts w:hint="default"/>
      </w:rPr>
    </w:lvl>
    <w:lvl w:ilvl="8" w:tplc="5D341584">
      <w:start w:val="1"/>
      <w:numFmt w:val="bullet"/>
      <w:lvlText w:val="•"/>
      <w:lvlJc w:val="left"/>
      <w:pPr>
        <w:ind w:left="7262" w:hanging="260"/>
      </w:pPr>
      <w:rPr>
        <w:rFonts w:hint="default"/>
      </w:rPr>
    </w:lvl>
  </w:abstractNum>
  <w:abstractNum w:abstractNumId="77" w15:restartNumberingAfterBreak="0">
    <w:nsid w:val="7D284589"/>
    <w:multiLevelType w:val="hybridMultilevel"/>
    <w:tmpl w:val="9D869DEE"/>
    <w:lvl w:ilvl="0" w:tplc="237EF63C">
      <w:start w:val="1"/>
      <w:numFmt w:val="bullet"/>
      <w:lvlText w:val="-"/>
      <w:lvlJc w:val="left"/>
      <w:pPr>
        <w:ind w:left="109" w:hanging="140"/>
      </w:pPr>
      <w:rPr>
        <w:rFonts w:ascii="Times New Roman" w:eastAsia="Times New Roman" w:hAnsi="Times New Roman" w:hint="default"/>
        <w:sz w:val="24"/>
        <w:szCs w:val="24"/>
      </w:rPr>
    </w:lvl>
    <w:lvl w:ilvl="1" w:tplc="EFA64E3E">
      <w:start w:val="1"/>
      <w:numFmt w:val="bullet"/>
      <w:lvlText w:val=""/>
      <w:lvlJc w:val="left"/>
      <w:pPr>
        <w:ind w:left="829" w:hanging="360"/>
      </w:pPr>
      <w:rPr>
        <w:rFonts w:ascii="Wingdings" w:eastAsia="Wingdings" w:hAnsi="Wingdings" w:hint="default"/>
        <w:sz w:val="24"/>
        <w:szCs w:val="24"/>
      </w:rPr>
    </w:lvl>
    <w:lvl w:ilvl="2" w:tplc="1BBEAEF8">
      <w:start w:val="1"/>
      <w:numFmt w:val="bullet"/>
      <w:lvlText w:val="•"/>
      <w:lvlJc w:val="left"/>
      <w:pPr>
        <w:ind w:left="1735" w:hanging="360"/>
      </w:pPr>
      <w:rPr>
        <w:rFonts w:hint="default"/>
      </w:rPr>
    </w:lvl>
    <w:lvl w:ilvl="3" w:tplc="ED2442CE">
      <w:start w:val="1"/>
      <w:numFmt w:val="bullet"/>
      <w:lvlText w:val="•"/>
      <w:lvlJc w:val="left"/>
      <w:pPr>
        <w:ind w:left="2641" w:hanging="360"/>
      </w:pPr>
      <w:rPr>
        <w:rFonts w:hint="default"/>
      </w:rPr>
    </w:lvl>
    <w:lvl w:ilvl="4" w:tplc="5FAE116E">
      <w:start w:val="1"/>
      <w:numFmt w:val="bullet"/>
      <w:lvlText w:val="•"/>
      <w:lvlJc w:val="left"/>
      <w:pPr>
        <w:ind w:left="3548" w:hanging="360"/>
      </w:pPr>
      <w:rPr>
        <w:rFonts w:hint="default"/>
      </w:rPr>
    </w:lvl>
    <w:lvl w:ilvl="5" w:tplc="23D4F046">
      <w:start w:val="1"/>
      <w:numFmt w:val="bullet"/>
      <w:lvlText w:val="•"/>
      <w:lvlJc w:val="left"/>
      <w:pPr>
        <w:ind w:left="4454" w:hanging="360"/>
      </w:pPr>
      <w:rPr>
        <w:rFonts w:hint="default"/>
      </w:rPr>
    </w:lvl>
    <w:lvl w:ilvl="6" w:tplc="6A12B2F2">
      <w:start w:val="1"/>
      <w:numFmt w:val="bullet"/>
      <w:lvlText w:val="•"/>
      <w:lvlJc w:val="left"/>
      <w:pPr>
        <w:ind w:left="5360" w:hanging="360"/>
      </w:pPr>
      <w:rPr>
        <w:rFonts w:hint="default"/>
      </w:rPr>
    </w:lvl>
    <w:lvl w:ilvl="7" w:tplc="7A08E85C">
      <w:start w:val="1"/>
      <w:numFmt w:val="bullet"/>
      <w:lvlText w:val="•"/>
      <w:lvlJc w:val="left"/>
      <w:pPr>
        <w:ind w:left="6267" w:hanging="360"/>
      </w:pPr>
      <w:rPr>
        <w:rFonts w:hint="default"/>
      </w:rPr>
    </w:lvl>
    <w:lvl w:ilvl="8" w:tplc="94F04EC4">
      <w:start w:val="1"/>
      <w:numFmt w:val="bullet"/>
      <w:lvlText w:val="•"/>
      <w:lvlJc w:val="left"/>
      <w:pPr>
        <w:ind w:left="7173" w:hanging="360"/>
      </w:pPr>
      <w:rPr>
        <w:rFonts w:hint="default"/>
      </w:rPr>
    </w:lvl>
  </w:abstractNum>
  <w:abstractNum w:abstractNumId="78" w15:restartNumberingAfterBreak="0">
    <w:nsid w:val="7F7A3C05"/>
    <w:multiLevelType w:val="hybridMultilevel"/>
    <w:tmpl w:val="A6FC7A50"/>
    <w:lvl w:ilvl="0" w:tplc="BB10D376">
      <w:start w:val="1"/>
      <w:numFmt w:val="decimal"/>
      <w:lvlText w:val="(%1)"/>
      <w:lvlJc w:val="left"/>
      <w:pPr>
        <w:ind w:left="104" w:hanging="360"/>
        <w:jc w:val="left"/>
      </w:pPr>
      <w:rPr>
        <w:rFonts w:ascii="Times New Roman" w:eastAsia="Times New Roman" w:hAnsi="Times New Roman" w:hint="default"/>
        <w:sz w:val="24"/>
        <w:szCs w:val="24"/>
      </w:rPr>
    </w:lvl>
    <w:lvl w:ilvl="1" w:tplc="DF847558">
      <w:start w:val="1"/>
      <w:numFmt w:val="bullet"/>
      <w:lvlText w:val="•"/>
      <w:lvlJc w:val="left"/>
      <w:pPr>
        <w:ind w:left="518" w:hanging="360"/>
      </w:pPr>
      <w:rPr>
        <w:rFonts w:hint="default"/>
      </w:rPr>
    </w:lvl>
    <w:lvl w:ilvl="2" w:tplc="1CFEC59E">
      <w:start w:val="1"/>
      <w:numFmt w:val="bullet"/>
      <w:lvlText w:val="•"/>
      <w:lvlJc w:val="left"/>
      <w:pPr>
        <w:ind w:left="932" w:hanging="360"/>
      </w:pPr>
      <w:rPr>
        <w:rFonts w:hint="default"/>
      </w:rPr>
    </w:lvl>
    <w:lvl w:ilvl="3" w:tplc="BB1EFDB0">
      <w:start w:val="1"/>
      <w:numFmt w:val="bullet"/>
      <w:lvlText w:val="•"/>
      <w:lvlJc w:val="left"/>
      <w:pPr>
        <w:ind w:left="1345" w:hanging="360"/>
      </w:pPr>
      <w:rPr>
        <w:rFonts w:hint="default"/>
      </w:rPr>
    </w:lvl>
    <w:lvl w:ilvl="4" w:tplc="D164A288">
      <w:start w:val="1"/>
      <w:numFmt w:val="bullet"/>
      <w:lvlText w:val="•"/>
      <w:lvlJc w:val="left"/>
      <w:pPr>
        <w:ind w:left="1759" w:hanging="360"/>
      </w:pPr>
      <w:rPr>
        <w:rFonts w:hint="default"/>
      </w:rPr>
    </w:lvl>
    <w:lvl w:ilvl="5" w:tplc="E08852A2">
      <w:start w:val="1"/>
      <w:numFmt w:val="bullet"/>
      <w:lvlText w:val="•"/>
      <w:lvlJc w:val="left"/>
      <w:pPr>
        <w:ind w:left="2173" w:hanging="360"/>
      </w:pPr>
      <w:rPr>
        <w:rFonts w:hint="default"/>
      </w:rPr>
    </w:lvl>
    <w:lvl w:ilvl="6" w:tplc="98EAF2F0">
      <w:start w:val="1"/>
      <w:numFmt w:val="bullet"/>
      <w:lvlText w:val="•"/>
      <w:lvlJc w:val="left"/>
      <w:pPr>
        <w:ind w:left="2586" w:hanging="360"/>
      </w:pPr>
      <w:rPr>
        <w:rFonts w:hint="default"/>
      </w:rPr>
    </w:lvl>
    <w:lvl w:ilvl="7" w:tplc="A478FBCC">
      <w:start w:val="1"/>
      <w:numFmt w:val="bullet"/>
      <w:lvlText w:val="•"/>
      <w:lvlJc w:val="left"/>
      <w:pPr>
        <w:ind w:left="3000" w:hanging="360"/>
      </w:pPr>
      <w:rPr>
        <w:rFonts w:hint="default"/>
      </w:rPr>
    </w:lvl>
    <w:lvl w:ilvl="8" w:tplc="8BA00FA0">
      <w:start w:val="1"/>
      <w:numFmt w:val="bullet"/>
      <w:lvlText w:val="•"/>
      <w:lvlJc w:val="left"/>
      <w:pPr>
        <w:ind w:left="3414" w:hanging="360"/>
      </w:pPr>
      <w:rPr>
        <w:rFonts w:hint="default"/>
      </w:rPr>
    </w:lvl>
  </w:abstractNum>
  <w:num w:numId="1">
    <w:abstractNumId w:val="29"/>
  </w:num>
  <w:num w:numId="2">
    <w:abstractNumId w:val="50"/>
  </w:num>
  <w:num w:numId="3">
    <w:abstractNumId w:val="32"/>
  </w:num>
  <w:num w:numId="4">
    <w:abstractNumId w:val="73"/>
  </w:num>
  <w:num w:numId="5">
    <w:abstractNumId w:val="59"/>
  </w:num>
  <w:num w:numId="6">
    <w:abstractNumId w:val="3"/>
  </w:num>
  <w:num w:numId="7">
    <w:abstractNumId w:val="78"/>
  </w:num>
  <w:num w:numId="8">
    <w:abstractNumId w:val="67"/>
  </w:num>
  <w:num w:numId="9">
    <w:abstractNumId w:val="22"/>
  </w:num>
  <w:num w:numId="10">
    <w:abstractNumId w:val="2"/>
  </w:num>
  <w:num w:numId="11">
    <w:abstractNumId w:val="42"/>
  </w:num>
  <w:num w:numId="12">
    <w:abstractNumId w:val="39"/>
  </w:num>
  <w:num w:numId="13">
    <w:abstractNumId w:val="37"/>
  </w:num>
  <w:num w:numId="14">
    <w:abstractNumId w:val="47"/>
  </w:num>
  <w:num w:numId="15">
    <w:abstractNumId w:val="66"/>
  </w:num>
  <w:num w:numId="16">
    <w:abstractNumId w:val="61"/>
  </w:num>
  <w:num w:numId="17">
    <w:abstractNumId w:val="11"/>
  </w:num>
  <w:num w:numId="18">
    <w:abstractNumId w:val="13"/>
  </w:num>
  <w:num w:numId="19">
    <w:abstractNumId w:val="58"/>
  </w:num>
  <w:num w:numId="20">
    <w:abstractNumId w:val="33"/>
  </w:num>
  <w:num w:numId="21">
    <w:abstractNumId w:val="8"/>
  </w:num>
  <w:num w:numId="22">
    <w:abstractNumId w:val="9"/>
  </w:num>
  <w:num w:numId="23">
    <w:abstractNumId w:val="1"/>
  </w:num>
  <w:num w:numId="24">
    <w:abstractNumId w:val="0"/>
  </w:num>
  <w:num w:numId="25">
    <w:abstractNumId w:val="57"/>
  </w:num>
  <w:num w:numId="26">
    <w:abstractNumId w:val="31"/>
  </w:num>
  <w:num w:numId="27">
    <w:abstractNumId w:val="71"/>
  </w:num>
  <w:num w:numId="28">
    <w:abstractNumId w:val="51"/>
  </w:num>
  <w:num w:numId="29">
    <w:abstractNumId w:val="41"/>
  </w:num>
  <w:num w:numId="30">
    <w:abstractNumId w:val="12"/>
  </w:num>
  <w:num w:numId="31">
    <w:abstractNumId w:val="36"/>
  </w:num>
  <w:num w:numId="32">
    <w:abstractNumId w:val="15"/>
  </w:num>
  <w:num w:numId="33">
    <w:abstractNumId w:val="21"/>
  </w:num>
  <w:num w:numId="34">
    <w:abstractNumId w:val="72"/>
  </w:num>
  <w:num w:numId="35">
    <w:abstractNumId w:val="27"/>
  </w:num>
  <w:num w:numId="36">
    <w:abstractNumId w:val="77"/>
  </w:num>
  <w:num w:numId="37">
    <w:abstractNumId w:val="14"/>
  </w:num>
  <w:num w:numId="38">
    <w:abstractNumId w:val="16"/>
  </w:num>
  <w:num w:numId="39">
    <w:abstractNumId w:val="7"/>
  </w:num>
  <w:num w:numId="40">
    <w:abstractNumId w:val="30"/>
  </w:num>
  <w:num w:numId="41">
    <w:abstractNumId w:val="63"/>
  </w:num>
  <w:num w:numId="42">
    <w:abstractNumId w:val="18"/>
  </w:num>
  <w:num w:numId="43">
    <w:abstractNumId w:val="75"/>
  </w:num>
  <w:num w:numId="44">
    <w:abstractNumId w:val="60"/>
  </w:num>
  <w:num w:numId="45">
    <w:abstractNumId w:val="46"/>
  </w:num>
  <w:num w:numId="46">
    <w:abstractNumId w:val="20"/>
  </w:num>
  <w:num w:numId="47">
    <w:abstractNumId w:val="48"/>
  </w:num>
  <w:num w:numId="48">
    <w:abstractNumId w:val="28"/>
  </w:num>
  <w:num w:numId="49">
    <w:abstractNumId w:val="43"/>
  </w:num>
  <w:num w:numId="50">
    <w:abstractNumId w:val="53"/>
  </w:num>
  <w:num w:numId="51">
    <w:abstractNumId w:val="74"/>
  </w:num>
  <w:num w:numId="52">
    <w:abstractNumId w:val="56"/>
  </w:num>
  <w:num w:numId="53">
    <w:abstractNumId w:val="40"/>
  </w:num>
  <w:num w:numId="54">
    <w:abstractNumId w:val="52"/>
  </w:num>
  <w:num w:numId="55">
    <w:abstractNumId w:val="35"/>
  </w:num>
  <w:num w:numId="56">
    <w:abstractNumId w:val="34"/>
  </w:num>
  <w:num w:numId="57">
    <w:abstractNumId w:val="5"/>
  </w:num>
  <w:num w:numId="58">
    <w:abstractNumId w:val="68"/>
  </w:num>
  <w:num w:numId="59">
    <w:abstractNumId w:val="6"/>
  </w:num>
  <w:num w:numId="60">
    <w:abstractNumId w:val="19"/>
  </w:num>
  <w:num w:numId="61">
    <w:abstractNumId w:val="49"/>
  </w:num>
  <w:num w:numId="62">
    <w:abstractNumId w:val="62"/>
  </w:num>
  <w:num w:numId="63">
    <w:abstractNumId w:val="10"/>
  </w:num>
  <w:num w:numId="64">
    <w:abstractNumId w:val="76"/>
  </w:num>
  <w:num w:numId="65">
    <w:abstractNumId w:val="70"/>
  </w:num>
  <w:num w:numId="66">
    <w:abstractNumId w:val="23"/>
  </w:num>
  <w:num w:numId="67">
    <w:abstractNumId w:val="45"/>
  </w:num>
  <w:num w:numId="68">
    <w:abstractNumId w:val="25"/>
  </w:num>
  <w:num w:numId="69">
    <w:abstractNumId w:val="17"/>
  </w:num>
  <w:num w:numId="70">
    <w:abstractNumId w:val="44"/>
  </w:num>
  <w:num w:numId="71">
    <w:abstractNumId w:val="54"/>
  </w:num>
  <w:num w:numId="72">
    <w:abstractNumId w:val="65"/>
  </w:num>
  <w:num w:numId="73">
    <w:abstractNumId w:val="4"/>
  </w:num>
  <w:num w:numId="74">
    <w:abstractNumId w:val="64"/>
  </w:num>
  <w:num w:numId="75">
    <w:abstractNumId w:val="69"/>
  </w:num>
  <w:num w:numId="76">
    <w:abstractNumId w:val="26"/>
  </w:num>
  <w:num w:numId="77">
    <w:abstractNumId w:val="38"/>
  </w:num>
  <w:num w:numId="78">
    <w:abstractNumId w:val="55"/>
  </w:num>
  <w:num w:numId="79">
    <w:abstractNumId w:val="24"/>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11265"/>
  </w:hdrShapeDefaults>
  <w:footnotePr>
    <w:footnote w:id="-1"/>
    <w:footnote w:id="0"/>
  </w:footnotePr>
  <w:endnotePr>
    <w:endnote w:id="-1"/>
    <w:endnote w:id="0"/>
  </w:endnotePr>
  <w:compat>
    <w:ulTrailSpace/>
    <w:compatSetting w:name="compatibilityMode" w:uri="http://schemas.microsoft.com/office/word" w:val="12"/>
  </w:compat>
  <w:rsids>
    <w:rsidRoot w:val="00027B0C"/>
    <w:rsid w:val="00027B0C"/>
    <w:rsid w:val="00131C8A"/>
    <w:rsid w:val="0016289A"/>
    <w:rsid w:val="001D2320"/>
    <w:rsid w:val="00211065"/>
    <w:rsid w:val="00235F85"/>
    <w:rsid w:val="003E628F"/>
    <w:rsid w:val="003E7A01"/>
    <w:rsid w:val="00407233"/>
    <w:rsid w:val="00426ED5"/>
    <w:rsid w:val="005B66C9"/>
    <w:rsid w:val="005C4E9D"/>
    <w:rsid w:val="006B12D3"/>
    <w:rsid w:val="006C414C"/>
    <w:rsid w:val="007B0D3D"/>
    <w:rsid w:val="007E06AA"/>
    <w:rsid w:val="00855BE6"/>
    <w:rsid w:val="00905F59"/>
    <w:rsid w:val="00972E7D"/>
    <w:rsid w:val="009E55DD"/>
    <w:rsid w:val="009F0223"/>
    <w:rsid w:val="00A643CF"/>
    <w:rsid w:val="00A66097"/>
    <w:rsid w:val="00AF744F"/>
    <w:rsid w:val="00B50E46"/>
    <w:rsid w:val="00CB05A7"/>
    <w:rsid w:val="00D326D6"/>
    <w:rsid w:val="00D663C9"/>
    <w:rsid w:val="00D85CB7"/>
    <w:rsid w:val="00E030BE"/>
    <w:rsid w:val="00E31954"/>
    <w:rsid w:val="00E5533E"/>
    <w:rsid w:val="00ED2A07"/>
    <w:rsid w:val="00F051B0"/>
    <w:rsid w:val="00F26C85"/>
    <w:rsid w:val="00F943E1"/>
    <w:rsid w:val="00FF42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3"/>
    </o:shapelayout>
  </w:shapeDefaults>
  <w:decimalSymbol w:val=","/>
  <w:listSeparator w:val=";"/>
  <w14:docId w14:val="6DC50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lv-LV" w:bidi="lv-LV"/>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uiPriority w:val="1"/>
    <w:qFormat/>
  </w:style>
  <w:style w:type="paragraph" w:styleId="Virsraksts1">
    <w:name w:val="heading 1"/>
    <w:basedOn w:val="Parasts"/>
    <w:uiPriority w:val="1"/>
    <w:qFormat/>
    <w:rsid w:val="00B50E46"/>
    <w:pPr>
      <w:jc w:val="center"/>
      <w:outlineLvl w:val="0"/>
    </w:pPr>
    <w:rPr>
      <w:rFonts w:ascii="Times New Roman" w:eastAsia="Times New Roman" w:hAnsi="Times New Roman"/>
      <w:b/>
      <w:bCs/>
      <w:sz w:val="24"/>
      <w:szCs w:val="24"/>
    </w:rPr>
  </w:style>
  <w:style w:type="paragraph" w:styleId="Virsraksts2">
    <w:name w:val="heading 2"/>
    <w:basedOn w:val="Parasts"/>
    <w:uiPriority w:val="1"/>
    <w:qFormat/>
    <w:rsid w:val="00B50E46"/>
    <w:pPr>
      <w:outlineLvl w:val="1"/>
    </w:pPr>
    <w:rPr>
      <w:rFonts w:ascii="Times New Roman" w:eastAsia="Times New Roman" w:hAnsi="Times New Roman"/>
      <w:bCs/>
      <w:i/>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turs1">
    <w:name w:val="toc 1"/>
    <w:basedOn w:val="Parasts"/>
    <w:uiPriority w:val="39"/>
    <w:qFormat/>
    <w:pPr>
      <w:spacing w:before="69"/>
      <w:ind w:left="711" w:hanging="482"/>
    </w:pPr>
    <w:rPr>
      <w:rFonts w:ascii="Times New Roman" w:eastAsia="Times New Roman" w:hAnsi="Times New Roman"/>
      <w:sz w:val="24"/>
      <w:szCs w:val="24"/>
    </w:rPr>
  </w:style>
  <w:style w:type="paragraph" w:styleId="Saturs2">
    <w:name w:val="toc 2"/>
    <w:basedOn w:val="Parasts"/>
    <w:uiPriority w:val="39"/>
    <w:qFormat/>
    <w:pPr>
      <w:spacing w:before="120"/>
      <w:ind w:left="1306" w:hanging="595"/>
    </w:pPr>
    <w:rPr>
      <w:rFonts w:ascii="Times New Roman" w:eastAsia="Times New Roman" w:hAnsi="Times New Roman"/>
      <w:i/>
      <w:sz w:val="24"/>
      <w:szCs w:val="24"/>
    </w:rPr>
  </w:style>
  <w:style w:type="paragraph" w:styleId="Saturs3">
    <w:name w:val="toc 3"/>
    <w:basedOn w:val="Parasts"/>
    <w:uiPriority w:val="39"/>
    <w:qFormat/>
    <w:pPr>
      <w:spacing w:before="120"/>
      <w:ind w:left="2144" w:hanging="838"/>
    </w:pPr>
    <w:rPr>
      <w:rFonts w:ascii="Times New Roman" w:eastAsia="Times New Roman" w:hAnsi="Times New Roman"/>
      <w:sz w:val="24"/>
      <w:szCs w:val="24"/>
    </w:rPr>
  </w:style>
  <w:style w:type="paragraph" w:styleId="Saturs4">
    <w:name w:val="toc 4"/>
    <w:basedOn w:val="Parasts"/>
    <w:uiPriority w:val="39"/>
    <w:qFormat/>
    <w:pPr>
      <w:ind w:left="2144"/>
    </w:pPr>
    <w:rPr>
      <w:rFonts w:ascii="Times New Roman" w:eastAsia="Times New Roman" w:hAnsi="Times New Roman"/>
      <w:sz w:val="24"/>
      <w:szCs w:val="24"/>
    </w:rPr>
  </w:style>
  <w:style w:type="paragraph" w:styleId="Pamatteksts">
    <w:name w:val="Body Text"/>
    <w:basedOn w:val="Parasts"/>
    <w:uiPriority w:val="1"/>
    <w:qFormat/>
    <w:pPr>
      <w:ind w:left="109"/>
    </w:pPr>
    <w:rPr>
      <w:rFonts w:ascii="Times New Roman" w:eastAsia="Times New Roman" w:hAnsi="Times New Roman"/>
      <w:sz w:val="24"/>
      <w:szCs w:val="24"/>
    </w:rPr>
  </w:style>
  <w:style w:type="paragraph" w:styleId="Sarakstarindkopa">
    <w:name w:val="List Paragraph"/>
    <w:basedOn w:val="Parasts"/>
    <w:uiPriority w:val="1"/>
    <w:qFormat/>
  </w:style>
  <w:style w:type="paragraph" w:customStyle="1" w:styleId="TableParagraph">
    <w:name w:val="Table Paragraph"/>
    <w:basedOn w:val="Parasts"/>
    <w:uiPriority w:val="1"/>
    <w:qFormat/>
  </w:style>
  <w:style w:type="paragraph" w:styleId="Galvene">
    <w:name w:val="header"/>
    <w:basedOn w:val="Parasts"/>
    <w:link w:val="GalveneRakstz"/>
    <w:unhideWhenUsed/>
    <w:rsid w:val="00211065"/>
    <w:pPr>
      <w:tabs>
        <w:tab w:val="center" w:pos="4153"/>
        <w:tab w:val="right" w:pos="8306"/>
      </w:tabs>
    </w:pPr>
  </w:style>
  <w:style w:type="character" w:customStyle="1" w:styleId="GalveneRakstz">
    <w:name w:val="Galvene Rakstz."/>
    <w:basedOn w:val="Noklusjumarindkopasfonts"/>
    <w:link w:val="Galvene"/>
    <w:uiPriority w:val="99"/>
    <w:rsid w:val="00211065"/>
  </w:style>
  <w:style w:type="paragraph" w:styleId="Kjene">
    <w:name w:val="footer"/>
    <w:basedOn w:val="Parasts"/>
    <w:link w:val="KjeneRakstz"/>
    <w:unhideWhenUsed/>
    <w:rsid w:val="00211065"/>
    <w:pPr>
      <w:tabs>
        <w:tab w:val="center" w:pos="4153"/>
        <w:tab w:val="right" w:pos="8306"/>
      </w:tabs>
    </w:pPr>
  </w:style>
  <w:style w:type="character" w:customStyle="1" w:styleId="KjeneRakstz">
    <w:name w:val="Kājene Rakstz."/>
    <w:basedOn w:val="Noklusjumarindkopasfonts"/>
    <w:link w:val="Kjene"/>
    <w:uiPriority w:val="99"/>
    <w:rsid w:val="00211065"/>
  </w:style>
  <w:style w:type="table" w:styleId="Reatabula">
    <w:name w:val="Table Grid"/>
    <w:basedOn w:val="Parastatabula"/>
    <w:uiPriority w:val="39"/>
    <w:rsid w:val="009E55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407233"/>
    <w:rPr>
      <w:sz w:val="20"/>
      <w:szCs w:val="20"/>
    </w:rPr>
  </w:style>
  <w:style w:type="character" w:customStyle="1" w:styleId="VrestekstsRakstz">
    <w:name w:val="Vēres teksts Rakstz."/>
    <w:basedOn w:val="Noklusjumarindkopasfonts"/>
    <w:link w:val="Vresteksts"/>
    <w:uiPriority w:val="99"/>
    <w:semiHidden/>
    <w:rsid w:val="00407233"/>
    <w:rPr>
      <w:sz w:val="20"/>
      <w:szCs w:val="20"/>
    </w:rPr>
  </w:style>
  <w:style w:type="character" w:styleId="Vresatsauce">
    <w:name w:val="footnote reference"/>
    <w:basedOn w:val="Noklusjumarindkopasfonts"/>
    <w:uiPriority w:val="99"/>
    <w:semiHidden/>
    <w:unhideWhenUsed/>
    <w:rsid w:val="00407233"/>
    <w:rPr>
      <w:vertAlign w:val="superscript"/>
    </w:rPr>
  </w:style>
  <w:style w:type="character" w:styleId="Lappusesnumurs">
    <w:name w:val="page number"/>
    <w:basedOn w:val="Noklusjumarindkopasfonts"/>
    <w:semiHidden/>
    <w:rsid w:val="007E06AA"/>
  </w:style>
  <w:style w:type="paragraph" w:styleId="Saturardtjavirsraksts">
    <w:name w:val="TOC Heading"/>
    <w:basedOn w:val="Virsraksts1"/>
    <w:next w:val="Parasts"/>
    <w:uiPriority w:val="39"/>
    <w:unhideWhenUsed/>
    <w:qFormat/>
    <w:rsid w:val="0016289A"/>
    <w:pPr>
      <w:keepNext/>
      <w:keepLines/>
      <w:widowControl/>
      <w:spacing w:before="240" w:line="259" w:lineRule="auto"/>
      <w:jc w:val="left"/>
      <w:outlineLvl w:val="9"/>
    </w:pPr>
    <w:rPr>
      <w:rFonts w:asciiTheme="majorHAnsi" w:eastAsiaTheme="majorEastAsia" w:hAnsiTheme="majorHAnsi" w:cstheme="majorBidi"/>
      <w:b w:val="0"/>
      <w:bCs w:val="0"/>
      <w:color w:val="365F91" w:themeColor="accent1" w:themeShade="BF"/>
      <w:sz w:val="32"/>
      <w:szCs w:val="32"/>
      <w:lang w:bidi="ar-SA"/>
    </w:rPr>
  </w:style>
  <w:style w:type="character" w:styleId="Hipersaite">
    <w:name w:val="Hyperlink"/>
    <w:basedOn w:val="Noklusjumarindkopasfonts"/>
    <w:uiPriority w:val="99"/>
    <w:unhideWhenUsed/>
    <w:rsid w:val="0016289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1" ma:contentTypeDescription="Create a new document." ma:contentTypeScope="" ma:versionID="cf19349fe34d3c48d2a2e804fbc7be8c">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9f55138b8f5c2903af75a689392965a1"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74AAC811-FB51-4F55-B026-D160C38EECA2}">
  <ds:schemaRefs>
    <ds:schemaRef ds:uri="http://schemas.openxmlformats.org/officeDocument/2006/bibliography"/>
  </ds:schemaRefs>
</ds:datastoreItem>
</file>

<file path=customXml/itemProps2.xml><?xml version="1.0" encoding="utf-8"?>
<ds:datastoreItem xmlns:ds="http://schemas.openxmlformats.org/officeDocument/2006/customXml" ds:itemID="{BC9C6A96-7F8B-4437-BE54-7FCBED9A7674}"/>
</file>

<file path=customXml/itemProps3.xml><?xml version="1.0" encoding="utf-8"?>
<ds:datastoreItem xmlns:ds="http://schemas.openxmlformats.org/officeDocument/2006/customXml" ds:itemID="{2E6A450B-C579-4064-98EC-4056233633E5}"/>
</file>

<file path=customXml/itemProps4.xml><?xml version="1.0" encoding="utf-8"?>
<ds:datastoreItem xmlns:ds="http://schemas.openxmlformats.org/officeDocument/2006/customXml" ds:itemID="{5245A332-F1E1-48CB-B11C-26D518138F3D}"/>
</file>

<file path=docProps/app.xml><?xml version="1.0" encoding="utf-8"?>
<Properties xmlns="http://schemas.openxmlformats.org/officeDocument/2006/extended-properties" xmlns:vt="http://schemas.openxmlformats.org/officeDocument/2006/docPropsVTypes">
  <Template>Normal</Template>
  <TotalTime>0</TotalTime>
  <Pages>71</Pages>
  <Words>107705</Words>
  <Characters>61393</Characters>
  <Application>Microsoft Office Word</Application>
  <DocSecurity>0</DocSecurity>
  <Lines>511</Lines>
  <Paragraphs>337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168761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keywords/>
  <cp:lastModifiedBy/>
  <cp:revision>1</cp:revision>
  <dcterms:created xsi:type="dcterms:W3CDTF">2017-05-10T11:40:00Z</dcterms:created>
  <dcterms:modified xsi:type="dcterms:W3CDTF">2017-08-17T09:42:00Z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Order">
    <vt:r8>200000</vt:r8>
  </property>
</Properties>
</file>