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744F" w14:textId="77777777" w:rsidR="004A0F4D" w:rsidRPr="004A0F4D" w:rsidRDefault="004A0F4D" w:rsidP="004A0F4D">
      <w:pPr>
        <w:spacing w:after="0" w:line="240" w:lineRule="auto"/>
        <w:jc w:val="both"/>
        <w:rPr>
          <w:rFonts w:ascii="Times New Roman" w:hAnsi="Times New Roman"/>
          <w:noProof/>
          <w:snapToGrid w:val="0"/>
          <w:sz w:val="20"/>
          <w:szCs w:val="20"/>
          <w:lang w:val="en-US"/>
        </w:rPr>
      </w:pPr>
    </w:p>
    <w:p w14:paraId="4236C2C8" w14:textId="77777777" w:rsidR="004A0F4D" w:rsidRPr="004A0F4D" w:rsidRDefault="004A0F4D" w:rsidP="004A0F4D">
      <w:pPr>
        <w:widowControl w:val="0"/>
        <w:spacing w:after="0" w:line="240" w:lineRule="auto"/>
        <w:jc w:val="both"/>
        <w:rPr>
          <w:rFonts w:ascii="Times New Roman" w:hAnsi="Times New Roman"/>
          <w:noProof/>
          <w:sz w:val="20"/>
          <w:szCs w:val="20"/>
          <w:lang w:val="en-US"/>
        </w:rPr>
      </w:pPr>
      <w:r w:rsidRPr="004A0F4D">
        <w:rPr>
          <w:rFonts w:ascii="Times New Roman" w:hAnsi="Times New Roman"/>
          <w:noProof/>
          <w:sz w:val="20"/>
          <w:szCs w:val="20"/>
          <w:lang w:val="en-US"/>
        </w:rPr>
        <w:t>Text consolidated by Valsts valodas centrs (State Language Centre) with amending laws of:</w:t>
      </w:r>
    </w:p>
    <w:p w14:paraId="49DB4274" w14:textId="77777777" w:rsidR="004A0F4D" w:rsidRPr="004A0F4D" w:rsidRDefault="004A0F4D" w:rsidP="004A0F4D">
      <w:pPr>
        <w:pStyle w:val="BlockText"/>
        <w:ind w:left="0" w:right="0"/>
        <w:jc w:val="center"/>
        <w:rPr>
          <w:noProof/>
          <w:lang w:val="en-US"/>
        </w:rPr>
      </w:pPr>
      <w:r w:rsidRPr="004A0F4D">
        <w:rPr>
          <w:noProof/>
          <w:lang w:val="en-US"/>
        </w:rPr>
        <w:t>13 November 1997 [shall come into force on 1 January 1998];</w:t>
      </w:r>
    </w:p>
    <w:p w14:paraId="7B914723" w14:textId="77777777" w:rsidR="004A0F4D" w:rsidRPr="004A0F4D" w:rsidRDefault="004A0F4D" w:rsidP="004A0F4D">
      <w:pPr>
        <w:pStyle w:val="BlockText"/>
        <w:ind w:left="0" w:right="0"/>
        <w:jc w:val="center"/>
        <w:rPr>
          <w:noProof/>
          <w:lang w:val="en-US"/>
        </w:rPr>
      </w:pPr>
      <w:r w:rsidRPr="004A0F4D">
        <w:rPr>
          <w:noProof/>
          <w:lang w:val="en-US"/>
        </w:rPr>
        <w:t>21 October 1998 [shall come into force on 25 November 1998];</w:t>
      </w:r>
    </w:p>
    <w:p w14:paraId="0F62F23E" w14:textId="77777777" w:rsidR="004A0F4D" w:rsidRPr="004A0F4D" w:rsidRDefault="004A0F4D" w:rsidP="004A0F4D">
      <w:pPr>
        <w:pStyle w:val="BlockText"/>
        <w:ind w:left="0" w:right="0"/>
        <w:jc w:val="center"/>
        <w:rPr>
          <w:noProof/>
          <w:lang w:val="en-US"/>
        </w:rPr>
      </w:pPr>
      <w:r w:rsidRPr="004A0F4D">
        <w:rPr>
          <w:noProof/>
          <w:lang w:val="en-US"/>
        </w:rPr>
        <w:t>21 January 1999 [shall come into force on 17 February 1999];</w:t>
      </w:r>
    </w:p>
    <w:p w14:paraId="61F3F6FC" w14:textId="77777777" w:rsidR="004A0F4D" w:rsidRPr="004A0F4D" w:rsidRDefault="004A0F4D" w:rsidP="004A0F4D">
      <w:pPr>
        <w:pStyle w:val="BlockText"/>
        <w:ind w:left="0" w:right="0"/>
        <w:jc w:val="center"/>
        <w:rPr>
          <w:noProof/>
          <w:lang w:val="en-US"/>
        </w:rPr>
      </w:pPr>
      <w:r w:rsidRPr="004A0F4D">
        <w:rPr>
          <w:noProof/>
          <w:lang w:val="en-US"/>
        </w:rPr>
        <w:t>25 November 1999 [shall come into force on 1 January 2000];</w:t>
      </w:r>
    </w:p>
    <w:p w14:paraId="6756FFCE" w14:textId="77777777" w:rsidR="004A0F4D" w:rsidRPr="004A0F4D" w:rsidRDefault="004A0F4D" w:rsidP="004A0F4D">
      <w:pPr>
        <w:pStyle w:val="BlockText"/>
        <w:ind w:left="0" w:right="0"/>
        <w:jc w:val="center"/>
        <w:rPr>
          <w:noProof/>
          <w:lang w:val="en-US"/>
        </w:rPr>
      </w:pPr>
      <w:r w:rsidRPr="004A0F4D">
        <w:rPr>
          <w:noProof/>
          <w:lang w:val="en-US"/>
        </w:rPr>
        <w:t>23 November 2000 [shall come into force on 1 January 2001];</w:t>
      </w:r>
    </w:p>
    <w:p w14:paraId="0FA06F02" w14:textId="77777777" w:rsidR="004A0F4D" w:rsidRPr="004A0F4D" w:rsidRDefault="004A0F4D" w:rsidP="004A0F4D">
      <w:pPr>
        <w:pStyle w:val="BlockText"/>
        <w:ind w:left="0" w:right="0"/>
        <w:jc w:val="center"/>
        <w:rPr>
          <w:noProof/>
          <w:lang w:val="en-US"/>
        </w:rPr>
      </w:pPr>
      <w:r w:rsidRPr="004A0F4D">
        <w:rPr>
          <w:noProof/>
          <w:lang w:val="en-US"/>
        </w:rPr>
        <w:t>22 November 2001 [shall come into force on 1 January 2002];</w:t>
      </w:r>
    </w:p>
    <w:p w14:paraId="18CF6C28" w14:textId="77777777" w:rsidR="004A0F4D" w:rsidRPr="004A0F4D" w:rsidRDefault="004A0F4D" w:rsidP="004A0F4D">
      <w:pPr>
        <w:pStyle w:val="BlockText"/>
        <w:ind w:left="0" w:right="0"/>
        <w:jc w:val="center"/>
        <w:rPr>
          <w:noProof/>
          <w:lang w:val="en-US"/>
        </w:rPr>
      </w:pPr>
      <w:r w:rsidRPr="004A0F4D">
        <w:rPr>
          <w:noProof/>
          <w:lang w:val="en-US"/>
        </w:rPr>
        <w:t>12 December 2002 [shall come into force on 1 January 2003];</w:t>
      </w:r>
    </w:p>
    <w:p w14:paraId="6874F87F" w14:textId="77777777" w:rsidR="004A0F4D" w:rsidRPr="004A0F4D" w:rsidRDefault="004A0F4D" w:rsidP="004A0F4D">
      <w:pPr>
        <w:pStyle w:val="BlockText"/>
        <w:ind w:left="0" w:right="0"/>
        <w:jc w:val="center"/>
        <w:rPr>
          <w:noProof/>
          <w:lang w:val="en-US"/>
        </w:rPr>
      </w:pPr>
      <w:r w:rsidRPr="004A0F4D">
        <w:rPr>
          <w:noProof/>
          <w:lang w:val="en-US"/>
        </w:rPr>
        <w:t>20 June 2003 [shall come into force on 1 January 2004];</w:t>
      </w:r>
    </w:p>
    <w:p w14:paraId="6A6E024A" w14:textId="77777777" w:rsidR="004A0F4D" w:rsidRPr="004A0F4D" w:rsidRDefault="004A0F4D" w:rsidP="004A0F4D">
      <w:pPr>
        <w:pStyle w:val="BlockText"/>
        <w:ind w:left="0" w:right="0"/>
        <w:jc w:val="center"/>
        <w:rPr>
          <w:noProof/>
          <w:lang w:val="en-US"/>
        </w:rPr>
      </w:pPr>
      <w:r w:rsidRPr="004A0F4D">
        <w:rPr>
          <w:noProof/>
          <w:lang w:val="en-US"/>
        </w:rPr>
        <w:t>20 October 2005 [shall come into force on 1 January 2006];</w:t>
      </w:r>
    </w:p>
    <w:p w14:paraId="195ACF24" w14:textId="77777777" w:rsidR="004A0F4D" w:rsidRPr="004A0F4D" w:rsidRDefault="004A0F4D" w:rsidP="004A0F4D">
      <w:pPr>
        <w:pStyle w:val="BlockText"/>
        <w:ind w:left="0" w:right="0"/>
        <w:jc w:val="center"/>
        <w:rPr>
          <w:noProof/>
          <w:lang w:val="en-US"/>
        </w:rPr>
      </w:pPr>
      <w:r w:rsidRPr="004A0F4D">
        <w:rPr>
          <w:noProof/>
          <w:lang w:val="en-US"/>
        </w:rPr>
        <w:t>27 September 2007 [shall come into force on 18 October 2007];</w:t>
      </w:r>
    </w:p>
    <w:p w14:paraId="4BC94E07" w14:textId="77777777" w:rsidR="004A0F4D" w:rsidRPr="004A0F4D" w:rsidRDefault="004A0F4D" w:rsidP="004A0F4D">
      <w:pPr>
        <w:pStyle w:val="BlockText"/>
        <w:ind w:left="0" w:right="0"/>
        <w:jc w:val="center"/>
        <w:rPr>
          <w:noProof/>
          <w:lang w:val="en-US"/>
        </w:rPr>
      </w:pPr>
      <w:r w:rsidRPr="004A0F4D">
        <w:rPr>
          <w:noProof/>
          <w:lang w:val="en-US"/>
        </w:rPr>
        <w:t>8 November 2007 [shall come into force on 1 January 2008];</w:t>
      </w:r>
    </w:p>
    <w:p w14:paraId="04C333FE" w14:textId="77777777" w:rsidR="004A0F4D" w:rsidRPr="004A0F4D" w:rsidRDefault="004A0F4D" w:rsidP="004A0F4D">
      <w:pPr>
        <w:pStyle w:val="BlockText"/>
        <w:ind w:left="0" w:right="0"/>
        <w:jc w:val="center"/>
        <w:rPr>
          <w:noProof/>
          <w:lang w:val="en-US"/>
        </w:rPr>
      </w:pPr>
      <w:r w:rsidRPr="004A0F4D">
        <w:rPr>
          <w:noProof/>
          <w:lang w:val="en-US"/>
        </w:rPr>
        <w:t>29 January 2009 [shall come into force on 1 July 2009];</w:t>
      </w:r>
    </w:p>
    <w:p w14:paraId="4FAE5BC2" w14:textId="77777777" w:rsidR="004A0F4D" w:rsidRPr="004A0F4D" w:rsidRDefault="004A0F4D" w:rsidP="004A0F4D">
      <w:pPr>
        <w:pStyle w:val="BlockText"/>
        <w:ind w:left="0" w:right="0"/>
        <w:jc w:val="center"/>
        <w:rPr>
          <w:noProof/>
          <w:lang w:val="en-US"/>
        </w:rPr>
      </w:pPr>
      <w:r w:rsidRPr="004A0F4D">
        <w:rPr>
          <w:noProof/>
          <w:lang w:val="en-US"/>
        </w:rPr>
        <w:t>12 June 2009 [shall come into force on 1 July 2009];</w:t>
      </w:r>
    </w:p>
    <w:p w14:paraId="6F02FC10" w14:textId="77777777" w:rsidR="004A0F4D" w:rsidRPr="004A0F4D" w:rsidRDefault="004A0F4D" w:rsidP="004A0F4D">
      <w:pPr>
        <w:pStyle w:val="BlockText"/>
        <w:ind w:left="0" w:right="0"/>
        <w:jc w:val="center"/>
        <w:rPr>
          <w:noProof/>
          <w:lang w:val="en-US"/>
        </w:rPr>
      </w:pPr>
      <w:r w:rsidRPr="004A0F4D">
        <w:rPr>
          <w:noProof/>
          <w:lang w:val="en-US"/>
        </w:rPr>
        <w:t>1 December 2009 [shall come into force on 1 January 2010];</w:t>
      </w:r>
    </w:p>
    <w:p w14:paraId="608CE2CD" w14:textId="77777777" w:rsidR="004A0F4D" w:rsidRPr="004A0F4D" w:rsidRDefault="004A0F4D" w:rsidP="004A0F4D">
      <w:pPr>
        <w:pStyle w:val="BlockText"/>
        <w:ind w:left="0" w:right="0"/>
        <w:jc w:val="center"/>
        <w:rPr>
          <w:noProof/>
          <w:lang w:val="en-US"/>
        </w:rPr>
      </w:pPr>
      <w:r w:rsidRPr="004A0F4D">
        <w:rPr>
          <w:noProof/>
          <w:lang w:val="en-US"/>
        </w:rPr>
        <w:t>17 June 2010 [shall come into force on 21 July 2010];</w:t>
      </w:r>
    </w:p>
    <w:p w14:paraId="17E5CF62" w14:textId="77777777" w:rsidR="004A0F4D" w:rsidRPr="004A0F4D" w:rsidRDefault="004A0F4D" w:rsidP="004A0F4D">
      <w:pPr>
        <w:pStyle w:val="BlockText"/>
        <w:ind w:left="0" w:right="0"/>
        <w:jc w:val="center"/>
        <w:rPr>
          <w:noProof/>
          <w:lang w:val="en-US"/>
        </w:rPr>
      </w:pPr>
      <w:r w:rsidRPr="004A0F4D">
        <w:rPr>
          <w:noProof/>
          <w:lang w:val="en-US"/>
        </w:rPr>
        <w:t>14 October 2010 [shall come into force on 10 November 2010];</w:t>
      </w:r>
    </w:p>
    <w:p w14:paraId="66518E35" w14:textId="77777777" w:rsidR="004A0F4D" w:rsidRPr="004A0F4D" w:rsidRDefault="004A0F4D" w:rsidP="004A0F4D">
      <w:pPr>
        <w:pStyle w:val="BlockText"/>
        <w:ind w:left="0" w:right="0"/>
        <w:jc w:val="center"/>
        <w:rPr>
          <w:noProof/>
          <w:lang w:val="en-US"/>
        </w:rPr>
      </w:pPr>
      <w:r w:rsidRPr="004A0F4D">
        <w:rPr>
          <w:noProof/>
          <w:lang w:val="en-US"/>
        </w:rPr>
        <w:t>20 December 2010 [shall come into force on 1 January 2011];</w:t>
      </w:r>
    </w:p>
    <w:p w14:paraId="61C97C84" w14:textId="77777777" w:rsidR="004A0F4D" w:rsidRPr="004A0F4D" w:rsidRDefault="004A0F4D" w:rsidP="004A0F4D">
      <w:pPr>
        <w:pStyle w:val="BlockText"/>
        <w:ind w:left="0" w:right="0"/>
        <w:jc w:val="center"/>
        <w:rPr>
          <w:noProof/>
          <w:lang w:val="en-US"/>
        </w:rPr>
      </w:pPr>
      <w:r w:rsidRPr="004A0F4D">
        <w:rPr>
          <w:noProof/>
          <w:lang w:val="en-US"/>
        </w:rPr>
        <w:t>15 December 2011 [shall come into force on 1 January 2012];</w:t>
      </w:r>
    </w:p>
    <w:p w14:paraId="09BAB810" w14:textId="77777777" w:rsidR="004A0F4D" w:rsidRPr="004A0F4D" w:rsidRDefault="004A0F4D" w:rsidP="004A0F4D">
      <w:pPr>
        <w:pStyle w:val="BlockText"/>
        <w:ind w:left="0" w:right="0"/>
        <w:jc w:val="center"/>
        <w:rPr>
          <w:noProof/>
          <w:lang w:val="en-US"/>
        </w:rPr>
      </w:pPr>
      <w:r w:rsidRPr="004A0F4D">
        <w:rPr>
          <w:noProof/>
          <w:lang w:val="en-US"/>
        </w:rPr>
        <w:t>15 November 2012 [shall come into force on 18 December 2012];</w:t>
      </w:r>
    </w:p>
    <w:p w14:paraId="5B33E4B3" w14:textId="77777777" w:rsidR="004A0F4D" w:rsidRPr="004A0F4D" w:rsidRDefault="004A0F4D" w:rsidP="004A0F4D">
      <w:pPr>
        <w:pStyle w:val="BlockText"/>
        <w:ind w:left="0" w:right="0"/>
        <w:jc w:val="center"/>
        <w:rPr>
          <w:noProof/>
          <w:lang w:val="en-US"/>
        </w:rPr>
      </w:pPr>
      <w:r w:rsidRPr="004A0F4D">
        <w:rPr>
          <w:noProof/>
          <w:lang w:val="en-US"/>
        </w:rPr>
        <w:t>19 September 2013 [shall come into force on 1 January 2014];</w:t>
      </w:r>
    </w:p>
    <w:p w14:paraId="70D98B47" w14:textId="77777777" w:rsidR="004A0F4D" w:rsidRPr="004A0F4D" w:rsidRDefault="004A0F4D" w:rsidP="004A0F4D">
      <w:pPr>
        <w:pStyle w:val="BlockText"/>
        <w:ind w:left="0" w:right="0"/>
        <w:jc w:val="center"/>
        <w:rPr>
          <w:noProof/>
          <w:lang w:val="en-US"/>
        </w:rPr>
      </w:pPr>
      <w:r w:rsidRPr="004A0F4D">
        <w:rPr>
          <w:noProof/>
          <w:lang w:val="en-US"/>
        </w:rPr>
        <w:t>6 November 2013 [shall come into force on 1 January 2014];</w:t>
      </w:r>
    </w:p>
    <w:p w14:paraId="64C12458" w14:textId="77777777" w:rsidR="004A0F4D" w:rsidRPr="004A0F4D" w:rsidRDefault="004A0F4D" w:rsidP="004A0F4D">
      <w:pPr>
        <w:pStyle w:val="BlockText"/>
        <w:ind w:left="0" w:right="0"/>
        <w:jc w:val="center"/>
        <w:rPr>
          <w:noProof/>
          <w:lang w:val="en-US"/>
        </w:rPr>
      </w:pPr>
      <w:r w:rsidRPr="004A0F4D">
        <w:rPr>
          <w:noProof/>
          <w:lang w:val="en-US"/>
        </w:rPr>
        <w:t>6 March 2014 [shall come into force on 3 April 2014];</w:t>
      </w:r>
    </w:p>
    <w:p w14:paraId="609C200E" w14:textId="77777777" w:rsidR="004A0F4D" w:rsidRPr="004A0F4D" w:rsidRDefault="004A0F4D" w:rsidP="004A0F4D">
      <w:pPr>
        <w:pStyle w:val="BlockText"/>
        <w:ind w:left="0" w:right="0"/>
        <w:jc w:val="center"/>
        <w:rPr>
          <w:noProof/>
          <w:lang w:val="en-US"/>
        </w:rPr>
      </w:pPr>
      <w:r w:rsidRPr="004A0F4D">
        <w:rPr>
          <w:noProof/>
          <w:lang w:val="en-US"/>
        </w:rPr>
        <w:t>30 November 2015 [shall come into force on 1 January 2016];</w:t>
      </w:r>
    </w:p>
    <w:p w14:paraId="60869BFD" w14:textId="77777777" w:rsidR="004A0F4D" w:rsidRPr="004A0F4D" w:rsidRDefault="004A0F4D" w:rsidP="004A0F4D">
      <w:pPr>
        <w:pStyle w:val="BlockText"/>
        <w:ind w:left="0" w:right="0"/>
        <w:jc w:val="center"/>
        <w:rPr>
          <w:noProof/>
          <w:lang w:val="en-US"/>
        </w:rPr>
      </w:pPr>
      <w:r w:rsidRPr="004A0F4D">
        <w:rPr>
          <w:noProof/>
          <w:lang w:val="en-US"/>
        </w:rPr>
        <w:t>10 December 2015 [shall come into force on 1 January 2016];</w:t>
      </w:r>
    </w:p>
    <w:p w14:paraId="271B301F" w14:textId="77777777" w:rsidR="004A0F4D" w:rsidRPr="004A0F4D" w:rsidRDefault="004A0F4D" w:rsidP="004A0F4D">
      <w:pPr>
        <w:pStyle w:val="BlockText"/>
        <w:ind w:left="0" w:right="0"/>
        <w:jc w:val="center"/>
        <w:rPr>
          <w:noProof/>
          <w:lang w:val="en-US"/>
        </w:rPr>
      </w:pPr>
      <w:r w:rsidRPr="004A0F4D">
        <w:rPr>
          <w:noProof/>
          <w:lang w:val="en-US"/>
        </w:rPr>
        <w:t>22 December 2016 [shall come into force on 1 January 2017];</w:t>
      </w:r>
    </w:p>
    <w:p w14:paraId="5911EEBA" w14:textId="77777777" w:rsidR="004A0F4D" w:rsidRPr="004A0F4D" w:rsidRDefault="004A0F4D" w:rsidP="004A0F4D">
      <w:pPr>
        <w:pStyle w:val="BlockText"/>
        <w:ind w:left="0" w:right="0"/>
        <w:jc w:val="center"/>
        <w:rPr>
          <w:noProof/>
          <w:lang w:val="en-US"/>
        </w:rPr>
      </w:pPr>
      <w:r w:rsidRPr="004A0F4D">
        <w:rPr>
          <w:noProof/>
          <w:lang w:val="en-US"/>
        </w:rPr>
        <w:t>6 April 2017 [shall come into force on 3 May 2017];</w:t>
      </w:r>
    </w:p>
    <w:p w14:paraId="20002AC4" w14:textId="77777777" w:rsidR="004A0F4D" w:rsidRPr="004A0F4D" w:rsidRDefault="004A0F4D" w:rsidP="004A0F4D">
      <w:pPr>
        <w:pStyle w:val="BlockText"/>
        <w:ind w:left="0" w:right="0"/>
        <w:jc w:val="center"/>
        <w:rPr>
          <w:noProof/>
          <w:lang w:val="en-US"/>
        </w:rPr>
      </w:pPr>
      <w:r w:rsidRPr="004A0F4D">
        <w:rPr>
          <w:noProof/>
          <w:lang w:val="en-US"/>
        </w:rPr>
        <w:t>22 June 2017 [shall come into force on 1 August 2017];</w:t>
      </w:r>
    </w:p>
    <w:p w14:paraId="417568D6" w14:textId="77777777" w:rsidR="004A0F4D" w:rsidRPr="004A0F4D" w:rsidRDefault="004A0F4D" w:rsidP="004A0F4D">
      <w:pPr>
        <w:pStyle w:val="BlockText"/>
        <w:ind w:left="0" w:right="0"/>
        <w:jc w:val="center"/>
        <w:rPr>
          <w:noProof/>
          <w:lang w:val="en-US"/>
        </w:rPr>
      </w:pPr>
      <w:r w:rsidRPr="004A0F4D">
        <w:rPr>
          <w:noProof/>
          <w:lang w:val="en-US"/>
        </w:rPr>
        <w:t>22 September 2022 [shall come into force on 1 January 2023].</w:t>
      </w:r>
    </w:p>
    <w:p w14:paraId="5043A618" w14:textId="77777777" w:rsidR="004A0F4D" w:rsidRPr="004A0F4D" w:rsidRDefault="004A0F4D" w:rsidP="004A0F4D">
      <w:pPr>
        <w:pStyle w:val="BlockText"/>
        <w:ind w:left="0" w:right="0"/>
        <w:rPr>
          <w:noProof/>
          <w:lang w:val="en-US"/>
        </w:rPr>
      </w:pPr>
      <w:r w:rsidRPr="004A0F4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E47C414" w14:textId="77777777" w:rsidR="004A0F4D" w:rsidRPr="004A0F4D" w:rsidRDefault="004A0F4D" w:rsidP="004A0F4D">
      <w:pPr>
        <w:spacing w:after="0" w:line="240" w:lineRule="auto"/>
        <w:jc w:val="right"/>
        <w:rPr>
          <w:rFonts w:ascii="Times New Roman" w:hAnsi="Times New Roman"/>
          <w:noProof/>
          <w:sz w:val="24"/>
          <w:lang w:val="en-US"/>
        </w:rPr>
      </w:pPr>
    </w:p>
    <w:p w14:paraId="323A198B" w14:textId="77777777" w:rsidR="004A0F4D" w:rsidRPr="004A0F4D" w:rsidRDefault="004A0F4D" w:rsidP="004A0F4D">
      <w:pPr>
        <w:spacing w:after="0" w:line="240" w:lineRule="auto"/>
        <w:jc w:val="right"/>
        <w:rPr>
          <w:rFonts w:ascii="Times New Roman" w:hAnsi="Times New Roman"/>
          <w:noProof/>
          <w:sz w:val="24"/>
          <w:lang w:val="en-US"/>
        </w:rPr>
      </w:pPr>
    </w:p>
    <w:p w14:paraId="79F2C102" w14:textId="77777777" w:rsidR="004A0F4D" w:rsidRPr="004A0F4D" w:rsidRDefault="004A0F4D" w:rsidP="004A0F4D">
      <w:pPr>
        <w:spacing w:after="0" w:line="240" w:lineRule="auto"/>
        <w:jc w:val="right"/>
        <w:rPr>
          <w:rFonts w:ascii="Times New Roman" w:eastAsia="Times New Roman" w:hAnsi="Times New Roman"/>
          <w:noProof/>
          <w:sz w:val="24"/>
          <w:szCs w:val="24"/>
          <w:lang w:val="en-US"/>
        </w:rPr>
      </w:pPr>
      <w:r w:rsidRPr="004A0F4D">
        <w:rPr>
          <w:rFonts w:ascii="Times New Roman" w:hAnsi="Times New Roman"/>
          <w:noProof/>
          <w:sz w:val="24"/>
          <w:lang w:val="en-US"/>
        </w:rPr>
        <w:t xml:space="preserve">The </w:t>
      </w:r>
      <w:r w:rsidRPr="004A0F4D">
        <w:rPr>
          <w:rFonts w:ascii="Times New Roman" w:hAnsi="Times New Roman"/>
          <w:i/>
          <w:noProof/>
          <w:sz w:val="24"/>
          <w:lang w:val="en-US"/>
        </w:rPr>
        <w:t>Saeima </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has adopted and</w:t>
      </w:r>
    </w:p>
    <w:p w14:paraId="70E36FEC" w14:textId="77777777" w:rsidR="004A0F4D" w:rsidRPr="004A0F4D" w:rsidRDefault="004A0F4D" w:rsidP="004A0F4D">
      <w:pPr>
        <w:shd w:val="clear" w:color="auto" w:fill="FFFFFF"/>
        <w:spacing w:after="0" w:line="240" w:lineRule="auto"/>
        <w:jc w:val="right"/>
        <w:rPr>
          <w:rFonts w:ascii="Times New Roman" w:hAnsi="Times New Roman"/>
          <w:noProof/>
          <w:sz w:val="24"/>
          <w:lang w:val="en-US"/>
        </w:rPr>
      </w:pPr>
      <w:r w:rsidRPr="004A0F4D">
        <w:rPr>
          <w:rFonts w:ascii="Times New Roman" w:hAnsi="Times New Roman"/>
          <w:noProof/>
          <w:sz w:val="24"/>
          <w:lang w:val="en-US"/>
        </w:rPr>
        <w:t>the President has proclaimed the following law:</w:t>
      </w:r>
    </w:p>
    <w:p w14:paraId="604996D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2D65F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AC973C" w14:textId="77777777" w:rsidR="004A0F4D" w:rsidRPr="004A0F4D" w:rsidRDefault="004A0F4D" w:rsidP="004A0F4D">
      <w:pPr>
        <w:shd w:val="clear" w:color="auto" w:fill="FFFFFF"/>
        <w:spacing w:after="0" w:line="240" w:lineRule="auto"/>
        <w:jc w:val="center"/>
        <w:rPr>
          <w:rFonts w:ascii="Times New Roman" w:hAnsi="Times New Roman"/>
          <w:b/>
          <w:noProof/>
          <w:sz w:val="28"/>
          <w:lang w:val="en-US"/>
        </w:rPr>
      </w:pPr>
      <w:r w:rsidRPr="004A0F4D">
        <w:rPr>
          <w:rFonts w:ascii="Times New Roman" w:hAnsi="Times New Roman"/>
          <w:b/>
          <w:noProof/>
          <w:sz w:val="28"/>
          <w:lang w:val="en-US"/>
        </w:rPr>
        <w:t>On Immovable Property Tax</w:t>
      </w:r>
    </w:p>
    <w:p w14:paraId="5232939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138564"/>
      <w:bookmarkEnd w:id="0"/>
      <w:bookmarkEnd w:id="1"/>
    </w:p>
    <w:p w14:paraId="7955F56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B55F6A"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1. Immovable Property Tax Object</w:t>
      </w:r>
    </w:p>
    <w:p w14:paraId="561A596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E55E1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The immovable property tax shall be imposed on tangible things which are located in the territory of the Republic of Latvia and which cannot be transferred from one place to another without being externally damaged – land, buildings, including the buildings registered in the Cadastre Information System but not transferred into exploitation, and engineering structures (hereinafter – the immovable property), except the immovable property referred to in Paragraph two of this Section.</w:t>
      </w:r>
    </w:p>
    <w:p w14:paraId="3956D09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Immovable property tax shall not be imposed on:</w:t>
      </w:r>
    </w:p>
    <w:p w14:paraId="528C70CA" w14:textId="77777777" w:rsidR="004A0F4D" w:rsidRPr="004A0F4D" w:rsidRDefault="004A0F4D" w:rsidP="004A0F4D">
      <w:pPr>
        <w:keepNext/>
        <w:keepLines/>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lastRenderedPageBreak/>
        <w:t>1) the immovable property of a local government, which is used by a local government council and also by the institutions established by it, which are financed from the funds of the local government budget and are located in the administrative territory of such local government, as well as on the immovable property of a local government the possession of which is transferred or leased to other persons and which is used for the provision of medical or social care services, and the immovable property which has been created by implementing private and public partnership projects, and is used to ensure the performance of the functions of local government, as well as social residential houses and social apartments;</w:t>
      </w:r>
    </w:p>
    <w:p w14:paraId="70CFE9F8"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[23 November 2000];</w:t>
      </w:r>
    </w:p>
    <w:p w14:paraId="734FC135" w14:textId="61197B45" w:rsidR="004A0F4D" w:rsidRPr="004A0F4D" w:rsidRDefault="00996309"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Pr>
          <w:rFonts w:ascii="Times New Roman" w:hAnsi="Times New Roman"/>
          <w:noProof/>
          <w:sz w:val="24"/>
          <w:lang w:val="en-US"/>
        </w:rPr>
        <w:t>1</w:t>
      </w:r>
      <w:r w:rsidR="004A0F4D" w:rsidRPr="00996309">
        <w:rPr>
          <w:rFonts w:ascii="Times New Roman" w:hAnsi="Times New Roman"/>
          <w:noProof/>
          <w:sz w:val="24"/>
          <w:vertAlign w:val="superscript"/>
          <w:lang w:val="en-US"/>
        </w:rPr>
        <w:t>2</w:t>
      </w:r>
      <w:r w:rsidR="004A0F4D" w:rsidRPr="004A0F4D">
        <w:rPr>
          <w:rFonts w:ascii="Times New Roman" w:hAnsi="Times New Roman"/>
          <w:noProof/>
          <w:sz w:val="24"/>
          <w:lang w:val="en-US"/>
        </w:rPr>
        <w:t>) [</w:t>
      </w:r>
      <w:r w:rsidR="004A0F4D" w:rsidRPr="004A0F4D">
        <w:rPr>
          <w:rFonts w:ascii="Times New Roman" w:hAnsi="Times New Roman"/>
          <w:i/>
          <w:iCs/>
          <w:noProof/>
          <w:sz w:val="24"/>
          <w:lang w:val="en-US"/>
        </w:rPr>
        <w:t>Clause shall come into force on 1 January 2024 and shall be included in the wording of the Law as of 1 January 2024</w:t>
      </w:r>
      <w:r w:rsidR="004A0F4D" w:rsidRPr="004A0F4D">
        <w:rPr>
          <w:rFonts w:ascii="Times New Roman" w:hAnsi="Times New Roman"/>
          <w:noProof/>
          <w:sz w:val="24"/>
          <w:lang w:val="en-US"/>
        </w:rPr>
        <w:t xml:space="preserve">. </w:t>
      </w:r>
      <w:r w:rsidR="004A0F4D" w:rsidRPr="004A0F4D">
        <w:rPr>
          <w:rFonts w:ascii="Times New Roman" w:hAnsi="Times New Roman"/>
          <w:i/>
          <w:iCs/>
          <w:noProof/>
          <w:sz w:val="24"/>
          <w:lang w:val="en-US"/>
        </w:rPr>
        <w:t>See Paragraph 76 of Transitional Provisions</w:t>
      </w:r>
      <w:r w:rsidR="004A0F4D" w:rsidRPr="004A0F4D">
        <w:rPr>
          <w:rFonts w:ascii="Times New Roman" w:hAnsi="Times New Roman"/>
          <w:noProof/>
          <w:sz w:val="24"/>
          <w:lang w:val="en-US"/>
        </w:rPr>
        <w:t>];</w:t>
      </w:r>
    </w:p>
    <w:p w14:paraId="55B400AB"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immovable property owned by a foreign state, which is used for the needs of its diplomatic or consular offices, if, in accordance with the laws of the relevant foreign state, the Republic of Latvia enjoys the same rights regarding the immovable property owned by Latvia in the foreign state;</w:t>
      </w:r>
    </w:p>
    <w:p w14:paraId="758A880B"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up to 31 December 2006 – upon common use traffic roads and streets, air and water navigation constructions and public waters;</w:t>
      </w:r>
    </w:p>
    <w:p w14:paraId="5E920BB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from 1 January 2007 – public waters and land beneath public highways, roads, underground roads, tunnels, streets, railway tracks, city rail tracks, bridges and trestles;</w:t>
      </w:r>
    </w:p>
    <w:p w14:paraId="23D8B09E"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1</w:t>
      </w:r>
      <w:r w:rsidRPr="004A0F4D">
        <w:rPr>
          <w:rFonts w:ascii="Times New Roman" w:hAnsi="Times New Roman"/>
          <w:noProof/>
          <w:sz w:val="24"/>
          <w:lang w:val="en-US"/>
        </w:rPr>
        <w:t>) upon the following engineering structures in the ownership or lawful possession of the State, local governments, State or local government capital companies or capital companies, that provide regulated public services:</w:t>
      </w:r>
    </w:p>
    <w:p w14:paraId="4AFC7344"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a) railways, city rail tracks, airport runways;</w:t>
      </w:r>
    </w:p>
    <w:p w14:paraId="51DED7AF"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b) bridges, trestles, tunnels and underground roads;</w:t>
      </w:r>
    </w:p>
    <w:p w14:paraId="6D054890"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c) ports and navigable channels, berths and their quays, constructions of port aquaria;</w:t>
      </w:r>
    </w:p>
    <w:p w14:paraId="7EBD9D0B"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d) dams, aqueducts, irrigation and cultivation waterworks;</w:t>
      </w:r>
    </w:p>
    <w:p w14:paraId="4B3E9C04"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e) main pipelines for supplying water;</w:t>
      </w:r>
    </w:p>
    <w:p w14:paraId="3BF42A62"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f) trunk lines of communication;</w:t>
      </w:r>
    </w:p>
    <w:p w14:paraId="210ABEC8"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g) trunk electricity transmission lines;</w:t>
      </w:r>
    </w:p>
    <w:p w14:paraId="3445B594"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h) gas distribution systems;</w:t>
      </w:r>
    </w:p>
    <w:p w14:paraId="7153CE12"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i) power station structures;</w:t>
      </w:r>
    </w:p>
    <w:p w14:paraId="37158A8A"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j) [30 November 2015];</w:t>
      </w:r>
    </w:p>
    <w:p w14:paraId="5070AFAA"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k) chimneys;</w:t>
      </w:r>
    </w:p>
    <w:p w14:paraId="0E0FFD4E"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l) lighting structures and fences;</w:t>
      </w:r>
    </w:p>
    <w:p w14:paraId="16754612"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2</w:t>
      </w:r>
      <w:r w:rsidRPr="004A0F4D">
        <w:rPr>
          <w:rFonts w:ascii="Times New Roman" w:hAnsi="Times New Roman"/>
          <w:noProof/>
          <w:sz w:val="24"/>
          <w:lang w:val="en-US"/>
        </w:rPr>
        <w:t>) upon engineering structures belonging to natural persons, which are not being used for the performance of economic activities;</w:t>
      </w:r>
    </w:p>
    <w:p w14:paraId="2C0DE4E0"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3</w:t>
      </w:r>
      <w:r w:rsidRPr="004A0F4D">
        <w:rPr>
          <w:rFonts w:ascii="Times New Roman" w:hAnsi="Times New Roman"/>
          <w:noProof/>
          <w:sz w:val="24"/>
          <w:lang w:val="en-US"/>
        </w:rPr>
        <w:t>) upon motorways, streets and roads, unless a local government in accordance with Paragraph 2.</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Section has specified in the binding regulations thereof, that these objects shall be subject to tax, water supply pipelines of local significance, sewage pipelines of local significance, electricity transmission lines and communication cables of local significance;</w:t>
      </w:r>
    </w:p>
    <w:p w14:paraId="2C123207"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4</w:t>
      </w:r>
      <w:r w:rsidRPr="004A0F4D">
        <w:rPr>
          <w:rFonts w:ascii="Times New Roman" w:hAnsi="Times New Roman"/>
          <w:noProof/>
          <w:sz w:val="24"/>
          <w:lang w:val="en-US"/>
        </w:rPr>
        <w:t>) upon the sports engineering structures in the ownership or lawful possession of the State, local governments, State or local government capital companies or capital companies, that provide regulated public services;</w:t>
      </w:r>
    </w:p>
    <w:p w14:paraId="5116096A" w14:textId="77777777" w:rsidR="004A0F4D" w:rsidRPr="004A0F4D" w:rsidRDefault="004A0F4D" w:rsidP="004A0F4D">
      <w:pPr>
        <w:keepNext/>
        <w:keepLines/>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lastRenderedPageBreak/>
        <w:t>4) the immovable property of religious organisations (excluding the objects and the land for the maintenance thereof referred to in Section 3, Paragraph one, Clause 2 of this Law), which is not used for economic activities. The immovable property tax shall not be imposed on the objects and the land for the maintenance thereof belonging to religious organisations and referred to in Section 3, Paragraph one, Clause 2 of this Law, if they are not being rented or leased out. Regarding the immovable property of religious organisations, its utilisation for charity and social care, as well as the activities of an educational institution for religious personnel, which is registered with the Register of Religious Organisations, and their Institutions shall also not be considered as economic activity;</w:t>
      </w:r>
    </w:p>
    <w:p w14:paraId="5573FD4D"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w:t>
      </w:r>
      <w:r w:rsidRPr="004A0F4D">
        <w:rPr>
          <w:rFonts w:ascii="Times New Roman" w:hAnsi="Times New Roman"/>
          <w:noProof/>
          <w:sz w:val="24"/>
          <w:vertAlign w:val="superscript"/>
          <w:lang w:val="en-US"/>
        </w:rPr>
        <w:t>1</w:t>
      </w:r>
      <w:r w:rsidRPr="004A0F4D">
        <w:rPr>
          <w:rFonts w:ascii="Times New Roman" w:hAnsi="Times New Roman"/>
          <w:noProof/>
          <w:sz w:val="24"/>
          <w:lang w:val="en-US"/>
        </w:rPr>
        <w:t>) [23 November 2000];</w:t>
      </w:r>
    </w:p>
    <w:p w14:paraId="5DC94BFC"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according to the list approved by the Cabinet – land in specially protected nature territories, in which economic activity is prohibited by law, and on the existing buildings and engineering structures used for environmental protection in these territories;</w:t>
      </w:r>
    </w:p>
    <w:p w14:paraId="0E74FAA9"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5</w:t>
      </w:r>
      <w:r w:rsidRPr="004A0F4D">
        <w:rPr>
          <w:rFonts w:ascii="Times New Roman" w:hAnsi="Times New Roman"/>
          <w:noProof/>
          <w:sz w:val="24"/>
          <w:vertAlign w:val="superscript"/>
          <w:lang w:val="en-US"/>
        </w:rPr>
        <w:t>1</w:t>
      </w:r>
      <w:r w:rsidRPr="004A0F4D">
        <w:rPr>
          <w:rFonts w:ascii="Times New Roman" w:hAnsi="Times New Roman"/>
          <w:noProof/>
          <w:sz w:val="24"/>
          <w:lang w:val="en-US"/>
        </w:rPr>
        <w:t>) [25 November 1999];</w:t>
      </w:r>
    </w:p>
    <w:p w14:paraId="38C0DF6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6) State protected cultural monument, as well as land for its maintenance, except for residential houses and land for its maintenance, immovable property used for economic activity, as well as immovable property which is not maintained according to the requirements for the protection of cultural monuments;</w:t>
      </w:r>
    </w:p>
    <w:p w14:paraId="5A46C96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7) according to the procedures determined by the Cabinet, land which is covered by renewed or cultivated forest stands (young stands);</w:t>
      </w:r>
    </w:p>
    <w:p w14:paraId="68AA7373"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w:t>
      </w:r>
      <w:r w:rsidRPr="004A0F4D">
        <w:rPr>
          <w:rFonts w:ascii="Times New Roman" w:hAnsi="Times New Roman"/>
          <w:noProof/>
          <w:sz w:val="24"/>
          <w:vertAlign w:val="superscript"/>
          <w:lang w:val="en-US"/>
        </w:rPr>
        <w:t>1</w:t>
      </w:r>
      <w:r w:rsidRPr="004A0F4D">
        <w:rPr>
          <w:rFonts w:ascii="Times New Roman" w:hAnsi="Times New Roman"/>
          <w:noProof/>
          <w:sz w:val="24"/>
          <w:lang w:val="en-US"/>
        </w:rPr>
        <w:t>) [22 November 2001];</w:t>
      </w:r>
    </w:p>
    <w:p w14:paraId="6E1BF19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8) national sports bases and land for the maintenance thereof;</w:t>
      </w:r>
    </w:p>
    <w:p w14:paraId="411046DC"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9) upon the auxiliary buildings of residential houses, if the area of the auxiliary building does not exceed 25 m</w:t>
      </w:r>
      <w:r w:rsidRPr="004A0F4D">
        <w:rPr>
          <w:rFonts w:ascii="Times New Roman" w:hAnsi="Times New Roman"/>
          <w:noProof/>
          <w:sz w:val="24"/>
          <w:vertAlign w:val="superscript"/>
          <w:lang w:val="en-US"/>
        </w:rPr>
        <w:t>2</w:t>
      </w:r>
      <w:r w:rsidRPr="004A0F4D">
        <w:rPr>
          <w:rFonts w:ascii="Times New Roman" w:hAnsi="Times New Roman"/>
          <w:noProof/>
          <w:sz w:val="24"/>
          <w:lang w:val="en-US"/>
        </w:rPr>
        <w:t>, excluding garages;</w:t>
      </w:r>
    </w:p>
    <w:p w14:paraId="287B3C77"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9</w:t>
      </w:r>
      <w:r w:rsidRPr="004A0F4D">
        <w:rPr>
          <w:rFonts w:ascii="Times New Roman" w:hAnsi="Times New Roman"/>
          <w:noProof/>
          <w:sz w:val="24"/>
          <w:vertAlign w:val="superscript"/>
          <w:lang w:val="en-US"/>
        </w:rPr>
        <w:t>1</w:t>
      </w:r>
      <w:r w:rsidRPr="004A0F4D">
        <w:rPr>
          <w:rFonts w:ascii="Times New Roman" w:hAnsi="Times New Roman"/>
          <w:noProof/>
          <w:sz w:val="24"/>
          <w:lang w:val="en-US"/>
        </w:rPr>
        <w:t>) upon the auxiliary buildings of residential houses, if the area of the auxiliary building exceeds 25 m</w:t>
      </w:r>
      <w:r w:rsidRPr="004A0F4D">
        <w:rPr>
          <w:rFonts w:ascii="Times New Roman" w:hAnsi="Times New Roman"/>
          <w:noProof/>
          <w:sz w:val="24"/>
          <w:vertAlign w:val="superscript"/>
          <w:lang w:val="en-US"/>
        </w:rPr>
        <w:t>2</w:t>
      </w:r>
      <w:r w:rsidRPr="004A0F4D">
        <w:rPr>
          <w:rFonts w:ascii="Times New Roman" w:hAnsi="Times New Roman"/>
          <w:noProof/>
          <w:sz w:val="24"/>
          <w:lang w:val="en-US"/>
        </w:rPr>
        <w:t xml:space="preserve"> and the local government has determined exemption from a tax with its binding regulations, excluding garages;</w:t>
      </w:r>
    </w:p>
    <w:p w14:paraId="1ACB733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10) the land of the cemetery territories, buildings for funeral ceremonies, crematoria and land for the maintenance thereof;</w:t>
      </w:r>
    </w:p>
    <w:p w14:paraId="0A0F60CB"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11) the immovable property under the jurisdiction of the State and local governments, which has not been transferred for use or leased;</w:t>
      </w:r>
    </w:p>
    <w:p w14:paraId="0B01097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12) the buildings and engineering structures which are used only for the agricultural production;</w:t>
      </w:r>
    </w:p>
    <w:p w14:paraId="41D5CDA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13) [6 November 2013 / See Paragraph 60 of Transitional Provisions];</w:t>
      </w:r>
    </w:p>
    <w:p w14:paraId="423FB0A6"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14) the buildings or the parts (group of premises) and engineering structures thereof in the ownership of the State, which are used for ensuring the fulfilment of the functions of the National Armed Forces, penal institutions, police, border guards and the fire-fighting and rescue service, as well as State security institutions;</w:t>
      </w:r>
    </w:p>
    <w:p w14:paraId="2068AB7F"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14</w:t>
      </w:r>
      <w:r w:rsidRPr="004A0F4D">
        <w:rPr>
          <w:rFonts w:ascii="Times New Roman" w:hAnsi="Times New Roman"/>
          <w:noProof/>
          <w:sz w:val="24"/>
          <w:vertAlign w:val="superscript"/>
          <w:lang w:val="en-US"/>
        </w:rPr>
        <w:t>1</w:t>
      </w:r>
      <w:r w:rsidRPr="004A0F4D">
        <w:rPr>
          <w:rFonts w:ascii="Times New Roman" w:hAnsi="Times New Roman"/>
          <w:noProof/>
          <w:sz w:val="24"/>
          <w:lang w:val="en-US"/>
        </w:rPr>
        <w:t>) the land in the State border strip of the Republic of Latvia according to the information provided by the State Land Service on the area of the border strip in the particular land parcel as on 1 January of the current year;</w:t>
      </w:r>
    </w:p>
    <w:p w14:paraId="6A87DCC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15) the buildings or the parts (groups of premises) thereof, which are used by institutions financed from the State budget;</w:t>
      </w:r>
    </w:p>
    <w:p w14:paraId="792DE6F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16) the buildings or the parts (groups of premises) thereof, which are used for educational, health, social care needs;</w:t>
      </w:r>
    </w:p>
    <w:p w14:paraId="710219F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17) the buildings or their parts (group of premises) and engineering structures, which are used for the needs of environmental protection in accordance with the criteria and procedures stipulated by the Cabinet;</w:t>
      </w:r>
    </w:p>
    <w:p w14:paraId="78AB3EB2"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18) the buildings or engineering structures belonging to associations and foundations in accordance with criteria determined and a list approved by the Cabinet;</w:t>
      </w:r>
    </w:p>
    <w:p w14:paraId="5C91196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lastRenderedPageBreak/>
        <w:t>19) the immovable property of the ATHENA mechanism in the Republic of Latvia established for the financial management of the total costs of military or defence operations of the European Union;</w:t>
      </w:r>
    </w:p>
    <w:p w14:paraId="4587EC5E"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 xml:space="preserve">20) the buildings (groups of premises) that are constantly being used by the accredited museums, the accredited libraries, the Latvian National Opera, the State limited liability company </w:t>
      </w:r>
      <w:r w:rsidRPr="004A0F4D">
        <w:rPr>
          <w:rFonts w:ascii="Times New Roman" w:hAnsi="Times New Roman"/>
          <w:i/>
          <w:noProof/>
          <w:sz w:val="24"/>
          <w:lang w:val="en-US"/>
        </w:rPr>
        <w:t xml:space="preserve">Riga Circus </w:t>
      </w:r>
      <w:r w:rsidRPr="004A0F4D">
        <w:rPr>
          <w:rFonts w:ascii="Times New Roman" w:hAnsi="Times New Roman"/>
          <w:noProof/>
          <w:sz w:val="24"/>
          <w:lang w:val="en-US"/>
        </w:rPr>
        <w:t>and theatres, as well as buildings that are constantly being used by concert organisations which carry out the State delegated functions in the field of culture or the professional creative organisations registered in the Ministry of Culture for the needs of art galleries;</w:t>
      </w:r>
    </w:p>
    <w:p w14:paraId="0A83A03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21) the buildings (groups of premises) that are corroborated in the Land Register in the name of the Free Trade Union Confederation of Latvia and are continuously used for the implementation of the functions laid down in laws and regulations, except the buildings (groups of premises) used in economic activities and the objects referred to in Section 3, Paragraph one, Clause 2 of this Law;</w:t>
      </w:r>
    </w:p>
    <w:p w14:paraId="76A68EE2"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22) upon buildings or the parts (groups of premises) thereof which are used by the State scientific institutes specified in Section 21.</w:t>
      </w:r>
      <w:r w:rsidRPr="004A0F4D">
        <w:rPr>
          <w:rFonts w:ascii="Times New Roman" w:hAnsi="Times New Roman"/>
          <w:noProof/>
          <w:sz w:val="24"/>
          <w:vertAlign w:val="superscript"/>
          <w:lang w:val="en-US"/>
        </w:rPr>
        <w:t>2</w:t>
      </w:r>
      <w:r w:rsidRPr="004A0F4D">
        <w:rPr>
          <w:rFonts w:ascii="Times New Roman" w:hAnsi="Times New Roman"/>
          <w:noProof/>
          <w:sz w:val="24"/>
          <w:lang w:val="en-US"/>
        </w:rPr>
        <w:t>, Paragraph six of the Law on Scientific Activity – derived public persons.</w:t>
      </w:r>
    </w:p>
    <w:p w14:paraId="6EC46EA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Immovable property tax shall be imposed upon engineering structures – areas that are used as a pay parking areas for vehicles, if the local government has determined this in its binding regulations, which have been published until 1 November of the pre-taxation year.</w:t>
      </w:r>
    </w:p>
    <w:p w14:paraId="00D70FB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2</w:t>
      </w:r>
      <w:r w:rsidRPr="004A0F4D">
        <w:rPr>
          <w:rFonts w:ascii="Times New Roman" w:hAnsi="Times New Roman"/>
          <w:noProof/>
          <w:sz w:val="24"/>
          <w:lang w:val="en-US"/>
        </w:rPr>
        <w:t>) Tax relief shall not be applied upon engineering structure referred to Paragraph two, Clause 3.</w:t>
      </w:r>
      <w:r w:rsidRPr="004A0F4D">
        <w:rPr>
          <w:rFonts w:ascii="Times New Roman" w:hAnsi="Times New Roman"/>
          <w:noProof/>
          <w:sz w:val="24"/>
          <w:vertAlign w:val="superscript"/>
          <w:lang w:val="en-US"/>
        </w:rPr>
        <w:t>1</w:t>
      </w:r>
      <w:r w:rsidRPr="004A0F4D">
        <w:rPr>
          <w:rFonts w:ascii="Times New Roman" w:hAnsi="Times New Roman"/>
          <w:noProof/>
          <w:sz w:val="24"/>
          <w:lang w:val="en-US"/>
        </w:rPr>
        <w:t>, Sub-paragraph "c" of this Section, if such engineering structure is leased out to a performer of economic activities.</w:t>
      </w:r>
    </w:p>
    <w:p w14:paraId="55826E6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3</w:t>
      </w:r>
      <w:r w:rsidRPr="004A0F4D">
        <w:rPr>
          <w:rFonts w:ascii="Times New Roman" w:hAnsi="Times New Roman"/>
          <w:noProof/>
          <w:sz w:val="24"/>
          <w:lang w:val="en-US"/>
        </w:rPr>
        <w:t>) The immovable property referred to in Paragraph two, Clauses 3.</w:t>
      </w:r>
      <w:r w:rsidRPr="004A0F4D">
        <w:rPr>
          <w:rFonts w:ascii="Times New Roman" w:hAnsi="Times New Roman"/>
          <w:noProof/>
          <w:sz w:val="24"/>
          <w:vertAlign w:val="superscript"/>
          <w:lang w:val="en-US"/>
        </w:rPr>
        <w:t>4</w:t>
      </w:r>
      <w:r w:rsidRPr="004A0F4D">
        <w:rPr>
          <w:rFonts w:ascii="Times New Roman" w:hAnsi="Times New Roman"/>
          <w:noProof/>
          <w:sz w:val="24"/>
          <w:lang w:val="en-US"/>
        </w:rPr>
        <w:t>, 6, 8, 11, 15, 16, 18, 20, 21, and 22 of this Section shall be subject to the immovable property tax if the immovable property is environment-degrading, collapsed or hazardous to personal safety.</w:t>
      </w:r>
    </w:p>
    <w:p w14:paraId="07D1D1C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If the immovable property referred to in Paragraph two, Clauses 4 and 9 of this Section is partly used for economic activity or leased, tax shall be imposed on the relevant part of the immovable property.</w:t>
      </w:r>
    </w:p>
    <w:p w14:paraId="176A010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1</w:t>
      </w:r>
      <w:r w:rsidRPr="004A0F4D">
        <w:rPr>
          <w:rFonts w:ascii="Times New Roman" w:hAnsi="Times New Roman"/>
          <w:noProof/>
          <w:sz w:val="24"/>
          <w:lang w:val="en-US"/>
        </w:rPr>
        <w:t>) Immovable property tax shall be imposed upon a State protected immovable cultural monument and land for its maintenance, if the relevant immovable property is not maintained according to the requirements for the protection of cultural monuments. A local government shall impose the tax on the State protected immovable cultural monument and land for its maintenance, as well as after elimination of the relevant deficiencies – shall exempt from imposition of the tax on the basis of a statement from the State Inspection for Heritage Protection.</w:t>
      </w:r>
    </w:p>
    <w:p w14:paraId="58B76BA6"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Within the meaning of this Law economic activity shall be the manufacture of goods, performance of works, trade, provision of services and an activity of other type for a consideration, except for the provision of payable services in conformity with the functions of budgetary institutions of the State or local government, the use of land for production of agricultural products for personal consumption, as well as subletting of a flat or individual residential house (part of a house) for living or groups of premises in the ownership of or lawful possession of natural persons, or religious organisations whose type of use is associated with living (garage, car parking space, cellar, storage and utility room), for lease to a natural person, who does not use them for economic activities. The use of a State protected immovable cultural monument for the implementation of cultural functions shall not be deemed the use thereof in economic activities, except movie theatres.</w:t>
      </w:r>
    </w:p>
    <w:p w14:paraId="0FA998E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13 November 1997; 21 October 1998; 21 January 1999; 25 November 1999; 23 November 2000; 22 November 2001; 20 June 2003; 20 October 2005; 27 September 2007; 8 November 2007; 29 January 2009; 1 December 2009; 14 October 2010; 20 December 2010; 15 December 2011; 15 November 2012; 6 November 2013; 6 March 2014; 30 November 2015; 10 December 2015; 6 April 2017</w:t>
      </w:r>
      <w:r w:rsidRPr="004A0F4D">
        <w:rPr>
          <w:rFonts w:ascii="Times New Roman" w:hAnsi="Times New Roman"/>
          <w:noProof/>
          <w:sz w:val="24"/>
          <w:lang w:val="en-US"/>
        </w:rPr>
        <w:t>]</w:t>
      </w:r>
    </w:p>
    <w:p w14:paraId="785C528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628561"/>
      <w:bookmarkEnd w:id="2"/>
      <w:bookmarkEnd w:id="3"/>
    </w:p>
    <w:p w14:paraId="08D5DE42"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2. Payers of the Immovable Property Tax</w:t>
      </w:r>
    </w:p>
    <w:p w14:paraId="0FBC30D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AB728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The immovable property tax shall be paid by Latvian or foreign natural persons and legal persons and groups of such persons, formed on the basis of a contract or other agreement, or their representatives who have an immovable property in their ownership, legal possession or – in the cases laid down in this Law – in their use.</w:t>
      </w:r>
    </w:p>
    <w:p w14:paraId="6955F351"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Within the meaning of this Law, a person whose ownership rights to the immovable property have been corroborated in the Land Register or whose immovable property (buildings and engineering structures), until the renewal of legal force of the Land Register Law, has been registered with a local government or with the State Land Service shall be considered as the owner of immovable property.</w:t>
      </w:r>
    </w:p>
    <w:p w14:paraId="21646CC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Within the meaning of this Law, a person holding the right of superficies shall be considered as the owner of immovable property, if a building or engineering structure is registered in the National Real Estate Cadastre Information System on the basis of the right of superficies corroborated in the Land Register.</w:t>
      </w:r>
    </w:p>
    <w:p w14:paraId="24AED06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Within the meaning of this Law, the following shall be considered as the legal possessor of immovable property:</w:t>
      </w:r>
    </w:p>
    <w:p w14:paraId="617E211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a person into whose ownership, in the course of land reform, land has been transferred (granted) for payment or whose ownership rights to the land have been restored and the land has been determined (surveyed) on site, in accordance with the decision of an authority determined by law;</w:t>
      </w:r>
    </w:p>
    <w:p w14:paraId="3EC92EA0"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a person whose ownership rights to buildings or engineering structures have been restored in accordance with the procedures prescribed by law and who has assumed them;</w:t>
      </w:r>
    </w:p>
    <w:p w14:paraId="470E88D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a person who has come into possession of immovable property on the basis of inheritance rights or on another basis.</w:t>
      </w:r>
    </w:p>
    <w:p w14:paraId="13A47C5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The immovable property tax for the immovable property which belongs to several persons or is in joint possession, on the basis of joint ownership rights, shall be paid by each joint owner (joint possessor) proportionate to his or her share of the joint property (joint possession).</w:t>
      </w:r>
    </w:p>
    <w:p w14:paraId="2843067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The immovable property tax for immovable property belonging to the State shall be paid by the person under whose name the immovable property is corroborated in the Land Register. If a person to whom the immovable property belonging to the State is transferred for use is determined in the law, the immovable property tax shall be paid by the person to whom the right to use the property has been granted on the basis of the law.</w:t>
      </w:r>
    </w:p>
    <w:p w14:paraId="2E5B3262"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 The immovable property tax for the immovable property under State jurisdiction shall be paid by the person under whose name the immovable property should be corroborated in the Land Register. If a person in whose possession the immovable property under State jurisdiction is transferred is determined in the law, this person shall be the immovable property taxpayer.</w:t>
      </w:r>
    </w:p>
    <w:p w14:paraId="7BA8B3D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(6</w:t>
      </w:r>
      <w:r w:rsidRPr="004A0F4D">
        <w:rPr>
          <w:rFonts w:ascii="Times New Roman" w:hAnsi="Times New Roman"/>
          <w:noProof/>
          <w:sz w:val="24"/>
          <w:vertAlign w:val="superscript"/>
          <w:lang w:val="en-US"/>
        </w:rPr>
        <w:t>1</w:t>
      </w:r>
      <w:r w:rsidRPr="004A0F4D">
        <w:rPr>
          <w:rFonts w:ascii="Times New Roman" w:hAnsi="Times New Roman"/>
          <w:noProof/>
          <w:sz w:val="24"/>
          <w:lang w:val="en-US"/>
        </w:rPr>
        <w:t>) The immovable property tax for the immovable property, which has been recognised as criminally acquired by a court ruling in criminal proceedings and has been confiscated for the State benefit, shall be covered, in accordance with the procedures laid down in the Law on Execution of Confiscation of Criminally Acquired Property, from the monetary resources obtained upon executing confiscation of the property for the time period from the subsequent month after the court ruling on confiscation of criminally acquired property has entered into effect until the subsequent month after the court ruling by which an auction act of immovable property, an act on keeping the immovable property after an auction that has not taken place, or an act on selling the immovable property without auction, has been approved, and shall reside in the deposit account of a sworn bailiff.</w:t>
      </w:r>
    </w:p>
    <w:p w14:paraId="12072714"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(7) Immovable property tax for the immovable property belonging to or under the jurisdiction of a local government shall be paid by a person in whose possession the immovable property has been transferred by a decision of the local government institution. If the immovable property belonging to or under the jurisdiction of a local government has not been transferred into possession but is in use of another person on the basis of a law or on another basis, the user of the relevant immovable property (actual user) shall be the immovable property taxpayer.</w:t>
      </w:r>
    </w:p>
    <w:p w14:paraId="3772EF2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(8) Immovable property tax for an apartment residential house (its part), which is corroborated in the Land Register in the name of the State or local government, and for the land belonging to or under the jurisdiction of the State or local government, on which the house is located, shall be paid by the administrator of the apartment residential house who collects immovable property tax payments from tenants, renters of such residential house (its part) or from the persons who have acquired the ownership rights to the residential house (its part) until privatisation of the residential house, as well as from legal possessors of apartment properties (until the corroboration of the immovable property in the Land Register) in addition to the determined lease payment or rental payment, or payment for the administration of the apartment house. In relation to an apartment residential house (its part), which is corroborated in the Land Register in the name of the local government, and land belonging to or under jurisdiction of the local government, on which such house is located, the local government has the right to apply Paragraph 8.</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Section.</w:t>
      </w:r>
    </w:p>
    <w:p w14:paraId="4F4C75B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(8</w:t>
      </w:r>
      <w:r w:rsidRPr="004A0F4D">
        <w:rPr>
          <w:rFonts w:ascii="Times New Roman" w:hAnsi="Times New Roman"/>
          <w:noProof/>
          <w:sz w:val="24"/>
          <w:vertAlign w:val="superscript"/>
          <w:lang w:val="en-US"/>
        </w:rPr>
        <w:t>1</w:t>
      </w:r>
      <w:r w:rsidRPr="004A0F4D">
        <w:rPr>
          <w:rFonts w:ascii="Times New Roman" w:hAnsi="Times New Roman"/>
          <w:noProof/>
          <w:sz w:val="24"/>
          <w:lang w:val="en-US"/>
        </w:rPr>
        <w:t>) Immovable property tax for an apartment residential house (its part), which is corroborated in the Land Register in the name of a local government, and for land belonging to or under jurisdiction of a local government, on which the house is located, shall be paid by the tenants and renters of the apartment residential house (its part) of the local government, who have entered into lease and rental contracts with the local government, or by the persons who have acquired the ownership rights to the residential house (its part) until privatisation of the residential house, or by legal possessors of apartment properties (until corroboration of the immovable property in the Land Register), or by the taxpayers specified in Paragraph seven of this Section, if the local government has stipulated such payment procedures in its binding regulations, which are published thereby by 1 November of the pre-taxation year.</w:t>
      </w:r>
    </w:p>
    <w:p w14:paraId="434BE3B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(9) Immovable property tax for the immovable property belonging to or under the jurisdiction of the State or local government, which is located in the territory of free port or special economic zone and which has been transferred by the free port or the administration of the special economic zone into use of another person, shall be paid by the user of the relevant immovable property.</w:t>
      </w:r>
    </w:p>
    <w:p w14:paraId="516AAF5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(10) Immovable property tax for the forest land belonging to the State and corroborated in the Land Register in the name of the State in the person of the Ministry of Agriculture and for the forest land under the State jurisdiction and to be corroborated in the name of the State in the person of the Ministry of Agriculture, as well as for the existing buildings or engineering structures on such land, for which the State stock company “Latvian State Forests” has been registered as the user in the National Real Estate Cadastre Information System, shall be paid by the State stock company “Latvian State Forests”.</w:t>
      </w:r>
    </w:p>
    <w:p w14:paraId="04D5F66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(11) Immovable property tax for a building or engineering structure registered in the National Real Estate Cadastre Information System and built on the basis of the right of superficies shall be paid by the superficiary.</w:t>
      </w:r>
    </w:p>
    <w:p w14:paraId="1F5B683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23 November 2000; 1 December 2009; 15 December 2011; 6 November 2013; 6 March 2014; 30 November 2015; 22 December 2016; 22 June 2017</w:t>
      </w:r>
      <w:r w:rsidRPr="004A0F4D">
        <w:rPr>
          <w:rFonts w:ascii="Times New Roman" w:hAnsi="Times New Roman"/>
          <w:noProof/>
          <w:sz w:val="24"/>
          <w:lang w:val="en-US"/>
        </w:rPr>
        <w:t>]</w:t>
      </w:r>
    </w:p>
    <w:p w14:paraId="10B933A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571844"/>
      <w:bookmarkEnd w:id="4"/>
      <w:bookmarkEnd w:id="5"/>
    </w:p>
    <w:p w14:paraId="2BFEB627" w14:textId="77777777" w:rsidR="004A0F4D" w:rsidRPr="004A0F4D" w:rsidRDefault="004A0F4D" w:rsidP="004A0F4D">
      <w:pPr>
        <w:keepNext/>
        <w:keepLines/>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lastRenderedPageBreak/>
        <w:t>Section 3. Immovable Property Tax Rate, Taxation Period and Tax Calculation</w:t>
      </w:r>
    </w:p>
    <w:p w14:paraId="659ECA03" w14:textId="77777777" w:rsidR="004A0F4D" w:rsidRPr="004A0F4D" w:rsidRDefault="004A0F4D" w:rsidP="004A0F4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B8B8BF"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The immovable property tax rate or rates from 0.2 to 3 per cent from the cadastral value of the immovable property shall be determined by a local government in the binding regulations thereof, which shall be published thereby until 1 November of the pre-taxation year. The immovable property tax rate exceeding 1.5 per cent from the cadastral value of the immovable property shall be determined by a local government only when the immovable property is not maintained in accordance with the procedures laid down in laws and regulations. If the local government has not published the binding regulations until the specified deadline, the immovable property tax rate shall be as follows:</w:t>
      </w:r>
    </w:p>
    <w:p w14:paraId="2494413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1.5 per cent of the cadastral value of the immovable property:</w:t>
      </w:r>
    </w:p>
    <w:p w14:paraId="6695CB6A"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a) for land;</w:t>
      </w:r>
    </w:p>
    <w:p w14:paraId="1BA9A0D0" w14:textId="77777777" w:rsidR="004A0F4D" w:rsidRPr="004A0F4D" w:rsidRDefault="004A0F4D" w:rsidP="004A0F4D">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b) for buildings or parts thereof, excluding the immovable property tax objects referred to in Clause 2 of this Paragraph and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Section;</w:t>
      </w:r>
    </w:p>
    <w:p w14:paraId="558B1657"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c) engineering structures;</w:t>
      </w:r>
    </w:p>
    <w:p w14:paraId="53E4EC1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for residential houses irrespective of whether they are or are not sub-divided into apartment properties, residential house sections, groups of premises in non-residential buildings whose type of use is residential, as well as groups of premises whose type of use is associated with living (for garages, car parking spaces, cellars, storage and utility rooms), if they are not being used for the performance of economic activities:</w:t>
      </w:r>
    </w:p>
    <w:p w14:paraId="1041D1BA"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a) 0.2 per cent of the cadastral value, that does not exceed EUR 56 915;</w:t>
      </w:r>
    </w:p>
    <w:p w14:paraId="481775DB"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b) 0.4 per cent of the cadastral share, that exceeds EUR 56 915, but does not exceed EUR 106 715;</w:t>
      </w:r>
    </w:p>
    <w:p w14:paraId="47112F9F"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c) 0.6 per cent of the cadastral share, that exceeds EUR 106 715.</w:t>
      </w:r>
    </w:p>
    <w:p w14:paraId="795CB12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An additional immovable property tax in the amount of 1.5 per cent shall be applied to agricultural land which is not being farmed, except for land, the area of which does not exceed one hectare or for which restrictions on agricultural activities have determined by regulatory enactments. The aforementioned additional rate shall also be imposed, if the local government has specified the immovable property tax rate for agricultural land which is not being farmed in the binding regulations thereof in accordance with Paragraph one of this Section.</w:t>
      </w:r>
    </w:p>
    <w:p w14:paraId="7405804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2</w:t>
      </w:r>
      <w:r w:rsidRPr="004A0F4D">
        <w:rPr>
          <w:rFonts w:ascii="Times New Roman" w:hAnsi="Times New Roman"/>
          <w:noProof/>
          <w:sz w:val="24"/>
          <w:lang w:val="en-US"/>
        </w:rPr>
        <w:t>) The rates determined by Paragraph one, Clause 2 of this Section shall also be applied to the auxiliary buildings of residential houses and garage owner co-operative societies, and garage owner associations and the garages of natural persons (excluding garages for heavy machinery and farm machinery), if they are not being used for the performance of economic activities.</w:t>
      </w:r>
    </w:p>
    <w:p w14:paraId="1216425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3</w:t>
      </w:r>
      <w:r w:rsidRPr="004A0F4D">
        <w:rPr>
          <w:rFonts w:ascii="Times New Roman" w:hAnsi="Times New Roman"/>
          <w:noProof/>
          <w:sz w:val="24"/>
          <w:lang w:val="en-US"/>
        </w:rPr>
        <w:t>) The tax for engineering structures, that in accordance with this Law shall be applicable with an immovable property tax, but are not registered in the Immovable Property State Cadastre Information System, shall be calculated, by applying the rate referred to in Paragraph one, Clause 1 of this Section to the cadastral value of the land under the jurisdiction of the engineering structure.</w:t>
      </w:r>
    </w:p>
    <w:p w14:paraId="7AFAC4E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4</w:t>
      </w:r>
      <w:r w:rsidRPr="004A0F4D">
        <w:rPr>
          <w:rFonts w:ascii="Times New Roman" w:hAnsi="Times New Roman"/>
          <w:noProof/>
          <w:sz w:val="24"/>
          <w:lang w:val="en-US"/>
        </w:rPr>
        <w:t>) The immovable property tax shall be imposed upon an environment-degrading, collapsed building or building hazardous to personal safety in the amount of 3 per cent, if it has been determined by a local government in the binding regulations thereof, which shall be published by the local government until 1 November of the pre-taxation year, from the largest cadastral value mentioned below:</w:t>
      </w:r>
    </w:p>
    <w:p w14:paraId="0161144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cadastral value of the land under the jurisdiction of the building;</w:t>
      </w:r>
    </w:p>
    <w:p w14:paraId="0453EEE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cadastral value of the building.</w:t>
      </w:r>
    </w:p>
    <w:p w14:paraId="2300676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5</w:t>
      </w:r>
      <w:r w:rsidRPr="004A0F4D">
        <w:rPr>
          <w:rFonts w:ascii="Times New Roman" w:hAnsi="Times New Roman"/>
          <w:noProof/>
          <w:sz w:val="24"/>
          <w:lang w:val="en-US"/>
        </w:rPr>
        <w:t>) The rate and base specified in Paragraph 1.</w:t>
      </w:r>
      <w:r w:rsidRPr="004A0F4D">
        <w:rPr>
          <w:rFonts w:ascii="Times New Roman" w:hAnsi="Times New Roman"/>
          <w:noProof/>
          <w:sz w:val="24"/>
          <w:vertAlign w:val="superscript"/>
          <w:lang w:val="en-US"/>
        </w:rPr>
        <w:t xml:space="preserve">4 </w:t>
      </w:r>
      <w:r w:rsidRPr="004A0F4D">
        <w:rPr>
          <w:rFonts w:ascii="Times New Roman" w:hAnsi="Times New Roman"/>
          <w:noProof/>
          <w:sz w:val="24"/>
          <w:lang w:val="en-US"/>
        </w:rPr>
        <w:t>of this Section shall be applied if the local government has not specified other tax rate in the binding regulations provided for in the introductory part of Paragraph one of this Section.</w:t>
      </w:r>
    </w:p>
    <w:p w14:paraId="618C1086" w14:textId="77777777" w:rsidR="004A0F4D" w:rsidRPr="004A0F4D" w:rsidRDefault="004A0F4D" w:rsidP="004A0F4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lastRenderedPageBreak/>
        <w:t>(1</w:t>
      </w:r>
      <w:r w:rsidRPr="004A0F4D">
        <w:rPr>
          <w:rFonts w:ascii="Times New Roman" w:hAnsi="Times New Roman"/>
          <w:noProof/>
          <w:sz w:val="24"/>
          <w:vertAlign w:val="superscript"/>
          <w:lang w:val="en-US"/>
        </w:rPr>
        <w:t>6</w:t>
      </w:r>
      <w:r w:rsidRPr="004A0F4D">
        <w:rPr>
          <w:rFonts w:ascii="Times New Roman" w:hAnsi="Times New Roman"/>
          <w:noProof/>
          <w:sz w:val="24"/>
          <w:lang w:val="en-US"/>
        </w:rPr>
        <w:t>) The immovable property tax shall be imposed upon a building, in construction of which the total duration of construction works laid down in laws and regulations has been exceeded, from the following month after expiry of the construction term until the month when an act regarding acceptance of the building into service is signed in the amount of 3 per cent, if it has been determined by a local government in the binding regulations thereof, which shall be published by the local government until 1 November of the pre-taxation year, from the largest cadastral value mentioned below:</w:t>
      </w:r>
    </w:p>
    <w:p w14:paraId="5562DC60"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cadastral value of the land under the jurisdiction of the building;</w:t>
      </w:r>
    </w:p>
    <w:p w14:paraId="4CAD426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cadastral value of the building.</w:t>
      </w:r>
    </w:p>
    <w:p w14:paraId="2DD9B9CC"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7</w:t>
      </w:r>
      <w:r w:rsidRPr="004A0F4D">
        <w:rPr>
          <w:rFonts w:ascii="Times New Roman" w:hAnsi="Times New Roman"/>
          <w:noProof/>
          <w:sz w:val="24"/>
          <w:lang w:val="en-US"/>
        </w:rPr>
        <w:t>) The tax rate laid down in Paragraph one, Clause 2 of this Section shall be applicable to the objects belonging to a merchant laid down in Paragraph one, Clause 2 of this Section, if they have been rented out for living, from the following month after corroboration of the rental rights in the Land Register. The immovable property tax rate for the objects belonging to a merchant laid down in Paragraph one, Clause 2 of this Section shall be 1.5 per cent, if rental rights to such objects have not been corroborated in the Land Register, or from the following month after:</w:t>
      </w:r>
    </w:p>
    <w:p w14:paraId="14B9800F"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corroboration in the Land Register regarding rental rights in such objects has been extinguished;</w:t>
      </w:r>
    </w:p>
    <w:p w14:paraId="2B7274B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term of rental rights of such objects indicated in the corroboration in the Land Register has expired, if information regarding extending the term of or extinguishing the rental rights of such objects has not been submitted to the Land Register;</w:t>
      </w:r>
    </w:p>
    <w:p w14:paraId="60F4BCA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rental contract entered into for such objects has expired, if it has expired prior to the term of the rental rights indicated in the corroboration in the Land Register. In such case the merchant has an obligation, within one month after the expiry of the contract, to inform the local government regarding the expiry of the rental contract before term.</w:t>
      </w:r>
    </w:p>
    <w:p w14:paraId="27F6AF5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8</w:t>
      </w:r>
      <w:r w:rsidRPr="004A0F4D">
        <w:rPr>
          <w:rFonts w:ascii="Times New Roman" w:hAnsi="Times New Roman"/>
          <w:noProof/>
          <w:sz w:val="24"/>
          <w:lang w:val="en-US"/>
        </w:rPr>
        <w:t>) The immovable property tax rate shall be 1.5 per cent also if the objects laid down in Paragraph one, Clause 2 of this Section are in legal possession of the merchant.</w:t>
      </w:r>
    </w:p>
    <w:p w14:paraId="3DB1271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The taxation period of the immovable property tax shall be a calendar year (hereinafter – the taxation year).</w:t>
      </w:r>
    </w:p>
    <w:p w14:paraId="5035AE0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The immovable property tax shall be calculated from the cadastral value of the immovable property tax object according to the situation on 1 January of the taxation year. If the immovable property tax object has been registered in the National Real Estate Cadastre Information System during the taxation year, the tax shall be calculated from the cadastral value of the object at the moment of registration.</w:t>
      </w:r>
    </w:p>
    <w:p w14:paraId="3662AC2C"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1</w:t>
      </w:r>
      <w:r w:rsidRPr="004A0F4D">
        <w:rPr>
          <w:rFonts w:ascii="Times New Roman" w:hAnsi="Times New Roman"/>
          <w:noProof/>
          <w:sz w:val="24"/>
          <w:lang w:val="en-US"/>
        </w:rPr>
        <w:t>) The minimum immovable property tax payment for each taxpayer in each local government shall be EUR 7, even in cases, when the immovable property tax objects of the taxpayer have had tax relief applied and after the application thereof the total tax calculated for the taxation year in the relevant local government is less than EUR 7. If the calculated tax amount for the most deprived or low-income persons after the granting of the relief at the rate of 90 per cent is less than EUR 7, the local government has the right to not send a payment notification to the taxpayer. In such case the calculated tax sum shall be accumulated until such time, when as a result of change or the result of the tax calculation for the next taxation year the total calculated tax sum exceeds EUR 7, and the local government shall send a total payment notification for all the tax years, for which the calculated tax has accumulated. The terms for the payment shall be determined during the taxation year, in which the payment notification has been sent, in accordance with Section 6, Paragraph three of this Law.</w:t>
      </w:r>
    </w:p>
    <w:p w14:paraId="0273D51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If the immovable property is located in the administrative territory of several local governments, the immovable property tax shall be calculated and collected by each local government proportionately to such part of the immovable property as is in its territory.</w:t>
      </w:r>
    </w:p>
    <w:p w14:paraId="30C2F401"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(5) If the exemption from the payment of immovable property tax provided for in Section 1, Paragraph two of this Law is applicable only to part of the immovable property, the tax for that part of the property to which the exemption is not applicable shall be calculated in accordance with the general procedures determined by this Law.</w:t>
      </w:r>
    </w:p>
    <w:p w14:paraId="42178EA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 If during the taxation year cadastral data changes are registered in the National Real Estate Cadastre Information System, the updated cadastral value for the calculation of tax shall be applied in the following taxation year.</w:t>
      </w:r>
    </w:p>
    <w:p w14:paraId="1CC76CD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 The Cabinet shall determine the authorities, which shall survey the unfarmed agricultural land area of the land unit, and the procedures, by which the area of this land shall be determined, as well as the procedures, by which the determined authorities shall provide information to local governments for calculating taxes in accordance with the additional rate referred to in Paragraph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Section.</w:t>
      </w:r>
    </w:p>
    <w:p w14:paraId="29A6357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(8) Within the meaning of this Law unfarmed agricultural land is all the unfarmed agricultural land area of the land parcel, if until 1 September of the current year more than 30 per cent of the agricultural land area of the relevant land parcel is not being used for producing or growing agricultural products, including crop harvesting, grazing and keeping of animals for agricultural purposes, or the referred to land area is not being maintained in a good agricultural and environmental state. The Cabinet shall determine the features, according to which it shall be recognised, that the land is not being maintained in a good agricultural and environmental state.</w:t>
      </w:r>
    </w:p>
    <w:p w14:paraId="685ED2A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(9) A taxpayer has a duty, within one month, to inform the local government, in the administrative territory of which the immovable property or part thereof is located, regarding commencement or termination of economic activity in the immovable property tax objects referred to in Paragraph one, Clause 2 and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Section, except the case when the type of use is changed for the immovable tax object.</w:t>
      </w:r>
    </w:p>
    <w:p w14:paraId="18C42D22"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(10) If as a result of changing the type of use of the immovable property object or commencing or terminating the economic activity the applicable immovable property tax rate does not conform to the conditions of the binding regulations of the local government, the local government shall perform re-calculation of the immovable property tax from the following month after occurrence of such changes.</w:t>
      </w:r>
    </w:p>
    <w:p w14:paraId="39042A5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(10</w:t>
      </w:r>
      <w:r w:rsidRPr="004A0F4D">
        <w:rPr>
          <w:rFonts w:ascii="Times New Roman" w:hAnsi="Times New Roman"/>
          <w:noProof/>
          <w:sz w:val="24"/>
          <w:vertAlign w:val="superscript"/>
          <w:lang w:val="en-US"/>
        </w:rPr>
        <w:t>1</w:t>
      </w:r>
      <w:r w:rsidRPr="004A0F4D">
        <w:rPr>
          <w:rFonts w:ascii="Times New Roman" w:hAnsi="Times New Roman"/>
          <w:noProof/>
          <w:sz w:val="24"/>
          <w:lang w:val="en-US"/>
        </w:rPr>
        <w:t>) If a taxpayer has not complied with that laid down in Paragraph nine of this Section for notification of the time periods regarding termination of economic activity in the immovable property tax objects referred to in Paragraph one, Clause 2 and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Section, the local government shall perform re-calculation of the immovable property tax with the following month after submitting the information to the local government.</w:t>
      </w:r>
    </w:p>
    <w:p w14:paraId="6FDA611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(10</w:t>
      </w:r>
      <w:r w:rsidRPr="004A0F4D">
        <w:rPr>
          <w:rFonts w:ascii="Times New Roman" w:hAnsi="Times New Roman"/>
          <w:noProof/>
          <w:sz w:val="24"/>
          <w:vertAlign w:val="superscript"/>
          <w:lang w:val="en-US"/>
        </w:rPr>
        <w:t>2</w:t>
      </w:r>
      <w:r w:rsidRPr="004A0F4D">
        <w:rPr>
          <w:rFonts w:ascii="Times New Roman" w:hAnsi="Times New Roman"/>
          <w:noProof/>
          <w:sz w:val="24"/>
          <w:lang w:val="en-US"/>
        </w:rPr>
        <w:t>) If the local government performs re-calculation of the immovable property tax in accordance with the procedures laid down in Paragraphs 10 and 10.</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Section, the updated cadastral value of the object, if any, and the tax rate in accordance with the conditions of this Section or of the binding regulations of the local government shall be applied in calculating the immovable property tax.</w:t>
      </w:r>
    </w:p>
    <w:p w14:paraId="27CC973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(11) The cadastral value of an engineering structure shall be applied to the calculation of tax, beginning with the month following the registration thereof in the National Real Estate Cadastre Information System.</w:t>
      </w:r>
    </w:p>
    <w:p w14:paraId="6ED2C2D1"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(12) In order to ensure commensurate increase of tax burden, land parcels (parts thereof) which are located in the administrative territories outside towns and the area of which exceeds 3 hectares, and at least one of the laid down purposes for use is from the group of purposes for use “Agricultural land”, “Forestry land and specially protected nature territories in which economic activities are prohibited by a normative act” or “Water bodies land” (hereinafter – the rural land), until taxation year 2015 the immovable property tax shall be calculated from a special value which is determined specially for tax calculation (hereinafter – the special value).</w:t>
      </w:r>
    </w:p>
    <w:p w14:paraId="2688CCF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(13) The special value shall be determined on the basis of the cadastral value of rural land. The increase of the special value of rural land within the taxation year shall not exceed 10 per cent per year from the special value of rural land laid down for the previous taxation year.</w:t>
      </w:r>
    </w:p>
    <w:p w14:paraId="692B7E6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(14) The special value of the taxation year shall be determined according to the situation as of 1 January by comparing the special value of pre-taxation year with the cadastral value which is determined as of 1 January of the taxation year. The special value is equal to the cadastral value, if increase of the cadastral value determined on 1 January of the taxation year does not exceed 10 per cent of the special value of the pre-taxation year. The special value is equal to the special value of the pre-taxation year, which is multiplied with a coefficient 1.1, if increase of the cadastral value laid down on 1 January of the taxation year exceeds 10 per cent of the special value of the pre-taxation year.</w:t>
      </w:r>
    </w:p>
    <w:p w14:paraId="449C7C5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(15) The special value for the rural land which is registered in the National Real Estate Cadastre Information System during a taxation year shall be equal to the cadastral value on the day of the registration of the lad parcel.</w:t>
      </w:r>
    </w:p>
    <w:p w14:paraId="425A4642"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(16) If during the taxation year changes in data regarding the rural land are registered in the National Real Estate Cadastre Information System, a special value shall not be determined repeatedly for the taxation year.</w:t>
      </w:r>
    </w:p>
    <w:p w14:paraId="1C461E1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 xml:space="preserve">21 October 1998; 21 January 1999; 25 November 1999; 22 November 2001; 20 June 2003; 20 October 2005; 8 November 2007; 1 December 2009; 17 June 2010; 14 October 2010; 20 December 2010; 15 December 2011; 15 November 2012; 19 September 2013; 6 November 2013; 30 November 2015 </w:t>
      </w:r>
      <w:r w:rsidRPr="004A0F4D">
        <w:rPr>
          <w:rFonts w:ascii="Times New Roman" w:hAnsi="Times New Roman"/>
          <w:noProof/>
          <w:sz w:val="24"/>
          <w:lang w:val="en-US"/>
        </w:rPr>
        <w:t>/ </w:t>
      </w:r>
      <w:r w:rsidRPr="004A0F4D">
        <w:rPr>
          <w:rFonts w:ascii="Times New Roman" w:hAnsi="Times New Roman"/>
          <w:i/>
          <w:iCs/>
          <w:noProof/>
          <w:sz w:val="24"/>
          <w:lang w:val="en-US"/>
        </w:rPr>
        <w:t>See Paragraph 65 of Transitional Provisions</w:t>
      </w:r>
      <w:r w:rsidRPr="004A0F4D">
        <w:rPr>
          <w:rFonts w:ascii="Times New Roman" w:hAnsi="Times New Roman"/>
          <w:noProof/>
          <w:sz w:val="24"/>
          <w:lang w:val="en-US"/>
        </w:rPr>
        <w:t>]</w:t>
      </w:r>
    </w:p>
    <w:p w14:paraId="48FDBA4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_1"/>
      <w:bookmarkStart w:id="7" w:name="p-1138560"/>
      <w:bookmarkEnd w:id="6"/>
      <w:bookmarkEnd w:id="7"/>
    </w:p>
    <w:p w14:paraId="48DF8EFB" w14:textId="77777777" w:rsidR="004A0F4D" w:rsidRPr="004A0F4D" w:rsidRDefault="004A0F4D" w:rsidP="004A0F4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A0F4D">
        <w:rPr>
          <w:rFonts w:ascii="Times New Roman" w:hAnsi="Times New Roman"/>
          <w:b/>
          <w:noProof/>
          <w:sz w:val="24"/>
          <w:lang w:val="en-US"/>
        </w:rPr>
        <w:t>Section 3.</w:t>
      </w:r>
      <w:r w:rsidRPr="004A0F4D">
        <w:rPr>
          <w:rFonts w:ascii="Times New Roman" w:hAnsi="Times New Roman"/>
          <w:b/>
          <w:noProof/>
          <w:sz w:val="24"/>
          <w:vertAlign w:val="superscript"/>
          <w:lang w:val="en-US"/>
        </w:rPr>
        <w:t xml:space="preserve">1 </w:t>
      </w:r>
      <w:r w:rsidRPr="004A0F4D">
        <w:rPr>
          <w:rFonts w:ascii="Times New Roman" w:hAnsi="Times New Roman"/>
          <w:b/>
          <w:noProof/>
          <w:sz w:val="24"/>
          <w:lang w:val="en-US"/>
        </w:rPr>
        <w:t>Principles for the Specification of the Immovable Property Tax Rates and Tax Reliefs in the Binding Regulations of Local Governments</w:t>
      </w:r>
    </w:p>
    <w:p w14:paraId="437D099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EE536C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In determining the immovable property tax rate or rates, a local government shall comply with the following principles:</w:t>
      </w:r>
    </w:p>
    <w:p w14:paraId="2A742D9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principle of objective classification according to which taxpayers or tax objects are grouped according to objective criteria;</w:t>
      </w:r>
    </w:p>
    <w:p w14:paraId="4606C36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efficiency principle according to which a local government weighs tax administration expenditure against tax revenue;</w:t>
      </w:r>
    </w:p>
    <w:p w14:paraId="0C82A7A0"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principle of responsible budget planning according to which a local government balances the obligations thereof with the resources necessary for their implementation;</w:t>
      </w:r>
    </w:p>
    <w:p w14:paraId="0B6565D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the principle of predictability and stability according to which tax rates are specified in a timely manner for a taxation period of at least two years, if the increase or reduction in the base value of the immovable property in comparison with the base values in taxation period and pre-taxation period is less than 20 per cent.</w:t>
      </w:r>
    </w:p>
    <w:p w14:paraId="4C01A6B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In determining the immovable property tax rate or rates, a local government may apply the following principles:</w:t>
      </w:r>
    </w:p>
    <w:p w14:paraId="7666066F"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 xml:space="preserve">1) the principle of support for entrepreneurial activity according to which the local government shall use the reduced tax rate as a means for increasing competitiveness of entrepreneurs or certain types of entrepreneurial activities in the territory thereof in compliance with the conditions of Commission Regulation (EU) No 1407/2013 of 18 December 2013 on the application of Articles 107 and 108 of the Treaty on the Functioning of the European Union to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(Text with EEA relevance) (Official Journal of the European Union, 24 December 2013, No. L352/1), Commission Regulation (EU) No 1408/2013 of 18 December 2013 on the application of Articles 107 and 108 of the Treaty on the Functioning of the European Union to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in the agriculture sector (Official Journal of the European Union, 24 December 2013, No. L352), and Commission Regulation (EU) No 717/2014 of 27 June 2014 on the application of Articles 107 and 108 of the Treaty on the Functioning of the European Union to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aid in the fishery and aquaculture sector (Official Journal of the European Union, 28 June 2014, No. L190) which shall be included in the binding regulations of the local government;</w:t>
      </w:r>
    </w:p>
    <w:p w14:paraId="4311BA7F"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lastRenderedPageBreak/>
        <w:t>2) the principle of spatial development and improvement of territory according to which the local government shall use the tax rate for the promotion of development and arrangement of the territory thereof.</w:t>
      </w:r>
    </w:p>
    <w:p w14:paraId="1A2C82D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In determining the immovable property tax reliefs, a local government shall comply with the principles specified in Paragraph one, Clauses 1, 2 and 3 of this Section and has the option of applying the principles specified in Paragraph two of this Section.</w:t>
      </w:r>
    </w:p>
    <w:p w14:paraId="38A335E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In determining the immovable property tax reliefs in conjunction with the tax rate or rates, a local government shall comply with the principle of social responsibility, according to which it shall particularly take into account the impact of the tax on the groups of socially disadvantaged and poor inhabitants.</w:t>
      </w:r>
    </w:p>
    <w:p w14:paraId="6857148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 30 November 2015; 22 September 2022</w:t>
      </w:r>
      <w:r w:rsidRPr="004A0F4D">
        <w:rPr>
          <w:rFonts w:ascii="Times New Roman" w:hAnsi="Times New Roman"/>
          <w:noProof/>
          <w:sz w:val="24"/>
          <w:lang w:val="en-US"/>
        </w:rPr>
        <w:t>]</w:t>
      </w:r>
    </w:p>
    <w:p w14:paraId="6FBAD7A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571847"/>
      <w:bookmarkEnd w:id="8"/>
      <w:bookmarkEnd w:id="9"/>
    </w:p>
    <w:p w14:paraId="6DEF26DC" w14:textId="77777777" w:rsidR="004A0F4D" w:rsidRPr="004A0F4D" w:rsidRDefault="004A0F4D" w:rsidP="004A0F4D">
      <w:pPr>
        <w:shd w:val="clear" w:color="auto" w:fill="FFFFFF"/>
        <w:spacing w:after="0" w:line="240" w:lineRule="auto"/>
        <w:ind w:left="1418" w:hanging="1418"/>
        <w:jc w:val="both"/>
        <w:rPr>
          <w:rFonts w:ascii="Times New Roman" w:hAnsi="Times New Roman"/>
          <w:b/>
          <w:noProof/>
          <w:sz w:val="24"/>
          <w:lang w:val="en-US"/>
        </w:rPr>
      </w:pPr>
      <w:r w:rsidRPr="004A0F4D">
        <w:rPr>
          <w:rFonts w:ascii="Times New Roman" w:hAnsi="Times New Roman"/>
          <w:b/>
          <w:noProof/>
          <w:sz w:val="24"/>
          <w:lang w:val="en-US"/>
        </w:rPr>
        <w:t>Section 4. Provision of Data of the National Real Estate Cadastre Information System for the Needs of the Administration of the Immovable Property Tax</w:t>
      </w:r>
    </w:p>
    <w:p w14:paraId="0AB2AB0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56FA31"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The cadastral value of an immovable property shall be determined by the State Land Service in compliance with the requirements of the National Real Estate Cadastre Law.</w:t>
      </w:r>
    </w:p>
    <w:p w14:paraId="3AC8DF7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Data registered in the Immovable Property State Cadastre Information System shall be utilized for the administration of immovable property tax. Changes in the composition of the immovable property or the characteristic data of the immovable property object shall be taken into account to calculation of tax in compliance with the procedures determined by this Law, if these changes have been registered in the National Real Estate Cadastre Information System. Data that has not been registered in the National Real Estate Cadastre Information System shall be obtained by a local government for the administration of the immovable property tax in accordance with the procedures determined by this Law or from other information systems.</w:t>
      </w:r>
    </w:p>
    <w:p w14:paraId="47311AB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2</w:t>
      </w:r>
      <w:r w:rsidRPr="004A0F4D">
        <w:rPr>
          <w:rFonts w:ascii="Times New Roman" w:hAnsi="Times New Roman"/>
          <w:noProof/>
          <w:sz w:val="24"/>
          <w:lang w:val="en-US"/>
        </w:rPr>
        <w:t>) The State Land Service shall determine a special value outside the Immovable Property State Cadastre Information System by using the cadastral value of rural land registered in the Immovable Property State Cadastre Information System.</w:t>
      </w:r>
    </w:p>
    <w:p w14:paraId="41DAB37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If a tax is imposed on a part of a land unit or building (group of premises) or if parts of the land unit or building in accordance with Section 3, Paragraphs one and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have different tax rates, the part of the cadastral value of the land unit or building shall be used for the calculation of tax proportionally to the taxable area of the land unit or building. The Cabinet shall determine the procedures by which the cadastral share shall be calculated for tax purposes.</w:t>
      </w:r>
    </w:p>
    <w:p w14:paraId="7E231BD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The Cabinet shall determine the amount, procedures and terms, by which the State Land Service shall provide the National Real Estate Cadastre Information System data to local governments for the needs of the administration of the immovable property tax</w:t>
      </w:r>
    </w:p>
    <w:p w14:paraId="23F0EC5E"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The State Land Service shall hand over the information regarding a special value to local governments until 10 January of the taxation year by providing at least the following information regarding each land parcel (part thereof):</w:t>
      </w:r>
    </w:p>
    <w:p w14:paraId="6CA8880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administrative territory code of the land parcel (a part of the land parcel);</w:t>
      </w:r>
    </w:p>
    <w:p w14:paraId="187718A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name of a local government;</w:t>
      </w:r>
    </w:p>
    <w:p w14:paraId="2BF9D42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cadastre designation of the land parcel (a part of the land parcel);</w:t>
      </w:r>
    </w:p>
    <w:p w14:paraId="2A4C9DF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the total area (in square meters) of the land parcel (a part of the land parcel);</w:t>
      </w:r>
    </w:p>
    <w:p w14:paraId="585485E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the special value.</w:t>
      </w:r>
    </w:p>
    <w:p w14:paraId="3DA2278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 14 October 2010; 15 December 2011; 30 November 2015</w:t>
      </w:r>
      <w:r w:rsidRPr="004A0F4D">
        <w:rPr>
          <w:rFonts w:ascii="Times New Roman" w:hAnsi="Times New Roman"/>
          <w:noProof/>
          <w:sz w:val="24"/>
          <w:lang w:val="en-US"/>
        </w:rPr>
        <w:t>]</w:t>
      </w:r>
    </w:p>
    <w:p w14:paraId="10D3C88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1138561"/>
      <w:bookmarkEnd w:id="10"/>
      <w:bookmarkEnd w:id="11"/>
    </w:p>
    <w:p w14:paraId="27C1A6E3"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5. Reliefs for the Immovable Property Taxpayers</w:t>
      </w:r>
    </w:p>
    <w:p w14:paraId="4B2C07E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377CD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Reliefs shall be determined for the immovable property tax that has been calculated in accordance with the requirements of Section 3 of this Law.</w:t>
      </w:r>
    </w:p>
    <w:p w14:paraId="32BDE541" w14:textId="77777777" w:rsidR="004A0F4D" w:rsidRPr="004A0F4D" w:rsidRDefault="004A0F4D" w:rsidP="004A0F4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lastRenderedPageBreak/>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A local government shall grant tax relief to taxpayers to which it has granted the status of the most deprived or low-income person or family – for the most deprived persons in the amount of 90 per cent of the calculated tax amount and for low-income persons – up to 90 per cent of the calculated tax amount for the period, during which the taxpayer complies with the status of the most deprived or low-income person, in relation with the immovable property tax objects referred to in Section 3, Paragraph one, Clause 2 and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and the land under the jurisdiction thereof.</w:t>
      </w:r>
    </w:p>
    <w:p w14:paraId="3A10C6A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2</w:t>
      </w:r>
      <w:r w:rsidRPr="004A0F4D">
        <w:rPr>
          <w:rFonts w:ascii="Times New Roman" w:hAnsi="Times New Roman"/>
          <w:noProof/>
          <w:sz w:val="24"/>
          <w:lang w:val="en-US"/>
        </w:rPr>
        <w:t>) The sum of the immovable property tax shall be reduced by 50 per cent of the calculated tax sum, but not more than by 500 euros, for the immovable property tax objects referred to in Section 3, Paragraph one, Clause 2 of this Law – residential houses regardless of whether they have been divided in apartment properties, parts of residential houses, groups of premises in non-residential houses the type of use of which is residing, and the land under the jurisdiction thereof to a person, if the person (himself or herself, or together with the spouse) or his or her spouse has three or more children under 18 years of age (also children under guardianship or children placed in a foster family) or children under 24 years of age acquiring secondary, professional or higher education as on 1 January of the taxation year and if his or her spouse has the declared place of residence in the object together with at least three of the abovementioned children. The abovementioned reliefs shall also be applied when the owner or legal possessor of immovable property is any of the children or persons referred to in Paragraph one of this Section, or an ascending first degree relative of the spouse which has a declared place of residence in this object.</w:t>
      </w:r>
    </w:p>
    <w:p w14:paraId="30A1DEE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The amount of immovable property tax for politically repressed persons regarding land, as well as the immovable property tax objects referred to in Section 3, Paragraph one, Clause 2 and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which have been in the ownership or possession of such persons, shall be reduced by 50 per cent, if the immovable property is not used for economic activity. If the immovable property is partly used for economic activity, then the tax reduction shall not be applied to this part.</w:t>
      </w:r>
    </w:p>
    <w:p w14:paraId="4CF1A69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Local governments may issue binding regulations which provide reliefs for separate categories of immovable property taxpayers. Such binding regulations shall come into force in accordance with the procedures determined by the law On Local Governments.</w:t>
      </w:r>
    </w:p>
    <w:p w14:paraId="6D9040F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1</w:t>
      </w:r>
      <w:r w:rsidRPr="004A0F4D">
        <w:rPr>
          <w:rFonts w:ascii="Times New Roman" w:hAnsi="Times New Roman"/>
          <w:noProof/>
          <w:sz w:val="24"/>
          <w:lang w:val="en-US"/>
        </w:rPr>
        <w:t>) The conformity of the immovable property and person with the criteria referred to in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Section shall be determined with the intermediation of the State information systems integrator, on the basis of the data registered in the relevant State information systems at 24:00 hours on 1 January of the taxation year. The necessary data for the application of the relief referred to in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Section shall be transferred to local governments with the intermediation of the State information systems integrator until the fourth working day of the taxation year.</w:t>
      </w:r>
    </w:p>
    <w:p w14:paraId="521A708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2</w:t>
      </w:r>
      <w:r w:rsidRPr="004A0F4D">
        <w:rPr>
          <w:rFonts w:ascii="Times New Roman" w:hAnsi="Times New Roman"/>
          <w:noProof/>
          <w:sz w:val="24"/>
          <w:lang w:val="en-US"/>
        </w:rPr>
        <w:t>) The Cabinet shall determine the institution responsible for ensuring the operation of the State information systems integrator referred to in Paragraph 3.</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Section, the procedures for combining data and the institutions which shall ensure the provision of information for granting the reliefs specified in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Section, as well as the amount of information to be provided, the procedures of circulation and processing thereof.</w:t>
      </w:r>
    </w:p>
    <w:p w14:paraId="5B5C72B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 xml:space="preserve">(4) The local government may determine tax reliefs equal to 90, 70, 50, or 25 per cent of the amount of immovable property tax for certain categories of immovable property taxpayers. For the categories of taxpayers which qualify as economic operators, local governments may grant tax reliefs in the form of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in compliance with the conditions of Commission Regulation (EU) No 1407/2013 of 18 December 2013 on the application of Articles 107 and 108 of the Treaty on the Functioning of the European Union to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(Text with EEA relevance) (Official Journal of the European Union, 24 December 2013, No. L352/1), Commission Regulation (EU) No 1408/2013 of 18 December 2013 on the application of Articles 107 and 108 of the Treaty on the Functioning of the European Union to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in the agriculture sector (Official Journal of the European Union, 24 December 2013, </w:t>
      </w:r>
      <w:r w:rsidRPr="004A0F4D">
        <w:rPr>
          <w:rFonts w:ascii="Times New Roman" w:hAnsi="Times New Roman"/>
          <w:noProof/>
          <w:sz w:val="24"/>
          <w:lang w:val="en-US"/>
        </w:rPr>
        <w:lastRenderedPageBreak/>
        <w:t xml:space="preserve">No. L352), and Commission Regulation (EU) No 717/2014 of 27 June 2014 on the application of Articles 107 and 108 of the Treaty on the Functioning of the European Union to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in the fishery and aquaculture sector (Official Journal of the European Union, 28 June 2014, No. L190). If the amount of </w:t>
      </w:r>
      <w:r w:rsidRPr="004A0F4D">
        <w:rPr>
          <w:rFonts w:ascii="Times New Roman" w:hAnsi="Times New Roman"/>
          <w:i/>
          <w:iCs/>
          <w:noProof/>
          <w:sz w:val="24"/>
          <w:lang w:val="en-US"/>
        </w:rPr>
        <w:t xml:space="preserve">de minimis </w:t>
      </w:r>
      <w:r w:rsidRPr="004A0F4D">
        <w:rPr>
          <w:rFonts w:ascii="Times New Roman" w:hAnsi="Times New Roman"/>
          <w:noProof/>
          <w:sz w:val="24"/>
          <w:lang w:val="en-US"/>
        </w:rPr>
        <w:t xml:space="preserve">aid laid down in the abovementioned Regulations is exceeded, the local government must receive the decision from the European Commission on the conformity of the </w:t>
      </w:r>
      <w:r w:rsidRPr="004A0F4D">
        <w:rPr>
          <w:rFonts w:ascii="Times New Roman" w:hAnsi="Times New Roman"/>
          <w:i/>
          <w:iCs/>
          <w:noProof/>
          <w:sz w:val="24"/>
          <w:lang w:val="en-US"/>
        </w:rPr>
        <w:t xml:space="preserve">ad-hoc </w:t>
      </w:r>
      <w:r w:rsidRPr="004A0F4D">
        <w:rPr>
          <w:rFonts w:ascii="Times New Roman" w:hAnsi="Times New Roman"/>
          <w:noProof/>
          <w:sz w:val="24"/>
          <w:lang w:val="en-US"/>
        </w:rPr>
        <w:t>aid project with the Treaty on the Functioning of the European Union prior to the granting of tax reliefs.</w:t>
      </w:r>
    </w:p>
    <w:p w14:paraId="04A9B7BE"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Such tax reliefs as have been granted to immovable property taxpayers by a local government pursuant to the provisions of this Law shall not be taken into account when determining the forecast of immovable property tax which is used for the calculation of the local government payments into the finances equalisation fund and the payments therefrom.</w:t>
      </w:r>
    </w:p>
    <w:p w14:paraId="7DFA9EA7"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 [25 November 1999]</w:t>
      </w:r>
    </w:p>
    <w:p w14:paraId="12A57A6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21 October 1998; 21 January 1999; 25 November 1999; 23 November 2000; 20 June 2003; 20 October 2005; 8 November 2007; 1 December 2009; 20 December 2010; 15 November 2012; 19 September 2013; 6 November 2013; 6 March 2014; 30 November 2015; 6 April 2017; 22 September 2022</w:t>
      </w:r>
      <w:r w:rsidRPr="004A0F4D">
        <w:rPr>
          <w:rFonts w:ascii="Times New Roman" w:hAnsi="Times New Roman"/>
          <w:noProof/>
          <w:sz w:val="24"/>
          <w:lang w:val="en-US"/>
        </w:rPr>
        <w:t>]</w:t>
      </w:r>
    </w:p>
    <w:p w14:paraId="7156C14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628562"/>
      <w:bookmarkEnd w:id="12"/>
      <w:bookmarkEnd w:id="13"/>
    </w:p>
    <w:p w14:paraId="2841892D"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6. Procedures for Payment of Immovable Property Tax</w:t>
      </w:r>
    </w:p>
    <w:p w14:paraId="753848C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4DEF4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Local governments shall notify the taxpayer or the authorised person thereof of the amount of immovable property tax for the current taxation year by 15 February of the respective year by sending a payment notice to them or to their authorised person at the address indicated. The time period for sending out tax payment notices for unfarmed agricultural land is 15 February of the subsequent taxation year.</w:t>
      </w:r>
    </w:p>
    <w:p w14:paraId="47E1A57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A payment notice regarding immovable property tax is an administrative act. When sending the payment notice by post it is not necessary to formalise it as a registered postal item.</w:t>
      </w:r>
    </w:p>
    <w:p w14:paraId="3695162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2</w:t>
      </w:r>
      <w:r w:rsidRPr="004A0F4D">
        <w:rPr>
          <w:rFonts w:ascii="Times New Roman" w:hAnsi="Times New Roman"/>
          <w:noProof/>
          <w:sz w:val="24"/>
          <w:lang w:val="en-US"/>
        </w:rPr>
        <w:t>) Disputing of the administrative act referred to in Paragraph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Section shall not suspend the operation thereof.</w:t>
      </w:r>
    </w:p>
    <w:p w14:paraId="107EB24E"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3</w:t>
      </w:r>
      <w:r w:rsidRPr="004A0F4D">
        <w:rPr>
          <w:rFonts w:ascii="Times New Roman" w:hAnsi="Times New Roman"/>
          <w:noProof/>
          <w:sz w:val="24"/>
          <w:lang w:val="en-US"/>
        </w:rPr>
        <w:t>) The signature of an official of the tax administration shall not be required on a payment notice, if it has been prepared electronically. In such case it must bear the remark: “The payment notice is prepared electronically and is valid without a signature”.</w:t>
      </w:r>
    </w:p>
    <w:p w14:paraId="678B044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4</w:t>
      </w:r>
      <w:r w:rsidRPr="004A0F4D">
        <w:rPr>
          <w:rFonts w:ascii="Times New Roman" w:hAnsi="Times New Roman"/>
          <w:noProof/>
          <w:sz w:val="24"/>
          <w:lang w:val="en-US"/>
        </w:rPr>
        <w:t>) If a taxpayer has not declared his or her place of residence in accordance with the procedures determined by law and has not notified an address to the tax administration, where he or she may be reached, as well has not informed the tax administration within the time period referred to in Paragraph two of this Section, that he or she has not received the payment notice, the payment notice shall not be sent, but the tax calculation shall enter into effect on 22 March of the current taxation year.</w:t>
      </w:r>
    </w:p>
    <w:p w14:paraId="5B30A6A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5</w:t>
      </w:r>
      <w:r w:rsidRPr="004A0F4D">
        <w:rPr>
          <w:rFonts w:ascii="Times New Roman" w:hAnsi="Times New Roman"/>
          <w:noProof/>
          <w:sz w:val="24"/>
          <w:lang w:val="en-US"/>
        </w:rPr>
        <w:t>) The payment notice which has been issued in accordance with Section 2, Paragraph 6.</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shall be notified by sending it to the sworn bailiff who executes the confiscation of the immovable property indicated in the executive document in accordance with the procedures laid down in the Law on Execution of Confiscation of Criminally Acquired Property.</w:t>
      </w:r>
    </w:p>
    <w:p w14:paraId="74766D1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6</w:t>
      </w:r>
      <w:r w:rsidRPr="004A0F4D">
        <w:rPr>
          <w:rFonts w:ascii="Times New Roman" w:hAnsi="Times New Roman"/>
          <w:noProof/>
          <w:sz w:val="24"/>
          <w:lang w:val="en-US"/>
        </w:rPr>
        <w:t>) If a taxpayer has not declared the place of residence in accordance with the procedures laid down in the law and has not notified the tax administration of the address where he or she may be reached, the local government shall post the notification of administrative acts in relation to the immovable property tax which have been issued after 15 February of the taxation year on its website by indicating the place where the taxpayer may become acquainted with it.</w:t>
      </w:r>
    </w:p>
    <w:p w14:paraId="7E4336E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If the immovable property taxpayer or the authorised person thereof has not received a payment notice by 15 February of the current taxation year, they have an obligation to inform the local government that collects the tax thereof in writing within one month.</w:t>
      </w:r>
    </w:p>
    <w:p w14:paraId="739E6DB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Immovable property tax shall be paid once in each quarter – not later than on 31 March, 15 May, 15 August and 15 November – in the amount of one quarter of the yearly tax sum. The tax may also be paid once a year by advance payment.</w:t>
      </w:r>
    </w:p>
    <w:p w14:paraId="1FE42D66"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(4) [6 November 2013]</w:t>
      </w:r>
    </w:p>
    <w:p w14:paraId="0FAE57C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If the immovable property taxpayer authorises another person for making payments of immovable property tax for an immovable property belonging to or under the jurisdiction of the State, then the immovable property taxpayer shall notify the local government, in the administrative territory of which the immovable property is located, thereof by a written submission.</w:t>
      </w:r>
    </w:p>
    <w:p w14:paraId="2E6A503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 If the immovable property taxpayer has authorised another person for making payments of immovable property tax for an immovable property belonging to or under the jurisdiction of the State and has informed the local government thereof, the local government shall inform the taxpayer in case of an emerging debt in due time (within a month since the emerging of the debt).</w:t>
      </w:r>
    </w:p>
    <w:p w14:paraId="3F93856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21 October 1998; 22 November 2001; 20 October 2005; 8 November 2007; 1 December 2009; 17 June 2010; 20 December 2010; 15 December 2011; 6 November 2013; 22 June 2017</w:t>
      </w:r>
      <w:r w:rsidRPr="004A0F4D">
        <w:rPr>
          <w:rFonts w:ascii="Times New Roman" w:hAnsi="Times New Roman"/>
          <w:noProof/>
          <w:sz w:val="24"/>
          <w:lang w:val="en-US"/>
        </w:rPr>
        <w:t>]</w:t>
      </w:r>
    </w:p>
    <w:p w14:paraId="19708D5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1138562"/>
      <w:bookmarkEnd w:id="14"/>
      <w:bookmarkEnd w:id="15"/>
    </w:p>
    <w:p w14:paraId="0DEB17CD" w14:textId="77777777" w:rsidR="004A0F4D" w:rsidRPr="004A0F4D" w:rsidRDefault="004A0F4D" w:rsidP="004A0F4D">
      <w:pPr>
        <w:shd w:val="clear" w:color="auto" w:fill="FFFFFF"/>
        <w:spacing w:after="0" w:line="240" w:lineRule="auto"/>
        <w:ind w:left="1418" w:hanging="1418"/>
        <w:jc w:val="both"/>
        <w:rPr>
          <w:rFonts w:ascii="Times New Roman" w:hAnsi="Times New Roman"/>
          <w:b/>
          <w:noProof/>
          <w:sz w:val="24"/>
          <w:lang w:val="en-US"/>
        </w:rPr>
      </w:pPr>
      <w:r w:rsidRPr="004A0F4D">
        <w:rPr>
          <w:rFonts w:ascii="Times New Roman" w:hAnsi="Times New Roman"/>
          <w:b/>
          <w:noProof/>
          <w:sz w:val="24"/>
          <w:lang w:val="en-US"/>
        </w:rPr>
        <w:t>Section 7. Creation and Termination of the Obligation to Pay the Immovable Property Tax</w:t>
      </w:r>
    </w:p>
    <w:p w14:paraId="0EFCDB1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E672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Immovable property tax shall begin to be paid in the next taxation year following the creation of ownership rights or possession rights, except for the following cases:</w:t>
      </w:r>
    </w:p>
    <w:p w14:paraId="47786D4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if the property is alienated through insolvency procedures or directing recovery against the immovable property, the acquirer of the ownership rights of the immovable property shall pay the immovable property tax commencing with the following month after the coming into effect of the court ruling by which the auction of the immovable property was approved;</w:t>
      </w:r>
    </w:p>
    <w:p w14:paraId="72043CE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if the taxpayer – legal person is reorganised, the successor to obligations shall pay immovable property tax commencing with the subsequent month, when the entry is made in the relevant register regarding the reorganisation of the legal person;</w:t>
      </w:r>
    </w:p>
    <w:p w14:paraId="27A0CE5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if property of the State or a local government is privatised or alienated, the acquirer of the ownership rights shall pay the immovable property tax commencing with the subsequent month after the ownership rights were acquired;</w:t>
      </w:r>
    </w:p>
    <w:p w14:paraId="5F18E5C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if the property of the State or local government is transferred for use or leased, the user or lessee shall pay the immovable property tax commencing with the subsequent month after the use or rental rights were created;</w:t>
      </w:r>
    </w:p>
    <w:p w14:paraId="5934CF86"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if rights have been terminated for the immovable property tax exemption determined in Section 1, Paragraph two of this Law, immovable property tax shall be paid commencing with the following month after these rights were terminated;</w:t>
      </w:r>
    </w:p>
    <w:p w14:paraId="5A0A30A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6) if a new immovable property tax object is registered in the National Real Estate Cadastre Information System, the immovable property tax for such object shall be paid commencing with the following month after its registration with the National Real Estate Cadastre Information System;</w:t>
      </w:r>
    </w:p>
    <w:p w14:paraId="53F962D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7) if the right of superficies expires in the taxation year concurrently with expiry of the term of the right of superficies registered in the Land Register, the immovable property tax for a building or engineering structure built on the basis of the right of superficies shall be paid by the owner of the plot of land transferred for building, starting from the subsequent month after expiry of the term of the right of superficies;</w:t>
      </w:r>
    </w:p>
    <w:p w14:paraId="21529D3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8) if a property is alienated upon executing a court ruling regarding confiscation of criminally acquired property for the State benefit, the acquirer of the ownership rights shall pay the immovable property tax starting from the subsequent month after the court ruling by which an auction act of immovable property, an act on keeping the immovable property after an auction that has not taken place, or an act on selling the immovable property without auction has been approved has entered into effect;</w:t>
      </w:r>
    </w:p>
    <w:p w14:paraId="7966142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lastRenderedPageBreak/>
        <w:t>9) if a property is alienated upon executing a court ruling on the confiscation of criminally acquired property by which it is decided to return the property according to the ownership to the owner or legal possessor, the acquirer of the ownership rights shall pay the immovable property tax starting from the subsequent month after a court ruling on confiscation of criminally acquired property has entered into effect;</w:t>
      </w:r>
    </w:p>
    <w:p w14:paraId="5C201FD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10) if the property is alienated in accordance with the Law on Termination of Compulsory Divided Property in Privatised Apartment Houses, the acquirer of the ownership rights shall pay the immovable property tax starting from the month following the month when the ownership rights to the land to be alienated were acquired.</w:t>
      </w:r>
    </w:p>
    <w:p w14:paraId="5771744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The court shall send a true copy of the decision to approve an auction act of the immovable property for the administration needs of the immovable property tax within five days from the day of entering into effect of such decision.</w:t>
      </w:r>
    </w:p>
    <w:p w14:paraId="3687DD4E"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A taxpayer has a duty to inform a local government in writing in the following cases:</w:t>
      </w:r>
    </w:p>
    <w:p w14:paraId="1541D4A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if the rights to the exemption from the immovable property tax determined in Section 1, Paragraph two of this Law are created or terminated – within one month from the day of creation or expiry of these rights;</w:t>
      </w:r>
    </w:p>
    <w:p w14:paraId="1988B470"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if use or rental rights to State or local government property has been acquired – within one month from the day of acquisition of the possession rights; and</w:t>
      </w:r>
    </w:p>
    <w:p w14:paraId="2C7EDA0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if legal possession of immovable property is acquired – within one month from the day of creation of the rights to legal possession.</w:t>
      </w:r>
    </w:p>
    <w:p w14:paraId="197EC78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[20 December 2010]</w:t>
      </w:r>
    </w:p>
    <w:p w14:paraId="2FB9A4D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2</w:t>
      </w:r>
      <w:r w:rsidRPr="004A0F4D">
        <w:rPr>
          <w:rFonts w:ascii="Times New Roman" w:hAnsi="Times New Roman"/>
          <w:noProof/>
          <w:sz w:val="24"/>
          <w:lang w:val="en-US"/>
        </w:rPr>
        <w:t>) [20 December 2010]</w:t>
      </w:r>
    </w:p>
    <w:p w14:paraId="7FF4BBC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The duty to pay immovable property tax shall cease to be paid in the next taxation year following the termination of ownership rights or possession rights, except for the following cases:</w:t>
      </w:r>
    </w:p>
    <w:p w14:paraId="6AD53AB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if the immovable property is alienated or donated to the State or a local government, the obligation to pay the immovable property tax shall be terminated with the following month after the corroboration of ownership rights in the Land Register in the name of the State or local government;</w:t>
      </w:r>
    </w:p>
    <w:p w14:paraId="113AE5A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if the property is alienated through insolvency procedures or directing the recovery against the immovable property, the obligation of the previous owner to pay the immovable property tax expires with the month following the day when the court ruling comes into effect by which the an auction of the immovable property was approved;</w:t>
      </w:r>
    </w:p>
    <w:p w14:paraId="1B885FA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obligation to pay the immovable property tax expires with the subsequent month after the use or rental rights of the immovable property of the State local government have expired;</w:t>
      </w:r>
    </w:p>
    <w:p w14:paraId="59C96CEB"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the obligation to pay the immovable property tax expires with the subsequent month after the rights to the to the exemption from the immovable property tax determined in Section 1, Paragraph two of this Law come into effect;</w:t>
      </w:r>
    </w:p>
    <w:p w14:paraId="1F644D8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the obligation to pay the immovable property tax expires with the subsequent month after an entry regarding the relevant immovable property tax object is excluded from the National Real Estate Cadastre Information System;</w:t>
      </w:r>
    </w:p>
    <w:p w14:paraId="65FE61C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6) the obligation to pay the immovable property tax for a superficiary terminates with the subsequent month after expiry of the term of the right of superficies registered in the Land Register;</w:t>
      </w:r>
    </w:p>
    <w:p w14:paraId="6AF9B1D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7) the obligation to pay the immovable property tax expires with the subsequent month after a court ruling on the confiscation of criminally acquired property has entered into effect;</w:t>
      </w:r>
    </w:p>
    <w:p w14:paraId="08282E7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8) if the property is alienated in accordance with the Law on Termination of Compulsory Divided Property in Privatised Apartment Houses, the obligation to pay immovable property tax shall cease from the month following the termination of ownership rights.</w:t>
      </w:r>
    </w:p>
    <w:p w14:paraId="088B6F4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(4) If the sports base obtains the status of a national sports base within the time period from 1 January until 30 June, the exemption from the immovable property tax shall be applied starting with the next taxation year.</w:t>
      </w:r>
    </w:p>
    <w:p w14:paraId="6838239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If the sports base obtains the status of a national sports base within the time period from 1 July until 31 December, the exemption from the immovable property tax shall be applied starting from the taxation year subsequent to the next taxation year.</w:t>
      </w:r>
    </w:p>
    <w:p w14:paraId="4CBB732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 If the sports base loses the status of a national sports base, the obligation to pay the immovable property tax shall arise starting from the next calendar month after the loosing of this status. In such case the immovable property taxpayer has the obligation to apply to the local government in whose administrative territory the immovable property or a part thereof is located within one month from the day when the sports base has lost the status of a national sports base.</w:t>
      </w:r>
    </w:p>
    <w:p w14:paraId="4E3CE08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 8 November 2007; 1 December 2009; 20 December 2010; 15 December 2011; 6 November 2013; 22 December 2016; 22 June 2017; 22 September 2022</w:t>
      </w:r>
      <w:r w:rsidRPr="004A0F4D">
        <w:rPr>
          <w:rFonts w:ascii="Times New Roman" w:hAnsi="Times New Roman"/>
          <w:noProof/>
          <w:sz w:val="24"/>
          <w:lang w:val="en-US"/>
        </w:rPr>
        <w:t>]</w:t>
      </w:r>
    </w:p>
    <w:p w14:paraId="107E7A9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8"/>
      <w:bookmarkStart w:id="17" w:name="p-416741"/>
      <w:bookmarkEnd w:id="16"/>
      <w:bookmarkEnd w:id="17"/>
    </w:p>
    <w:p w14:paraId="5F3149F1"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8. Procedures for the Collection of the Immovable Property Tax</w:t>
      </w:r>
    </w:p>
    <w:p w14:paraId="00EE9C0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E3E36C"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Immovable property tax shall be paid into the budget of the local government of the city or municipality in whose administrative territory the immovable property or part thereof is located.</w:t>
      </w:r>
    </w:p>
    <w:p w14:paraId="2D98994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[21 October 1998]</w:t>
      </w:r>
    </w:p>
    <w:p w14:paraId="523C0A9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If a person has ownership or possession of more than one immovable property, immovable property tax shall be calculated and paid separately for each immovable property into the budget of the local government of the city or municipality, in whose administrative territory the immovable property or part thereof is located.</w:t>
      </w:r>
    </w:p>
    <w:p w14:paraId="646EEA4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The State Revenue Service shall ensure control over the appropriate application of this Law.</w:t>
      </w:r>
    </w:p>
    <w:p w14:paraId="0E1E216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When adopting binding regulations, a local government may, after having evaluated social situation and solvency of the taxpayer, take a decision to postpone the tax payments in respect of the object referred to in Section 3, Paragraph one, Clause 2 of this Law, where the person has declared his or her place of residence, and land adjacent thereto until transfer of property rights of the immovable property to other person.</w:t>
      </w:r>
    </w:p>
    <w:p w14:paraId="34F31E3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 xml:space="preserve">13 November 1997; 21 October 1998; 8 November 2007; 29 January 2009; 15 December 2011 </w:t>
      </w:r>
      <w:r w:rsidRPr="004A0F4D">
        <w:rPr>
          <w:rFonts w:ascii="Times New Roman" w:hAnsi="Times New Roman"/>
          <w:noProof/>
          <w:sz w:val="24"/>
          <w:lang w:val="en-US"/>
        </w:rPr>
        <w:t>/ </w:t>
      </w:r>
      <w:r w:rsidRPr="004A0F4D">
        <w:rPr>
          <w:rFonts w:ascii="Times New Roman" w:hAnsi="Times New Roman"/>
          <w:i/>
          <w:iCs/>
          <w:noProof/>
          <w:sz w:val="24"/>
          <w:lang w:val="en-US"/>
        </w:rPr>
        <w:t>Paragraph five shall come into force form 1 January 2013. See Paragraph 44 of Transitional Provisions</w:t>
      </w:r>
      <w:r w:rsidRPr="004A0F4D">
        <w:rPr>
          <w:rFonts w:ascii="Times New Roman" w:hAnsi="Times New Roman"/>
          <w:noProof/>
          <w:sz w:val="24"/>
          <w:lang w:val="en-US"/>
        </w:rPr>
        <w:t>]</w:t>
      </w:r>
    </w:p>
    <w:p w14:paraId="6DDB029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9"/>
      <w:bookmarkStart w:id="19" w:name="p-1138563"/>
      <w:bookmarkEnd w:id="18"/>
      <w:bookmarkEnd w:id="19"/>
    </w:p>
    <w:p w14:paraId="06002AB0"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9. Liability of the Immovable Property Taxpayers</w:t>
      </w:r>
    </w:p>
    <w:p w14:paraId="4F7259E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F00D6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An immovable property taxpayer shall be liable, in accordance with this Law, for full payment of the tax within the time determined.</w:t>
      </w:r>
    </w:p>
    <w:p w14:paraId="443FB08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An immovable property taxpayer – legal person – has a duty to notify its electronic mail address to the local government within a month from the time of occurrence of the duty to pay immovable property tax for subsequent communication with the tax administration.</w:t>
      </w:r>
    </w:p>
    <w:p w14:paraId="5A6482E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 xml:space="preserve">(2) A tax not paid within the time determined, fine and late fee shall be collected, in accordance with a decision of the local government on an uncontested basis in compliance with the law On Taxes and Fees and the compulsory execution procedures of the administrative act determined by the Administrative Procedure Law. A local government, when issuing binding regulations, has the right to determine a time period for compulsory execution of the tax payment notification, which shall not exceed seven years from the moment the tax payment term creation. Limitation period for a compulsory execution shall be suspended in the cases determined by the law On Taxes and Fees and in the case of a compulsory land lease, if the lessee has brought an action to court regarding the collection of the compensation for the </w:t>
      </w:r>
      <w:r w:rsidRPr="004A0F4D">
        <w:rPr>
          <w:rFonts w:ascii="Times New Roman" w:hAnsi="Times New Roman"/>
          <w:noProof/>
          <w:sz w:val="24"/>
          <w:lang w:val="en-US"/>
        </w:rPr>
        <w:lastRenderedPageBreak/>
        <w:t>immovable property tax for the time period up to the moment that the court judgment comes into effect.</w:t>
      </w:r>
    </w:p>
    <w:p w14:paraId="5CFF0A3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A warning regarding existence of an immovable property tax debt shall discontinue the limitation period for compulsory execution.</w:t>
      </w:r>
    </w:p>
    <w:p w14:paraId="3F38F86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If the property is alienated or gifted, the change of the owner may be registered in the Land Register after the principal debt of the tax, fines and late fees have been paid, as well as the tax payment has been paid for the taxation year, in which the change of owners occurred, and the Land Register Office has ascertained thereto with the on-line data transmission regime.</w:t>
      </w:r>
    </w:p>
    <w:p w14:paraId="079ED91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w:t>
      </w:r>
      <w:r w:rsidRPr="004A0F4D">
        <w:rPr>
          <w:rFonts w:ascii="Times New Roman" w:hAnsi="Times New Roman"/>
          <w:noProof/>
          <w:sz w:val="24"/>
          <w:vertAlign w:val="superscript"/>
          <w:lang w:val="en-US"/>
        </w:rPr>
        <w:t>1</w:t>
      </w:r>
      <w:r w:rsidRPr="004A0F4D">
        <w:rPr>
          <w:rFonts w:ascii="Times New Roman" w:hAnsi="Times New Roman"/>
          <w:noProof/>
          <w:sz w:val="24"/>
          <w:lang w:val="en-US"/>
        </w:rPr>
        <w:t>) If the right of superficies entered in the Land Register is alienated or given as a gift or the right of superficies is terminated upon mutual agreement of the owner of the plot of land transferred for building and the superficiary, the change of the superficiary in the Land Register may be registered after the principal tax debt, fine and late interest payment has been paid, as well as tax payment for the taxation year in which the right of superficies is alienated or given as a gift, or the right of superficies is terminated upon mutual agreement, has been made and the Land Registry Office has ascertained it in online data transfer mode.</w:t>
      </w:r>
    </w:p>
    <w:p w14:paraId="73FA43D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Paragraph three of this Section shall not be applied:</w:t>
      </w:r>
    </w:p>
    <w:p w14:paraId="630A0AD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if the property is alienated upon carrying out insolvency proceedings or executing a court ruling on the confiscation of criminally acquired property;</w:t>
      </w:r>
    </w:p>
    <w:p w14:paraId="134FA61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in cases when the tax administration carries out recovery on an uncontested basis in accordance with the law On Taxes and Fees;</w:t>
      </w:r>
    </w:p>
    <w:p w14:paraId="71A47A9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if the right of superficies terminates with the expiry of the term of the right of superficies registered in the Land Register;</w:t>
      </w:r>
    </w:p>
    <w:p w14:paraId="4E005E8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if the land is alienated in accordance with the Law on Termination of Compulsory Divided Property in Privatised Apartment Houses;</w:t>
      </w:r>
    </w:p>
    <w:p w14:paraId="7F365EB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if the property is alienated in accordance with the procedures laid down in the Law on the Alienation of Immovable Property Necessary for Public Needs.</w:t>
      </w:r>
    </w:p>
    <w:p w14:paraId="63DD7DB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An amount of immovable property tax, which is payable for the period from the day of the creation of the obligation to pay the immovable property tax, and a fine in the amount of 30 per cent of the amount of tax shall be collected from a taxpayer for not notifying the local government in accordance with Section 7, Paragraph two of this Law.</w:t>
      </w:r>
    </w:p>
    <w:p w14:paraId="432D5F8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 23 November 2000; 20 October 2005; 8 November 2007; 1 December 2009; 20 December 2010; 15 December 2011; 6 November 2013; 22 December 2016; 22 June 2017; 22 September 2022</w:t>
      </w:r>
      <w:r w:rsidRPr="004A0F4D">
        <w:rPr>
          <w:rFonts w:ascii="Times New Roman" w:hAnsi="Times New Roman"/>
          <w:noProof/>
          <w:sz w:val="24"/>
          <w:lang w:val="en-US"/>
        </w:rPr>
        <w:t>]</w:t>
      </w:r>
    </w:p>
    <w:p w14:paraId="3EB77E4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_1"/>
      <w:bookmarkStart w:id="21" w:name="p-496566"/>
      <w:bookmarkEnd w:id="20"/>
      <w:bookmarkEnd w:id="21"/>
    </w:p>
    <w:p w14:paraId="20749D19" w14:textId="77777777" w:rsidR="004A0F4D" w:rsidRPr="004A0F4D" w:rsidRDefault="004A0F4D" w:rsidP="004A0F4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A0F4D">
        <w:rPr>
          <w:rFonts w:ascii="Times New Roman" w:hAnsi="Times New Roman"/>
          <w:b/>
          <w:noProof/>
          <w:sz w:val="24"/>
          <w:lang w:val="en-US"/>
        </w:rPr>
        <w:t>Section 9.</w:t>
      </w:r>
      <w:r w:rsidRPr="004A0F4D">
        <w:rPr>
          <w:rFonts w:ascii="Times New Roman" w:hAnsi="Times New Roman"/>
          <w:b/>
          <w:noProof/>
          <w:sz w:val="24"/>
          <w:vertAlign w:val="superscript"/>
          <w:lang w:val="en-US"/>
        </w:rPr>
        <w:t xml:space="preserve">1 </w:t>
      </w:r>
      <w:r w:rsidRPr="004A0F4D">
        <w:rPr>
          <w:rFonts w:ascii="Times New Roman" w:hAnsi="Times New Roman"/>
          <w:b/>
          <w:noProof/>
          <w:sz w:val="24"/>
          <w:lang w:val="en-US"/>
        </w:rPr>
        <w:t>Warning and Decision on the Recovery of Late Immovable Property Tax Payment and Act Regarding Impossibility of Recovery</w:t>
      </w:r>
    </w:p>
    <w:p w14:paraId="34BB951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B542286"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Signature of an official is not necessary on a warning regarding compulsory execution of an administrative act and a decision to recover late tax payments, if it is prepared electronically. In such case the warning regarding compulsory execution of an administrative act and the decision to recover late tax payments must contain a note “Document has been prepared electronically and is valid without signature”.</w:t>
      </w:r>
    </w:p>
    <w:p w14:paraId="05BD2FD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Upon sending documents related to the recovery of immovable property tax (a warning regarding the compulsory execution of an administrative act and a decision to recover late tax payments) by post, they need not be processed as registered postal items.</w:t>
      </w:r>
    </w:p>
    <w:p w14:paraId="45E2328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If a taxpayer has not declared his or her place of residence, the local government shall post a notification on decisions taken, which are related to recovery of immovable property tax (a warning regarding compulsory execution of an administrative act and a decision to recover late tax payments), on its website, indicating the place and time period in which the taxpayer may become acquainted with them.</w:t>
      </w:r>
    </w:p>
    <w:p w14:paraId="11B99846"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(4) The local government need not to perform recovery proceedings, if the debtor does not have property or income to which recovery could be directed. In such case the local government shall draw up an act on the impossibility of recovery, indicating therein the justification due to which recovery is not possible.</w:t>
      </w:r>
    </w:p>
    <w:p w14:paraId="18137B7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3E753DE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628565"/>
      <w:bookmarkEnd w:id="22"/>
      <w:bookmarkEnd w:id="23"/>
    </w:p>
    <w:p w14:paraId="32D3C7EA"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10. Procedures for Contesting the Immovable Property Tax Calculation</w:t>
      </w:r>
    </w:p>
    <w:p w14:paraId="01A93A6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32EF9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An official of a local government who in conformity with laws and regulations, performs the functions of tax administration has a duty to review the correctness of the immovable property tax amount specified in the payment notice regarding immovable property tax upon the written request of a taxpayer. If the written request of the taxpayer or other request which is related to the immovable property tax calculated or to be calculated or recovery of a debt of the immovable property tax, has been submitted using the State administration services portal www.latvija.lv, such request shall be of legal effect also if it does not include the detail “signature”.</w:t>
      </w:r>
    </w:p>
    <w:p w14:paraId="411F4496"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If an error is discovered during the review of the tax calculation (or in the calculation of late charges), the official of the local government shall issue a rectified payment notice regarding the immovable property tax to the taxpayer. In case of rejection of the taxpayer’s request, a reasoned written refusal shall be issued.</w:t>
      </w:r>
    </w:p>
    <w:p w14:paraId="6796F8A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If a taxpayer does not agree with the result of the review of the amount of tax to be paid, the taxpayer may contest it to the Chair of the relevant local government city council.</w:t>
      </w:r>
    </w:p>
    <w:p w14:paraId="25CEB19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 8 November 2007; 29 January 2009; 1 December 2009; 22 June 2017</w:t>
      </w:r>
      <w:r w:rsidRPr="004A0F4D">
        <w:rPr>
          <w:rFonts w:ascii="Times New Roman" w:hAnsi="Times New Roman"/>
          <w:noProof/>
          <w:sz w:val="24"/>
          <w:lang w:val="en-US"/>
        </w:rPr>
        <w:t>]</w:t>
      </w:r>
    </w:p>
    <w:p w14:paraId="057F657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
      <w:bookmarkStart w:id="25" w:name="p-32014"/>
      <w:bookmarkEnd w:id="24"/>
      <w:bookmarkEnd w:id="25"/>
    </w:p>
    <w:p w14:paraId="036452E3"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11. Procedures for Financing the Cadastral Evaluation of Immovable Property</w:t>
      </w:r>
    </w:p>
    <w:p w14:paraId="3ACC7AF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[21 October 1998]</w:t>
      </w:r>
    </w:p>
    <w:p w14:paraId="5196784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2"/>
      <w:bookmarkStart w:id="27" w:name="p-416743"/>
      <w:bookmarkEnd w:id="26"/>
      <w:bookmarkEnd w:id="27"/>
    </w:p>
    <w:p w14:paraId="14900845" w14:textId="77777777" w:rsidR="004A0F4D" w:rsidRPr="004A0F4D" w:rsidRDefault="004A0F4D" w:rsidP="004A0F4D">
      <w:pPr>
        <w:shd w:val="clear" w:color="auto" w:fill="FFFFFF"/>
        <w:spacing w:after="0" w:line="240" w:lineRule="auto"/>
        <w:jc w:val="both"/>
        <w:rPr>
          <w:rFonts w:ascii="Times New Roman" w:hAnsi="Times New Roman"/>
          <w:b/>
          <w:noProof/>
          <w:sz w:val="24"/>
          <w:lang w:val="en-US"/>
        </w:rPr>
      </w:pPr>
      <w:r w:rsidRPr="004A0F4D">
        <w:rPr>
          <w:rFonts w:ascii="Times New Roman" w:hAnsi="Times New Roman"/>
          <w:b/>
          <w:noProof/>
          <w:sz w:val="24"/>
          <w:lang w:val="en-US"/>
        </w:rPr>
        <w:t>Section 12. Procedures for the Application of Individual Provisions of this Law</w:t>
      </w:r>
    </w:p>
    <w:p w14:paraId="7499EA7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C41E22"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In addition to the authorisations given to the Cabinet in this Law, the Cabinet shall approve the mandatory information that shall be included in the tax payment notice and shall determine the procedures for a taxable and non-taxable object, the specification of taxpayers and the submission of data to the State Land Service, as well as the procedures for the calculation and accounting of tax, tax payments and application of reliefs.</w:t>
      </w:r>
    </w:p>
    <w:p w14:paraId="31C4EEF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 15 December 2011</w:t>
      </w:r>
      <w:r w:rsidRPr="004A0F4D">
        <w:rPr>
          <w:rFonts w:ascii="Times New Roman" w:hAnsi="Times New Roman"/>
          <w:noProof/>
          <w:sz w:val="24"/>
          <w:lang w:val="en-US"/>
        </w:rPr>
        <w:t>]</w:t>
      </w:r>
    </w:p>
    <w:p w14:paraId="6B107A2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4670"/>
      <w:bookmarkEnd w:id="28"/>
    </w:p>
    <w:p w14:paraId="722B371B" w14:textId="77777777" w:rsidR="004A0F4D" w:rsidRPr="004A0F4D" w:rsidRDefault="004A0F4D" w:rsidP="004A0F4D">
      <w:pPr>
        <w:shd w:val="clear" w:color="auto" w:fill="FFFFFF"/>
        <w:spacing w:after="0" w:line="240" w:lineRule="auto"/>
        <w:jc w:val="center"/>
        <w:rPr>
          <w:rFonts w:ascii="Times New Roman" w:hAnsi="Times New Roman"/>
          <w:b/>
          <w:noProof/>
          <w:sz w:val="24"/>
          <w:lang w:val="en-US"/>
        </w:rPr>
      </w:pPr>
      <w:r w:rsidRPr="004A0F4D">
        <w:rPr>
          <w:rFonts w:ascii="Times New Roman" w:hAnsi="Times New Roman"/>
          <w:b/>
          <w:noProof/>
          <w:sz w:val="24"/>
          <w:lang w:val="en-US"/>
        </w:rPr>
        <w:t>Transitional Provisions</w:t>
      </w:r>
      <w:bookmarkStart w:id="29" w:name="pn-4670"/>
      <w:bookmarkEnd w:id="29"/>
    </w:p>
    <w:p w14:paraId="7EEDFA4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31999"/>
      <w:bookmarkEnd w:id="30"/>
    </w:p>
    <w:p w14:paraId="0AA725D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 [21 October 1998]</w:t>
      </w:r>
      <w:bookmarkStart w:id="31" w:name="pn1"/>
      <w:bookmarkEnd w:id="31"/>
    </w:p>
    <w:p w14:paraId="4962D3C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32000"/>
      <w:bookmarkEnd w:id="32"/>
    </w:p>
    <w:p w14:paraId="6F62BDF2"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 [21 October 1998]</w:t>
      </w:r>
      <w:bookmarkStart w:id="33" w:name="pn2"/>
      <w:bookmarkEnd w:id="33"/>
    </w:p>
    <w:p w14:paraId="3A1DF28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45794"/>
      <w:bookmarkEnd w:id="34"/>
    </w:p>
    <w:p w14:paraId="29ED6056"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 Until the completion of land reform, immovable property tax for land which is not, in accordance with Section 2 of this Law, in the ownership or legal possession of some person shall be paid by the user of the land, but if such does not exist – by the lessee, as well as persons to whom in the course land reform the land was transferred (granted) in ownership for payment or ownership rights were renewed to it, but has not yet been determined on site (surveyed) in conformity with the law On the Completion of Land Reform in Rural Areas.</w:t>
      </w:r>
      <w:bookmarkStart w:id="35" w:name="pn3"/>
      <w:bookmarkEnd w:id="35"/>
    </w:p>
    <w:p w14:paraId="1295876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w:t>
      </w:r>
      <w:r w:rsidRPr="004A0F4D">
        <w:rPr>
          <w:rFonts w:ascii="Times New Roman" w:hAnsi="Times New Roman"/>
          <w:noProof/>
          <w:sz w:val="24"/>
          <w:lang w:val="en-US"/>
        </w:rPr>
        <w:t>]</w:t>
      </w:r>
    </w:p>
    <w:p w14:paraId="0D7945A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318159"/>
      <w:bookmarkEnd w:id="36"/>
    </w:p>
    <w:p w14:paraId="0072D8F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lastRenderedPageBreak/>
        <w:t>3.</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The immovable property tax shall be paid by the user of the building for buildings, which in accordance with Section 2 of this Law is not in the ownership or lawful possession of a natural person.</w:t>
      </w:r>
      <w:bookmarkStart w:id="37" w:name="pn3_1"/>
      <w:bookmarkEnd w:id="37"/>
    </w:p>
    <w:p w14:paraId="50FA2A6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2839DE3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32028"/>
      <w:bookmarkEnd w:id="38"/>
    </w:p>
    <w:p w14:paraId="4F0E50F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 [23 November 2000]</w:t>
      </w:r>
      <w:bookmarkStart w:id="39" w:name="pn4"/>
      <w:bookmarkEnd w:id="39"/>
    </w:p>
    <w:p w14:paraId="73444ED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4675"/>
      <w:bookmarkEnd w:id="40"/>
    </w:p>
    <w:p w14:paraId="1E929DA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 With the coming into force of this Law, the following laws and regulations are repealed:</w:t>
      </w:r>
      <w:bookmarkStart w:id="41" w:name="pn5"/>
      <w:bookmarkEnd w:id="41"/>
    </w:p>
    <w:p w14:paraId="79B5CA1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law On Land Tax (</w:t>
      </w:r>
      <w:r w:rsidRPr="004A0F4D">
        <w:rPr>
          <w:rFonts w:ascii="Times New Roman" w:hAnsi="Times New Roman"/>
          <w:i/>
          <w:iCs/>
          <w:noProof/>
          <w:sz w:val="24"/>
          <w:lang w:val="en-US"/>
        </w:rPr>
        <w:t>Latvijas Republikas Augstākās Padomes un Valdības Ziņotājs</w:t>
      </w:r>
      <w:r w:rsidRPr="004A0F4D">
        <w:rPr>
          <w:rFonts w:ascii="Times New Roman" w:hAnsi="Times New Roman"/>
          <w:noProof/>
          <w:sz w:val="24"/>
          <w:lang w:val="en-US"/>
        </w:rPr>
        <w:t xml:space="preserve">, 1991, No. 11/12, 21/22, 23/24; 1992, No. 13/14; 1993, No. 20/21; </w:t>
      </w:r>
      <w:r w:rsidRPr="004A0F4D">
        <w:rPr>
          <w:rFonts w:ascii="Times New Roman" w:hAnsi="Times New Roman"/>
          <w:i/>
          <w:iCs/>
          <w:noProof/>
          <w:sz w:val="24"/>
          <w:lang w:val="en-US"/>
        </w:rPr>
        <w:t>Latvijas Republikas Saeimas un Ministru Kabineta Ziņotājs</w:t>
      </w:r>
      <w:r w:rsidRPr="004A0F4D">
        <w:rPr>
          <w:rFonts w:ascii="Times New Roman" w:hAnsi="Times New Roman"/>
          <w:noProof/>
          <w:sz w:val="24"/>
          <w:lang w:val="en-US"/>
        </w:rPr>
        <w:t>, 1995, No. 24; 1997, No. 3);</w:t>
      </w:r>
    </w:p>
    <w:p w14:paraId="4E1661F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Republic of Latvia Supreme Council resolution On the Procedures for the Coming into Force of the Republic of Latvia Law On Land Tax (</w:t>
      </w:r>
      <w:r w:rsidRPr="004A0F4D">
        <w:rPr>
          <w:rFonts w:ascii="Times New Roman" w:hAnsi="Times New Roman"/>
          <w:i/>
          <w:noProof/>
          <w:sz w:val="24"/>
          <w:lang w:val="en-US"/>
        </w:rPr>
        <w:t xml:space="preserve">Latvijas Republikas Augstākās Padomes un Valdības Ziņotājs </w:t>
      </w:r>
      <w:r w:rsidRPr="004A0F4D">
        <w:rPr>
          <w:rFonts w:ascii="Times New Roman" w:hAnsi="Times New Roman"/>
          <w:noProof/>
          <w:sz w:val="24"/>
          <w:lang w:val="en-US"/>
        </w:rPr>
        <w:t>1991, No. 11/12);</w:t>
      </w:r>
    </w:p>
    <w:p w14:paraId="4BBA298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Republic of Latvia Supreme Council resolution On the Procedures for the Coming into Force of the 17 March 1992 Law On Amendments and Supplements to the 20 December 1992 Law On Land Tax (</w:t>
      </w:r>
      <w:r w:rsidRPr="004A0F4D">
        <w:rPr>
          <w:rFonts w:ascii="Times New Roman" w:hAnsi="Times New Roman"/>
          <w:i/>
          <w:iCs/>
          <w:noProof/>
          <w:sz w:val="24"/>
          <w:lang w:val="en-US"/>
        </w:rPr>
        <w:t>Latvijas Republikas Augstākās Padomes un Valdības Ziņotājs</w:t>
      </w:r>
      <w:r w:rsidRPr="004A0F4D">
        <w:rPr>
          <w:rFonts w:ascii="Times New Roman" w:hAnsi="Times New Roman"/>
          <w:noProof/>
          <w:sz w:val="24"/>
          <w:lang w:val="en-US"/>
        </w:rPr>
        <w:t>, 1992, No. 15/16);</w:t>
      </w:r>
    </w:p>
    <w:p w14:paraId="3FD75112"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The Republic of Latvia Presidium of the Supreme Council resolution On the Application of Certain sections of the 20 December 1990 Republic of Latvia Law On Land Tax (</w:t>
      </w:r>
      <w:r w:rsidRPr="004A0F4D">
        <w:rPr>
          <w:rFonts w:ascii="Times New Roman" w:hAnsi="Times New Roman"/>
          <w:i/>
          <w:iCs/>
          <w:noProof/>
          <w:sz w:val="24"/>
          <w:lang w:val="en-US"/>
        </w:rPr>
        <w:t>Latvijas Republikas Augstākās Padomes un Valdības Ziņotājs</w:t>
      </w:r>
      <w:r w:rsidRPr="004A0F4D">
        <w:rPr>
          <w:rFonts w:ascii="Times New Roman" w:hAnsi="Times New Roman"/>
          <w:noProof/>
          <w:sz w:val="24"/>
          <w:lang w:val="en-US"/>
        </w:rPr>
        <w:t>, 1992, No. 46);</w:t>
      </w:r>
    </w:p>
    <w:p w14:paraId="424DE82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[13 November 1997];</w:t>
      </w:r>
    </w:p>
    <w:p w14:paraId="41CFADA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6) [13 November 1997];</w:t>
      </w:r>
    </w:p>
    <w:p w14:paraId="5745D42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7) [13 November 1997].</w:t>
      </w:r>
    </w:p>
    <w:p w14:paraId="2CE9D3D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13 November 1997</w:t>
      </w:r>
      <w:r w:rsidRPr="004A0F4D">
        <w:rPr>
          <w:rFonts w:ascii="Times New Roman" w:hAnsi="Times New Roman"/>
          <w:noProof/>
          <w:sz w:val="24"/>
          <w:lang w:val="en-US"/>
        </w:rPr>
        <w:t>]</w:t>
      </w:r>
    </w:p>
    <w:p w14:paraId="21716F0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32017"/>
      <w:bookmarkEnd w:id="42"/>
    </w:p>
    <w:p w14:paraId="17BCF35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 The following laws and regulations are repealed as of 1 January 2000:</w:t>
      </w:r>
      <w:bookmarkStart w:id="43" w:name="pn6"/>
      <w:bookmarkEnd w:id="43"/>
    </w:p>
    <w:p w14:paraId="46CF8F3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law On Property Tax (</w:t>
      </w:r>
      <w:r w:rsidRPr="004A0F4D">
        <w:rPr>
          <w:rFonts w:ascii="Times New Roman" w:hAnsi="Times New Roman"/>
          <w:i/>
          <w:iCs/>
          <w:noProof/>
          <w:sz w:val="24"/>
          <w:lang w:val="en-US"/>
        </w:rPr>
        <w:t>Latvijas Republikas Augstākās Padomes un Valdības Ziņotājs</w:t>
      </w:r>
      <w:r w:rsidRPr="004A0F4D">
        <w:rPr>
          <w:rFonts w:ascii="Times New Roman" w:hAnsi="Times New Roman"/>
          <w:noProof/>
          <w:sz w:val="24"/>
          <w:lang w:val="en-US"/>
        </w:rPr>
        <w:t xml:space="preserve">, 1991, No. 3/4, 35/36; 1992, No. 1; </w:t>
      </w:r>
      <w:r w:rsidRPr="004A0F4D">
        <w:rPr>
          <w:rFonts w:ascii="Times New Roman" w:hAnsi="Times New Roman"/>
          <w:i/>
          <w:iCs/>
          <w:noProof/>
          <w:sz w:val="24"/>
          <w:lang w:val="en-US"/>
        </w:rPr>
        <w:t>Latvijas Republikas Saeimas un Ministru Kabineta Ziņotājs</w:t>
      </w:r>
      <w:r w:rsidRPr="004A0F4D">
        <w:rPr>
          <w:rFonts w:ascii="Times New Roman" w:hAnsi="Times New Roman"/>
          <w:noProof/>
          <w:sz w:val="24"/>
          <w:lang w:val="en-US"/>
        </w:rPr>
        <w:t>, 1995, No. 9; 1997, No. 6);</w:t>
      </w:r>
    </w:p>
    <w:p w14:paraId="23B5350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Republic of Latvia Supreme Council resolution On the Procedures for the Coming into Force of the Republic of Latvia Law On Property Tax (</w:t>
      </w:r>
      <w:r w:rsidRPr="004A0F4D">
        <w:rPr>
          <w:rFonts w:ascii="Times New Roman" w:hAnsi="Times New Roman"/>
          <w:i/>
          <w:iCs/>
          <w:noProof/>
          <w:sz w:val="24"/>
          <w:lang w:val="en-US"/>
        </w:rPr>
        <w:t>Latvijas Republikas Augstākās Padomes un Valdības Ziņotājs</w:t>
      </w:r>
      <w:r w:rsidRPr="004A0F4D">
        <w:rPr>
          <w:rFonts w:ascii="Times New Roman" w:hAnsi="Times New Roman"/>
          <w:noProof/>
          <w:sz w:val="24"/>
          <w:lang w:val="en-US"/>
        </w:rPr>
        <w:t>, 1991, No. 3/4; 1992, No. 1);</w:t>
      </w:r>
    </w:p>
    <w:p w14:paraId="79C0FCE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Republic of Latvia Supreme Council resolution On the Coming into Force of the Republic of Latvia Law On Amendments to the 18 December 1990 Republic of Latvia Law On Property Tax (</w:t>
      </w:r>
      <w:r w:rsidRPr="004A0F4D">
        <w:rPr>
          <w:rFonts w:ascii="Times New Roman" w:hAnsi="Times New Roman"/>
          <w:i/>
          <w:iCs/>
          <w:noProof/>
          <w:sz w:val="24"/>
          <w:lang w:val="en-US"/>
        </w:rPr>
        <w:t>Latvijas Republikas Augstākās Padomes un Valdības Ziņotājs</w:t>
      </w:r>
      <w:r w:rsidRPr="004A0F4D">
        <w:rPr>
          <w:rFonts w:ascii="Times New Roman" w:hAnsi="Times New Roman"/>
          <w:noProof/>
          <w:sz w:val="24"/>
          <w:lang w:val="en-US"/>
        </w:rPr>
        <w:t>, 1992, No. 1).</w:t>
      </w:r>
    </w:p>
    <w:p w14:paraId="7BB3FBB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13 November 1997; 21 October 1998; 25 November 1999</w:t>
      </w:r>
      <w:r w:rsidRPr="004A0F4D">
        <w:rPr>
          <w:rFonts w:ascii="Times New Roman" w:hAnsi="Times New Roman"/>
          <w:noProof/>
          <w:sz w:val="24"/>
          <w:lang w:val="en-US"/>
        </w:rPr>
        <w:t>]</w:t>
      </w:r>
    </w:p>
    <w:p w14:paraId="42CBAF3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32018"/>
      <w:bookmarkEnd w:id="44"/>
    </w:p>
    <w:p w14:paraId="1B0D727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7. Recalculation of the immovable property tax for the year 1999, repayment of overpaid amounts of tax to taxpayers or collection of additionally calculated amounts from them for this year, collection of the debts on property tax, increase of basic debt and late charges and other functions related to debt administration, as well as review of the tax in accordance with Section 16, Clause 6 and Section 23 of the law On Taxes and Fees shall be performed by the State Revenue Service in conformity with the law On Property Tax.</w:t>
      </w:r>
      <w:bookmarkStart w:id="45" w:name="pn7"/>
      <w:bookmarkEnd w:id="45"/>
    </w:p>
    <w:p w14:paraId="6DED6D3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w:t>
      </w:r>
      <w:r w:rsidRPr="004A0F4D">
        <w:rPr>
          <w:rFonts w:ascii="Times New Roman" w:hAnsi="Times New Roman"/>
          <w:noProof/>
          <w:sz w:val="24"/>
          <w:lang w:val="en-US"/>
        </w:rPr>
        <w:t>]</w:t>
      </w:r>
    </w:p>
    <w:p w14:paraId="4883A7F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32050"/>
      <w:bookmarkEnd w:id="46"/>
    </w:p>
    <w:p w14:paraId="7DD0094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8. The rate for buildings and constructions up to 31 December 2006 as determined in Section 3, Paragraph one of this Law shall be applied in respect of their average annual book value or, if the taxpayer does not prepare a balance sheet, the inventory value determined by the State Land Service, as updated not earlier than 1 January 1997.</w:t>
      </w:r>
      <w:bookmarkStart w:id="47" w:name="pn8"/>
      <w:bookmarkEnd w:id="47"/>
    </w:p>
    <w:p w14:paraId="31017C8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 22 November 2001; 12 December 2002; 20 June 2003</w:t>
      </w:r>
      <w:r w:rsidRPr="004A0F4D">
        <w:rPr>
          <w:rFonts w:ascii="Times New Roman" w:hAnsi="Times New Roman"/>
          <w:noProof/>
          <w:sz w:val="24"/>
          <w:lang w:val="en-US"/>
        </w:rPr>
        <w:t>]</w:t>
      </w:r>
    </w:p>
    <w:p w14:paraId="211331A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45795"/>
      <w:bookmarkEnd w:id="48"/>
    </w:p>
    <w:p w14:paraId="786532C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9. Until 31 December 2006 in respect of buildings and constructions:</w:t>
      </w:r>
      <w:bookmarkStart w:id="49" w:name="pn9"/>
      <w:bookmarkEnd w:id="49"/>
    </w:p>
    <w:p w14:paraId="5D5ADFD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immovable property tax shall be imposed on buildings and constructions, except for the buildings and constructions referred to in Section 1, Paragraph two of this Law and in Sub-paragraph 2 of this Paragraph. If tax is imposed on a part of a building or construction, the value to which tax is applied shall include the value of the building or constructions proportionate to the taxable part;</w:t>
      </w:r>
    </w:p>
    <w:p w14:paraId="02499D83"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w:t>
      </w:r>
      <w:r w:rsidRPr="004A0F4D">
        <w:rPr>
          <w:rFonts w:ascii="Times New Roman" w:hAnsi="Times New Roman"/>
          <w:noProof/>
          <w:sz w:val="24"/>
          <w:vertAlign w:val="superscript"/>
          <w:lang w:val="en-US"/>
        </w:rPr>
        <w:t>1</w:t>
      </w:r>
      <w:r w:rsidRPr="004A0F4D">
        <w:rPr>
          <w:rFonts w:ascii="Times New Roman" w:hAnsi="Times New Roman"/>
          <w:noProof/>
          <w:sz w:val="24"/>
          <w:lang w:val="en-US"/>
        </w:rPr>
        <w:t>) local governments have a right to request that the taxpayer submit a balance sheet or document in which the State Land Service determined inventory value of the building or construction is indicated;</w:t>
      </w:r>
    </w:p>
    <w:p w14:paraId="5D2C67BB"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in addition to the objects referred to in Section 1, Paragraph two of this Law, tax shall not be imposed on the following:</w:t>
      </w:r>
    </w:p>
    <w:p w14:paraId="0B94532C"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a) constructions, which are used only for agricultural production;</w:t>
      </w:r>
    </w:p>
    <w:p w14:paraId="5447681E"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b) [22 November 2001];</w:t>
      </w:r>
    </w:p>
    <w:p w14:paraId="52723C63"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c) [20 June 2003];</w:t>
      </w:r>
    </w:p>
    <w:p w14:paraId="0383749D"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d) communications lines, local pipelines and cables;</w:t>
      </w:r>
    </w:p>
    <w:p w14:paraId="651D6BEC"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e) [22 November 2001];</w:t>
      </w:r>
    </w:p>
    <w:p w14:paraId="34C2221D"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f) [22 November 2001];</w:t>
      </w:r>
    </w:p>
    <w:p w14:paraId="16A38329"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g) [20 June 2003];</w:t>
      </w:r>
    </w:p>
    <w:p w14:paraId="19EB8075"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h) constructions, which are used for the needs of environmental protection;</w:t>
      </w:r>
    </w:p>
    <w:p w14:paraId="7AABC3B2"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every year by 1 February, a taxpayer shall submit to the local government, according to the location of buildings and constructions or parts thereof, and the territorial office of the State Revenue Service with which the taxpayer has registered as a taxpayer, a declaration in accordance with a form and procedures for completion thereof approved by the Cabinet regarding the expected value of buildings and constructions on which tax may be imposed and regarding the tax to be paid for the respective year. If the declaration has been submitted, but during the taxation period new buildings or constructions have been acquired or existing ones alienated, within a period of one month from the day of the creation or termination of ownership, possession, use or lease rights, the taxpayer shall submit an adjusted declaration;</w:t>
      </w:r>
    </w:p>
    <w:p w14:paraId="2A7F708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a taxpayer shall calculate the value of buildings and constructions on which the tax may be imposed by adding half of the value of the buildings and constructions at the beginning of the year and half of their value on 1 January of the following year to the expected value of such buildings and constructions on 1 April, 1 July and 1 October, and dividing the resulting sum by 4;</w:t>
      </w:r>
    </w:p>
    <w:p w14:paraId="760D0EC2"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depending on the expected amount of the tax, the terms within which a taxpayer shall pay the tax are as follows:</w:t>
      </w:r>
    </w:p>
    <w:p w14:paraId="6DFC2441"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a) if the expected amount of the tax is up to 2000 lats – once every quarter pursuant to Section 6, Paragraph three of this Law,</w:t>
      </w:r>
    </w:p>
    <w:p w14:paraId="7D07D482" w14:textId="77777777" w:rsidR="004A0F4D" w:rsidRPr="004A0F4D" w:rsidRDefault="004A0F4D" w:rsidP="004A0F4D">
      <w:pPr>
        <w:shd w:val="clear" w:color="auto" w:fill="FFFFFF"/>
        <w:spacing w:after="0" w:line="240" w:lineRule="auto"/>
        <w:ind w:left="709" w:firstLine="709"/>
        <w:jc w:val="both"/>
        <w:rPr>
          <w:rFonts w:ascii="Times New Roman" w:hAnsi="Times New Roman"/>
          <w:noProof/>
          <w:sz w:val="24"/>
          <w:lang w:val="en-US"/>
        </w:rPr>
      </w:pPr>
      <w:r w:rsidRPr="004A0F4D">
        <w:rPr>
          <w:rFonts w:ascii="Times New Roman" w:hAnsi="Times New Roman"/>
          <w:noProof/>
          <w:sz w:val="24"/>
          <w:lang w:val="en-US"/>
        </w:rPr>
        <w:t>b) if the expected amount of tax is over 2000 lats – in equal parts by the 15th of each month, except January;</w:t>
      </w:r>
    </w:p>
    <w:p w14:paraId="30708C0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6) upon a year being completed, a taxpayer shall submit, by 1 February of the following year, to the relevant local government and the territorial office of the State Revenue Service a report in accordance with a form and procedures for completion thereof approved by the Cabinet regarding the actual value of buildings and constructions on which tax may be imposed, as calculated in accordance with the procedures prescribed in the Transitional Provisions, Paragraph 9, Sub-paragraph 4 of this Law, and a tax calculation in summary form;</w:t>
      </w:r>
    </w:p>
    <w:p w14:paraId="68B85AFB"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7) the additionally calculated amount of the tax shall be paid into the budget of the local government until 1 March of the current taxation year;</w:t>
      </w:r>
    </w:p>
    <w:p w14:paraId="03872DBF"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8) sums overpaid shall be repaid, pursuant to the request of the taxpayer, within 15 days from the receipt of the request, or shall be included in the payment for the current taxation year;</w:t>
      </w:r>
    </w:p>
    <w:p w14:paraId="73F2B4B3" w14:textId="77777777" w:rsidR="004A0F4D" w:rsidRPr="004A0F4D" w:rsidRDefault="004A0F4D" w:rsidP="004A0F4D">
      <w:pPr>
        <w:keepNext/>
        <w:keepLines/>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lastRenderedPageBreak/>
        <w:t>9) in order to ensure in local governments the registration of such immovable property taxpayers that pay the tax for buildings and constructions, the State Revenue Service shall provide to local governments the information about the property taxpayers and the objects on which property tax shall be imposed by 1 January 2000;</w:t>
      </w:r>
    </w:p>
    <w:p w14:paraId="410B3FB2"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10) after the reports of taxpayers for the 1999 year have been received, the State Revenue Service shall provide to each relevant local government, by 1 March 2000, the information on additional amounts of tax calculated for each taxpayer, or amounts of tax to be repaid to them, and by 1 April 2000 – the information on debts of property tax as of 1 March 2000;</w:t>
      </w:r>
    </w:p>
    <w:p w14:paraId="6797757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11) pursuant to a written application of a local government, the State Revenue Service shall assign to the relevant local government, in accordance with the procedures prescribed by the Cabinet, the functions related to the administration of debts of property tax in respect of such taxpayers whose buildings and constructions upon which tax may be imposed are located in the territory of one local government;</w:t>
      </w:r>
    </w:p>
    <w:p w14:paraId="388336D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12) a taxpayer who within one month from the day of the creation of ownership rights, possession rights or State immovable property use or lease rights in respect of buildings or constructions has not declared such to the local government in accordance with Section 7, Paragraph two of this Law, the liability specified in Section 32 of the law On Taxes and Fees shall be applied.</w:t>
      </w:r>
    </w:p>
    <w:p w14:paraId="1CDBCEA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 23 November 2000; 22 November 2001; 12 December 2002; 20 June 2003; 20 October 2005</w:t>
      </w:r>
      <w:r w:rsidRPr="004A0F4D">
        <w:rPr>
          <w:rFonts w:ascii="Times New Roman" w:hAnsi="Times New Roman"/>
          <w:noProof/>
          <w:sz w:val="24"/>
          <w:lang w:val="en-US"/>
        </w:rPr>
        <w:t>]</w:t>
      </w:r>
    </w:p>
    <w:p w14:paraId="3794339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32040"/>
      <w:bookmarkEnd w:id="50"/>
    </w:p>
    <w:p w14:paraId="4B8AF30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9.</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Up to 31 December 2003 tax shall not be imposed upon buildings and constructions which:</w:t>
      </w:r>
      <w:bookmarkStart w:id="51" w:name="pn9_1"/>
      <w:bookmarkEnd w:id="51"/>
    </w:p>
    <w:p w14:paraId="2C9B2E76"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are maintained by State budget or local government budget funds or are permanently used for the needs of health protection, sport, education or culture, except cinemas and video libraries;</w:t>
      </w:r>
    </w:p>
    <w:p w14:paraId="58523E8E" w14:textId="77777777" w:rsidR="004A0F4D" w:rsidRPr="004A0F4D" w:rsidRDefault="004A0F4D" w:rsidP="004A0F4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 xml:space="preserve">2) belong to public organisations and undertakings thereof (in accordance with a list approved by the </w:t>
      </w:r>
      <w:r w:rsidRPr="004A0F4D">
        <w:rPr>
          <w:rFonts w:ascii="Times New Roman" w:hAnsi="Times New Roman"/>
          <w:i/>
          <w:iCs/>
          <w:noProof/>
          <w:sz w:val="24"/>
          <w:lang w:val="en-US"/>
        </w:rPr>
        <w:t>Saeima</w:t>
      </w:r>
      <w:r w:rsidRPr="004A0F4D">
        <w:rPr>
          <w:rFonts w:ascii="Times New Roman" w:hAnsi="Times New Roman"/>
          <w:noProof/>
          <w:sz w:val="24"/>
          <w:lang w:val="en-US"/>
        </w:rPr>
        <w:t>);</w:t>
      </w:r>
    </w:p>
    <w:p w14:paraId="6636B7AF"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are used for the needs of environmental protection.</w:t>
      </w:r>
    </w:p>
    <w:p w14:paraId="5C31963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22 November 2001</w:t>
      </w:r>
      <w:r w:rsidRPr="004A0F4D">
        <w:rPr>
          <w:rFonts w:ascii="Times New Roman" w:hAnsi="Times New Roman"/>
          <w:noProof/>
          <w:sz w:val="24"/>
          <w:lang w:val="en-US"/>
        </w:rPr>
        <w:t>]</w:t>
      </w:r>
    </w:p>
    <w:p w14:paraId="755C3CB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32021"/>
      <w:bookmarkEnd w:id="52"/>
    </w:p>
    <w:p w14:paraId="6E92A4B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10. If the inventory value of the buildings and constructions which are in the ownership or legal possession of a taxpayer has been determined prior to 1 January 1997, the taxpayer shall submit the following to the local government according to the location of the buildings and constructions and to the territorial office of the State Revenue Service with which the taxpayer is registered as a taxpayer:</w:t>
      </w:r>
      <w:bookmarkStart w:id="53" w:name="pn10"/>
      <w:bookmarkEnd w:id="53"/>
    </w:p>
    <w:p w14:paraId="0AC668D6"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by 1 February 2000 – a declaration regarding the expected value of the buildings and constructions as tax may be imposed upon and regarding the tax to be paid, for the relevant year in which immovable property tax for the assessment year for the buildings and constructions (parts thereof) has been calculated, according to the most recent determined inventory value of the buildings and constructions;</w:t>
      </w:r>
    </w:p>
    <w:p w14:paraId="78B0978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by 1 February 2001 – a report on the actual value of buildings and constructions as tax may be imposed upon, as calculated in accordance with the procedures prescribed in the Transitional Provisions, Paragraph 9, Sub-paragraph 4 of this Law, and a tax calculation in summary form, in which the actual immovable property tax for the taxation year for the buildings and constructions (parts thereof) has been calculated according to the updated inventory value of the buildings and constructions.</w:t>
      </w:r>
    </w:p>
    <w:p w14:paraId="29B31D2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w:t>
      </w:r>
      <w:r w:rsidRPr="004A0F4D">
        <w:rPr>
          <w:rFonts w:ascii="Times New Roman" w:hAnsi="Times New Roman"/>
          <w:noProof/>
          <w:sz w:val="24"/>
          <w:lang w:val="en-US"/>
        </w:rPr>
        <w:t>]</w:t>
      </w:r>
    </w:p>
    <w:p w14:paraId="5772DAC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45796"/>
      <w:bookmarkEnd w:id="54"/>
    </w:p>
    <w:p w14:paraId="6C3EF9AC"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11. Taxpayers shall submit to local governments a list of objects (buildings and constructions) by 1 February 2004, but up to 1 February 2005 and 1 February 2006 –adjustments to the list if there are such, located in the territory of the relevant local government as immovable property tax may be imposed on.</w:t>
      </w:r>
      <w:bookmarkStart w:id="55" w:name="pn11"/>
      <w:bookmarkEnd w:id="55"/>
    </w:p>
    <w:p w14:paraId="46FD3A5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25 November 1999; 20 June 2003; 20 October 2005</w:t>
      </w:r>
      <w:r w:rsidRPr="004A0F4D">
        <w:rPr>
          <w:rFonts w:ascii="Times New Roman" w:hAnsi="Times New Roman"/>
          <w:noProof/>
          <w:sz w:val="24"/>
          <w:lang w:val="en-US"/>
        </w:rPr>
        <w:t>]</w:t>
      </w:r>
    </w:p>
    <w:p w14:paraId="7BB3E30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45797"/>
      <w:bookmarkEnd w:id="56"/>
    </w:p>
    <w:p w14:paraId="3F18C7E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11.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If a taxpayer in respect of buildings has not received by 15 February 2007 a tax payment notice for the tax to be paid for 2007 and has not informed the local government, according to the location of the buildings, in writing regarding this, he or she shall have calculated and for the benefit of the budget collected the amount of unpaid tax for the relevant 2007 period and a fine in the amount of 30 per cent of the amount of unpaid tax.</w:t>
      </w:r>
      <w:bookmarkStart w:id="57" w:name="pn11_1"/>
      <w:bookmarkEnd w:id="57"/>
    </w:p>
    <w:p w14:paraId="34B9AC4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w:t>
      </w:r>
      <w:r w:rsidRPr="004A0F4D">
        <w:rPr>
          <w:rFonts w:ascii="Times New Roman" w:hAnsi="Times New Roman"/>
          <w:noProof/>
          <w:sz w:val="24"/>
          <w:lang w:val="en-US"/>
        </w:rPr>
        <w:t>]</w:t>
      </w:r>
    </w:p>
    <w:p w14:paraId="521304F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32053"/>
      <w:bookmarkEnd w:id="58"/>
    </w:p>
    <w:p w14:paraId="3EB199F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12. [20 June 2003]</w:t>
      </w:r>
      <w:bookmarkStart w:id="59" w:name="pn12"/>
      <w:bookmarkEnd w:id="59"/>
    </w:p>
    <w:p w14:paraId="3E6D9C8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157653"/>
      <w:bookmarkEnd w:id="60"/>
    </w:p>
    <w:p w14:paraId="0E1BFA6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13. Section 1, Paragraph two, Clause 13 of this Law shall be applicable to buildings which are transferred for exploitation after 1 January 2001.</w:t>
      </w:r>
      <w:bookmarkStart w:id="61" w:name="pn13"/>
      <w:bookmarkEnd w:id="61"/>
    </w:p>
    <w:p w14:paraId="626152A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23 November 2000; 8 November 2007</w:t>
      </w:r>
      <w:r w:rsidRPr="004A0F4D">
        <w:rPr>
          <w:rFonts w:ascii="Times New Roman" w:hAnsi="Times New Roman"/>
          <w:noProof/>
          <w:sz w:val="24"/>
          <w:lang w:val="en-US"/>
        </w:rPr>
        <w:t>]</w:t>
      </w:r>
    </w:p>
    <w:p w14:paraId="4AAD7ED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45798"/>
      <w:bookmarkEnd w:id="62"/>
    </w:p>
    <w:p w14:paraId="7CE8606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14. [20 October 2005]</w:t>
      </w:r>
      <w:bookmarkStart w:id="63" w:name="pn14"/>
      <w:bookmarkEnd w:id="63"/>
    </w:p>
    <w:p w14:paraId="79C6A51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32033"/>
      <w:bookmarkEnd w:id="64"/>
    </w:p>
    <w:p w14:paraId="54B7FED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15. The Cabinet shall issue the new regulations provided for in Section 4, Paragraphs two, six and eleven of this Law. Up to the day when the regulations referred to come into force, but not later than 1 July 2001, the following Cabinet regulations shall apply (insofar as they are not in contradiction to this Law):</w:t>
      </w:r>
      <w:bookmarkStart w:id="65" w:name="pn15"/>
      <w:bookmarkEnd w:id="65"/>
    </w:p>
    <w:p w14:paraId="31B8E48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Regulation No. 214 of 9 June 1998, Regulations regarding the Cadastral Valuation of City/Town Land;</w:t>
      </w:r>
    </w:p>
    <w:p w14:paraId="1D233DF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Regulation No. 244 of 6 June 1998, Regulations regarding the Cadastral Valuation of Rural Area Land;</w:t>
      </w:r>
    </w:p>
    <w:p w14:paraId="6C0D3EC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Regulation No. 166 of 5 May 1998, Classification of Utilisation Purposes of Immovable Property; and</w:t>
      </w:r>
    </w:p>
    <w:p w14:paraId="532DBFB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Regulation No. 193 of 25 May 1999, Procedures for Up-dating the Cadastral Values of Immovable Property.</w:t>
      </w:r>
    </w:p>
    <w:p w14:paraId="1D20B98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23 November 2000</w:t>
      </w:r>
      <w:r w:rsidRPr="004A0F4D">
        <w:rPr>
          <w:rFonts w:ascii="Times New Roman" w:hAnsi="Times New Roman"/>
          <w:noProof/>
          <w:sz w:val="24"/>
          <w:lang w:val="en-US"/>
        </w:rPr>
        <w:t>]</w:t>
      </w:r>
    </w:p>
    <w:p w14:paraId="0B79648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32034"/>
      <w:bookmarkEnd w:id="66"/>
    </w:p>
    <w:p w14:paraId="4B1260A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16. The Cabinet shall harmonise the regulations provided for in Section 12 of this Law with amendments to the law On Immovable Property Tax. Until the day of the coming into force of the relevant amendments made to these regulations, but not later than up to 1 April 2001, the Cabinet Regulation No. 131 of 4 April 2000, Regulations regarding the Application of the Norms of the Law On the Immovable Property Tax, shall apply (insofar as they are not in contradiction with this Law).</w:t>
      </w:r>
      <w:bookmarkStart w:id="67" w:name="pn16"/>
      <w:bookmarkEnd w:id="67"/>
    </w:p>
    <w:p w14:paraId="1B12460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23 November 2000</w:t>
      </w:r>
      <w:r w:rsidRPr="004A0F4D">
        <w:rPr>
          <w:rFonts w:ascii="Times New Roman" w:hAnsi="Times New Roman"/>
          <w:noProof/>
          <w:sz w:val="24"/>
          <w:lang w:val="en-US"/>
        </w:rPr>
        <w:t>]</w:t>
      </w:r>
    </w:p>
    <w:p w14:paraId="2714405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2042"/>
      <w:bookmarkEnd w:id="68"/>
    </w:p>
    <w:p w14:paraId="4EF561B6"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17. The Cabinet shall issue the regulations provided for in Section 1, Paragraph two, Clause 7 of this Law. Up to the day of the coming into force of the referred to Cabinet regulation, but not longer than up to 1 July 2002, Cabinet Regulation No. 135, Procedures for Not Imposing Immovable Property Tax on Land which is Occupied by Young Stands and Afforestations at the Age of Young Stands shall be applied insofar as it is not in contradiction to this Law.</w:t>
      </w:r>
      <w:bookmarkStart w:id="69" w:name="pn17"/>
      <w:bookmarkEnd w:id="69"/>
    </w:p>
    <w:p w14:paraId="36B2529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22 November 2001</w:t>
      </w:r>
      <w:r w:rsidRPr="004A0F4D">
        <w:rPr>
          <w:rFonts w:ascii="Times New Roman" w:hAnsi="Times New Roman"/>
          <w:noProof/>
          <w:sz w:val="24"/>
          <w:lang w:val="en-US"/>
        </w:rPr>
        <w:t>]</w:t>
      </w:r>
    </w:p>
    <w:p w14:paraId="7218468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45799"/>
      <w:bookmarkEnd w:id="70"/>
    </w:p>
    <w:p w14:paraId="28565554"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18. By the day of the coming into force of the Cabinet regulations provided for in Section 1, Paragraph two, Clause 18 of this Law, but not later than 1 July 2006, Cabinet Regulation No. 677 of 2 December 2003, Regulations regarding Public Organisations, which are Released from immovable property tax payments for Buildings and Constructions belonging to Public Organisations and the Undertakings thereof, shall be in force insofar as they are not in contradiction with this Law.</w:t>
      </w:r>
      <w:bookmarkStart w:id="71" w:name="pn18"/>
      <w:bookmarkEnd w:id="71"/>
    </w:p>
    <w:p w14:paraId="1314387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w:t>
      </w:r>
      <w:r w:rsidRPr="004A0F4D">
        <w:rPr>
          <w:rFonts w:ascii="Times New Roman" w:hAnsi="Times New Roman"/>
          <w:noProof/>
          <w:sz w:val="24"/>
          <w:lang w:val="en-US"/>
        </w:rPr>
        <w:t>]</w:t>
      </w:r>
    </w:p>
    <w:p w14:paraId="09C78CA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45800"/>
      <w:bookmarkEnd w:id="72"/>
    </w:p>
    <w:p w14:paraId="476C489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19. By the day of the coming into force of the Cabinet regulations provided for in Section 12 of this Law, but not later than 1 July 2006, Cabinet Regulation No. 131 of 4 April 2000, Regulations regarding the Application of the Norms of the Law On the Immovable Property Tax, shall be in force insofar as they are not in contradiction with this Law.</w:t>
      </w:r>
      <w:bookmarkStart w:id="73" w:name="pn19"/>
      <w:bookmarkEnd w:id="73"/>
    </w:p>
    <w:p w14:paraId="202AE71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w:t>
      </w:r>
      <w:r w:rsidRPr="004A0F4D">
        <w:rPr>
          <w:rFonts w:ascii="Times New Roman" w:hAnsi="Times New Roman"/>
          <w:noProof/>
          <w:sz w:val="24"/>
          <w:lang w:val="en-US"/>
        </w:rPr>
        <w:t>]</w:t>
      </w:r>
    </w:p>
    <w:p w14:paraId="28EF087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45801"/>
      <w:bookmarkEnd w:id="74"/>
    </w:p>
    <w:p w14:paraId="7525554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20. Amendments to Section 4 of this Law shall come into force simultaneously with the Immovable Property State Cadastre Law.</w:t>
      </w:r>
      <w:bookmarkStart w:id="75" w:name="pn20"/>
      <w:bookmarkEnd w:id="75"/>
    </w:p>
    <w:p w14:paraId="3446B6D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w:t>
      </w:r>
      <w:r w:rsidRPr="004A0F4D">
        <w:rPr>
          <w:rFonts w:ascii="Times New Roman" w:hAnsi="Times New Roman"/>
          <w:noProof/>
          <w:sz w:val="24"/>
          <w:lang w:val="en-US"/>
        </w:rPr>
        <w:t>]</w:t>
      </w:r>
    </w:p>
    <w:p w14:paraId="17E1AC7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45802"/>
      <w:bookmarkEnd w:id="76"/>
    </w:p>
    <w:p w14:paraId="47A291A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21. By the day of the coming into force of the Cabinet Regulations provided for in the Immovable Property State Cadastre Law, but not later than 1 May 2006, the following Cabinet regulations shall be in force:</w:t>
      </w:r>
      <w:bookmarkStart w:id="77" w:name="pn21"/>
      <w:bookmarkEnd w:id="77"/>
    </w:p>
    <w:p w14:paraId="42BA522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Cabinet Regulation No. 344 of 31 July 2004, Procedures for the Specification and Systemisation of the Purpose of Use of Immovable Property;</w:t>
      </w:r>
    </w:p>
    <w:p w14:paraId="00EEEC54"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Cabinet Regulation No. 465 of 19 December 2000, Regulations for the Cadastral Evaluation of City Land;</w:t>
      </w:r>
    </w:p>
    <w:p w14:paraId="68ED0889"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Cabinet Regulation No. 184 of 30 April 2001, Regulations for the Cadastral Evaluation of Buildings;</w:t>
      </w:r>
    </w:p>
    <w:p w14:paraId="686D6E8C"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Cabinet Regulation No. 341 of 31 July 2001, Regulations for the Cadastral Evaluation of Rural Land;</w:t>
      </w:r>
    </w:p>
    <w:p w14:paraId="4936E30D"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Cabinet Regulation No. 343 of 31 July 2001, Procedures for the Updating of Immovable Property Cadastral Values.</w:t>
      </w:r>
    </w:p>
    <w:p w14:paraId="59B13CA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October 2005</w:t>
      </w:r>
      <w:r w:rsidRPr="004A0F4D">
        <w:rPr>
          <w:rFonts w:ascii="Times New Roman" w:hAnsi="Times New Roman"/>
          <w:noProof/>
          <w:sz w:val="24"/>
          <w:lang w:val="en-US"/>
        </w:rPr>
        <w:t>]</w:t>
      </w:r>
    </w:p>
    <w:p w14:paraId="7F7148E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47203"/>
      <w:bookmarkEnd w:id="78"/>
    </w:p>
    <w:p w14:paraId="3805DAF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22. In 2008, 2009, 2010 and 2011, after updating of the cadastral value of the immovable property, the amount of immovable property tax, if the purpose for the use of the immovable property does not change, shall not exceed the amount of the tax calculated for the previous taxation year (not taking into account the reliefs) by more than 25 per cent for each land parcel and each building separately. The limitation for increase of the amount of immovable property tax shall also be applied to such objects of the immovable property tax in a multi-unit residential house that consist of one group of premises and undivided parts of land:</w:t>
      </w:r>
      <w:bookmarkStart w:id="79" w:name="pn22"/>
      <w:bookmarkEnd w:id="79"/>
    </w:p>
    <w:p w14:paraId="53AF3AD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that are created anew as a result of privatisation. In such case the limitation for increase of the immovable property tax shall be applied following the tax calculated for the previous taxation year for the undivided land parcel, which was under the jurisdiction of each separate flat or non-residential room;</w:t>
      </w:r>
    </w:p>
    <w:p w14:paraId="0470E130"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if the type of use has not been changed in the State Cadastre Register of Immovable Property for the relevant group of premises, as well as in cases when the purpose for use of immovable property has been changed for the land.</w:t>
      </w:r>
    </w:p>
    <w:p w14:paraId="797B9FD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8 November 2007; 17 June 2010</w:t>
      </w:r>
      <w:r w:rsidRPr="004A0F4D">
        <w:rPr>
          <w:rFonts w:ascii="Times New Roman" w:hAnsi="Times New Roman"/>
          <w:noProof/>
          <w:sz w:val="24"/>
          <w:lang w:val="en-US"/>
        </w:rPr>
        <w:t>]</w:t>
      </w:r>
    </w:p>
    <w:p w14:paraId="16AEE34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18160"/>
      <w:bookmarkEnd w:id="80"/>
    </w:p>
    <w:p w14:paraId="4E52DAD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22.</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The limitation for increase of the amount of tax increase determined in Paragraph 22 of these Transitional Provisions shall not be applied, if the calculated tax is less than 5 lats.</w:t>
      </w:r>
      <w:bookmarkStart w:id="81" w:name="pn22_1"/>
      <w:bookmarkEnd w:id="81"/>
    </w:p>
    <w:p w14:paraId="5BA12F3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519DEA3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18161"/>
      <w:bookmarkEnd w:id="82"/>
    </w:p>
    <w:p w14:paraId="322E01A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22.</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The limitation for increase of the amount of tax increase determined in Paragraph 22 of these Transitional Provisions shall not apply to a tax calculation regarding unfarmed agricultural land.</w:t>
      </w:r>
      <w:bookmarkStart w:id="83" w:name="pn22_2"/>
      <w:bookmarkEnd w:id="83"/>
    </w:p>
    <w:p w14:paraId="2A02A28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4221479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73454"/>
      <w:bookmarkEnd w:id="84"/>
    </w:p>
    <w:p w14:paraId="11C3669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22.</w:t>
      </w:r>
      <w:r w:rsidRPr="004A0F4D">
        <w:rPr>
          <w:rFonts w:ascii="Times New Roman" w:hAnsi="Times New Roman"/>
          <w:noProof/>
          <w:sz w:val="24"/>
          <w:vertAlign w:val="superscript"/>
          <w:lang w:val="en-US"/>
        </w:rPr>
        <w:t xml:space="preserve">3 </w:t>
      </w:r>
      <w:r w:rsidRPr="004A0F4D">
        <w:rPr>
          <w:rFonts w:ascii="Times New Roman" w:hAnsi="Times New Roman"/>
          <w:noProof/>
          <w:sz w:val="24"/>
          <w:lang w:val="en-US"/>
        </w:rPr>
        <w:t>Paragraph 22 of these Transitional Provisions shall not be applied to the immovable property object determined in Section 3, Paragraph one, Clause 2 of this Law, as well as to cases, when the usage type of groups of premises is changed from residential to non-residential or economic activity has commenced in the immovable property tax object determined in Section 3, Paragraph one, Clause 2 of this Law.</w:t>
      </w:r>
      <w:bookmarkStart w:id="85" w:name="pn22_3"/>
      <w:bookmarkEnd w:id="85"/>
    </w:p>
    <w:p w14:paraId="1042507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December 2010</w:t>
      </w:r>
      <w:r w:rsidRPr="004A0F4D">
        <w:rPr>
          <w:rFonts w:ascii="Times New Roman" w:hAnsi="Times New Roman"/>
          <w:noProof/>
          <w:sz w:val="24"/>
          <w:lang w:val="en-US"/>
        </w:rPr>
        <w:t>]</w:t>
      </w:r>
    </w:p>
    <w:p w14:paraId="5B15E13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73455"/>
      <w:bookmarkEnd w:id="86"/>
    </w:p>
    <w:p w14:paraId="716EAC3C"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23. If the area the immovable property tax object has been changed in 2008, 2009, 2010 and 2011 in comparison with the area for which immovable property tax was calculated in the previous taxation year, the immovable property tax shall be calculated following the amount of immovable property tax for one square metre calculated in the previous taxation year.</w:t>
      </w:r>
      <w:bookmarkStart w:id="87" w:name="pn23"/>
      <w:bookmarkEnd w:id="87"/>
    </w:p>
    <w:p w14:paraId="3DD27A2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8 November 2007; 20 December 2010</w:t>
      </w:r>
      <w:r w:rsidRPr="004A0F4D">
        <w:rPr>
          <w:rFonts w:ascii="Times New Roman" w:hAnsi="Times New Roman"/>
          <w:noProof/>
          <w:sz w:val="24"/>
          <w:lang w:val="en-US"/>
        </w:rPr>
        <w:t>]</w:t>
      </w:r>
    </w:p>
    <w:p w14:paraId="4EA4E37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157688"/>
      <w:bookmarkEnd w:id="88"/>
    </w:p>
    <w:p w14:paraId="26B80A87"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24. In 2008, local governments shall notify a payer or supervisor of the multi-apartment house regarding the amount of the immovable property tax for the taxation (calendar) year until 1 March 2008 by sending a payment notification to him or her or to his or her authorised representative.</w:t>
      </w:r>
      <w:bookmarkStart w:id="89" w:name="pn24"/>
      <w:bookmarkEnd w:id="89"/>
    </w:p>
    <w:p w14:paraId="7D78A7E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8 November 2007</w:t>
      </w:r>
      <w:r w:rsidRPr="004A0F4D">
        <w:rPr>
          <w:rFonts w:ascii="Times New Roman" w:hAnsi="Times New Roman"/>
          <w:noProof/>
          <w:sz w:val="24"/>
          <w:lang w:val="en-US"/>
        </w:rPr>
        <w:t>]</w:t>
      </w:r>
    </w:p>
    <w:p w14:paraId="18CDE7A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18162"/>
      <w:bookmarkEnd w:id="90"/>
    </w:p>
    <w:p w14:paraId="2E3C445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24.</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The time period for sending out tax payment notifications for 2010 shall not be later than 15 September.</w:t>
      </w:r>
      <w:bookmarkStart w:id="91" w:name="pn24_1"/>
      <w:bookmarkEnd w:id="91"/>
    </w:p>
    <w:p w14:paraId="5916753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4D9B1D3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157691"/>
      <w:bookmarkEnd w:id="92"/>
    </w:p>
    <w:p w14:paraId="52BB975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25. If an immovable property taxpayer or a supervisor of the multi-apartment house has not received a payment notification until 1 March 2008, his or her obligation shall be to inform, within one month, the local government charging the tax in writing thereon.</w:t>
      </w:r>
      <w:bookmarkStart w:id="93" w:name="pn25"/>
      <w:bookmarkEnd w:id="93"/>
    </w:p>
    <w:p w14:paraId="01AA142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8 November 2007</w:t>
      </w:r>
      <w:r w:rsidRPr="004A0F4D">
        <w:rPr>
          <w:rFonts w:ascii="Times New Roman" w:hAnsi="Times New Roman"/>
          <w:noProof/>
          <w:sz w:val="24"/>
          <w:lang w:val="en-US"/>
        </w:rPr>
        <w:t>]</w:t>
      </w:r>
    </w:p>
    <w:p w14:paraId="74D4592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157694"/>
      <w:bookmarkEnd w:id="94"/>
    </w:p>
    <w:p w14:paraId="116C714E"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26. In 2008, the first time period for the payment of tax shall be 15 April.</w:t>
      </w:r>
      <w:bookmarkStart w:id="95" w:name="pn26"/>
      <w:bookmarkEnd w:id="95"/>
    </w:p>
    <w:p w14:paraId="0843776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8 November 2007</w:t>
      </w:r>
      <w:r w:rsidRPr="004A0F4D">
        <w:rPr>
          <w:rFonts w:ascii="Times New Roman" w:hAnsi="Times New Roman"/>
          <w:noProof/>
          <w:sz w:val="24"/>
          <w:lang w:val="en-US"/>
        </w:rPr>
        <w:t>]</w:t>
      </w:r>
    </w:p>
    <w:p w14:paraId="1F48A1D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18163"/>
      <w:bookmarkEnd w:id="96"/>
    </w:p>
    <w:p w14:paraId="4076169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26.</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In 2010 the time periods for payment of tax shall be determined in accordance with Section 6, Paragraph three of this Law – provided that the first time period for the payment shall be determined to be not earlier than one month after the payment notification was sent.</w:t>
      </w:r>
      <w:bookmarkStart w:id="97" w:name="pn26_1"/>
      <w:bookmarkEnd w:id="97"/>
    </w:p>
    <w:p w14:paraId="0D4C818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4B1120F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316270"/>
      <w:bookmarkEnd w:id="98"/>
    </w:p>
    <w:p w14:paraId="6B2B255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27. Amendments to Section 1, Paragraph two, Clause 8, as well as to Section 7, Paragraphs four, five and six of this Law shall come into force simultaneously with the law on the status of a national sports base.</w:t>
      </w:r>
      <w:bookmarkStart w:id="99" w:name="pn27"/>
      <w:bookmarkEnd w:id="99"/>
    </w:p>
    <w:p w14:paraId="71441A2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8 November 2007</w:t>
      </w:r>
      <w:r w:rsidRPr="004A0F4D">
        <w:rPr>
          <w:rFonts w:ascii="Times New Roman" w:hAnsi="Times New Roman"/>
          <w:noProof/>
          <w:sz w:val="24"/>
          <w:lang w:val="en-US"/>
        </w:rPr>
        <w:t>]</w:t>
      </w:r>
    </w:p>
    <w:p w14:paraId="5CAC0FC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318303"/>
      <w:bookmarkEnd w:id="100"/>
    </w:p>
    <w:p w14:paraId="4FE6156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28. Until the day of coming into force of Cabinet Regulation provided for in Section 4, Paragraph three of this Law, but not later than by 1 July 2010, the Cabinet Regulation No. 97 of 6 February 2007, Procedures for Requesting and Issuance of the State Cadastre Immovable Property Information, shall be in force insofar as it is not in contradiction with this Law.</w:t>
      </w:r>
      <w:bookmarkStart w:id="101" w:name="pn28"/>
      <w:bookmarkEnd w:id="101"/>
    </w:p>
    <w:p w14:paraId="48CF7DD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5B1B52C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318173"/>
      <w:bookmarkEnd w:id="102"/>
    </w:p>
    <w:p w14:paraId="4243ACE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29. Amendments to Section 9, Paragraph three of this Law regarding the competence of the Land Register Office to ascertain within the on-line data transmission regime whether the relevant payments have been made, shall come into force on 1 July 2010.</w:t>
      </w:r>
      <w:bookmarkStart w:id="103" w:name="pn29"/>
      <w:bookmarkEnd w:id="103"/>
    </w:p>
    <w:p w14:paraId="394D097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5B71C5A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318166"/>
      <w:bookmarkEnd w:id="104"/>
    </w:p>
    <w:p w14:paraId="36B81E7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30. If a local government has not ensured an opportunity for the Land Register Office to ascertain within the on-line data transmission regime the making of payments referred to in Section 9, Paragraph 3 of this Law after 1 July 2010, the change of ownership in the Land Register shall be registered without ascertaining if this payment has been made.</w:t>
      </w:r>
      <w:bookmarkStart w:id="105" w:name="pn30"/>
      <w:bookmarkEnd w:id="105"/>
    </w:p>
    <w:p w14:paraId="5076693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69AE571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318167"/>
      <w:bookmarkEnd w:id="106"/>
    </w:p>
    <w:p w14:paraId="604FE279"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31. The obligation to pay tax in relation to those tax objects, which have been built until 1 January 2010 and have not been registered in the Cadastre Register Information System, irrespective of the time of registration shall come into force on 1 January 2010.</w:t>
      </w:r>
      <w:bookmarkStart w:id="107" w:name="pn31"/>
      <w:bookmarkEnd w:id="107"/>
    </w:p>
    <w:p w14:paraId="73B022F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473AEE0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318168"/>
      <w:bookmarkEnd w:id="108"/>
    </w:p>
    <w:p w14:paraId="3ACA12F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32. Until 1 July 2010 each local government shall be provided with a software for the calculation of the cadastral value of an immovable property tax object in compliance with the amendments to Section 4 of this Law, as well as the calculation of tax for objects, for which the application with an immovable property tax was commenced from 1 January 2010.</w:t>
      </w:r>
      <w:bookmarkStart w:id="109" w:name="pn32"/>
      <w:bookmarkEnd w:id="109"/>
    </w:p>
    <w:p w14:paraId="7545EC0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167C12F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318169"/>
      <w:bookmarkEnd w:id="110"/>
    </w:p>
    <w:p w14:paraId="30F092E1"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33. The State Land Service shall, until the provision of the software referred to in Paragraph 32 of these Transitional Provisions, but not later than by 1 July 2010, provide local governments with the Immovable Property State Cadastre Register information regarding immovable property taxpayers and taxable objects in accordance with the procedures determined in Cabinet Regulation No. 97 of 6 February 2007 Procedures for Requesting and Issuance of the State Cadastre Immovable Property Information, only in relation to those objects, which are subject to immovable property tax in accordance with revision of Section 1 of this Law, which shall be in force on 31 December 2009, and the cadastral value of the tax object, which has been determined in compliance with the revision of this Law, which shall be in force on 31 December 2009, shall be applied to the calculation of tax.</w:t>
      </w:r>
      <w:bookmarkStart w:id="111" w:name="pn33"/>
      <w:bookmarkEnd w:id="111"/>
    </w:p>
    <w:p w14:paraId="183F92F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59F5BD4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318170"/>
      <w:bookmarkEnd w:id="112"/>
    </w:p>
    <w:p w14:paraId="436C66A7"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34. In 2010 the immovable property tax for land in specially protected nature territories, excluding neutral zones and nature monuments shall not exceed the amount determined for 2009.</w:t>
      </w:r>
      <w:bookmarkStart w:id="113" w:name="pn34"/>
      <w:bookmarkEnd w:id="113"/>
    </w:p>
    <w:p w14:paraId="30AADE2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261A1F1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318171"/>
      <w:bookmarkEnd w:id="114"/>
    </w:p>
    <w:p w14:paraId="53279EC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35. The time periods determined by Section 7, Paragraph 2.</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shall be 1 February and 1 July 2010.</w:t>
      </w:r>
      <w:bookmarkStart w:id="115" w:name="pn35"/>
      <w:bookmarkEnd w:id="115"/>
    </w:p>
    <w:p w14:paraId="320327F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 December 2009</w:t>
      </w:r>
      <w:r w:rsidRPr="004A0F4D">
        <w:rPr>
          <w:rFonts w:ascii="Times New Roman" w:hAnsi="Times New Roman"/>
          <w:noProof/>
          <w:sz w:val="24"/>
          <w:lang w:val="en-US"/>
        </w:rPr>
        <w:t>]</w:t>
      </w:r>
    </w:p>
    <w:p w14:paraId="3E1FEE6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364561"/>
      <w:bookmarkEnd w:id="116"/>
    </w:p>
    <w:p w14:paraId="6A0941C0"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36. Amendments to Section 1, Paragraph two, Clause 9, Section 1, Paragraph four and Section 3, Paragraph one, Clause 2 of this Law shall be applied to tax calculation, commencing from 1 January 2010.</w:t>
      </w:r>
      <w:bookmarkStart w:id="117" w:name="pn36"/>
      <w:bookmarkEnd w:id="117"/>
    </w:p>
    <w:p w14:paraId="002C514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14 October 2010</w:t>
      </w:r>
      <w:r w:rsidRPr="004A0F4D">
        <w:rPr>
          <w:rFonts w:ascii="Times New Roman" w:hAnsi="Times New Roman"/>
          <w:noProof/>
          <w:sz w:val="24"/>
          <w:lang w:val="en-US"/>
        </w:rPr>
        <w:t>]</w:t>
      </w:r>
    </w:p>
    <w:p w14:paraId="3F369AD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364562"/>
      <w:bookmarkEnd w:id="118"/>
    </w:p>
    <w:p w14:paraId="2CDEC442"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37. If the 2011 cadastral value has been updated as a result of changes to the purposes of use of the immovable property and the updated cadastral value for one square metre of the immovable property is less than the cadastral value for one square metre on 1 January of the taxation year, the updated cadastral value for the tax calculation for 2011 shall be applied from the following month after the cadastral value was updated.</w:t>
      </w:r>
      <w:bookmarkStart w:id="119" w:name="pn37"/>
      <w:bookmarkEnd w:id="119"/>
    </w:p>
    <w:p w14:paraId="791BE8E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14 October 2010</w:t>
      </w:r>
      <w:r w:rsidRPr="004A0F4D">
        <w:rPr>
          <w:rFonts w:ascii="Times New Roman" w:hAnsi="Times New Roman"/>
          <w:noProof/>
          <w:sz w:val="24"/>
          <w:lang w:val="en-US"/>
        </w:rPr>
        <w:t>]</w:t>
      </w:r>
    </w:p>
    <w:p w14:paraId="3EC29FF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373457"/>
      <w:bookmarkEnd w:id="120"/>
    </w:p>
    <w:p w14:paraId="4B807E0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38. The deletion of Section 1, Clause 9 of this Law, and amendments to Section 1, Paragraph three and Section 3, Paragraph one, Sub-clause b), the new revision of Section 3, Paragraph 1.</w:t>
      </w:r>
      <w:r w:rsidRPr="004A0F4D">
        <w:rPr>
          <w:rFonts w:ascii="Times New Roman" w:hAnsi="Times New Roman"/>
          <w:noProof/>
          <w:sz w:val="24"/>
          <w:vertAlign w:val="superscript"/>
          <w:lang w:val="en-US"/>
        </w:rPr>
        <w:t>2</w:t>
      </w:r>
      <w:r w:rsidRPr="004A0F4D">
        <w:rPr>
          <w:rFonts w:ascii="Times New Roman" w:hAnsi="Times New Roman"/>
          <w:noProof/>
          <w:sz w:val="24"/>
          <w:lang w:val="en-US"/>
        </w:rPr>
        <w:t>, as well as the amendments to Section 3, Paragraph nine and Section 5, Paragraphs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and two of this Law shall come into force on 1 January 2012.</w:t>
      </w:r>
      <w:bookmarkStart w:id="121" w:name="pn38"/>
      <w:bookmarkEnd w:id="121"/>
    </w:p>
    <w:p w14:paraId="1B70D46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December 2010</w:t>
      </w:r>
      <w:r w:rsidRPr="004A0F4D">
        <w:rPr>
          <w:rFonts w:ascii="Times New Roman" w:hAnsi="Times New Roman"/>
          <w:noProof/>
          <w:sz w:val="24"/>
          <w:lang w:val="en-US"/>
        </w:rPr>
        <w:t>]</w:t>
      </w:r>
    </w:p>
    <w:p w14:paraId="52921E4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373458"/>
      <w:bookmarkEnd w:id="122"/>
    </w:p>
    <w:p w14:paraId="4AA185D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39. The term “insolvency proceedings” used in Section 7, Paragraph one, Clause 1, Paragraph three, Clause 2 and Section 9, Paragraph four of this Law shall also mean bankruptcy proceedings, which have been commenced in conformity with the laws and regulations which were in force until 31 October 2010.</w:t>
      </w:r>
      <w:bookmarkStart w:id="123" w:name="pn39"/>
      <w:bookmarkEnd w:id="123"/>
    </w:p>
    <w:p w14:paraId="3197FAA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20 December 2010</w:t>
      </w:r>
      <w:r w:rsidRPr="004A0F4D">
        <w:rPr>
          <w:rFonts w:ascii="Times New Roman" w:hAnsi="Times New Roman"/>
          <w:noProof/>
          <w:sz w:val="24"/>
          <w:lang w:val="en-US"/>
        </w:rPr>
        <w:t>]</w:t>
      </w:r>
    </w:p>
    <w:p w14:paraId="2E77639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416744"/>
      <w:bookmarkEnd w:id="124"/>
    </w:p>
    <w:p w14:paraId="35351F14"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40. Until the day, when the tax payment notification is prepared for 2012, local governments, when issuing binding regulations, which are adopted in accordance with the procedures provided for in Section 46 of the law On Local Governments, have the right to apply limitations for the increase of the amount of tax for land or retain the tax amount for land at the 2011 level, as well as determine the limitation of such increase and the conditions for the application thereof in 2012.</w:t>
      </w:r>
      <w:bookmarkStart w:id="125" w:name="pn40"/>
      <w:bookmarkEnd w:id="125"/>
    </w:p>
    <w:p w14:paraId="51F6201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6A3962A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451499"/>
      <w:bookmarkEnd w:id="126"/>
    </w:p>
    <w:p w14:paraId="3689794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40.</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In the year 2013 a local government has the right to apply a restriction on increase in the tax amount for land or to keep the tax amount for land at the level of the preceding year, as well as to specify the amount of restriction of such increase and the conditions for application thereof, if binding regulations have been issued in accordance with the procedures specified in Section 46 of the law On Local Governments until the day when a notification on payment of the tax for the year 2013 has been prepared.</w:t>
      </w:r>
      <w:bookmarkStart w:id="127" w:name="pn40_1"/>
      <w:bookmarkEnd w:id="127"/>
    </w:p>
    <w:p w14:paraId="52FE7AE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07BCB44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451500"/>
      <w:bookmarkEnd w:id="128"/>
    </w:p>
    <w:p w14:paraId="6D5DA80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40.</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Upon issuing binding regulations to be published until 1 November of pre-taxation year, in the year 2014 a local government has the right to apply a restriction on increase in the tax amount for land or to keep the tax amount for land at the level of the preceding year, as well as to specify the amount of restriction of such increase and the conditions for application thereof.</w:t>
      </w:r>
      <w:bookmarkStart w:id="129" w:name="pn40_2"/>
      <w:bookmarkEnd w:id="129"/>
    </w:p>
    <w:p w14:paraId="3D047F1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708B9DB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416745"/>
      <w:bookmarkEnd w:id="130"/>
    </w:p>
    <w:p w14:paraId="372D8C6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41. The rights provided for in Section 1, Paragraph two, Clause 9.1 and Paragraph 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Section 3, Paragraph 1.</w:t>
      </w:r>
      <w:r w:rsidRPr="004A0F4D">
        <w:rPr>
          <w:rFonts w:ascii="Times New Roman" w:hAnsi="Times New Roman"/>
          <w:noProof/>
          <w:sz w:val="24"/>
          <w:vertAlign w:val="superscript"/>
          <w:lang w:val="en-US"/>
        </w:rPr>
        <w:t xml:space="preserve">4 </w:t>
      </w:r>
      <w:r w:rsidRPr="004A0F4D">
        <w:rPr>
          <w:rFonts w:ascii="Times New Roman" w:hAnsi="Times New Roman"/>
          <w:noProof/>
          <w:sz w:val="24"/>
          <w:lang w:val="en-US"/>
        </w:rPr>
        <w:t>and Section 9, Paragraph two, Sentences one and two of this Law for local governments in relation to 2012 shall be exercised, if until the day, when the tax payment notification is prepared for 2012, binding regulations are issued, which are taken in accordance with the procedures provided for in Section 46 of the law On Local Governments. The local government shall determine the time period by these binding regulations, by which in 2012 the cadastral subject has the obligation to initiate determining of the engineering structures referred to in Section 1, Paragraph 2.</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as immovable property objects.</w:t>
      </w:r>
      <w:bookmarkStart w:id="131" w:name="pn41"/>
      <w:bookmarkEnd w:id="131"/>
    </w:p>
    <w:p w14:paraId="69713EF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388A406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416746"/>
      <w:bookmarkEnd w:id="132"/>
    </w:p>
    <w:p w14:paraId="2AD4CC9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lastRenderedPageBreak/>
        <w:t>42. In 2012 the time period for sending a tax payment notification regarding objects referred to in Section 1, Paragraph 2.</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shall not be later than 1 August.</w:t>
      </w:r>
      <w:bookmarkStart w:id="133" w:name="pn42"/>
      <w:bookmarkEnd w:id="133"/>
    </w:p>
    <w:p w14:paraId="40B9804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277B830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416752"/>
      <w:bookmarkEnd w:id="134"/>
    </w:p>
    <w:p w14:paraId="485D9B5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43. Section 3, Paragraph 1.</w:t>
      </w:r>
      <w:r w:rsidRPr="004A0F4D">
        <w:rPr>
          <w:rFonts w:ascii="Times New Roman" w:hAnsi="Times New Roman"/>
          <w:noProof/>
          <w:sz w:val="24"/>
          <w:vertAlign w:val="superscript"/>
          <w:lang w:val="en-US"/>
        </w:rPr>
        <w:t xml:space="preserve">3 </w:t>
      </w:r>
      <w:r w:rsidRPr="004A0F4D">
        <w:rPr>
          <w:rFonts w:ascii="Times New Roman" w:hAnsi="Times New Roman"/>
          <w:noProof/>
          <w:sz w:val="24"/>
          <w:lang w:val="en-US"/>
        </w:rPr>
        <w:t>of this Law shall come into force on 1 July 2012.</w:t>
      </w:r>
      <w:bookmarkStart w:id="135" w:name="pn43"/>
      <w:bookmarkEnd w:id="135"/>
    </w:p>
    <w:p w14:paraId="4A1C907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44DE68B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416749"/>
      <w:bookmarkEnd w:id="136"/>
    </w:p>
    <w:p w14:paraId="23630AC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44. Amendments to the introductory part of Section 3, Paragraph one of this Law (regarding the right of local governments to determine the immovable property tax rate) and Section 8, Paragraph five of this Law shall come into force on 1 January 2013.</w:t>
      </w:r>
      <w:bookmarkStart w:id="137" w:name="pn44"/>
      <w:bookmarkEnd w:id="137"/>
    </w:p>
    <w:p w14:paraId="29A0F17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1E5B800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416750"/>
      <w:bookmarkEnd w:id="138"/>
    </w:p>
    <w:p w14:paraId="374A54D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 xml:space="preserve">45. The Cabinet shall, until 1 June 2012, draft and submit to the </w:t>
      </w:r>
      <w:r w:rsidRPr="004A0F4D">
        <w:rPr>
          <w:rFonts w:ascii="Times New Roman" w:hAnsi="Times New Roman"/>
          <w:i/>
          <w:iCs/>
          <w:noProof/>
          <w:sz w:val="24"/>
          <w:lang w:val="en-US"/>
        </w:rPr>
        <w:t xml:space="preserve">Saeima </w:t>
      </w:r>
      <w:r w:rsidRPr="004A0F4D">
        <w:rPr>
          <w:rFonts w:ascii="Times New Roman" w:hAnsi="Times New Roman"/>
          <w:noProof/>
          <w:sz w:val="24"/>
          <w:lang w:val="en-US"/>
        </w:rPr>
        <w:t>amendments to this Law, by proposing principles which local governments shall observe when issuing the binding regulations provided for in Section 3, Paragraph one of this Law.</w:t>
      </w:r>
      <w:bookmarkStart w:id="139" w:name="pn45"/>
      <w:bookmarkEnd w:id="139"/>
    </w:p>
    <w:p w14:paraId="39A4C77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01841B0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416751"/>
      <w:bookmarkEnd w:id="140"/>
    </w:p>
    <w:p w14:paraId="440CF737"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46. Religious organizations shall, until 1 February 2010, provide local governments the following information in compliance with the situation on 1 January 2012 regarding the objects referred to in Section 1, Paragraph two, Clause 4 of this Law:</w:t>
      </w:r>
      <w:bookmarkStart w:id="141" w:name="pn46"/>
      <w:bookmarkEnd w:id="141"/>
    </w:p>
    <w:p w14:paraId="4074CA81"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cadastre number of the immovable property;</w:t>
      </w:r>
    </w:p>
    <w:p w14:paraId="5B898DC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designation of the cadastre assigned to the immovable property object;</w:t>
      </w:r>
    </w:p>
    <w:p w14:paraId="4711001B"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address of the immovable property object;</w:t>
      </w:r>
    </w:p>
    <w:p w14:paraId="723DEC7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the immovable property object (land, building, engineering structure, apartment property, group of premises or parts thereof);</w:t>
      </w:r>
    </w:p>
    <w:p w14:paraId="4CA5773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basis for the exemption.</w:t>
      </w:r>
    </w:p>
    <w:p w14:paraId="02DB0E5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December 2011</w:t>
      </w:r>
      <w:r w:rsidRPr="004A0F4D">
        <w:rPr>
          <w:rFonts w:ascii="Times New Roman" w:hAnsi="Times New Roman"/>
          <w:noProof/>
          <w:sz w:val="24"/>
          <w:lang w:val="en-US"/>
        </w:rPr>
        <w:t>]</w:t>
      </w:r>
    </w:p>
    <w:p w14:paraId="28C1CA2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451501"/>
      <w:bookmarkEnd w:id="142"/>
    </w:p>
    <w:p w14:paraId="2D758DB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47. The rights provided for in Section 1, Paragraph two, Clause 9.</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and Paragraph 2.</w:t>
      </w:r>
      <w:r w:rsidRPr="004A0F4D">
        <w:rPr>
          <w:rFonts w:ascii="Times New Roman" w:hAnsi="Times New Roman"/>
          <w:noProof/>
          <w:sz w:val="24"/>
          <w:vertAlign w:val="superscript"/>
          <w:lang w:val="en-US"/>
        </w:rPr>
        <w:t>1</w:t>
      </w:r>
      <w:r w:rsidRPr="004A0F4D">
        <w:rPr>
          <w:rFonts w:ascii="Times New Roman" w:hAnsi="Times New Roman"/>
          <w:noProof/>
          <w:sz w:val="24"/>
          <w:lang w:val="en-US"/>
        </w:rPr>
        <w:t>, the introductory part of Section 3, Paragraph one and Section 3, Paragraph 1</w:t>
      </w:r>
      <w:r w:rsidRPr="004A0F4D">
        <w:rPr>
          <w:rFonts w:ascii="Times New Roman" w:hAnsi="Times New Roman"/>
          <w:noProof/>
          <w:sz w:val="24"/>
          <w:vertAlign w:val="superscript"/>
          <w:lang w:val="en-US"/>
        </w:rPr>
        <w:t>.4</w:t>
      </w:r>
      <w:r w:rsidRPr="004A0F4D">
        <w:rPr>
          <w:rFonts w:ascii="Times New Roman" w:hAnsi="Times New Roman"/>
          <w:noProof/>
          <w:sz w:val="24"/>
          <w:lang w:val="en-US"/>
        </w:rPr>
        <w:t>, Section 8, Paragraph five and the second and third sentence of Section 9, Paragraph two of this Law, if the application thereof commences from the year 2013, shall be enforced if binding regulations have been issued in accordance with the procedures specified in Section 46 of the law On Local Governments until the day when a notification on payment of the tax for the year 2013 has been prepared.</w:t>
      </w:r>
      <w:bookmarkStart w:id="143" w:name="pn47"/>
      <w:bookmarkEnd w:id="143"/>
    </w:p>
    <w:p w14:paraId="11C9A76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0026F32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451503"/>
      <w:bookmarkEnd w:id="144"/>
    </w:p>
    <w:p w14:paraId="714BF55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48. Amendments to the introductory part of Section 3, Paragraph one of this Law (on the right of a local government to specify the immovable property tax rate), Paragraphs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and 1.</w:t>
      </w:r>
      <w:r w:rsidRPr="004A0F4D">
        <w:rPr>
          <w:rFonts w:ascii="Times New Roman" w:hAnsi="Times New Roman"/>
          <w:noProof/>
          <w:sz w:val="24"/>
          <w:vertAlign w:val="superscript"/>
          <w:lang w:val="en-US"/>
        </w:rPr>
        <w:t>4</w:t>
      </w:r>
      <w:r w:rsidRPr="004A0F4D">
        <w:rPr>
          <w:rFonts w:ascii="Times New Roman" w:hAnsi="Times New Roman"/>
          <w:noProof/>
          <w:sz w:val="24"/>
          <w:lang w:val="en-US"/>
        </w:rPr>
        <w:t>, as well as Paragraph 1.</w:t>
      </w:r>
      <w:r w:rsidRPr="004A0F4D">
        <w:rPr>
          <w:rFonts w:ascii="Times New Roman" w:hAnsi="Times New Roman"/>
          <w:noProof/>
          <w:sz w:val="24"/>
          <w:vertAlign w:val="superscript"/>
          <w:lang w:val="en-US"/>
        </w:rPr>
        <w:t xml:space="preserve">5 </w:t>
      </w:r>
      <w:r w:rsidRPr="004A0F4D">
        <w:rPr>
          <w:rFonts w:ascii="Times New Roman" w:hAnsi="Times New Roman"/>
          <w:noProof/>
          <w:sz w:val="24"/>
          <w:lang w:val="en-US"/>
        </w:rPr>
        <w:t>and amendment to Section 5, Paragraph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shall come into force on 1 January 2013.</w:t>
      </w:r>
      <w:bookmarkStart w:id="145" w:name="pn48"/>
      <w:bookmarkEnd w:id="145"/>
    </w:p>
    <w:p w14:paraId="0A10DFD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4467B79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451505"/>
      <w:bookmarkEnd w:id="146"/>
    </w:p>
    <w:p w14:paraId="59FABABA"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49. Amendment to Section 3, Paragraph eight of this Law in relation to substitution of the number “70” with the number “30” shall come into force on 1 January 2013 and shall be applied to the tax calculation for the taxation year 2013 and subsequent taxation years.</w:t>
      </w:r>
      <w:bookmarkStart w:id="147" w:name="pn49"/>
      <w:bookmarkEnd w:id="147"/>
    </w:p>
    <w:p w14:paraId="02DA451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0A9A57A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451507"/>
      <w:bookmarkEnd w:id="148"/>
    </w:p>
    <w:p w14:paraId="5E228880" w14:textId="77777777" w:rsidR="004A0F4D" w:rsidRPr="004A0F4D" w:rsidRDefault="004A0F4D" w:rsidP="004A0F4D">
      <w:pPr>
        <w:keepNext/>
        <w:keepLines/>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lastRenderedPageBreak/>
        <w:t>50.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shall come into force on 1 January 2013. A taxpayer who in 2013 has the right to the relief specified in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shall submit a written submission to the local government during the year 2013 to which documents have been appended, certifying the right of the taxpayer to the application of such relief. If the submission has been submitted until the date of preparation of a tax payment notification, the local government shall apply the relief by performing tax calculation for the year 2013. If the submission has been submitted until the date of preparation of a tax payment notification, the local government shall perform recalculation of the calculated tax and send a new tax payment notification to the submitter.</w:t>
      </w:r>
      <w:bookmarkStart w:id="149" w:name="pn50"/>
      <w:bookmarkEnd w:id="149"/>
    </w:p>
    <w:p w14:paraId="6DDB829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192E8FB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451508"/>
      <w:bookmarkEnd w:id="150"/>
    </w:p>
    <w:p w14:paraId="2A4C087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51. In relation to the year 2014, the data necessary for the application of the relief specified in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shall be handed over to local governments with the intermediation of the State information systems integrator until 15 January 2014.</w:t>
      </w:r>
      <w:bookmarkStart w:id="151" w:name="pn51"/>
      <w:bookmarkEnd w:id="151"/>
    </w:p>
    <w:p w14:paraId="41EDA4C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15 November 2012</w:t>
      </w:r>
      <w:r w:rsidRPr="004A0F4D">
        <w:rPr>
          <w:rFonts w:ascii="Times New Roman" w:hAnsi="Times New Roman"/>
          <w:noProof/>
          <w:sz w:val="24"/>
          <w:lang w:val="en-US"/>
        </w:rPr>
        <w:t>]</w:t>
      </w:r>
    </w:p>
    <w:p w14:paraId="54D7678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496567"/>
      <w:bookmarkEnd w:id="152"/>
    </w:p>
    <w:p w14:paraId="66AC25F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52. The State Inspection for Heritage Protection shall, by 10 January 2014, submit to the local government in the administrative territory of which the State protected cultural monument is located the first-time information on such State protected cultural monuments that are not maintained in accordance with the requirements for the protection of cultural monuments.</w:t>
      </w:r>
      <w:bookmarkStart w:id="153" w:name="pn52"/>
      <w:bookmarkEnd w:id="153"/>
    </w:p>
    <w:p w14:paraId="753A940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634ED6E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496568"/>
      <w:bookmarkEnd w:id="154"/>
    </w:p>
    <w:p w14:paraId="6297DCB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53. A legal person who has become an immovable property taxpayer until 1 January 2014 shall fulfil the duty laid down in Section 9, Paragraph 1.</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by 1 July 2014.</w:t>
      </w:r>
      <w:bookmarkStart w:id="155" w:name="pn53"/>
      <w:bookmarkEnd w:id="155"/>
    </w:p>
    <w:p w14:paraId="76FA850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03CD909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496569"/>
      <w:bookmarkEnd w:id="156"/>
    </w:p>
    <w:p w14:paraId="0030DC3B"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54. The administrators of apartment residential houses referred to in Section 2, Paragraph eight of this Law have an obligation to apply to the local government as the immovable property taxpayers by 1 February 2014.</w:t>
      </w:r>
      <w:bookmarkStart w:id="157" w:name="pn54"/>
      <w:bookmarkEnd w:id="157"/>
    </w:p>
    <w:p w14:paraId="6D7D821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02F3E70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496570"/>
      <w:bookmarkEnd w:id="158"/>
    </w:p>
    <w:p w14:paraId="61F39EFC"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55. By 10 January 2014 the Free Trade Union Confederation of Latvia shall submit the following information to the local government regarding each building (group of premises) corroborated in the Land Register in the name of the Free Trade Union Confederation of Latvia, which it permanently uses for carrying out the functions laid down in laws and regulations:</w:t>
      </w:r>
      <w:bookmarkStart w:id="159" w:name="pn55"/>
      <w:bookmarkEnd w:id="159"/>
    </w:p>
    <w:p w14:paraId="5A270B67"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cadastre number of the immovable property;</w:t>
      </w:r>
    </w:p>
    <w:p w14:paraId="26ED67CE"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designation of the cadastre assigned to the immovable property object;</w:t>
      </w:r>
    </w:p>
    <w:p w14:paraId="7CB4073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3) the address of the immovable property object;</w:t>
      </w:r>
    </w:p>
    <w:p w14:paraId="218526AA"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4) the immovable property object (building, group of premises or their parts, indicating the area);</w:t>
      </w:r>
    </w:p>
    <w:p w14:paraId="0C291A68"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5) justification for non-taxation.</w:t>
      </w:r>
    </w:p>
    <w:p w14:paraId="1FE6C8A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73AD2D7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496571"/>
      <w:bookmarkEnd w:id="160"/>
    </w:p>
    <w:p w14:paraId="55B7581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 xml:space="preserve">56. The holder of the State Unified Computerised Land Register shall, not later than until 10 January 2014, submit to the local government data on the performed and valid corroborations of rental rights in merchant properties. The data shall be provided in a structured or mutually co-ordinated way and in the form of text, if corroboration of rental rights has not been performed in a structured way so that information regarding cadastre designation, address and area of the rental object, date of the rental contract, term of operation of the rental contract, given name, surname of the tenant, date of corroborating the rental rights is mandatorily provided. Until the time when the relevant amendments to the Land Register Law come into force, the holder of the State Unified Computerised Land Register shall, starting from </w:t>
      </w:r>
      <w:r w:rsidRPr="004A0F4D">
        <w:rPr>
          <w:rFonts w:ascii="Times New Roman" w:hAnsi="Times New Roman"/>
          <w:noProof/>
          <w:sz w:val="24"/>
          <w:lang w:val="en-US"/>
        </w:rPr>
        <w:lastRenderedPageBreak/>
        <w:t>1 January 2014, provide data on each corroboration of rental rights to local governments in the form of a structured data field, by indicating cadastre designation, address and area of the rental object, date of the rental contract, term of operation of the rental contract, given name, surname of the tenant, date of corroborating the rental rights, exclusion of rental rights and date of exclusion of rental rights, as well as changes to the rental rights (which concern the abovementioned data) and date of their corroboration.</w:t>
      </w:r>
      <w:bookmarkStart w:id="161" w:name="pn56"/>
      <w:bookmarkEnd w:id="161"/>
    </w:p>
    <w:p w14:paraId="75BC882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5CC154A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496572"/>
      <w:bookmarkEnd w:id="162"/>
    </w:p>
    <w:p w14:paraId="7FD89181"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57. The immovable property tax rate laid down in Section 3, Paragraph one, Clause 2 of this Law shall be applied in the case referred to in Section 3, Paragraph 1.</w:t>
      </w:r>
      <w:r w:rsidRPr="004A0F4D">
        <w:rPr>
          <w:rFonts w:ascii="Times New Roman" w:hAnsi="Times New Roman"/>
          <w:noProof/>
          <w:sz w:val="24"/>
          <w:vertAlign w:val="superscript"/>
          <w:lang w:val="en-US"/>
        </w:rPr>
        <w:t xml:space="preserve">7 </w:t>
      </w:r>
      <w:r w:rsidRPr="004A0F4D">
        <w:rPr>
          <w:rFonts w:ascii="Times New Roman" w:hAnsi="Times New Roman"/>
          <w:noProof/>
          <w:sz w:val="24"/>
          <w:lang w:val="en-US"/>
        </w:rPr>
        <w:t>of this Law also if by 1 July 2014 the merchant has corroborated the rental rights in the Land Register, which arise from rental contracts that have been entered into until the day of coming into force of Section 3, Paragraph 1.</w:t>
      </w:r>
      <w:r w:rsidRPr="004A0F4D">
        <w:rPr>
          <w:rFonts w:ascii="Times New Roman" w:hAnsi="Times New Roman"/>
          <w:noProof/>
          <w:sz w:val="24"/>
          <w:vertAlign w:val="superscript"/>
          <w:lang w:val="en-US"/>
        </w:rPr>
        <w:t xml:space="preserve">7 </w:t>
      </w:r>
      <w:r w:rsidRPr="004A0F4D">
        <w:rPr>
          <w:rFonts w:ascii="Times New Roman" w:hAnsi="Times New Roman"/>
          <w:noProof/>
          <w:sz w:val="24"/>
          <w:lang w:val="en-US"/>
        </w:rPr>
        <w:t>of this Law. In such case the local government shall perform re-calculation of the calculated tax and send a new notification of tax payment to the submitter.</w:t>
      </w:r>
      <w:bookmarkStart w:id="163" w:name="pn57"/>
      <w:bookmarkEnd w:id="163"/>
    </w:p>
    <w:p w14:paraId="32530D1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3729A4FD"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496573"/>
      <w:bookmarkEnd w:id="164"/>
    </w:p>
    <w:p w14:paraId="53AB46E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58. For the buildings, for the construction of which prior to 1 July 2013 a construction permit has been issued, but its term of validity has expired until 31 December 2013 and the buildings have not been put into service, and construction permits have not been renewed until 31 December 2014, the taxation procedures laid down in Section 3, Paragraph .</w:t>
      </w:r>
      <w:r w:rsidRPr="004A0F4D">
        <w:rPr>
          <w:rFonts w:ascii="Times New Roman" w:hAnsi="Times New Roman"/>
          <w:noProof/>
          <w:sz w:val="24"/>
          <w:vertAlign w:val="superscript"/>
          <w:lang w:val="en-US"/>
        </w:rPr>
        <w:t xml:space="preserve">6 </w:t>
      </w:r>
      <w:r w:rsidRPr="004A0F4D">
        <w:rPr>
          <w:rFonts w:ascii="Times New Roman" w:hAnsi="Times New Roman"/>
          <w:noProof/>
          <w:sz w:val="24"/>
          <w:lang w:val="en-US"/>
        </w:rPr>
        <w:t>of this Law shall be applied from 1 January 2015 until the building is put into service.</w:t>
      </w:r>
      <w:bookmarkStart w:id="165" w:name="pn58"/>
      <w:bookmarkEnd w:id="165"/>
    </w:p>
    <w:p w14:paraId="6CCB6F8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5382213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496574"/>
      <w:bookmarkEnd w:id="166"/>
    </w:p>
    <w:p w14:paraId="424174B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59. For the buildings, for the construction of which prior to 1 July 2013 a construction permit has been issued, but its term of validity has expired after 31 December 2013 and the buildings have not been put into service within 12 months after expiry of the term of validity of the permit, or construction permits have been renewed, the taxation procedures laid down in Section 3, Paragraph 1.</w:t>
      </w:r>
      <w:r w:rsidRPr="004A0F4D">
        <w:rPr>
          <w:rFonts w:ascii="Times New Roman" w:hAnsi="Times New Roman"/>
          <w:noProof/>
          <w:sz w:val="24"/>
          <w:vertAlign w:val="superscript"/>
          <w:lang w:val="en-US"/>
        </w:rPr>
        <w:t xml:space="preserve">6 </w:t>
      </w:r>
      <w:r w:rsidRPr="004A0F4D">
        <w:rPr>
          <w:rFonts w:ascii="Times New Roman" w:hAnsi="Times New Roman"/>
          <w:noProof/>
          <w:sz w:val="24"/>
          <w:lang w:val="en-US"/>
        </w:rPr>
        <w:t>of this Law shall be applied from the 13</w:t>
      </w:r>
      <w:r w:rsidRPr="004A0F4D">
        <w:rPr>
          <w:rFonts w:ascii="Times New Roman" w:hAnsi="Times New Roman"/>
          <w:noProof/>
          <w:sz w:val="24"/>
          <w:vertAlign w:val="superscript"/>
          <w:lang w:val="en-US"/>
        </w:rPr>
        <w:t>th</w:t>
      </w:r>
      <w:r w:rsidRPr="004A0F4D">
        <w:rPr>
          <w:rFonts w:ascii="Times New Roman" w:hAnsi="Times New Roman"/>
          <w:noProof/>
          <w:sz w:val="24"/>
          <w:lang w:val="en-US"/>
        </w:rPr>
        <w:t xml:space="preserve"> month after expiry of the term of validity of the permit until the building is put into service.</w:t>
      </w:r>
      <w:bookmarkStart w:id="167" w:name="pn59"/>
      <w:bookmarkEnd w:id="167"/>
    </w:p>
    <w:p w14:paraId="6427E86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6A0C63C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496576"/>
      <w:bookmarkEnd w:id="168"/>
    </w:p>
    <w:p w14:paraId="785DB73D"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60. The deletion of Section 1, Paragraph two, Clause 13 of this Law shall come into force on 1 January 2015.</w:t>
      </w:r>
      <w:bookmarkStart w:id="169" w:name="pn60"/>
      <w:bookmarkEnd w:id="169"/>
    </w:p>
    <w:p w14:paraId="3E4BA47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November 2013</w:t>
      </w:r>
      <w:r w:rsidRPr="004A0F4D">
        <w:rPr>
          <w:rFonts w:ascii="Times New Roman" w:hAnsi="Times New Roman"/>
          <w:noProof/>
          <w:sz w:val="24"/>
          <w:lang w:val="en-US"/>
        </w:rPr>
        <w:t>]</w:t>
      </w:r>
    </w:p>
    <w:p w14:paraId="76F0FBB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509972"/>
      <w:bookmarkEnd w:id="170"/>
    </w:p>
    <w:p w14:paraId="15F6565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61. The Cabinet shall, by 1 October 2014, issue the regulations referred to in Section 1, Paragraph two, Clause 17 of this Law to be applicable starting from the taxation year 2015.</w:t>
      </w:r>
      <w:bookmarkStart w:id="171" w:name="pn61"/>
      <w:bookmarkEnd w:id="171"/>
    </w:p>
    <w:p w14:paraId="265AB83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March 2014</w:t>
      </w:r>
      <w:r w:rsidRPr="004A0F4D">
        <w:rPr>
          <w:rFonts w:ascii="Times New Roman" w:hAnsi="Times New Roman"/>
          <w:noProof/>
          <w:sz w:val="24"/>
          <w:lang w:val="en-US"/>
        </w:rPr>
        <w:t>]</w:t>
      </w:r>
    </w:p>
    <w:p w14:paraId="015B19A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509973"/>
      <w:bookmarkEnd w:id="172"/>
    </w:p>
    <w:p w14:paraId="1EF43AE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62. In relation to the taxation year 2014 Section 1, Paragraph two, Clause 17 of this Law shall be applicable to:</w:t>
      </w:r>
      <w:bookmarkStart w:id="173" w:name="pn62"/>
      <w:bookmarkEnd w:id="173"/>
    </w:p>
    <w:p w14:paraId="1A841625"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1) the immovable property objects referred to in Cabinet Regulation No. 75 of 4 February 2014, Regulations Regarding Immovable Properties Necessary for the Needs of Environmental Protection and Individual Natural Territories not Taxable with the Immovable Property Tax;</w:t>
      </w:r>
    </w:p>
    <w:p w14:paraId="58525C33" w14:textId="77777777" w:rsidR="004A0F4D" w:rsidRPr="004A0F4D" w:rsidRDefault="004A0F4D" w:rsidP="004A0F4D">
      <w:pPr>
        <w:shd w:val="clear" w:color="auto" w:fill="FFFFFF"/>
        <w:spacing w:after="0" w:line="240" w:lineRule="auto"/>
        <w:ind w:firstLine="709"/>
        <w:jc w:val="both"/>
        <w:rPr>
          <w:rFonts w:ascii="Times New Roman" w:hAnsi="Times New Roman"/>
          <w:noProof/>
          <w:sz w:val="24"/>
          <w:lang w:val="en-US"/>
        </w:rPr>
      </w:pPr>
      <w:r w:rsidRPr="004A0F4D">
        <w:rPr>
          <w:rFonts w:ascii="Times New Roman" w:hAnsi="Times New Roman"/>
          <w:noProof/>
          <w:sz w:val="24"/>
          <w:lang w:val="en-US"/>
        </w:rPr>
        <w:t>2) the engineering structures to be used for the needs of environmental protection, as well as such buildings or parts thereof (groups of premises), if equipment for the collection and purification of air pollutants, air and water monitoring stations and buildings which are directly involved in the processes referred to in this Paragraph, as well as buildings which are directly involved in the process of purification of wastewater, storage of household and hazardous waste (also radioactive) and storage and incineration of household and hazardous waste.</w:t>
      </w:r>
    </w:p>
    <w:p w14:paraId="6AA7EF0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March 2014</w:t>
      </w:r>
      <w:r w:rsidRPr="004A0F4D">
        <w:rPr>
          <w:rFonts w:ascii="Times New Roman" w:hAnsi="Times New Roman"/>
          <w:noProof/>
          <w:sz w:val="24"/>
          <w:lang w:val="en-US"/>
        </w:rPr>
        <w:t>]</w:t>
      </w:r>
    </w:p>
    <w:p w14:paraId="478A91B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509974"/>
      <w:bookmarkEnd w:id="174"/>
    </w:p>
    <w:p w14:paraId="2A0460E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63. A local government shall implement the amendment to Section 2, Paragraph eight and Section 2, Paragraph 8.</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regarding the right of the local government to stipulate the procedures for payment of the immovable property tax for 2014 by issuing binding regulations, which shall be adopted in accordance with the procedures laid down in Section 46 of the law On Local Governments and which shall be applicable from taxation year of 2014.</w:t>
      </w:r>
      <w:bookmarkStart w:id="175" w:name="pn63"/>
      <w:bookmarkEnd w:id="175"/>
    </w:p>
    <w:p w14:paraId="05069F2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March 2014</w:t>
      </w:r>
      <w:r w:rsidRPr="004A0F4D">
        <w:rPr>
          <w:rFonts w:ascii="Times New Roman" w:hAnsi="Times New Roman"/>
          <w:noProof/>
          <w:sz w:val="24"/>
          <w:lang w:val="en-US"/>
        </w:rPr>
        <w:t>]</w:t>
      </w:r>
    </w:p>
    <w:p w14:paraId="6A14E3E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571850"/>
      <w:bookmarkEnd w:id="176"/>
    </w:p>
    <w:p w14:paraId="3E77DFFF"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64. The State Land Service shall determine the special value according to the situation as of 1 January 2016 by comparing with the cadastral value as of 31 December 2015 and the cadastral value which was determined on 1 January 2016. The special value is equal to the cadastral value, if the increase of cadastral value determined on 1 January 2016 does not exceed 10 per cent of the cadastral value as of 31 December 2015. The special value is equal to the cadastral value as of 31 December 2015, to which a coefficient 1.1 is applied, if the increase of cadastral determined on 1 January 2016 exceeds 10 per cent of the cadastral value as of 31 December 2015.</w:t>
      </w:r>
      <w:bookmarkStart w:id="177" w:name="pn64"/>
      <w:bookmarkEnd w:id="177"/>
    </w:p>
    <w:p w14:paraId="17D913A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30 November 2015</w:t>
      </w:r>
      <w:r w:rsidRPr="004A0F4D">
        <w:rPr>
          <w:rFonts w:ascii="Times New Roman" w:hAnsi="Times New Roman"/>
          <w:noProof/>
          <w:sz w:val="24"/>
          <w:lang w:val="en-US"/>
        </w:rPr>
        <w:t>]</w:t>
      </w:r>
    </w:p>
    <w:p w14:paraId="7DD2C0B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571851"/>
      <w:bookmarkEnd w:id="178"/>
    </w:p>
    <w:p w14:paraId="1938BD72"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65. If in accordance with Sections 3 and 5 of this Law a local government has issued binding regulations regarding the application of immovable property tax rate or relief for the taxation year of 2016 but amendments are to be made therein in relation to the application of a special value to tax calculation for rural land, the local government may make such amendments until 15 February 2016 by taking them in accordance with the procedures laid down in Section 46 in the law On Local Governments and applying from the taxation year 2016.</w:t>
      </w:r>
      <w:bookmarkStart w:id="179" w:name="pn65"/>
      <w:bookmarkEnd w:id="179"/>
    </w:p>
    <w:p w14:paraId="30C88D7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30 November 2015</w:t>
      </w:r>
      <w:r w:rsidRPr="004A0F4D">
        <w:rPr>
          <w:rFonts w:ascii="Times New Roman" w:hAnsi="Times New Roman"/>
          <w:noProof/>
          <w:sz w:val="24"/>
          <w:lang w:val="en-US"/>
        </w:rPr>
        <w:t>]</w:t>
      </w:r>
    </w:p>
    <w:p w14:paraId="18E7D9E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571853"/>
      <w:bookmarkEnd w:id="180"/>
    </w:p>
    <w:p w14:paraId="119F84A8"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66. Local governments which apply Paragraph 65 of Transitional Provisions shall send to a taxpayer a notification of tax payment for the taxation year 2016 by 1 March.</w:t>
      </w:r>
      <w:bookmarkStart w:id="181" w:name="pn66"/>
      <w:bookmarkEnd w:id="181"/>
    </w:p>
    <w:p w14:paraId="2FB0DFA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30 November 2015</w:t>
      </w:r>
      <w:r w:rsidRPr="004A0F4D">
        <w:rPr>
          <w:rFonts w:ascii="Times New Roman" w:hAnsi="Times New Roman"/>
          <w:noProof/>
          <w:sz w:val="24"/>
          <w:lang w:val="en-US"/>
        </w:rPr>
        <w:t>]</w:t>
      </w:r>
    </w:p>
    <w:p w14:paraId="2F819DA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620889"/>
      <w:bookmarkEnd w:id="182"/>
    </w:p>
    <w:p w14:paraId="1A8902A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67. Section 1, Paragraph two, Clause 14.</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shall come into force on 1 January 2018.</w:t>
      </w:r>
      <w:bookmarkStart w:id="183" w:name="pn67"/>
      <w:bookmarkEnd w:id="183"/>
    </w:p>
    <w:p w14:paraId="1537A05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120F74D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620890"/>
      <w:bookmarkEnd w:id="184"/>
    </w:p>
    <w:p w14:paraId="76011A6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68. To commence the application of Section 1, Paragraph two, Clause 14.</w:t>
      </w:r>
      <w:r w:rsidRPr="004A0F4D">
        <w:rPr>
          <w:rFonts w:ascii="Times New Roman" w:hAnsi="Times New Roman"/>
          <w:noProof/>
          <w:sz w:val="24"/>
          <w:vertAlign w:val="superscript"/>
          <w:lang w:val="en-US"/>
        </w:rPr>
        <w:t xml:space="preserve">1 </w:t>
      </w:r>
      <w:r w:rsidRPr="004A0F4D">
        <w:rPr>
          <w:rFonts w:ascii="Times New Roman" w:hAnsi="Times New Roman"/>
          <w:noProof/>
          <w:sz w:val="24"/>
          <w:lang w:val="en-US"/>
        </w:rPr>
        <w:t>of this Law from 1 January 2018, the State Land Service shall, by 1 July 2017, provide information to local governments regarding area of the border strip in the particular land parcel.</w:t>
      </w:r>
      <w:bookmarkStart w:id="185" w:name="pn68"/>
      <w:bookmarkEnd w:id="185"/>
    </w:p>
    <w:p w14:paraId="235F3FF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18255FC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620892"/>
      <w:bookmarkEnd w:id="186"/>
    </w:p>
    <w:p w14:paraId="6CD799C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69. Section 1, Paragraph 2.</w:t>
      </w:r>
      <w:r w:rsidRPr="004A0F4D">
        <w:rPr>
          <w:rFonts w:ascii="Times New Roman" w:hAnsi="Times New Roman"/>
          <w:noProof/>
          <w:sz w:val="24"/>
          <w:vertAlign w:val="superscript"/>
          <w:lang w:val="en-US"/>
        </w:rPr>
        <w:t xml:space="preserve">3 </w:t>
      </w:r>
      <w:r w:rsidRPr="004A0F4D">
        <w:rPr>
          <w:rFonts w:ascii="Times New Roman" w:hAnsi="Times New Roman"/>
          <w:noProof/>
          <w:sz w:val="24"/>
          <w:lang w:val="en-US"/>
        </w:rPr>
        <w:t>of this Law shall come into force on 1 January 2020.</w:t>
      </w:r>
      <w:bookmarkStart w:id="187" w:name="pn69"/>
      <w:bookmarkEnd w:id="187"/>
    </w:p>
    <w:p w14:paraId="26341EC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388D488E"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620894"/>
      <w:bookmarkEnd w:id="188"/>
    </w:p>
    <w:p w14:paraId="1F25330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70. Amendment to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in relation to its rewording shall come into force on 1 January 2018.</w:t>
      </w:r>
      <w:bookmarkStart w:id="189" w:name="pn70"/>
      <w:bookmarkEnd w:id="189"/>
    </w:p>
    <w:p w14:paraId="712332EF"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6E65FF25"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620895"/>
      <w:bookmarkEnd w:id="190"/>
    </w:p>
    <w:p w14:paraId="59FA2640"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71. To ensure that the amendment to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in relation to its rewording is applied from 1 January 2018, the Cabinet shall, by 1 August 2017, make the necessary amendments to the Cabinet regulations issued in accordance with Section 5, Paragraph 3.</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w:t>
      </w:r>
      <w:bookmarkStart w:id="191" w:name="pn71"/>
      <w:bookmarkEnd w:id="191"/>
    </w:p>
    <w:p w14:paraId="6C9A502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7702898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620896"/>
      <w:bookmarkEnd w:id="192"/>
    </w:p>
    <w:p w14:paraId="3763602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lastRenderedPageBreak/>
        <w:t>72. To ensure that the amendment to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in relation to its rewording is applied from 1 January 2018, the Ministry of Education and Science shall, not later than by 3 January 2018, electronically send to the State information systems’ integrator data on all persons under 24 years of age who on 1 January 2018 are acquiring general, vocational or higher education by indicating the given name, surname, personal identity number of the person – educatee – and by reaching a mutual agreement on the form of the transfer of information.</w:t>
      </w:r>
      <w:bookmarkStart w:id="193" w:name="pn72"/>
      <w:bookmarkEnd w:id="193"/>
    </w:p>
    <w:p w14:paraId="7A6C9D18"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33D39542"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620897"/>
      <w:bookmarkEnd w:id="194"/>
    </w:p>
    <w:p w14:paraId="5711E26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73. With the use of the State information systems’ integrator the data transfer to local governments for the application of the new wording of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from 1 January 2018 shall be ensured not later than until 5 January 2018.</w:t>
      </w:r>
      <w:bookmarkStart w:id="195" w:name="pn73"/>
      <w:bookmarkEnd w:id="195"/>
    </w:p>
    <w:p w14:paraId="6427C363"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647FA6B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620898"/>
      <w:bookmarkEnd w:id="196"/>
    </w:p>
    <w:p w14:paraId="102BE76B"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74. To forecast the impact of the tax reliefs related to the new wording of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on the revenue of local governments from the immovable property tax in 2018, the forecast of the revenue of a local government shall include the sum of reliefs increased by 30 per cent in comparison to the sum of the tax reliefs which have been granted in accordance with Section 5, Paragraph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(in the wording in force on 31 December 2017).</w:t>
      </w:r>
      <w:bookmarkStart w:id="197" w:name="pn74"/>
      <w:bookmarkEnd w:id="197"/>
    </w:p>
    <w:p w14:paraId="7F59B00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2EC3440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620899"/>
      <w:bookmarkEnd w:id="198"/>
    </w:p>
    <w:p w14:paraId="1414A23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 xml:space="preserve">75. The Cabinet shall make the relevant amendments to the laws and regulations until 1 July 2017, if necessary, by submitting also the relevant amendments to the law to the </w:t>
      </w:r>
      <w:r w:rsidRPr="004A0F4D">
        <w:rPr>
          <w:rFonts w:ascii="Times New Roman" w:hAnsi="Times New Roman"/>
          <w:i/>
          <w:iCs/>
          <w:noProof/>
          <w:sz w:val="24"/>
          <w:lang w:val="en-US"/>
        </w:rPr>
        <w:t xml:space="preserve">Saeima </w:t>
      </w:r>
      <w:r w:rsidRPr="004A0F4D">
        <w:rPr>
          <w:rFonts w:ascii="Times New Roman" w:hAnsi="Times New Roman"/>
          <w:noProof/>
          <w:sz w:val="24"/>
          <w:lang w:val="en-US"/>
        </w:rPr>
        <w:t>in order to ensure that data on all persons under 24 years of age who acquire general, vocational or higher education is automatically transferred to the State information systems’ integrator.</w:t>
      </w:r>
      <w:bookmarkStart w:id="199" w:name="pn75"/>
      <w:bookmarkEnd w:id="199"/>
    </w:p>
    <w:p w14:paraId="76A01F99"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6 April 2017</w:t>
      </w:r>
      <w:r w:rsidRPr="004A0F4D">
        <w:rPr>
          <w:rFonts w:ascii="Times New Roman" w:hAnsi="Times New Roman"/>
          <w:noProof/>
          <w:sz w:val="24"/>
          <w:lang w:val="en-US"/>
        </w:rPr>
        <w:t>]</w:t>
      </w:r>
    </w:p>
    <w:p w14:paraId="77E927F1"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1138566"/>
      <w:bookmarkEnd w:id="200"/>
    </w:p>
    <w:p w14:paraId="46AE3007"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76. Section 1, Paragraph two, Clause 1.</w:t>
      </w:r>
      <w:r w:rsidRPr="004A0F4D">
        <w:rPr>
          <w:rFonts w:ascii="Times New Roman" w:hAnsi="Times New Roman"/>
          <w:noProof/>
          <w:sz w:val="24"/>
          <w:vertAlign w:val="superscript"/>
          <w:lang w:val="en-US"/>
        </w:rPr>
        <w:t xml:space="preserve">2 </w:t>
      </w:r>
      <w:r w:rsidRPr="004A0F4D">
        <w:rPr>
          <w:rFonts w:ascii="Times New Roman" w:hAnsi="Times New Roman"/>
          <w:noProof/>
          <w:sz w:val="24"/>
          <w:lang w:val="en-US"/>
        </w:rPr>
        <w:t>of this Law shall come into force on 1 January 2024.</w:t>
      </w:r>
      <w:bookmarkStart w:id="201" w:name="pn76"/>
      <w:bookmarkEnd w:id="201"/>
    </w:p>
    <w:p w14:paraId="2375508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w:t>
      </w:r>
      <w:r w:rsidRPr="004A0F4D">
        <w:rPr>
          <w:rFonts w:ascii="Times New Roman" w:hAnsi="Times New Roman"/>
          <w:i/>
          <w:iCs/>
          <w:noProof/>
          <w:sz w:val="24"/>
          <w:lang w:val="en-US"/>
        </w:rPr>
        <w:t xml:space="preserve">22 September 2022 </w:t>
      </w:r>
      <w:r w:rsidRPr="004A0F4D">
        <w:rPr>
          <w:rFonts w:ascii="Times New Roman" w:hAnsi="Times New Roman"/>
          <w:noProof/>
          <w:sz w:val="24"/>
          <w:lang w:val="en-US"/>
        </w:rPr>
        <w:t>/ </w:t>
      </w:r>
      <w:r w:rsidRPr="004A0F4D">
        <w:rPr>
          <w:rFonts w:ascii="Times New Roman" w:hAnsi="Times New Roman"/>
          <w:i/>
          <w:iCs/>
          <w:noProof/>
          <w:sz w:val="24"/>
          <w:lang w:val="en-US"/>
        </w:rPr>
        <w:t>Paragraph two, Clause 1.</w:t>
      </w:r>
      <w:r w:rsidRPr="004A0F4D">
        <w:rPr>
          <w:rFonts w:ascii="Times New Roman" w:hAnsi="Times New Roman"/>
          <w:i/>
          <w:iCs/>
          <w:noProof/>
          <w:sz w:val="24"/>
          <w:vertAlign w:val="superscript"/>
          <w:lang w:val="en-US"/>
        </w:rPr>
        <w:t xml:space="preserve">2 </w:t>
      </w:r>
      <w:r w:rsidRPr="004A0F4D">
        <w:rPr>
          <w:rFonts w:ascii="Times New Roman" w:hAnsi="Times New Roman"/>
          <w:i/>
          <w:iCs/>
          <w:noProof/>
          <w:sz w:val="24"/>
          <w:lang w:val="en-US"/>
        </w:rPr>
        <w:t>of Section 1 shall be included in the wording of the Law as of 1 January 2024</w:t>
      </w:r>
      <w:r w:rsidRPr="004A0F4D">
        <w:rPr>
          <w:rFonts w:ascii="Times New Roman" w:hAnsi="Times New Roman"/>
          <w:noProof/>
          <w:sz w:val="24"/>
          <w:lang w:val="en-US"/>
        </w:rPr>
        <w:t>]</w:t>
      </w:r>
    </w:p>
    <w:p w14:paraId="669F895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65765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7A0BB2"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The Law shall come into force on 1 January 1998.</w:t>
      </w:r>
    </w:p>
    <w:p w14:paraId="711FA3EC"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E0831A"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rPr>
      </w:pPr>
      <w:r w:rsidRPr="004A0F4D">
        <w:rPr>
          <w:rFonts w:ascii="Times New Roman" w:hAnsi="Times New Roman"/>
          <w:noProof/>
          <w:sz w:val="24"/>
          <w:lang w:val="en-US"/>
        </w:rPr>
        <w:t xml:space="preserve">The Law has been adopted by the </w:t>
      </w:r>
      <w:r w:rsidRPr="004A0F4D">
        <w:rPr>
          <w:rFonts w:ascii="Times New Roman" w:hAnsi="Times New Roman"/>
          <w:i/>
          <w:iCs/>
          <w:noProof/>
          <w:sz w:val="24"/>
          <w:lang w:val="en-US"/>
        </w:rPr>
        <w:t xml:space="preserve">Saeima </w:t>
      </w:r>
      <w:r w:rsidRPr="004A0F4D">
        <w:rPr>
          <w:rFonts w:ascii="Times New Roman" w:hAnsi="Times New Roman"/>
          <w:noProof/>
          <w:sz w:val="24"/>
          <w:lang w:val="en-US"/>
        </w:rPr>
        <w:t>on 4 June 1997.</w:t>
      </w:r>
    </w:p>
    <w:p w14:paraId="71126BB6"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BB1B34" w14:textId="77777777" w:rsidR="004A0F4D" w:rsidRPr="004A0F4D" w:rsidRDefault="004A0F4D" w:rsidP="004A0F4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0F7DEC" w14:textId="77777777" w:rsidR="004A0F4D" w:rsidRPr="004A0F4D" w:rsidRDefault="004A0F4D" w:rsidP="004A0F4D">
      <w:pPr>
        <w:shd w:val="clear" w:color="auto" w:fill="FFFFFF"/>
        <w:tabs>
          <w:tab w:val="left" w:pos="7938"/>
        </w:tabs>
        <w:spacing w:after="0" w:line="240" w:lineRule="auto"/>
        <w:jc w:val="both"/>
        <w:rPr>
          <w:rFonts w:ascii="Times New Roman" w:hAnsi="Times New Roman"/>
          <w:noProof/>
          <w:sz w:val="24"/>
          <w:lang w:val="en-US"/>
        </w:rPr>
      </w:pPr>
      <w:r w:rsidRPr="004A0F4D">
        <w:rPr>
          <w:rFonts w:ascii="Times New Roman" w:hAnsi="Times New Roman"/>
          <w:noProof/>
          <w:sz w:val="24"/>
          <w:lang w:val="en-US"/>
        </w:rPr>
        <w:t xml:space="preserve">Acting for the President, Chairman of the </w:t>
      </w:r>
      <w:r w:rsidRPr="004A0F4D">
        <w:rPr>
          <w:rFonts w:ascii="Times New Roman" w:hAnsi="Times New Roman"/>
          <w:i/>
          <w:iCs/>
          <w:noProof/>
          <w:sz w:val="24"/>
          <w:lang w:val="en-US"/>
        </w:rPr>
        <w:t>Saeima</w:t>
      </w:r>
      <w:r w:rsidRPr="004A0F4D">
        <w:rPr>
          <w:rFonts w:ascii="Times New Roman" w:hAnsi="Times New Roman"/>
          <w:noProof/>
          <w:sz w:val="24"/>
          <w:lang w:val="en-US"/>
        </w:rPr>
        <w:tab/>
        <w:t>A. Čepānis</w:t>
      </w:r>
    </w:p>
    <w:p w14:paraId="185E8D05"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p>
    <w:p w14:paraId="7E54BAD3" w14:textId="77777777" w:rsidR="004A0F4D" w:rsidRPr="004A0F4D" w:rsidRDefault="004A0F4D" w:rsidP="004A0F4D">
      <w:pPr>
        <w:shd w:val="clear" w:color="auto" w:fill="FFFFFF"/>
        <w:spacing w:after="0" w:line="240" w:lineRule="auto"/>
        <w:jc w:val="both"/>
        <w:rPr>
          <w:rFonts w:ascii="Times New Roman" w:hAnsi="Times New Roman"/>
          <w:noProof/>
          <w:sz w:val="24"/>
          <w:lang w:val="en-US"/>
        </w:rPr>
      </w:pPr>
      <w:r w:rsidRPr="004A0F4D">
        <w:rPr>
          <w:rFonts w:ascii="Times New Roman" w:hAnsi="Times New Roman"/>
          <w:noProof/>
          <w:sz w:val="24"/>
          <w:lang w:val="en-US"/>
        </w:rPr>
        <w:t>Rīga, 17 June 1997</w:t>
      </w:r>
    </w:p>
    <w:p w14:paraId="139031D5" w14:textId="77777777" w:rsidR="004A0F4D" w:rsidRPr="004A0F4D" w:rsidRDefault="004A0F4D" w:rsidP="004A0F4D">
      <w:pPr>
        <w:spacing w:after="0" w:line="240" w:lineRule="auto"/>
        <w:jc w:val="both"/>
        <w:rPr>
          <w:rFonts w:ascii="Times New Roman" w:hAnsi="Times New Roman" w:cs="Times New Roman"/>
          <w:noProof/>
          <w:sz w:val="24"/>
          <w:szCs w:val="24"/>
          <w:lang w:val="en-US"/>
        </w:rPr>
      </w:pPr>
    </w:p>
    <w:sectPr w:rsidR="004A0F4D" w:rsidRPr="004A0F4D" w:rsidSect="007A263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D5D6" w14:textId="77777777" w:rsidR="00DE1FFB" w:rsidRPr="004A0F4D" w:rsidRDefault="00DE1FFB" w:rsidP="00DB4620">
      <w:pPr>
        <w:spacing w:after="0" w:line="240" w:lineRule="auto"/>
        <w:rPr>
          <w:noProof/>
          <w:lang w:val="en-US"/>
        </w:rPr>
      </w:pPr>
      <w:r w:rsidRPr="004A0F4D">
        <w:rPr>
          <w:noProof/>
          <w:lang w:val="en-US"/>
        </w:rPr>
        <w:separator/>
      </w:r>
    </w:p>
  </w:endnote>
  <w:endnote w:type="continuationSeparator" w:id="0">
    <w:p w14:paraId="57E471E9" w14:textId="77777777" w:rsidR="00DE1FFB" w:rsidRPr="004A0F4D" w:rsidRDefault="00DE1FFB" w:rsidP="00DB4620">
      <w:pPr>
        <w:spacing w:after="0" w:line="240" w:lineRule="auto"/>
        <w:rPr>
          <w:noProof/>
          <w:lang w:val="en-US"/>
        </w:rPr>
      </w:pPr>
      <w:r w:rsidRPr="004A0F4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134E" w14:textId="77777777" w:rsidR="004A0F4D" w:rsidRDefault="004A0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EC1A" w14:textId="77777777" w:rsidR="00B00B1A" w:rsidRPr="004A0F4D" w:rsidRDefault="00B00B1A" w:rsidP="00B00B1A">
    <w:pPr>
      <w:pStyle w:val="Footer"/>
      <w:rPr>
        <w:rFonts w:ascii="Times New Roman" w:hAnsi="Times New Roman"/>
        <w:noProof/>
        <w:sz w:val="20"/>
        <w:szCs w:val="20"/>
        <w:lang w:val="en-US"/>
      </w:rPr>
    </w:pPr>
  </w:p>
  <w:p w14:paraId="17AD7C56" w14:textId="77777777" w:rsidR="00B00B1A" w:rsidRPr="004A0F4D" w:rsidRDefault="00B00B1A" w:rsidP="00B00B1A">
    <w:pPr>
      <w:pStyle w:val="Footer"/>
      <w:framePr w:wrap="around" w:vAnchor="text" w:hAnchor="margin" w:xAlign="right" w:y="1"/>
      <w:jc w:val="right"/>
      <w:rPr>
        <w:rStyle w:val="PageNumber"/>
        <w:rFonts w:ascii="Times New Roman" w:hAnsi="Times New Roman"/>
        <w:noProof/>
        <w:sz w:val="20"/>
        <w:szCs w:val="20"/>
        <w:lang w:val="en-US"/>
      </w:rPr>
    </w:pPr>
    <w:r w:rsidRPr="004A0F4D">
      <w:rPr>
        <w:rStyle w:val="PageNumber"/>
        <w:rFonts w:ascii="Times New Roman" w:hAnsi="Times New Roman"/>
        <w:noProof/>
        <w:sz w:val="20"/>
        <w:szCs w:val="20"/>
        <w:lang w:val="en-US"/>
      </w:rPr>
      <w:fldChar w:fldCharType="begin"/>
    </w:r>
    <w:r w:rsidRPr="004A0F4D">
      <w:rPr>
        <w:rStyle w:val="PageNumber"/>
        <w:rFonts w:ascii="Times New Roman" w:hAnsi="Times New Roman"/>
        <w:noProof/>
        <w:sz w:val="20"/>
        <w:szCs w:val="20"/>
        <w:lang w:val="en-US"/>
      </w:rPr>
      <w:instrText xml:space="preserve"> PAGE </w:instrText>
    </w:r>
    <w:r w:rsidRPr="004A0F4D">
      <w:rPr>
        <w:rStyle w:val="PageNumber"/>
        <w:rFonts w:ascii="Times New Roman" w:hAnsi="Times New Roman"/>
        <w:noProof/>
        <w:sz w:val="20"/>
        <w:szCs w:val="20"/>
        <w:lang w:val="en-US"/>
      </w:rPr>
      <w:fldChar w:fldCharType="separate"/>
    </w:r>
    <w:r w:rsidRPr="004A0F4D">
      <w:rPr>
        <w:rStyle w:val="PageNumber"/>
        <w:rFonts w:ascii="Times New Roman" w:hAnsi="Times New Roman"/>
        <w:noProof/>
        <w:sz w:val="20"/>
        <w:szCs w:val="20"/>
        <w:lang w:val="en-US"/>
      </w:rPr>
      <w:t>2</w:t>
    </w:r>
    <w:r w:rsidRPr="004A0F4D">
      <w:rPr>
        <w:rStyle w:val="PageNumber"/>
        <w:rFonts w:ascii="Times New Roman" w:hAnsi="Times New Roman"/>
        <w:noProof/>
        <w:sz w:val="20"/>
        <w:szCs w:val="20"/>
        <w:lang w:val="en-US"/>
      </w:rPr>
      <w:fldChar w:fldCharType="end"/>
    </w:r>
    <w:r w:rsidRPr="004A0F4D">
      <w:rPr>
        <w:rStyle w:val="PageNumber"/>
        <w:rFonts w:ascii="Times New Roman" w:hAnsi="Times New Roman"/>
        <w:noProof/>
        <w:sz w:val="20"/>
        <w:szCs w:val="20"/>
        <w:lang w:val="en-US"/>
      </w:rPr>
      <w:t xml:space="preserve"> </w:t>
    </w:r>
  </w:p>
  <w:p w14:paraId="1505139A" w14:textId="09A790C8" w:rsidR="006F4114" w:rsidRPr="004A0F4D" w:rsidRDefault="00B00B1A">
    <w:pPr>
      <w:pStyle w:val="Footer"/>
      <w:rPr>
        <w:rFonts w:ascii="Times New Roman" w:hAnsi="Times New Roman"/>
        <w:noProof/>
        <w:sz w:val="20"/>
        <w:szCs w:val="20"/>
        <w:lang w:val="en-US"/>
      </w:rPr>
    </w:pPr>
    <w:r w:rsidRPr="004A0F4D">
      <w:rPr>
        <w:rFonts w:ascii="Times New Roman" w:hAnsi="Times New Roman"/>
        <w:noProof/>
        <w:sz w:val="20"/>
        <w:szCs w:val="20"/>
        <w:lang w:val="en-US"/>
      </w:rPr>
      <w:t xml:space="preserve">Translation </w:t>
    </w:r>
    <w:r w:rsidRPr="004A0F4D">
      <w:rPr>
        <w:rFonts w:ascii="Times New Roman" w:hAnsi="Times New Roman"/>
        <w:noProof/>
        <w:sz w:val="20"/>
        <w:szCs w:val="20"/>
        <w:lang w:val="en-US"/>
      </w:rPr>
      <w:fldChar w:fldCharType="begin"/>
    </w:r>
    <w:r w:rsidRPr="004A0F4D">
      <w:rPr>
        <w:rFonts w:ascii="Times New Roman" w:hAnsi="Times New Roman"/>
        <w:noProof/>
        <w:sz w:val="20"/>
        <w:szCs w:val="20"/>
        <w:lang w:val="en-US"/>
      </w:rPr>
      <w:instrText>symbol 169 \f "UnivrstyRoman TL" \s 8</w:instrText>
    </w:r>
    <w:r w:rsidRPr="004A0F4D">
      <w:rPr>
        <w:rFonts w:ascii="Times New Roman" w:hAnsi="Times New Roman"/>
        <w:noProof/>
        <w:sz w:val="20"/>
        <w:szCs w:val="20"/>
        <w:lang w:val="en-US"/>
      </w:rPr>
      <w:fldChar w:fldCharType="separate"/>
    </w:r>
    <w:r w:rsidRPr="004A0F4D">
      <w:rPr>
        <w:rFonts w:ascii="Times New Roman" w:hAnsi="Times New Roman"/>
        <w:noProof/>
        <w:sz w:val="20"/>
        <w:szCs w:val="20"/>
        <w:lang w:val="en-US"/>
      </w:rPr>
      <w:t>©</w:t>
    </w:r>
    <w:r w:rsidRPr="004A0F4D">
      <w:rPr>
        <w:rFonts w:ascii="Times New Roman" w:hAnsi="Times New Roman"/>
        <w:noProof/>
        <w:sz w:val="20"/>
        <w:szCs w:val="20"/>
        <w:lang w:val="en-US"/>
      </w:rPr>
      <w:fldChar w:fldCharType="end"/>
    </w:r>
    <w:r w:rsidRPr="004A0F4D">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BEF8" w14:textId="77777777" w:rsidR="005910AC" w:rsidRPr="004A0F4D" w:rsidRDefault="005910AC" w:rsidP="005910AC">
    <w:pPr>
      <w:pStyle w:val="Footer"/>
      <w:rPr>
        <w:rFonts w:ascii="Times New Roman" w:hAnsi="Times New Roman"/>
        <w:noProof/>
        <w:sz w:val="20"/>
        <w:szCs w:val="20"/>
        <w:vertAlign w:val="superscript"/>
        <w:lang w:val="en-US"/>
      </w:rPr>
    </w:pPr>
  </w:p>
  <w:p w14:paraId="54272056" w14:textId="77777777" w:rsidR="005910AC" w:rsidRPr="004A0F4D" w:rsidRDefault="005910AC" w:rsidP="005910AC">
    <w:pPr>
      <w:pStyle w:val="Footer"/>
      <w:rPr>
        <w:rFonts w:ascii="Times New Roman" w:hAnsi="Times New Roman"/>
        <w:noProof/>
        <w:sz w:val="20"/>
        <w:szCs w:val="20"/>
        <w:lang w:val="en-US"/>
      </w:rPr>
    </w:pPr>
    <w:r w:rsidRPr="004A0F4D">
      <w:rPr>
        <w:rFonts w:ascii="Times New Roman" w:hAnsi="Times New Roman"/>
        <w:noProof/>
        <w:sz w:val="20"/>
        <w:szCs w:val="20"/>
        <w:vertAlign w:val="superscript"/>
        <w:lang w:val="en-US"/>
      </w:rPr>
      <w:t xml:space="preserve">1 </w:t>
    </w:r>
    <w:r w:rsidRPr="004A0F4D">
      <w:rPr>
        <w:rFonts w:ascii="Times New Roman" w:hAnsi="Times New Roman"/>
        <w:noProof/>
        <w:sz w:val="20"/>
        <w:szCs w:val="20"/>
        <w:lang w:val="en-US"/>
      </w:rPr>
      <w:t>The Parliament of the Republic of Latvia</w:t>
    </w:r>
  </w:p>
  <w:p w14:paraId="7C1060D3" w14:textId="77777777" w:rsidR="005910AC" w:rsidRPr="004A0F4D" w:rsidRDefault="005910AC" w:rsidP="005910AC">
    <w:pPr>
      <w:pStyle w:val="Footer"/>
      <w:rPr>
        <w:rFonts w:ascii="Times New Roman" w:hAnsi="Times New Roman"/>
        <w:noProof/>
        <w:sz w:val="20"/>
        <w:szCs w:val="20"/>
        <w:lang w:val="en-US"/>
      </w:rPr>
    </w:pPr>
  </w:p>
  <w:p w14:paraId="22764FEA" w14:textId="549A15DC" w:rsidR="006F4114" w:rsidRPr="004A0F4D" w:rsidRDefault="005910AC">
    <w:pPr>
      <w:pStyle w:val="Footer"/>
      <w:rPr>
        <w:rFonts w:ascii="Times New Roman" w:hAnsi="Times New Roman"/>
        <w:noProof/>
        <w:sz w:val="20"/>
        <w:szCs w:val="20"/>
        <w:lang w:val="en-US"/>
      </w:rPr>
    </w:pPr>
    <w:r w:rsidRPr="004A0F4D">
      <w:rPr>
        <w:rFonts w:ascii="Times New Roman" w:hAnsi="Times New Roman"/>
        <w:noProof/>
        <w:sz w:val="20"/>
        <w:szCs w:val="20"/>
        <w:lang w:val="en-US"/>
      </w:rPr>
      <w:t xml:space="preserve">Translation </w:t>
    </w:r>
    <w:r w:rsidRPr="004A0F4D">
      <w:rPr>
        <w:rFonts w:ascii="Times New Roman" w:hAnsi="Times New Roman"/>
        <w:noProof/>
        <w:sz w:val="20"/>
        <w:szCs w:val="20"/>
        <w:lang w:val="en-US"/>
      </w:rPr>
      <w:fldChar w:fldCharType="begin"/>
    </w:r>
    <w:r w:rsidRPr="004A0F4D">
      <w:rPr>
        <w:rFonts w:ascii="Times New Roman" w:hAnsi="Times New Roman"/>
        <w:noProof/>
        <w:sz w:val="20"/>
        <w:szCs w:val="20"/>
        <w:lang w:val="en-US"/>
      </w:rPr>
      <w:instrText>symbol 169 \f "UnivrstyRoman TL" \s 8</w:instrText>
    </w:r>
    <w:r w:rsidRPr="004A0F4D">
      <w:rPr>
        <w:rFonts w:ascii="Times New Roman" w:hAnsi="Times New Roman"/>
        <w:noProof/>
        <w:sz w:val="20"/>
        <w:szCs w:val="20"/>
        <w:lang w:val="en-US"/>
      </w:rPr>
      <w:fldChar w:fldCharType="separate"/>
    </w:r>
    <w:r w:rsidRPr="004A0F4D">
      <w:rPr>
        <w:rFonts w:ascii="Times New Roman" w:hAnsi="Times New Roman"/>
        <w:noProof/>
        <w:sz w:val="20"/>
        <w:szCs w:val="20"/>
        <w:lang w:val="en-US"/>
      </w:rPr>
      <w:t>©</w:t>
    </w:r>
    <w:r w:rsidRPr="004A0F4D">
      <w:rPr>
        <w:rFonts w:ascii="Times New Roman" w:hAnsi="Times New Roman"/>
        <w:noProof/>
        <w:sz w:val="20"/>
        <w:szCs w:val="20"/>
        <w:lang w:val="en-US"/>
      </w:rPr>
      <w:fldChar w:fldCharType="end"/>
    </w:r>
    <w:r w:rsidRPr="004A0F4D">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3A8C" w14:textId="77777777" w:rsidR="00DE1FFB" w:rsidRPr="004A0F4D" w:rsidRDefault="00DE1FFB" w:rsidP="00DB4620">
      <w:pPr>
        <w:spacing w:after="0" w:line="240" w:lineRule="auto"/>
        <w:rPr>
          <w:noProof/>
          <w:lang w:val="en-US"/>
        </w:rPr>
      </w:pPr>
      <w:r w:rsidRPr="004A0F4D">
        <w:rPr>
          <w:noProof/>
          <w:lang w:val="en-US"/>
        </w:rPr>
        <w:separator/>
      </w:r>
    </w:p>
  </w:footnote>
  <w:footnote w:type="continuationSeparator" w:id="0">
    <w:p w14:paraId="412D5B0D" w14:textId="77777777" w:rsidR="00DE1FFB" w:rsidRPr="004A0F4D" w:rsidRDefault="00DE1FFB" w:rsidP="00DB4620">
      <w:pPr>
        <w:spacing w:after="0" w:line="240" w:lineRule="auto"/>
        <w:rPr>
          <w:noProof/>
          <w:lang w:val="en-US"/>
        </w:rPr>
      </w:pPr>
      <w:r w:rsidRPr="004A0F4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DA3D" w14:textId="77777777" w:rsidR="004A0F4D" w:rsidRDefault="004A0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7CC3" w14:textId="77777777" w:rsidR="004A0F4D" w:rsidRDefault="004A0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1330" w14:textId="77777777" w:rsidR="004A0F4D" w:rsidRDefault="004A0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B7"/>
    <w:rsid w:val="000032B5"/>
    <w:rsid w:val="00052489"/>
    <w:rsid w:val="000B4F4B"/>
    <w:rsid w:val="001629DD"/>
    <w:rsid w:val="00164CCF"/>
    <w:rsid w:val="001913E8"/>
    <w:rsid w:val="00197FB7"/>
    <w:rsid w:val="001D5C31"/>
    <w:rsid w:val="00287834"/>
    <w:rsid w:val="002F7505"/>
    <w:rsid w:val="00362A6C"/>
    <w:rsid w:val="003E6A15"/>
    <w:rsid w:val="004203D6"/>
    <w:rsid w:val="0043514A"/>
    <w:rsid w:val="004454AB"/>
    <w:rsid w:val="004905A7"/>
    <w:rsid w:val="004A0F4D"/>
    <w:rsid w:val="004E123A"/>
    <w:rsid w:val="004F61AE"/>
    <w:rsid w:val="005032B8"/>
    <w:rsid w:val="00512E68"/>
    <w:rsid w:val="0052147E"/>
    <w:rsid w:val="005319B4"/>
    <w:rsid w:val="00564499"/>
    <w:rsid w:val="00581328"/>
    <w:rsid w:val="005910AC"/>
    <w:rsid w:val="00641CE0"/>
    <w:rsid w:val="006F4114"/>
    <w:rsid w:val="007052E6"/>
    <w:rsid w:val="00772D7B"/>
    <w:rsid w:val="007A263B"/>
    <w:rsid w:val="007C397E"/>
    <w:rsid w:val="007C4F5A"/>
    <w:rsid w:val="008411C8"/>
    <w:rsid w:val="008824E4"/>
    <w:rsid w:val="0089716F"/>
    <w:rsid w:val="0090119A"/>
    <w:rsid w:val="00913D7A"/>
    <w:rsid w:val="009540CC"/>
    <w:rsid w:val="00964D47"/>
    <w:rsid w:val="0098721F"/>
    <w:rsid w:val="00994854"/>
    <w:rsid w:val="00996309"/>
    <w:rsid w:val="00A0627A"/>
    <w:rsid w:val="00A37CDF"/>
    <w:rsid w:val="00A65E5B"/>
    <w:rsid w:val="00A774D4"/>
    <w:rsid w:val="00B00B1A"/>
    <w:rsid w:val="00B92A71"/>
    <w:rsid w:val="00BE69CA"/>
    <w:rsid w:val="00CA469E"/>
    <w:rsid w:val="00CE5E1B"/>
    <w:rsid w:val="00D07F48"/>
    <w:rsid w:val="00D61025"/>
    <w:rsid w:val="00D73855"/>
    <w:rsid w:val="00D81E33"/>
    <w:rsid w:val="00DB4620"/>
    <w:rsid w:val="00DE1FFB"/>
    <w:rsid w:val="00E12FC3"/>
    <w:rsid w:val="00E41EAC"/>
    <w:rsid w:val="00E57350"/>
    <w:rsid w:val="00F22D59"/>
    <w:rsid w:val="00F3535C"/>
    <w:rsid w:val="00FD6793"/>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3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721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721F"/>
    <w:rPr>
      <w:rFonts w:ascii="Times New Roman" w:eastAsia="Times New Roman" w:hAnsi="Times New Roman" w:cs="Times New Roman"/>
      <w:b/>
      <w:bCs/>
      <w:sz w:val="27"/>
      <w:szCs w:val="27"/>
      <w:lang w:eastAsia="lv-LV"/>
    </w:rPr>
  </w:style>
  <w:style w:type="paragraph" w:customStyle="1" w:styleId="likc">
    <w:name w:val="lik_c"/>
    <w:basedOn w:val="Normal"/>
    <w:rsid w:val="009872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8721F"/>
    <w:rPr>
      <w:color w:val="0000FF"/>
      <w:u w:val="single"/>
    </w:rPr>
  </w:style>
  <w:style w:type="paragraph" w:styleId="NormalWeb">
    <w:name w:val="Normal (Web)"/>
    <w:basedOn w:val="Normal"/>
    <w:uiPriority w:val="99"/>
    <w:semiHidden/>
    <w:unhideWhenUsed/>
    <w:rsid w:val="009872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9872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DB46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B46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B4620"/>
  </w:style>
  <w:style w:type="character" w:styleId="FollowedHyperlink">
    <w:name w:val="FollowedHyperlink"/>
    <w:basedOn w:val="DefaultParagraphFont"/>
    <w:uiPriority w:val="99"/>
    <w:semiHidden/>
    <w:unhideWhenUsed/>
    <w:rsid w:val="00DB4620"/>
    <w:rPr>
      <w:color w:val="800080"/>
      <w:u w:val="single"/>
    </w:rPr>
  </w:style>
  <w:style w:type="paragraph" w:customStyle="1" w:styleId="labojumupamats">
    <w:name w:val="labojumu_pamats"/>
    <w:basedOn w:val="Normal"/>
    <w:rsid w:val="00DB46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B4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620"/>
  </w:style>
  <w:style w:type="paragraph" w:styleId="Footer">
    <w:name w:val="footer"/>
    <w:basedOn w:val="Normal"/>
    <w:link w:val="FooterChar"/>
    <w:unhideWhenUsed/>
    <w:rsid w:val="00DB4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620"/>
  </w:style>
  <w:style w:type="paragraph" w:styleId="BlockText">
    <w:name w:val="Block Text"/>
    <w:basedOn w:val="Normal"/>
    <w:rsid w:val="007052E6"/>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rsid w:val="00B0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80743">
      <w:bodyDiv w:val="1"/>
      <w:marLeft w:val="0"/>
      <w:marRight w:val="0"/>
      <w:marTop w:val="0"/>
      <w:marBottom w:val="0"/>
      <w:divBdr>
        <w:top w:val="none" w:sz="0" w:space="0" w:color="auto"/>
        <w:left w:val="none" w:sz="0" w:space="0" w:color="auto"/>
        <w:bottom w:val="none" w:sz="0" w:space="0" w:color="auto"/>
        <w:right w:val="none" w:sz="0" w:space="0" w:color="auto"/>
      </w:divBdr>
    </w:div>
    <w:div w:id="726799052">
      <w:bodyDiv w:val="1"/>
      <w:marLeft w:val="0"/>
      <w:marRight w:val="0"/>
      <w:marTop w:val="0"/>
      <w:marBottom w:val="0"/>
      <w:divBdr>
        <w:top w:val="none" w:sz="0" w:space="0" w:color="auto"/>
        <w:left w:val="none" w:sz="0" w:space="0" w:color="auto"/>
        <w:bottom w:val="none" w:sz="0" w:space="0" w:color="auto"/>
        <w:right w:val="none" w:sz="0" w:space="0" w:color="auto"/>
      </w:divBdr>
      <w:divsChild>
        <w:div w:id="1731077477">
          <w:marLeft w:val="0"/>
          <w:marRight w:val="0"/>
          <w:marTop w:val="480"/>
          <w:marBottom w:val="240"/>
          <w:divBdr>
            <w:top w:val="none" w:sz="0" w:space="0" w:color="auto"/>
            <w:left w:val="none" w:sz="0" w:space="0" w:color="auto"/>
            <w:bottom w:val="none" w:sz="0" w:space="0" w:color="auto"/>
            <w:right w:val="none" w:sz="0" w:space="0" w:color="auto"/>
          </w:divBdr>
        </w:div>
        <w:div w:id="624889645">
          <w:marLeft w:val="0"/>
          <w:marRight w:val="0"/>
          <w:marTop w:val="0"/>
          <w:marBottom w:val="567"/>
          <w:divBdr>
            <w:top w:val="none" w:sz="0" w:space="0" w:color="auto"/>
            <w:left w:val="none" w:sz="0" w:space="0" w:color="auto"/>
            <w:bottom w:val="none" w:sz="0" w:space="0" w:color="auto"/>
            <w:right w:val="none" w:sz="0" w:space="0" w:color="auto"/>
          </w:divBdr>
        </w:div>
        <w:div w:id="919370892">
          <w:marLeft w:val="0"/>
          <w:marRight w:val="0"/>
          <w:marTop w:val="0"/>
          <w:marBottom w:val="0"/>
          <w:divBdr>
            <w:top w:val="none" w:sz="0" w:space="0" w:color="auto"/>
            <w:left w:val="none" w:sz="0" w:space="0" w:color="auto"/>
            <w:bottom w:val="none" w:sz="0" w:space="0" w:color="auto"/>
            <w:right w:val="none" w:sz="0" w:space="0" w:color="auto"/>
          </w:divBdr>
        </w:div>
        <w:div w:id="983969428">
          <w:marLeft w:val="0"/>
          <w:marRight w:val="0"/>
          <w:marTop w:val="0"/>
          <w:marBottom w:val="0"/>
          <w:divBdr>
            <w:top w:val="none" w:sz="0" w:space="0" w:color="auto"/>
            <w:left w:val="none" w:sz="0" w:space="0" w:color="auto"/>
            <w:bottom w:val="none" w:sz="0" w:space="0" w:color="auto"/>
            <w:right w:val="none" w:sz="0" w:space="0" w:color="auto"/>
          </w:divBdr>
        </w:div>
        <w:div w:id="1895967295">
          <w:marLeft w:val="0"/>
          <w:marRight w:val="0"/>
          <w:marTop w:val="0"/>
          <w:marBottom w:val="0"/>
          <w:divBdr>
            <w:top w:val="none" w:sz="0" w:space="0" w:color="auto"/>
            <w:left w:val="none" w:sz="0" w:space="0" w:color="auto"/>
            <w:bottom w:val="none" w:sz="0" w:space="0" w:color="auto"/>
            <w:right w:val="none" w:sz="0" w:space="0" w:color="auto"/>
          </w:divBdr>
        </w:div>
        <w:div w:id="1291933303">
          <w:marLeft w:val="0"/>
          <w:marRight w:val="0"/>
          <w:marTop w:val="0"/>
          <w:marBottom w:val="0"/>
          <w:divBdr>
            <w:top w:val="none" w:sz="0" w:space="0" w:color="auto"/>
            <w:left w:val="none" w:sz="0" w:space="0" w:color="auto"/>
            <w:bottom w:val="none" w:sz="0" w:space="0" w:color="auto"/>
            <w:right w:val="none" w:sz="0" w:space="0" w:color="auto"/>
          </w:divBdr>
        </w:div>
        <w:div w:id="688725248">
          <w:marLeft w:val="0"/>
          <w:marRight w:val="0"/>
          <w:marTop w:val="0"/>
          <w:marBottom w:val="0"/>
          <w:divBdr>
            <w:top w:val="none" w:sz="0" w:space="0" w:color="auto"/>
            <w:left w:val="none" w:sz="0" w:space="0" w:color="auto"/>
            <w:bottom w:val="none" w:sz="0" w:space="0" w:color="auto"/>
            <w:right w:val="none" w:sz="0" w:space="0" w:color="auto"/>
          </w:divBdr>
        </w:div>
        <w:div w:id="328603682">
          <w:marLeft w:val="0"/>
          <w:marRight w:val="0"/>
          <w:marTop w:val="0"/>
          <w:marBottom w:val="0"/>
          <w:divBdr>
            <w:top w:val="none" w:sz="0" w:space="0" w:color="auto"/>
            <w:left w:val="none" w:sz="0" w:space="0" w:color="auto"/>
            <w:bottom w:val="none" w:sz="0" w:space="0" w:color="auto"/>
            <w:right w:val="none" w:sz="0" w:space="0" w:color="auto"/>
          </w:divBdr>
        </w:div>
        <w:div w:id="1764449574">
          <w:marLeft w:val="0"/>
          <w:marRight w:val="0"/>
          <w:marTop w:val="0"/>
          <w:marBottom w:val="0"/>
          <w:divBdr>
            <w:top w:val="none" w:sz="0" w:space="0" w:color="auto"/>
            <w:left w:val="none" w:sz="0" w:space="0" w:color="auto"/>
            <w:bottom w:val="none" w:sz="0" w:space="0" w:color="auto"/>
            <w:right w:val="none" w:sz="0" w:space="0" w:color="auto"/>
          </w:divBdr>
        </w:div>
        <w:div w:id="480004240">
          <w:marLeft w:val="0"/>
          <w:marRight w:val="0"/>
          <w:marTop w:val="0"/>
          <w:marBottom w:val="0"/>
          <w:divBdr>
            <w:top w:val="none" w:sz="0" w:space="0" w:color="auto"/>
            <w:left w:val="none" w:sz="0" w:space="0" w:color="auto"/>
            <w:bottom w:val="none" w:sz="0" w:space="0" w:color="auto"/>
            <w:right w:val="none" w:sz="0" w:space="0" w:color="auto"/>
          </w:divBdr>
        </w:div>
        <w:div w:id="1394543907">
          <w:marLeft w:val="0"/>
          <w:marRight w:val="0"/>
          <w:marTop w:val="0"/>
          <w:marBottom w:val="0"/>
          <w:divBdr>
            <w:top w:val="none" w:sz="0" w:space="0" w:color="auto"/>
            <w:left w:val="none" w:sz="0" w:space="0" w:color="auto"/>
            <w:bottom w:val="none" w:sz="0" w:space="0" w:color="auto"/>
            <w:right w:val="none" w:sz="0" w:space="0" w:color="auto"/>
          </w:divBdr>
        </w:div>
        <w:div w:id="374046025">
          <w:marLeft w:val="0"/>
          <w:marRight w:val="0"/>
          <w:marTop w:val="0"/>
          <w:marBottom w:val="0"/>
          <w:divBdr>
            <w:top w:val="none" w:sz="0" w:space="0" w:color="auto"/>
            <w:left w:val="none" w:sz="0" w:space="0" w:color="auto"/>
            <w:bottom w:val="none" w:sz="0" w:space="0" w:color="auto"/>
            <w:right w:val="none" w:sz="0" w:space="0" w:color="auto"/>
          </w:divBdr>
        </w:div>
        <w:div w:id="313409754">
          <w:marLeft w:val="0"/>
          <w:marRight w:val="0"/>
          <w:marTop w:val="0"/>
          <w:marBottom w:val="0"/>
          <w:divBdr>
            <w:top w:val="none" w:sz="0" w:space="0" w:color="auto"/>
            <w:left w:val="none" w:sz="0" w:space="0" w:color="auto"/>
            <w:bottom w:val="none" w:sz="0" w:space="0" w:color="auto"/>
            <w:right w:val="none" w:sz="0" w:space="0" w:color="auto"/>
          </w:divBdr>
        </w:div>
        <w:div w:id="429593037">
          <w:marLeft w:val="0"/>
          <w:marRight w:val="0"/>
          <w:marTop w:val="0"/>
          <w:marBottom w:val="0"/>
          <w:divBdr>
            <w:top w:val="none" w:sz="0" w:space="0" w:color="auto"/>
            <w:left w:val="none" w:sz="0" w:space="0" w:color="auto"/>
            <w:bottom w:val="none" w:sz="0" w:space="0" w:color="auto"/>
            <w:right w:val="none" w:sz="0" w:space="0" w:color="auto"/>
          </w:divBdr>
        </w:div>
        <w:div w:id="1628927643">
          <w:marLeft w:val="0"/>
          <w:marRight w:val="0"/>
          <w:marTop w:val="0"/>
          <w:marBottom w:val="0"/>
          <w:divBdr>
            <w:top w:val="none" w:sz="0" w:space="0" w:color="auto"/>
            <w:left w:val="none" w:sz="0" w:space="0" w:color="auto"/>
            <w:bottom w:val="none" w:sz="0" w:space="0" w:color="auto"/>
            <w:right w:val="none" w:sz="0" w:space="0" w:color="auto"/>
          </w:divBdr>
        </w:div>
        <w:div w:id="1398086946">
          <w:marLeft w:val="0"/>
          <w:marRight w:val="0"/>
          <w:marTop w:val="0"/>
          <w:marBottom w:val="0"/>
          <w:divBdr>
            <w:top w:val="none" w:sz="0" w:space="0" w:color="auto"/>
            <w:left w:val="none" w:sz="0" w:space="0" w:color="auto"/>
            <w:bottom w:val="none" w:sz="0" w:space="0" w:color="auto"/>
            <w:right w:val="none" w:sz="0" w:space="0" w:color="auto"/>
          </w:divBdr>
        </w:div>
        <w:div w:id="921597256">
          <w:marLeft w:val="0"/>
          <w:marRight w:val="0"/>
          <w:marTop w:val="135"/>
          <w:marBottom w:val="0"/>
          <w:divBdr>
            <w:top w:val="none" w:sz="0" w:space="0" w:color="auto"/>
            <w:left w:val="none" w:sz="0" w:space="0" w:color="auto"/>
            <w:bottom w:val="none" w:sz="0" w:space="0" w:color="auto"/>
            <w:right w:val="none" w:sz="0" w:space="0" w:color="auto"/>
          </w:divBdr>
        </w:div>
        <w:div w:id="2073656962">
          <w:marLeft w:val="0"/>
          <w:marRight w:val="0"/>
          <w:marTop w:val="0"/>
          <w:marBottom w:val="0"/>
          <w:divBdr>
            <w:top w:val="none" w:sz="0" w:space="0" w:color="auto"/>
            <w:left w:val="none" w:sz="0" w:space="0" w:color="auto"/>
            <w:bottom w:val="none" w:sz="0" w:space="0" w:color="auto"/>
            <w:right w:val="none" w:sz="0" w:space="0" w:color="auto"/>
          </w:divBdr>
        </w:div>
        <w:div w:id="1708215543">
          <w:marLeft w:val="0"/>
          <w:marRight w:val="0"/>
          <w:marTop w:val="0"/>
          <w:marBottom w:val="0"/>
          <w:divBdr>
            <w:top w:val="none" w:sz="0" w:space="0" w:color="auto"/>
            <w:left w:val="none" w:sz="0" w:space="0" w:color="auto"/>
            <w:bottom w:val="none" w:sz="0" w:space="0" w:color="auto"/>
            <w:right w:val="none" w:sz="0" w:space="0" w:color="auto"/>
          </w:divBdr>
        </w:div>
        <w:div w:id="740714119">
          <w:marLeft w:val="0"/>
          <w:marRight w:val="0"/>
          <w:marTop w:val="0"/>
          <w:marBottom w:val="0"/>
          <w:divBdr>
            <w:top w:val="none" w:sz="0" w:space="0" w:color="auto"/>
            <w:left w:val="none" w:sz="0" w:space="0" w:color="auto"/>
            <w:bottom w:val="none" w:sz="0" w:space="0" w:color="auto"/>
            <w:right w:val="none" w:sz="0" w:space="0" w:color="auto"/>
          </w:divBdr>
        </w:div>
        <w:div w:id="1667245130">
          <w:marLeft w:val="0"/>
          <w:marRight w:val="0"/>
          <w:marTop w:val="0"/>
          <w:marBottom w:val="0"/>
          <w:divBdr>
            <w:top w:val="none" w:sz="0" w:space="0" w:color="auto"/>
            <w:left w:val="none" w:sz="0" w:space="0" w:color="auto"/>
            <w:bottom w:val="none" w:sz="0" w:space="0" w:color="auto"/>
            <w:right w:val="none" w:sz="0" w:space="0" w:color="auto"/>
          </w:divBdr>
        </w:div>
        <w:div w:id="1134714918">
          <w:marLeft w:val="0"/>
          <w:marRight w:val="0"/>
          <w:marTop w:val="0"/>
          <w:marBottom w:val="0"/>
          <w:divBdr>
            <w:top w:val="none" w:sz="0" w:space="0" w:color="auto"/>
            <w:left w:val="none" w:sz="0" w:space="0" w:color="auto"/>
            <w:bottom w:val="none" w:sz="0" w:space="0" w:color="auto"/>
            <w:right w:val="none" w:sz="0" w:space="0" w:color="auto"/>
          </w:divBdr>
        </w:div>
        <w:div w:id="806169001">
          <w:marLeft w:val="0"/>
          <w:marRight w:val="0"/>
          <w:marTop w:val="0"/>
          <w:marBottom w:val="0"/>
          <w:divBdr>
            <w:top w:val="none" w:sz="0" w:space="0" w:color="auto"/>
            <w:left w:val="none" w:sz="0" w:space="0" w:color="auto"/>
            <w:bottom w:val="none" w:sz="0" w:space="0" w:color="auto"/>
            <w:right w:val="none" w:sz="0" w:space="0" w:color="auto"/>
          </w:divBdr>
        </w:div>
        <w:div w:id="1495952666">
          <w:marLeft w:val="0"/>
          <w:marRight w:val="0"/>
          <w:marTop w:val="0"/>
          <w:marBottom w:val="0"/>
          <w:divBdr>
            <w:top w:val="none" w:sz="0" w:space="0" w:color="auto"/>
            <w:left w:val="none" w:sz="0" w:space="0" w:color="auto"/>
            <w:bottom w:val="none" w:sz="0" w:space="0" w:color="auto"/>
            <w:right w:val="none" w:sz="0" w:space="0" w:color="auto"/>
          </w:divBdr>
        </w:div>
        <w:div w:id="839925213">
          <w:marLeft w:val="0"/>
          <w:marRight w:val="0"/>
          <w:marTop w:val="0"/>
          <w:marBottom w:val="0"/>
          <w:divBdr>
            <w:top w:val="none" w:sz="0" w:space="0" w:color="auto"/>
            <w:left w:val="none" w:sz="0" w:space="0" w:color="auto"/>
            <w:bottom w:val="none" w:sz="0" w:space="0" w:color="auto"/>
            <w:right w:val="none" w:sz="0" w:space="0" w:color="auto"/>
          </w:divBdr>
        </w:div>
        <w:div w:id="1552233477">
          <w:marLeft w:val="0"/>
          <w:marRight w:val="0"/>
          <w:marTop w:val="0"/>
          <w:marBottom w:val="0"/>
          <w:divBdr>
            <w:top w:val="none" w:sz="0" w:space="0" w:color="auto"/>
            <w:left w:val="none" w:sz="0" w:space="0" w:color="auto"/>
            <w:bottom w:val="none" w:sz="0" w:space="0" w:color="auto"/>
            <w:right w:val="none" w:sz="0" w:space="0" w:color="auto"/>
          </w:divBdr>
        </w:div>
        <w:div w:id="685406462">
          <w:marLeft w:val="0"/>
          <w:marRight w:val="0"/>
          <w:marTop w:val="0"/>
          <w:marBottom w:val="0"/>
          <w:divBdr>
            <w:top w:val="none" w:sz="0" w:space="0" w:color="auto"/>
            <w:left w:val="none" w:sz="0" w:space="0" w:color="auto"/>
            <w:bottom w:val="none" w:sz="0" w:space="0" w:color="auto"/>
            <w:right w:val="none" w:sz="0" w:space="0" w:color="auto"/>
          </w:divBdr>
        </w:div>
        <w:div w:id="1627735625">
          <w:marLeft w:val="0"/>
          <w:marRight w:val="0"/>
          <w:marTop w:val="0"/>
          <w:marBottom w:val="0"/>
          <w:divBdr>
            <w:top w:val="none" w:sz="0" w:space="0" w:color="auto"/>
            <w:left w:val="none" w:sz="0" w:space="0" w:color="auto"/>
            <w:bottom w:val="none" w:sz="0" w:space="0" w:color="auto"/>
            <w:right w:val="none" w:sz="0" w:space="0" w:color="auto"/>
          </w:divBdr>
        </w:div>
        <w:div w:id="1803841965">
          <w:marLeft w:val="0"/>
          <w:marRight w:val="0"/>
          <w:marTop w:val="0"/>
          <w:marBottom w:val="0"/>
          <w:divBdr>
            <w:top w:val="none" w:sz="0" w:space="0" w:color="auto"/>
            <w:left w:val="none" w:sz="0" w:space="0" w:color="auto"/>
            <w:bottom w:val="none" w:sz="0" w:space="0" w:color="auto"/>
            <w:right w:val="none" w:sz="0" w:space="0" w:color="auto"/>
          </w:divBdr>
        </w:div>
        <w:div w:id="494882775">
          <w:marLeft w:val="0"/>
          <w:marRight w:val="0"/>
          <w:marTop w:val="0"/>
          <w:marBottom w:val="0"/>
          <w:divBdr>
            <w:top w:val="none" w:sz="0" w:space="0" w:color="auto"/>
            <w:left w:val="none" w:sz="0" w:space="0" w:color="auto"/>
            <w:bottom w:val="none" w:sz="0" w:space="0" w:color="auto"/>
            <w:right w:val="none" w:sz="0" w:space="0" w:color="auto"/>
          </w:divBdr>
        </w:div>
        <w:div w:id="324284417">
          <w:marLeft w:val="0"/>
          <w:marRight w:val="0"/>
          <w:marTop w:val="0"/>
          <w:marBottom w:val="0"/>
          <w:divBdr>
            <w:top w:val="none" w:sz="0" w:space="0" w:color="auto"/>
            <w:left w:val="none" w:sz="0" w:space="0" w:color="auto"/>
            <w:bottom w:val="none" w:sz="0" w:space="0" w:color="auto"/>
            <w:right w:val="none" w:sz="0" w:space="0" w:color="auto"/>
          </w:divBdr>
        </w:div>
        <w:div w:id="750001659">
          <w:marLeft w:val="0"/>
          <w:marRight w:val="0"/>
          <w:marTop w:val="0"/>
          <w:marBottom w:val="0"/>
          <w:divBdr>
            <w:top w:val="none" w:sz="0" w:space="0" w:color="auto"/>
            <w:left w:val="none" w:sz="0" w:space="0" w:color="auto"/>
            <w:bottom w:val="none" w:sz="0" w:space="0" w:color="auto"/>
            <w:right w:val="none" w:sz="0" w:space="0" w:color="auto"/>
          </w:divBdr>
        </w:div>
        <w:div w:id="887883682">
          <w:marLeft w:val="0"/>
          <w:marRight w:val="0"/>
          <w:marTop w:val="0"/>
          <w:marBottom w:val="0"/>
          <w:divBdr>
            <w:top w:val="none" w:sz="0" w:space="0" w:color="auto"/>
            <w:left w:val="none" w:sz="0" w:space="0" w:color="auto"/>
            <w:bottom w:val="none" w:sz="0" w:space="0" w:color="auto"/>
            <w:right w:val="none" w:sz="0" w:space="0" w:color="auto"/>
          </w:divBdr>
        </w:div>
        <w:div w:id="1760982043">
          <w:marLeft w:val="0"/>
          <w:marRight w:val="0"/>
          <w:marTop w:val="0"/>
          <w:marBottom w:val="0"/>
          <w:divBdr>
            <w:top w:val="none" w:sz="0" w:space="0" w:color="auto"/>
            <w:left w:val="none" w:sz="0" w:space="0" w:color="auto"/>
            <w:bottom w:val="none" w:sz="0" w:space="0" w:color="auto"/>
            <w:right w:val="none" w:sz="0" w:space="0" w:color="auto"/>
          </w:divBdr>
        </w:div>
        <w:div w:id="1540123487">
          <w:marLeft w:val="0"/>
          <w:marRight w:val="0"/>
          <w:marTop w:val="0"/>
          <w:marBottom w:val="0"/>
          <w:divBdr>
            <w:top w:val="none" w:sz="0" w:space="0" w:color="auto"/>
            <w:left w:val="none" w:sz="0" w:space="0" w:color="auto"/>
            <w:bottom w:val="none" w:sz="0" w:space="0" w:color="auto"/>
            <w:right w:val="none" w:sz="0" w:space="0" w:color="auto"/>
          </w:divBdr>
        </w:div>
        <w:div w:id="882016169">
          <w:marLeft w:val="0"/>
          <w:marRight w:val="0"/>
          <w:marTop w:val="0"/>
          <w:marBottom w:val="0"/>
          <w:divBdr>
            <w:top w:val="none" w:sz="0" w:space="0" w:color="auto"/>
            <w:left w:val="none" w:sz="0" w:space="0" w:color="auto"/>
            <w:bottom w:val="none" w:sz="0" w:space="0" w:color="auto"/>
            <w:right w:val="none" w:sz="0" w:space="0" w:color="auto"/>
          </w:divBdr>
        </w:div>
        <w:div w:id="663094758">
          <w:marLeft w:val="0"/>
          <w:marRight w:val="0"/>
          <w:marTop w:val="0"/>
          <w:marBottom w:val="0"/>
          <w:divBdr>
            <w:top w:val="none" w:sz="0" w:space="0" w:color="auto"/>
            <w:left w:val="none" w:sz="0" w:space="0" w:color="auto"/>
            <w:bottom w:val="none" w:sz="0" w:space="0" w:color="auto"/>
            <w:right w:val="none" w:sz="0" w:space="0" w:color="auto"/>
          </w:divBdr>
        </w:div>
        <w:div w:id="1652248922">
          <w:marLeft w:val="0"/>
          <w:marRight w:val="0"/>
          <w:marTop w:val="0"/>
          <w:marBottom w:val="0"/>
          <w:divBdr>
            <w:top w:val="none" w:sz="0" w:space="0" w:color="auto"/>
            <w:left w:val="none" w:sz="0" w:space="0" w:color="auto"/>
            <w:bottom w:val="none" w:sz="0" w:space="0" w:color="auto"/>
            <w:right w:val="none" w:sz="0" w:space="0" w:color="auto"/>
          </w:divBdr>
        </w:div>
        <w:div w:id="2080470771">
          <w:marLeft w:val="0"/>
          <w:marRight w:val="0"/>
          <w:marTop w:val="0"/>
          <w:marBottom w:val="0"/>
          <w:divBdr>
            <w:top w:val="none" w:sz="0" w:space="0" w:color="auto"/>
            <w:left w:val="none" w:sz="0" w:space="0" w:color="auto"/>
            <w:bottom w:val="none" w:sz="0" w:space="0" w:color="auto"/>
            <w:right w:val="none" w:sz="0" w:space="0" w:color="auto"/>
          </w:divBdr>
        </w:div>
        <w:div w:id="1921673644">
          <w:marLeft w:val="0"/>
          <w:marRight w:val="0"/>
          <w:marTop w:val="0"/>
          <w:marBottom w:val="0"/>
          <w:divBdr>
            <w:top w:val="none" w:sz="0" w:space="0" w:color="auto"/>
            <w:left w:val="none" w:sz="0" w:space="0" w:color="auto"/>
            <w:bottom w:val="none" w:sz="0" w:space="0" w:color="auto"/>
            <w:right w:val="none" w:sz="0" w:space="0" w:color="auto"/>
          </w:divBdr>
        </w:div>
        <w:div w:id="518855792">
          <w:marLeft w:val="0"/>
          <w:marRight w:val="0"/>
          <w:marTop w:val="0"/>
          <w:marBottom w:val="0"/>
          <w:divBdr>
            <w:top w:val="none" w:sz="0" w:space="0" w:color="auto"/>
            <w:left w:val="none" w:sz="0" w:space="0" w:color="auto"/>
            <w:bottom w:val="none" w:sz="0" w:space="0" w:color="auto"/>
            <w:right w:val="none" w:sz="0" w:space="0" w:color="auto"/>
          </w:divBdr>
        </w:div>
        <w:div w:id="232083530">
          <w:marLeft w:val="0"/>
          <w:marRight w:val="0"/>
          <w:marTop w:val="0"/>
          <w:marBottom w:val="0"/>
          <w:divBdr>
            <w:top w:val="none" w:sz="0" w:space="0" w:color="auto"/>
            <w:left w:val="none" w:sz="0" w:space="0" w:color="auto"/>
            <w:bottom w:val="none" w:sz="0" w:space="0" w:color="auto"/>
            <w:right w:val="none" w:sz="0" w:space="0" w:color="auto"/>
          </w:divBdr>
        </w:div>
        <w:div w:id="1357122641">
          <w:marLeft w:val="0"/>
          <w:marRight w:val="0"/>
          <w:marTop w:val="0"/>
          <w:marBottom w:val="0"/>
          <w:divBdr>
            <w:top w:val="none" w:sz="0" w:space="0" w:color="auto"/>
            <w:left w:val="none" w:sz="0" w:space="0" w:color="auto"/>
            <w:bottom w:val="none" w:sz="0" w:space="0" w:color="auto"/>
            <w:right w:val="none" w:sz="0" w:space="0" w:color="auto"/>
          </w:divBdr>
        </w:div>
        <w:div w:id="11499572">
          <w:marLeft w:val="0"/>
          <w:marRight w:val="0"/>
          <w:marTop w:val="0"/>
          <w:marBottom w:val="0"/>
          <w:divBdr>
            <w:top w:val="none" w:sz="0" w:space="0" w:color="auto"/>
            <w:left w:val="none" w:sz="0" w:space="0" w:color="auto"/>
            <w:bottom w:val="none" w:sz="0" w:space="0" w:color="auto"/>
            <w:right w:val="none" w:sz="0" w:space="0" w:color="auto"/>
          </w:divBdr>
        </w:div>
        <w:div w:id="293144202">
          <w:marLeft w:val="0"/>
          <w:marRight w:val="0"/>
          <w:marTop w:val="0"/>
          <w:marBottom w:val="0"/>
          <w:divBdr>
            <w:top w:val="none" w:sz="0" w:space="0" w:color="auto"/>
            <w:left w:val="none" w:sz="0" w:space="0" w:color="auto"/>
            <w:bottom w:val="none" w:sz="0" w:space="0" w:color="auto"/>
            <w:right w:val="none" w:sz="0" w:space="0" w:color="auto"/>
          </w:divBdr>
        </w:div>
        <w:div w:id="1933859445">
          <w:marLeft w:val="0"/>
          <w:marRight w:val="0"/>
          <w:marTop w:val="0"/>
          <w:marBottom w:val="0"/>
          <w:divBdr>
            <w:top w:val="none" w:sz="0" w:space="0" w:color="auto"/>
            <w:left w:val="none" w:sz="0" w:space="0" w:color="auto"/>
            <w:bottom w:val="none" w:sz="0" w:space="0" w:color="auto"/>
            <w:right w:val="none" w:sz="0" w:space="0" w:color="auto"/>
          </w:divBdr>
        </w:div>
        <w:div w:id="1393651462">
          <w:marLeft w:val="0"/>
          <w:marRight w:val="0"/>
          <w:marTop w:val="0"/>
          <w:marBottom w:val="0"/>
          <w:divBdr>
            <w:top w:val="none" w:sz="0" w:space="0" w:color="auto"/>
            <w:left w:val="none" w:sz="0" w:space="0" w:color="auto"/>
            <w:bottom w:val="none" w:sz="0" w:space="0" w:color="auto"/>
            <w:right w:val="none" w:sz="0" w:space="0" w:color="auto"/>
          </w:divBdr>
        </w:div>
        <w:div w:id="1796832345">
          <w:marLeft w:val="0"/>
          <w:marRight w:val="0"/>
          <w:marTop w:val="0"/>
          <w:marBottom w:val="0"/>
          <w:divBdr>
            <w:top w:val="none" w:sz="0" w:space="0" w:color="auto"/>
            <w:left w:val="none" w:sz="0" w:space="0" w:color="auto"/>
            <w:bottom w:val="none" w:sz="0" w:space="0" w:color="auto"/>
            <w:right w:val="none" w:sz="0" w:space="0" w:color="auto"/>
          </w:divBdr>
        </w:div>
        <w:div w:id="189346386">
          <w:marLeft w:val="0"/>
          <w:marRight w:val="0"/>
          <w:marTop w:val="0"/>
          <w:marBottom w:val="0"/>
          <w:divBdr>
            <w:top w:val="none" w:sz="0" w:space="0" w:color="auto"/>
            <w:left w:val="none" w:sz="0" w:space="0" w:color="auto"/>
            <w:bottom w:val="none" w:sz="0" w:space="0" w:color="auto"/>
            <w:right w:val="none" w:sz="0" w:space="0" w:color="auto"/>
          </w:divBdr>
        </w:div>
        <w:div w:id="92866826">
          <w:marLeft w:val="0"/>
          <w:marRight w:val="0"/>
          <w:marTop w:val="0"/>
          <w:marBottom w:val="0"/>
          <w:divBdr>
            <w:top w:val="none" w:sz="0" w:space="0" w:color="auto"/>
            <w:left w:val="none" w:sz="0" w:space="0" w:color="auto"/>
            <w:bottom w:val="none" w:sz="0" w:space="0" w:color="auto"/>
            <w:right w:val="none" w:sz="0" w:space="0" w:color="auto"/>
          </w:divBdr>
        </w:div>
        <w:div w:id="1511334642">
          <w:marLeft w:val="0"/>
          <w:marRight w:val="0"/>
          <w:marTop w:val="0"/>
          <w:marBottom w:val="0"/>
          <w:divBdr>
            <w:top w:val="none" w:sz="0" w:space="0" w:color="auto"/>
            <w:left w:val="none" w:sz="0" w:space="0" w:color="auto"/>
            <w:bottom w:val="none" w:sz="0" w:space="0" w:color="auto"/>
            <w:right w:val="none" w:sz="0" w:space="0" w:color="auto"/>
          </w:divBdr>
        </w:div>
        <w:div w:id="1048141442">
          <w:marLeft w:val="0"/>
          <w:marRight w:val="0"/>
          <w:marTop w:val="0"/>
          <w:marBottom w:val="0"/>
          <w:divBdr>
            <w:top w:val="none" w:sz="0" w:space="0" w:color="auto"/>
            <w:left w:val="none" w:sz="0" w:space="0" w:color="auto"/>
            <w:bottom w:val="none" w:sz="0" w:space="0" w:color="auto"/>
            <w:right w:val="none" w:sz="0" w:space="0" w:color="auto"/>
          </w:divBdr>
        </w:div>
        <w:div w:id="1073816935">
          <w:marLeft w:val="0"/>
          <w:marRight w:val="0"/>
          <w:marTop w:val="0"/>
          <w:marBottom w:val="0"/>
          <w:divBdr>
            <w:top w:val="none" w:sz="0" w:space="0" w:color="auto"/>
            <w:left w:val="none" w:sz="0" w:space="0" w:color="auto"/>
            <w:bottom w:val="none" w:sz="0" w:space="0" w:color="auto"/>
            <w:right w:val="none" w:sz="0" w:space="0" w:color="auto"/>
          </w:divBdr>
        </w:div>
        <w:div w:id="1762021464">
          <w:marLeft w:val="0"/>
          <w:marRight w:val="0"/>
          <w:marTop w:val="0"/>
          <w:marBottom w:val="0"/>
          <w:divBdr>
            <w:top w:val="none" w:sz="0" w:space="0" w:color="auto"/>
            <w:left w:val="none" w:sz="0" w:space="0" w:color="auto"/>
            <w:bottom w:val="none" w:sz="0" w:space="0" w:color="auto"/>
            <w:right w:val="none" w:sz="0" w:space="0" w:color="auto"/>
          </w:divBdr>
        </w:div>
        <w:div w:id="1361663789">
          <w:marLeft w:val="0"/>
          <w:marRight w:val="0"/>
          <w:marTop w:val="0"/>
          <w:marBottom w:val="0"/>
          <w:divBdr>
            <w:top w:val="none" w:sz="0" w:space="0" w:color="auto"/>
            <w:left w:val="none" w:sz="0" w:space="0" w:color="auto"/>
            <w:bottom w:val="none" w:sz="0" w:space="0" w:color="auto"/>
            <w:right w:val="none" w:sz="0" w:space="0" w:color="auto"/>
          </w:divBdr>
        </w:div>
        <w:div w:id="1791970014">
          <w:marLeft w:val="0"/>
          <w:marRight w:val="0"/>
          <w:marTop w:val="0"/>
          <w:marBottom w:val="0"/>
          <w:divBdr>
            <w:top w:val="none" w:sz="0" w:space="0" w:color="auto"/>
            <w:left w:val="none" w:sz="0" w:space="0" w:color="auto"/>
            <w:bottom w:val="none" w:sz="0" w:space="0" w:color="auto"/>
            <w:right w:val="none" w:sz="0" w:space="0" w:color="auto"/>
          </w:divBdr>
        </w:div>
        <w:div w:id="1410424946">
          <w:marLeft w:val="0"/>
          <w:marRight w:val="0"/>
          <w:marTop w:val="0"/>
          <w:marBottom w:val="0"/>
          <w:divBdr>
            <w:top w:val="none" w:sz="0" w:space="0" w:color="auto"/>
            <w:left w:val="none" w:sz="0" w:space="0" w:color="auto"/>
            <w:bottom w:val="none" w:sz="0" w:space="0" w:color="auto"/>
            <w:right w:val="none" w:sz="0" w:space="0" w:color="auto"/>
          </w:divBdr>
        </w:div>
        <w:div w:id="654921660">
          <w:marLeft w:val="0"/>
          <w:marRight w:val="0"/>
          <w:marTop w:val="0"/>
          <w:marBottom w:val="0"/>
          <w:divBdr>
            <w:top w:val="none" w:sz="0" w:space="0" w:color="auto"/>
            <w:left w:val="none" w:sz="0" w:space="0" w:color="auto"/>
            <w:bottom w:val="none" w:sz="0" w:space="0" w:color="auto"/>
            <w:right w:val="none" w:sz="0" w:space="0" w:color="auto"/>
          </w:divBdr>
        </w:div>
        <w:div w:id="152140098">
          <w:marLeft w:val="0"/>
          <w:marRight w:val="0"/>
          <w:marTop w:val="0"/>
          <w:marBottom w:val="0"/>
          <w:divBdr>
            <w:top w:val="none" w:sz="0" w:space="0" w:color="auto"/>
            <w:left w:val="none" w:sz="0" w:space="0" w:color="auto"/>
            <w:bottom w:val="none" w:sz="0" w:space="0" w:color="auto"/>
            <w:right w:val="none" w:sz="0" w:space="0" w:color="auto"/>
          </w:divBdr>
        </w:div>
        <w:div w:id="1931238277">
          <w:marLeft w:val="0"/>
          <w:marRight w:val="0"/>
          <w:marTop w:val="0"/>
          <w:marBottom w:val="0"/>
          <w:divBdr>
            <w:top w:val="none" w:sz="0" w:space="0" w:color="auto"/>
            <w:left w:val="none" w:sz="0" w:space="0" w:color="auto"/>
            <w:bottom w:val="none" w:sz="0" w:space="0" w:color="auto"/>
            <w:right w:val="none" w:sz="0" w:space="0" w:color="auto"/>
          </w:divBdr>
        </w:div>
        <w:div w:id="578908628">
          <w:marLeft w:val="0"/>
          <w:marRight w:val="0"/>
          <w:marTop w:val="0"/>
          <w:marBottom w:val="0"/>
          <w:divBdr>
            <w:top w:val="none" w:sz="0" w:space="0" w:color="auto"/>
            <w:left w:val="none" w:sz="0" w:space="0" w:color="auto"/>
            <w:bottom w:val="none" w:sz="0" w:space="0" w:color="auto"/>
            <w:right w:val="none" w:sz="0" w:space="0" w:color="auto"/>
          </w:divBdr>
        </w:div>
        <w:div w:id="1900089105">
          <w:marLeft w:val="0"/>
          <w:marRight w:val="0"/>
          <w:marTop w:val="0"/>
          <w:marBottom w:val="0"/>
          <w:divBdr>
            <w:top w:val="none" w:sz="0" w:space="0" w:color="auto"/>
            <w:left w:val="none" w:sz="0" w:space="0" w:color="auto"/>
            <w:bottom w:val="none" w:sz="0" w:space="0" w:color="auto"/>
            <w:right w:val="none" w:sz="0" w:space="0" w:color="auto"/>
          </w:divBdr>
        </w:div>
        <w:div w:id="107623033">
          <w:marLeft w:val="0"/>
          <w:marRight w:val="0"/>
          <w:marTop w:val="0"/>
          <w:marBottom w:val="0"/>
          <w:divBdr>
            <w:top w:val="none" w:sz="0" w:space="0" w:color="auto"/>
            <w:left w:val="none" w:sz="0" w:space="0" w:color="auto"/>
            <w:bottom w:val="none" w:sz="0" w:space="0" w:color="auto"/>
            <w:right w:val="none" w:sz="0" w:space="0" w:color="auto"/>
          </w:divBdr>
        </w:div>
        <w:div w:id="1438597607">
          <w:marLeft w:val="0"/>
          <w:marRight w:val="0"/>
          <w:marTop w:val="0"/>
          <w:marBottom w:val="0"/>
          <w:divBdr>
            <w:top w:val="none" w:sz="0" w:space="0" w:color="auto"/>
            <w:left w:val="none" w:sz="0" w:space="0" w:color="auto"/>
            <w:bottom w:val="none" w:sz="0" w:space="0" w:color="auto"/>
            <w:right w:val="none" w:sz="0" w:space="0" w:color="auto"/>
          </w:divBdr>
        </w:div>
        <w:div w:id="1317151694">
          <w:marLeft w:val="0"/>
          <w:marRight w:val="0"/>
          <w:marTop w:val="0"/>
          <w:marBottom w:val="0"/>
          <w:divBdr>
            <w:top w:val="none" w:sz="0" w:space="0" w:color="auto"/>
            <w:left w:val="none" w:sz="0" w:space="0" w:color="auto"/>
            <w:bottom w:val="none" w:sz="0" w:space="0" w:color="auto"/>
            <w:right w:val="none" w:sz="0" w:space="0" w:color="auto"/>
          </w:divBdr>
        </w:div>
        <w:div w:id="991105827">
          <w:marLeft w:val="0"/>
          <w:marRight w:val="0"/>
          <w:marTop w:val="0"/>
          <w:marBottom w:val="0"/>
          <w:divBdr>
            <w:top w:val="none" w:sz="0" w:space="0" w:color="auto"/>
            <w:left w:val="none" w:sz="0" w:space="0" w:color="auto"/>
            <w:bottom w:val="none" w:sz="0" w:space="0" w:color="auto"/>
            <w:right w:val="none" w:sz="0" w:space="0" w:color="auto"/>
          </w:divBdr>
        </w:div>
        <w:div w:id="635643243">
          <w:marLeft w:val="0"/>
          <w:marRight w:val="0"/>
          <w:marTop w:val="0"/>
          <w:marBottom w:val="0"/>
          <w:divBdr>
            <w:top w:val="none" w:sz="0" w:space="0" w:color="auto"/>
            <w:left w:val="none" w:sz="0" w:space="0" w:color="auto"/>
            <w:bottom w:val="none" w:sz="0" w:space="0" w:color="auto"/>
            <w:right w:val="none" w:sz="0" w:space="0" w:color="auto"/>
          </w:divBdr>
        </w:div>
        <w:div w:id="509417385">
          <w:marLeft w:val="0"/>
          <w:marRight w:val="0"/>
          <w:marTop w:val="0"/>
          <w:marBottom w:val="0"/>
          <w:divBdr>
            <w:top w:val="none" w:sz="0" w:space="0" w:color="auto"/>
            <w:left w:val="none" w:sz="0" w:space="0" w:color="auto"/>
            <w:bottom w:val="none" w:sz="0" w:space="0" w:color="auto"/>
            <w:right w:val="none" w:sz="0" w:space="0" w:color="auto"/>
          </w:divBdr>
        </w:div>
        <w:div w:id="1158427302">
          <w:marLeft w:val="0"/>
          <w:marRight w:val="0"/>
          <w:marTop w:val="0"/>
          <w:marBottom w:val="0"/>
          <w:divBdr>
            <w:top w:val="none" w:sz="0" w:space="0" w:color="auto"/>
            <w:left w:val="none" w:sz="0" w:space="0" w:color="auto"/>
            <w:bottom w:val="none" w:sz="0" w:space="0" w:color="auto"/>
            <w:right w:val="none" w:sz="0" w:space="0" w:color="auto"/>
          </w:divBdr>
        </w:div>
        <w:div w:id="603152452">
          <w:marLeft w:val="0"/>
          <w:marRight w:val="0"/>
          <w:marTop w:val="0"/>
          <w:marBottom w:val="0"/>
          <w:divBdr>
            <w:top w:val="none" w:sz="0" w:space="0" w:color="auto"/>
            <w:left w:val="none" w:sz="0" w:space="0" w:color="auto"/>
            <w:bottom w:val="none" w:sz="0" w:space="0" w:color="auto"/>
            <w:right w:val="none" w:sz="0" w:space="0" w:color="auto"/>
          </w:divBdr>
        </w:div>
        <w:div w:id="1122922733">
          <w:marLeft w:val="0"/>
          <w:marRight w:val="0"/>
          <w:marTop w:val="0"/>
          <w:marBottom w:val="0"/>
          <w:divBdr>
            <w:top w:val="none" w:sz="0" w:space="0" w:color="auto"/>
            <w:left w:val="none" w:sz="0" w:space="0" w:color="auto"/>
            <w:bottom w:val="none" w:sz="0" w:space="0" w:color="auto"/>
            <w:right w:val="none" w:sz="0" w:space="0" w:color="auto"/>
          </w:divBdr>
        </w:div>
        <w:div w:id="1366101839">
          <w:marLeft w:val="0"/>
          <w:marRight w:val="0"/>
          <w:marTop w:val="0"/>
          <w:marBottom w:val="0"/>
          <w:divBdr>
            <w:top w:val="none" w:sz="0" w:space="0" w:color="auto"/>
            <w:left w:val="none" w:sz="0" w:space="0" w:color="auto"/>
            <w:bottom w:val="none" w:sz="0" w:space="0" w:color="auto"/>
            <w:right w:val="none" w:sz="0" w:space="0" w:color="auto"/>
          </w:divBdr>
        </w:div>
        <w:div w:id="1608929086">
          <w:marLeft w:val="0"/>
          <w:marRight w:val="0"/>
          <w:marTop w:val="0"/>
          <w:marBottom w:val="0"/>
          <w:divBdr>
            <w:top w:val="none" w:sz="0" w:space="0" w:color="auto"/>
            <w:left w:val="none" w:sz="0" w:space="0" w:color="auto"/>
            <w:bottom w:val="none" w:sz="0" w:space="0" w:color="auto"/>
            <w:right w:val="none" w:sz="0" w:space="0" w:color="auto"/>
          </w:divBdr>
        </w:div>
        <w:div w:id="786118576">
          <w:marLeft w:val="0"/>
          <w:marRight w:val="0"/>
          <w:marTop w:val="0"/>
          <w:marBottom w:val="0"/>
          <w:divBdr>
            <w:top w:val="none" w:sz="0" w:space="0" w:color="auto"/>
            <w:left w:val="none" w:sz="0" w:space="0" w:color="auto"/>
            <w:bottom w:val="none" w:sz="0" w:space="0" w:color="auto"/>
            <w:right w:val="none" w:sz="0" w:space="0" w:color="auto"/>
          </w:divBdr>
        </w:div>
        <w:div w:id="2116052790">
          <w:marLeft w:val="0"/>
          <w:marRight w:val="0"/>
          <w:marTop w:val="0"/>
          <w:marBottom w:val="0"/>
          <w:divBdr>
            <w:top w:val="none" w:sz="0" w:space="0" w:color="auto"/>
            <w:left w:val="none" w:sz="0" w:space="0" w:color="auto"/>
            <w:bottom w:val="none" w:sz="0" w:space="0" w:color="auto"/>
            <w:right w:val="none" w:sz="0" w:space="0" w:color="auto"/>
          </w:divBdr>
        </w:div>
        <w:div w:id="565995136">
          <w:marLeft w:val="0"/>
          <w:marRight w:val="0"/>
          <w:marTop w:val="0"/>
          <w:marBottom w:val="0"/>
          <w:divBdr>
            <w:top w:val="none" w:sz="0" w:space="0" w:color="auto"/>
            <w:left w:val="none" w:sz="0" w:space="0" w:color="auto"/>
            <w:bottom w:val="none" w:sz="0" w:space="0" w:color="auto"/>
            <w:right w:val="none" w:sz="0" w:space="0" w:color="auto"/>
          </w:divBdr>
        </w:div>
        <w:div w:id="1671639497">
          <w:marLeft w:val="0"/>
          <w:marRight w:val="0"/>
          <w:marTop w:val="0"/>
          <w:marBottom w:val="0"/>
          <w:divBdr>
            <w:top w:val="none" w:sz="0" w:space="0" w:color="auto"/>
            <w:left w:val="none" w:sz="0" w:space="0" w:color="auto"/>
            <w:bottom w:val="none" w:sz="0" w:space="0" w:color="auto"/>
            <w:right w:val="none" w:sz="0" w:space="0" w:color="auto"/>
          </w:divBdr>
        </w:div>
        <w:div w:id="28772418">
          <w:marLeft w:val="0"/>
          <w:marRight w:val="0"/>
          <w:marTop w:val="0"/>
          <w:marBottom w:val="0"/>
          <w:divBdr>
            <w:top w:val="none" w:sz="0" w:space="0" w:color="auto"/>
            <w:left w:val="none" w:sz="0" w:space="0" w:color="auto"/>
            <w:bottom w:val="none" w:sz="0" w:space="0" w:color="auto"/>
            <w:right w:val="none" w:sz="0" w:space="0" w:color="auto"/>
          </w:divBdr>
        </w:div>
        <w:div w:id="1628775946">
          <w:marLeft w:val="0"/>
          <w:marRight w:val="0"/>
          <w:marTop w:val="0"/>
          <w:marBottom w:val="0"/>
          <w:divBdr>
            <w:top w:val="none" w:sz="0" w:space="0" w:color="auto"/>
            <w:left w:val="none" w:sz="0" w:space="0" w:color="auto"/>
            <w:bottom w:val="none" w:sz="0" w:space="0" w:color="auto"/>
            <w:right w:val="none" w:sz="0" w:space="0" w:color="auto"/>
          </w:divBdr>
        </w:div>
        <w:div w:id="1821730902">
          <w:marLeft w:val="0"/>
          <w:marRight w:val="0"/>
          <w:marTop w:val="0"/>
          <w:marBottom w:val="0"/>
          <w:divBdr>
            <w:top w:val="none" w:sz="0" w:space="0" w:color="auto"/>
            <w:left w:val="none" w:sz="0" w:space="0" w:color="auto"/>
            <w:bottom w:val="none" w:sz="0" w:space="0" w:color="auto"/>
            <w:right w:val="none" w:sz="0" w:space="0" w:color="auto"/>
          </w:divBdr>
        </w:div>
        <w:div w:id="1142623211">
          <w:marLeft w:val="0"/>
          <w:marRight w:val="0"/>
          <w:marTop w:val="0"/>
          <w:marBottom w:val="0"/>
          <w:divBdr>
            <w:top w:val="none" w:sz="0" w:space="0" w:color="auto"/>
            <w:left w:val="none" w:sz="0" w:space="0" w:color="auto"/>
            <w:bottom w:val="none" w:sz="0" w:space="0" w:color="auto"/>
            <w:right w:val="none" w:sz="0" w:space="0" w:color="auto"/>
          </w:divBdr>
        </w:div>
        <w:div w:id="859588844">
          <w:marLeft w:val="0"/>
          <w:marRight w:val="0"/>
          <w:marTop w:val="0"/>
          <w:marBottom w:val="0"/>
          <w:divBdr>
            <w:top w:val="none" w:sz="0" w:space="0" w:color="auto"/>
            <w:left w:val="none" w:sz="0" w:space="0" w:color="auto"/>
            <w:bottom w:val="none" w:sz="0" w:space="0" w:color="auto"/>
            <w:right w:val="none" w:sz="0" w:space="0" w:color="auto"/>
          </w:divBdr>
        </w:div>
        <w:div w:id="715203108">
          <w:marLeft w:val="0"/>
          <w:marRight w:val="0"/>
          <w:marTop w:val="0"/>
          <w:marBottom w:val="0"/>
          <w:divBdr>
            <w:top w:val="none" w:sz="0" w:space="0" w:color="auto"/>
            <w:left w:val="none" w:sz="0" w:space="0" w:color="auto"/>
            <w:bottom w:val="none" w:sz="0" w:space="0" w:color="auto"/>
            <w:right w:val="none" w:sz="0" w:space="0" w:color="auto"/>
          </w:divBdr>
        </w:div>
        <w:div w:id="1645888228">
          <w:marLeft w:val="0"/>
          <w:marRight w:val="0"/>
          <w:marTop w:val="0"/>
          <w:marBottom w:val="0"/>
          <w:divBdr>
            <w:top w:val="none" w:sz="0" w:space="0" w:color="auto"/>
            <w:left w:val="none" w:sz="0" w:space="0" w:color="auto"/>
            <w:bottom w:val="none" w:sz="0" w:space="0" w:color="auto"/>
            <w:right w:val="none" w:sz="0" w:space="0" w:color="auto"/>
          </w:divBdr>
        </w:div>
        <w:div w:id="775058990">
          <w:marLeft w:val="0"/>
          <w:marRight w:val="0"/>
          <w:marTop w:val="0"/>
          <w:marBottom w:val="0"/>
          <w:divBdr>
            <w:top w:val="none" w:sz="0" w:space="0" w:color="auto"/>
            <w:left w:val="none" w:sz="0" w:space="0" w:color="auto"/>
            <w:bottom w:val="none" w:sz="0" w:space="0" w:color="auto"/>
            <w:right w:val="none" w:sz="0" w:space="0" w:color="auto"/>
          </w:divBdr>
        </w:div>
        <w:div w:id="2017418549">
          <w:marLeft w:val="0"/>
          <w:marRight w:val="0"/>
          <w:marTop w:val="0"/>
          <w:marBottom w:val="0"/>
          <w:divBdr>
            <w:top w:val="none" w:sz="0" w:space="0" w:color="auto"/>
            <w:left w:val="none" w:sz="0" w:space="0" w:color="auto"/>
            <w:bottom w:val="none" w:sz="0" w:space="0" w:color="auto"/>
            <w:right w:val="none" w:sz="0" w:space="0" w:color="auto"/>
          </w:divBdr>
        </w:div>
        <w:div w:id="1294940285">
          <w:marLeft w:val="0"/>
          <w:marRight w:val="0"/>
          <w:marTop w:val="0"/>
          <w:marBottom w:val="0"/>
          <w:divBdr>
            <w:top w:val="none" w:sz="0" w:space="0" w:color="auto"/>
            <w:left w:val="none" w:sz="0" w:space="0" w:color="auto"/>
            <w:bottom w:val="none" w:sz="0" w:space="0" w:color="auto"/>
            <w:right w:val="none" w:sz="0" w:space="0" w:color="auto"/>
          </w:divBdr>
        </w:div>
        <w:div w:id="661081878">
          <w:marLeft w:val="0"/>
          <w:marRight w:val="0"/>
          <w:marTop w:val="0"/>
          <w:marBottom w:val="0"/>
          <w:divBdr>
            <w:top w:val="none" w:sz="0" w:space="0" w:color="auto"/>
            <w:left w:val="none" w:sz="0" w:space="0" w:color="auto"/>
            <w:bottom w:val="none" w:sz="0" w:space="0" w:color="auto"/>
            <w:right w:val="none" w:sz="0" w:space="0" w:color="auto"/>
          </w:divBdr>
        </w:div>
        <w:div w:id="490874217">
          <w:marLeft w:val="0"/>
          <w:marRight w:val="0"/>
          <w:marTop w:val="0"/>
          <w:marBottom w:val="0"/>
          <w:divBdr>
            <w:top w:val="none" w:sz="0" w:space="0" w:color="auto"/>
            <w:left w:val="none" w:sz="0" w:space="0" w:color="auto"/>
            <w:bottom w:val="none" w:sz="0" w:space="0" w:color="auto"/>
            <w:right w:val="none" w:sz="0" w:space="0" w:color="auto"/>
          </w:divBdr>
        </w:div>
        <w:div w:id="758677329">
          <w:marLeft w:val="0"/>
          <w:marRight w:val="0"/>
          <w:marTop w:val="0"/>
          <w:marBottom w:val="0"/>
          <w:divBdr>
            <w:top w:val="none" w:sz="0" w:space="0" w:color="auto"/>
            <w:left w:val="none" w:sz="0" w:space="0" w:color="auto"/>
            <w:bottom w:val="none" w:sz="0" w:space="0" w:color="auto"/>
            <w:right w:val="none" w:sz="0" w:space="0" w:color="auto"/>
          </w:divBdr>
        </w:div>
        <w:div w:id="25521958">
          <w:marLeft w:val="0"/>
          <w:marRight w:val="0"/>
          <w:marTop w:val="0"/>
          <w:marBottom w:val="0"/>
          <w:divBdr>
            <w:top w:val="none" w:sz="0" w:space="0" w:color="auto"/>
            <w:left w:val="none" w:sz="0" w:space="0" w:color="auto"/>
            <w:bottom w:val="none" w:sz="0" w:space="0" w:color="auto"/>
            <w:right w:val="none" w:sz="0" w:space="0" w:color="auto"/>
          </w:divBdr>
        </w:div>
        <w:div w:id="456291110">
          <w:marLeft w:val="0"/>
          <w:marRight w:val="0"/>
          <w:marTop w:val="0"/>
          <w:marBottom w:val="0"/>
          <w:divBdr>
            <w:top w:val="none" w:sz="0" w:space="0" w:color="auto"/>
            <w:left w:val="none" w:sz="0" w:space="0" w:color="auto"/>
            <w:bottom w:val="none" w:sz="0" w:space="0" w:color="auto"/>
            <w:right w:val="none" w:sz="0" w:space="0" w:color="auto"/>
          </w:divBdr>
        </w:div>
        <w:div w:id="592709990">
          <w:marLeft w:val="0"/>
          <w:marRight w:val="0"/>
          <w:marTop w:val="0"/>
          <w:marBottom w:val="0"/>
          <w:divBdr>
            <w:top w:val="none" w:sz="0" w:space="0" w:color="auto"/>
            <w:left w:val="none" w:sz="0" w:space="0" w:color="auto"/>
            <w:bottom w:val="none" w:sz="0" w:space="0" w:color="auto"/>
            <w:right w:val="none" w:sz="0" w:space="0" w:color="auto"/>
          </w:divBdr>
        </w:div>
        <w:div w:id="106510771">
          <w:marLeft w:val="0"/>
          <w:marRight w:val="0"/>
          <w:marTop w:val="0"/>
          <w:marBottom w:val="0"/>
          <w:divBdr>
            <w:top w:val="none" w:sz="0" w:space="0" w:color="auto"/>
            <w:left w:val="none" w:sz="0" w:space="0" w:color="auto"/>
            <w:bottom w:val="none" w:sz="0" w:space="0" w:color="auto"/>
            <w:right w:val="none" w:sz="0" w:space="0" w:color="auto"/>
          </w:divBdr>
        </w:div>
        <w:div w:id="241109727">
          <w:marLeft w:val="0"/>
          <w:marRight w:val="0"/>
          <w:marTop w:val="0"/>
          <w:marBottom w:val="0"/>
          <w:divBdr>
            <w:top w:val="none" w:sz="0" w:space="0" w:color="auto"/>
            <w:left w:val="none" w:sz="0" w:space="0" w:color="auto"/>
            <w:bottom w:val="none" w:sz="0" w:space="0" w:color="auto"/>
            <w:right w:val="none" w:sz="0" w:space="0" w:color="auto"/>
          </w:divBdr>
        </w:div>
        <w:div w:id="460004038">
          <w:marLeft w:val="0"/>
          <w:marRight w:val="0"/>
          <w:marTop w:val="0"/>
          <w:marBottom w:val="0"/>
          <w:divBdr>
            <w:top w:val="none" w:sz="0" w:space="0" w:color="auto"/>
            <w:left w:val="none" w:sz="0" w:space="0" w:color="auto"/>
            <w:bottom w:val="none" w:sz="0" w:space="0" w:color="auto"/>
            <w:right w:val="none" w:sz="0" w:space="0" w:color="auto"/>
          </w:divBdr>
        </w:div>
        <w:div w:id="628898172">
          <w:marLeft w:val="0"/>
          <w:marRight w:val="0"/>
          <w:marTop w:val="0"/>
          <w:marBottom w:val="0"/>
          <w:divBdr>
            <w:top w:val="none" w:sz="0" w:space="0" w:color="auto"/>
            <w:left w:val="none" w:sz="0" w:space="0" w:color="auto"/>
            <w:bottom w:val="none" w:sz="0" w:space="0" w:color="auto"/>
            <w:right w:val="none" w:sz="0" w:space="0" w:color="auto"/>
          </w:divBdr>
        </w:div>
        <w:div w:id="1910574046">
          <w:marLeft w:val="0"/>
          <w:marRight w:val="0"/>
          <w:marTop w:val="0"/>
          <w:marBottom w:val="0"/>
          <w:divBdr>
            <w:top w:val="none" w:sz="0" w:space="0" w:color="auto"/>
            <w:left w:val="none" w:sz="0" w:space="0" w:color="auto"/>
            <w:bottom w:val="none" w:sz="0" w:space="0" w:color="auto"/>
            <w:right w:val="none" w:sz="0" w:space="0" w:color="auto"/>
          </w:divBdr>
        </w:div>
        <w:div w:id="1137066539">
          <w:marLeft w:val="0"/>
          <w:marRight w:val="0"/>
          <w:marTop w:val="0"/>
          <w:marBottom w:val="0"/>
          <w:divBdr>
            <w:top w:val="none" w:sz="0" w:space="0" w:color="auto"/>
            <w:left w:val="none" w:sz="0" w:space="0" w:color="auto"/>
            <w:bottom w:val="none" w:sz="0" w:space="0" w:color="auto"/>
            <w:right w:val="none" w:sz="0" w:space="0" w:color="auto"/>
          </w:divBdr>
        </w:div>
        <w:div w:id="125123402">
          <w:marLeft w:val="0"/>
          <w:marRight w:val="0"/>
          <w:marTop w:val="0"/>
          <w:marBottom w:val="0"/>
          <w:divBdr>
            <w:top w:val="none" w:sz="0" w:space="0" w:color="auto"/>
            <w:left w:val="none" w:sz="0" w:space="0" w:color="auto"/>
            <w:bottom w:val="none" w:sz="0" w:space="0" w:color="auto"/>
            <w:right w:val="none" w:sz="0" w:space="0" w:color="auto"/>
          </w:divBdr>
        </w:div>
        <w:div w:id="304702253">
          <w:marLeft w:val="0"/>
          <w:marRight w:val="0"/>
          <w:marTop w:val="0"/>
          <w:marBottom w:val="0"/>
          <w:divBdr>
            <w:top w:val="none" w:sz="0" w:space="0" w:color="auto"/>
            <w:left w:val="none" w:sz="0" w:space="0" w:color="auto"/>
            <w:bottom w:val="none" w:sz="0" w:space="0" w:color="auto"/>
            <w:right w:val="none" w:sz="0" w:space="0" w:color="auto"/>
          </w:divBdr>
        </w:div>
        <w:div w:id="1633249471">
          <w:marLeft w:val="0"/>
          <w:marRight w:val="0"/>
          <w:marTop w:val="0"/>
          <w:marBottom w:val="0"/>
          <w:divBdr>
            <w:top w:val="none" w:sz="0" w:space="0" w:color="auto"/>
            <w:left w:val="none" w:sz="0" w:space="0" w:color="auto"/>
            <w:bottom w:val="none" w:sz="0" w:space="0" w:color="auto"/>
            <w:right w:val="none" w:sz="0" w:space="0" w:color="auto"/>
          </w:divBdr>
        </w:div>
        <w:div w:id="2119713762">
          <w:marLeft w:val="0"/>
          <w:marRight w:val="0"/>
          <w:marTop w:val="0"/>
          <w:marBottom w:val="0"/>
          <w:divBdr>
            <w:top w:val="none" w:sz="0" w:space="0" w:color="auto"/>
            <w:left w:val="none" w:sz="0" w:space="0" w:color="auto"/>
            <w:bottom w:val="none" w:sz="0" w:space="0" w:color="auto"/>
            <w:right w:val="none" w:sz="0" w:space="0" w:color="auto"/>
          </w:divBdr>
        </w:div>
        <w:div w:id="1291666743">
          <w:marLeft w:val="0"/>
          <w:marRight w:val="0"/>
          <w:marTop w:val="567"/>
          <w:marBottom w:val="0"/>
          <w:divBdr>
            <w:top w:val="none" w:sz="0" w:space="0" w:color="auto"/>
            <w:left w:val="none" w:sz="0" w:space="0" w:color="auto"/>
            <w:bottom w:val="none" w:sz="0" w:space="0" w:color="auto"/>
            <w:right w:val="none" w:sz="0" w:space="0" w:color="auto"/>
          </w:divBdr>
        </w:div>
        <w:div w:id="2125036364">
          <w:marLeft w:val="0"/>
          <w:marRight w:val="0"/>
          <w:marTop w:val="240"/>
          <w:marBottom w:val="0"/>
          <w:divBdr>
            <w:top w:val="none" w:sz="0" w:space="0" w:color="auto"/>
            <w:left w:val="none" w:sz="0" w:space="0" w:color="auto"/>
            <w:bottom w:val="none" w:sz="0" w:space="0" w:color="auto"/>
            <w:right w:val="none" w:sz="0" w:space="0" w:color="auto"/>
          </w:divBdr>
        </w:div>
        <w:div w:id="12125752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7885321-AC21-4666-9D14-A92D91794198}"/>
</file>

<file path=customXml/itemProps2.xml><?xml version="1.0" encoding="utf-8"?>
<ds:datastoreItem xmlns:ds="http://schemas.openxmlformats.org/officeDocument/2006/customXml" ds:itemID="{601170E4-DF2C-4AF8-ADEE-C463760658F7}">
  <ds:schemaRefs>
    <ds:schemaRef ds:uri="http://schemas.microsoft.com/sharepoint/v3/contenttype/forms"/>
  </ds:schemaRefs>
</ds:datastoreItem>
</file>

<file path=customXml/itemProps3.xml><?xml version="1.0" encoding="utf-8"?>
<ds:datastoreItem xmlns:ds="http://schemas.openxmlformats.org/officeDocument/2006/customXml" ds:itemID="{E75BF7CE-B657-4005-B790-C23520222D1A}"/>
</file>

<file path=docProps/app.xml><?xml version="1.0" encoding="utf-8"?>
<Properties xmlns="http://schemas.openxmlformats.org/officeDocument/2006/extended-properties" xmlns:vt="http://schemas.openxmlformats.org/officeDocument/2006/docPropsVTypes">
  <Template>Normal</Template>
  <TotalTime>0</TotalTime>
  <Pages>31</Pages>
  <Words>68217</Words>
  <Characters>38884</Characters>
  <Application>Microsoft Office Word</Application>
  <DocSecurity>0</DocSecurity>
  <Lines>324</Lines>
  <Paragraphs>213</Paragraphs>
  <ScaleCrop>false</ScaleCrop>
  <Company/>
  <LinksUpToDate>false</LinksUpToDate>
  <CharactersWithSpaces>106888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2022-10-05T11:39:00Z</dcterms:created>
  <dcterms:modified xsi:type="dcterms:W3CDTF">2023-02-13T08:21:00Z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