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161E6" w14:textId="77777777" w:rsidR="002B4B83" w:rsidRPr="002B4B83" w:rsidRDefault="002B4B83" w:rsidP="002B4B83">
      <w:pPr>
        <w:widowControl w:val="0"/>
        <w:jc w:val="both"/>
        <w:rPr>
          <w:noProof/>
          <w:sz w:val="20"/>
          <w:lang w:val="en-US"/>
        </w:rPr>
      </w:pPr>
      <w:r w:rsidRPr="002B4B83">
        <w:rPr>
          <w:noProof/>
          <w:sz w:val="20"/>
          <w:lang w:val="en-US"/>
        </w:rPr>
        <w:t>Text consolidated by Valsts valodas centrs (State Language Centre) with amending regulations of:</w:t>
      </w:r>
    </w:p>
    <w:p w14:paraId="35158135" w14:textId="77777777" w:rsidR="002B4B83" w:rsidRPr="002B4B83" w:rsidRDefault="002B4B83" w:rsidP="002B4B83">
      <w:pPr>
        <w:pStyle w:val="BlockText"/>
        <w:ind w:left="0" w:right="26"/>
        <w:jc w:val="center"/>
        <w:rPr>
          <w:noProof/>
          <w:szCs w:val="24"/>
          <w:lang w:val="en-US"/>
        </w:rPr>
      </w:pPr>
      <w:r w:rsidRPr="002B4B83">
        <w:rPr>
          <w:noProof/>
          <w:szCs w:val="24"/>
          <w:lang w:val="en-US"/>
        </w:rPr>
        <w:t>13 August 2018 [shall come into force on 16 August 2018];</w:t>
      </w:r>
    </w:p>
    <w:p w14:paraId="150AA121" w14:textId="77777777" w:rsidR="002B4B83" w:rsidRPr="002B4B83" w:rsidRDefault="002B4B83" w:rsidP="002B4B83">
      <w:pPr>
        <w:pStyle w:val="BlockText"/>
        <w:ind w:left="0" w:right="26"/>
        <w:jc w:val="center"/>
        <w:rPr>
          <w:noProof/>
          <w:szCs w:val="24"/>
          <w:lang w:val="en-US"/>
        </w:rPr>
      </w:pPr>
      <w:r w:rsidRPr="002B4B83">
        <w:rPr>
          <w:noProof/>
          <w:szCs w:val="24"/>
          <w:lang w:val="en-US"/>
        </w:rPr>
        <w:t>29 August 2022 [shall come into force on 1 September 2022].</w:t>
      </w:r>
    </w:p>
    <w:p w14:paraId="53D41E6B" w14:textId="77777777" w:rsidR="002B4B83" w:rsidRPr="002B4B83" w:rsidRDefault="002B4B83" w:rsidP="002B4B83">
      <w:pPr>
        <w:widowControl w:val="0"/>
        <w:jc w:val="both"/>
        <w:rPr>
          <w:noProof/>
          <w:sz w:val="20"/>
          <w:lang w:val="en-US"/>
        </w:rPr>
      </w:pPr>
      <w:r w:rsidRPr="002B4B83">
        <w:rPr>
          <w:noProof/>
          <w:sz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B9FC7E4" w14:textId="77777777" w:rsidR="002B4B83" w:rsidRPr="002B4B83" w:rsidRDefault="002B4B83" w:rsidP="002B4B83">
      <w:pPr>
        <w:rPr>
          <w:noProof/>
          <w:lang w:val="en-US"/>
        </w:rPr>
      </w:pPr>
    </w:p>
    <w:p w14:paraId="0BC42137" w14:textId="77777777" w:rsidR="002B4B83" w:rsidRPr="002B4B83" w:rsidRDefault="002B4B83" w:rsidP="002B4B83">
      <w:pPr>
        <w:rPr>
          <w:noProof/>
          <w:lang w:val="en-US"/>
        </w:rPr>
      </w:pPr>
    </w:p>
    <w:p w14:paraId="7E3AF4F9" w14:textId="77777777" w:rsidR="002B4B83" w:rsidRPr="002B4B83" w:rsidRDefault="002B4B83" w:rsidP="002B4B83">
      <w:pPr>
        <w:widowControl w:val="0"/>
        <w:jc w:val="center"/>
        <w:rPr>
          <w:b/>
          <w:noProof/>
          <w:lang w:val="en-US"/>
        </w:rPr>
      </w:pPr>
      <w:r w:rsidRPr="002B4B83">
        <w:rPr>
          <w:b/>
          <w:noProof/>
          <w:lang w:val="en-US"/>
        </w:rPr>
        <w:t>Decision No. 1/28 of the Board of the Public Utilities Commission</w:t>
      </w:r>
    </w:p>
    <w:p w14:paraId="36D4E4ED" w14:textId="77777777" w:rsidR="002B4B83" w:rsidRPr="002B4B83" w:rsidRDefault="002B4B83" w:rsidP="002B4B83">
      <w:pPr>
        <w:widowControl w:val="0"/>
        <w:jc w:val="center"/>
        <w:rPr>
          <w:noProof/>
          <w:lang w:val="en-US"/>
        </w:rPr>
      </w:pPr>
      <w:r w:rsidRPr="002B4B83">
        <w:rPr>
          <w:noProof/>
          <w:lang w:val="en-US"/>
        </w:rPr>
        <w:t>Adopted 11 October 2013</w:t>
      </w:r>
    </w:p>
    <w:p w14:paraId="205F244D" w14:textId="77777777" w:rsidR="002B4B83" w:rsidRPr="002B4B83" w:rsidRDefault="002B4B83" w:rsidP="002B4B83">
      <w:pPr>
        <w:widowControl w:val="0"/>
        <w:jc w:val="both"/>
        <w:rPr>
          <w:noProof/>
          <w:lang w:val="en-US"/>
        </w:rPr>
      </w:pPr>
    </w:p>
    <w:p w14:paraId="7D006D65" w14:textId="77777777" w:rsidR="002B4B83" w:rsidRPr="002B4B83" w:rsidRDefault="002B4B83" w:rsidP="002B4B83">
      <w:pPr>
        <w:widowControl w:val="0"/>
        <w:jc w:val="both"/>
        <w:rPr>
          <w:noProof/>
          <w:lang w:val="en-US"/>
        </w:rPr>
      </w:pPr>
    </w:p>
    <w:p w14:paraId="1471AA37" w14:textId="77777777" w:rsidR="002B4B83" w:rsidRPr="002B4B83" w:rsidRDefault="002B4B83" w:rsidP="002B4B83">
      <w:pPr>
        <w:widowControl w:val="0"/>
        <w:jc w:val="center"/>
        <w:rPr>
          <w:b/>
          <w:noProof/>
          <w:sz w:val="28"/>
          <w:lang w:val="en-US"/>
        </w:rPr>
      </w:pPr>
      <w:r w:rsidRPr="002B4B83">
        <w:rPr>
          <w:b/>
          <w:noProof/>
          <w:sz w:val="28"/>
          <w:lang w:val="en-US"/>
        </w:rPr>
        <w:t>Methodology for the Calculation of the Universal Postal Service Tariffs</w:t>
      </w:r>
    </w:p>
    <w:p w14:paraId="679BB075" w14:textId="77777777" w:rsidR="002B4B83" w:rsidRPr="002B4B83" w:rsidRDefault="002B4B83" w:rsidP="002B4B83">
      <w:pPr>
        <w:widowControl w:val="0"/>
        <w:jc w:val="both"/>
        <w:rPr>
          <w:noProof/>
          <w:lang w:val="en-US"/>
        </w:rPr>
      </w:pPr>
    </w:p>
    <w:p w14:paraId="5ACD6659" w14:textId="77777777" w:rsidR="002B4B83" w:rsidRPr="002B4B83" w:rsidRDefault="002B4B83" w:rsidP="002B4B83">
      <w:pPr>
        <w:widowControl w:val="0"/>
        <w:jc w:val="both"/>
        <w:rPr>
          <w:noProof/>
          <w:lang w:val="en-US"/>
        </w:rPr>
      </w:pPr>
    </w:p>
    <w:p w14:paraId="14DC491D" w14:textId="77777777" w:rsidR="002B4B83" w:rsidRPr="002B4B83" w:rsidRDefault="002B4B83" w:rsidP="002B4B83">
      <w:pPr>
        <w:widowControl w:val="0"/>
        <w:jc w:val="right"/>
        <w:rPr>
          <w:i/>
          <w:noProof/>
          <w:lang w:val="en-US"/>
        </w:rPr>
      </w:pPr>
      <w:r w:rsidRPr="002B4B83">
        <w:rPr>
          <w:i/>
          <w:noProof/>
          <w:lang w:val="en-US"/>
        </w:rPr>
        <w:t>Issued pursuant to</w:t>
      </w:r>
    </w:p>
    <w:p w14:paraId="61ED9CC6" w14:textId="77777777" w:rsidR="002B4B83" w:rsidRPr="002B4B83" w:rsidRDefault="002B4B83" w:rsidP="002B4B83">
      <w:pPr>
        <w:widowControl w:val="0"/>
        <w:jc w:val="right"/>
        <w:rPr>
          <w:i/>
          <w:iCs/>
          <w:noProof/>
          <w:lang w:val="en-US"/>
        </w:rPr>
      </w:pPr>
      <w:r w:rsidRPr="002B4B83">
        <w:rPr>
          <w:i/>
          <w:iCs/>
          <w:noProof/>
          <w:lang w:val="en-US"/>
        </w:rPr>
        <w:t>Section 27.</w:t>
      </w:r>
      <w:r w:rsidRPr="002B4B83">
        <w:rPr>
          <w:i/>
          <w:iCs/>
          <w:noProof/>
          <w:vertAlign w:val="superscript"/>
          <w:lang w:val="en-US"/>
        </w:rPr>
        <w:t>1</w:t>
      </w:r>
      <w:r w:rsidRPr="002B4B83">
        <w:rPr>
          <w:i/>
          <w:iCs/>
          <w:noProof/>
          <w:lang w:val="en-US"/>
        </w:rPr>
        <w:t>, Paragraph two, Section 32, Paragraph two of the Postal Law and</w:t>
      </w:r>
    </w:p>
    <w:p w14:paraId="73A43D74" w14:textId="77777777" w:rsidR="002B4B83" w:rsidRPr="002B4B83" w:rsidRDefault="002B4B83" w:rsidP="002B4B83">
      <w:pPr>
        <w:widowControl w:val="0"/>
        <w:jc w:val="right"/>
        <w:rPr>
          <w:i/>
          <w:noProof/>
          <w:lang w:val="en-US"/>
        </w:rPr>
      </w:pPr>
      <w:r w:rsidRPr="002B4B83">
        <w:rPr>
          <w:i/>
          <w:noProof/>
          <w:lang w:val="en-US"/>
        </w:rPr>
        <w:t>Section 25, Paragraph one of the law On Regulators of Public Utilities</w:t>
      </w:r>
    </w:p>
    <w:p w14:paraId="7ED6900F" w14:textId="77777777" w:rsidR="002B4B83" w:rsidRPr="002B4B83" w:rsidRDefault="002B4B83" w:rsidP="002B4B83">
      <w:pPr>
        <w:widowControl w:val="0"/>
        <w:jc w:val="both"/>
        <w:rPr>
          <w:b/>
          <w:bCs/>
          <w:noProof/>
          <w:lang w:val="en-US"/>
        </w:rPr>
      </w:pPr>
      <w:bookmarkStart w:id="0" w:name="n1"/>
      <w:bookmarkStart w:id="1" w:name="n-514329"/>
      <w:bookmarkEnd w:id="0"/>
      <w:bookmarkEnd w:id="1"/>
    </w:p>
    <w:p w14:paraId="086198A6" w14:textId="77777777" w:rsidR="002B4B83" w:rsidRPr="002B4B83" w:rsidRDefault="002B4B83" w:rsidP="002B4B83">
      <w:pPr>
        <w:widowControl w:val="0"/>
        <w:jc w:val="both"/>
        <w:rPr>
          <w:b/>
          <w:bCs/>
          <w:noProof/>
          <w:lang w:val="en-US"/>
        </w:rPr>
      </w:pPr>
    </w:p>
    <w:p w14:paraId="2329BBE6" w14:textId="77777777" w:rsidR="002B4B83" w:rsidRPr="002B4B83" w:rsidRDefault="002B4B83" w:rsidP="002B4B83">
      <w:pPr>
        <w:widowControl w:val="0"/>
        <w:jc w:val="center"/>
        <w:rPr>
          <w:b/>
          <w:noProof/>
          <w:lang w:val="en-US"/>
        </w:rPr>
      </w:pPr>
      <w:r w:rsidRPr="002B4B83">
        <w:rPr>
          <w:b/>
          <w:noProof/>
          <w:lang w:val="en-US"/>
        </w:rPr>
        <w:t>I. General Provisions</w:t>
      </w:r>
    </w:p>
    <w:p w14:paraId="131A24C0" w14:textId="77777777" w:rsidR="002B4B83" w:rsidRPr="002B4B83" w:rsidRDefault="002B4B83" w:rsidP="002B4B83">
      <w:pPr>
        <w:widowControl w:val="0"/>
        <w:jc w:val="both"/>
        <w:rPr>
          <w:noProof/>
          <w:lang w:val="en-US"/>
        </w:rPr>
      </w:pPr>
      <w:bookmarkStart w:id="2" w:name="p1"/>
      <w:bookmarkStart w:id="3" w:name="p-514330"/>
      <w:bookmarkEnd w:id="2"/>
      <w:bookmarkEnd w:id="3"/>
    </w:p>
    <w:p w14:paraId="6D008415" w14:textId="77777777" w:rsidR="002B4B83" w:rsidRPr="002B4B83" w:rsidRDefault="002B4B83" w:rsidP="002B4B83">
      <w:pPr>
        <w:widowControl w:val="0"/>
        <w:jc w:val="both"/>
        <w:rPr>
          <w:noProof/>
          <w:lang w:val="en-US"/>
        </w:rPr>
      </w:pPr>
      <w:r w:rsidRPr="002B4B83">
        <w:rPr>
          <w:noProof/>
          <w:lang w:val="en-US"/>
        </w:rPr>
        <w:t>1. Methodology for the calculation of the universal postal service tariffs stipulates the procedures by which the universal postal service tariffs shall be calculated by a provider of the universal postal service and the postal merchant participating in the tender (hereinafter jointly – the merchant) organised by the Public Utilities Commission (hereinafter – the Regulator) to determine the provider of the universal postal service (hereinafter – the tender).</w:t>
      </w:r>
    </w:p>
    <w:p w14:paraId="47D80B85" w14:textId="77777777" w:rsidR="002B4B83" w:rsidRPr="002B4B83" w:rsidRDefault="002B4B83" w:rsidP="002B4B83">
      <w:pPr>
        <w:widowControl w:val="0"/>
        <w:jc w:val="both"/>
        <w:rPr>
          <w:noProof/>
          <w:lang w:val="en-US"/>
        </w:rPr>
      </w:pPr>
      <w:bookmarkStart w:id="4" w:name="p2"/>
      <w:bookmarkStart w:id="5" w:name="p-664426"/>
      <w:bookmarkEnd w:id="4"/>
      <w:bookmarkEnd w:id="5"/>
    </w:p>
    <w:p w14:paraId="463ECAC0" w14:textId="77777777" w:rsidR="002B4B83" w:rsidRPr="002B4B83" w:rsidRDefault="002B4B83" w:rsidP="002B4B83">
      <w:pPr>
        <w:widowControl w:val="0"/>
        <w:jc w:val="both"/>
        <w:rPr>
          <w:noProof/>
          <w:lang w:val="en-US"/>
        </w:rPr>
      </w:pPr>
      <w:r w:rsidRPr="002B4B83">
        <w:rPr>
          <w:noProof/>
          <w:lang w:val="en-US"/>
        </w:rPr>
        <w:t>2. The following terms are used in this methodology:</w:t>
      </w:r>
    </w:p>
    <w:p w14:paraId="71F514FE" w14:textId="77777777" w:rsidR="002B4B83" w:rsidRPr="002B4B83" w:rsidRDefault="002B4B83" w:rsidP="002B4B83">
      <w:pPr>
        <w:widowControl w:val="0"/>
        <w:ind w:firstLine="709"/>
        <w:jc w:val="both"/>
        <w:rPr>
          <w:noProof/>
          <w:lang w:val="en-US"/>
        </w:rPr>
      </w:pPr>
      <w:r w:rsidRPr="002B4B83">
        <w:rPr>
          <w:noProof/>
          <w:lang w:val="en-US"/>
        </w:rPr>
        <w:t>2.1. effective tax rate – enterprise income tax rate which is calculated by the merchant in accordance with legal acts, taking into account whether the merchant makes a profit or loss;</w:t>
      </w:r>
    </w:p>
    <w:p w14:paraId="62334E08" w14:textId="77777777" w:rsidR="002B4B83" w:rsidRPr="002B4B83" w:rsidRDefault="002B4B83" w:rsidP="002B4B83">
      <w:pPr>
        <w:widowControl w:val="0"/>
        <w:ind w:firstLine="709"/>
        <w:jc w:val="both"/>
        <w:rPr>
          <w:noProof/>
          <w:lang w:val="en-US"/>
        </w:rPr>
      </w:pPr>
      <w:r w:rsidRPr="002B4B83">
        <w:rPr>
          <w:noProof/>
          <w:lang w:val="en-US"/>
        </w:rPr>
        <w:t>2.2. separation of accounts – calculation of profit or loss, used capital and capital financing costs by field of activity;</w:t>
      </w:r>
    </w:p>
    <w:p w14:paraId="65456930" w14:textId="77777777" w:rsidR="002B4B83" w:rsidRPr="002B4B83" w:rsidRDefault="002B4B83" w:rsidP="002B4B83">
      <w:pPr>
        <w:widowControl w:val="0"/>
        <w:ind w:firstLine="709"/>
        <w:jc w:val="both"/>
        <w:rPr>
          <w:noProof/>
          <w:lang w:val="en-US"/>
        </w:rPr>
      </w:pPr>
      <w:r w:rsidRPr="002B4B83">
        <w:rPr>
          <w:noProof/>
          <w:lang w:val="en-US"/>
        </w:rPr>
        <w:t>2.3. [13 August 2018];</w:t>
      </w:r>
    </w:p>
    <w:p w14:paraId="32E13FF0" w14:textId="77777777" w:rsidR="002B4B83" w:rsidRPr="002B4B83" w:rsidRDefault="002B4B83" w:rsidP="002B4B83">
      <w:pPr>
        <w:widowControl w:val="0"/>
        <w:ind w:firstLine="709"/>
        <w:jc w:val="both"/>
        <w:rPr>
          <w:noProof/>
          <w:lang w:val="en-US"/>
        </w:rPr>
      </w:pPr>
      <w:r w:rsidRPr="002B4B83">
        <w:rPr>
          <w:noProof/>
          <w:lang w:val="en-US"/>
        </w:rPr>
        <w:t>2.4. current cost accounting – accounting of merchant’s costs, taking into account the value of fixed assets after revaluation and capital maintenance principles;</w:t>
      </w:r>
    </w:p>
    <w:p w14:paraId="065EAA71" w14:textId="77777777" w:rsidR="002B4B83" w:rsidRPr="002B4B83" w:rsidRDefault="002B4B83" w:rsidP="002B4B83">
      <w:pPr>
        <w:widowControl w:val="0"/>
        <w:ind w:firstLine="709"/>
        <w:jc w:val="both"/>
        <w:rPr>
          <w:noProof/>
          <w:lang w:val="en-US"/>
        </w:rPr>
      </w:pPr>
      <w:r w:rsidRPr="002B4B83">
        <w:rPr>
          <w:noProof/>
          <w:lang w:val="en-US"/>
        </w:rPr>
        <w:t>2.5. indirect costs – general costs of the merchant which are not directly related to the provision of each individual postal service;</w:t>
      </w:r>
    </w:p>
    <w:p w14:paraId="78BD52C4" w14:textId="77777777" w:rsidR="002B4B83" w:rsidRPr="002B4B83" w:rsidRDefault="002B4B83" w:rsidP="002B4B83">
      <w:pPr>
        <w:widowControl w:val="0"/>
        <w:ind w:firstLine="709"/>
        <w:jc w:val="both"/>
        <w:rPr>
          <w:noProof/>
          <w:lang w:val="en-US"/>
        </w:rPr>
      </w:pPr>
      <w:r w:rsidRPr="002B4B83">
        <w:rPr>
          <w:noProof/>
          <w:lang w:val="en-US"/>
        </w:rPr>
        <w:t>2.6. other services – services other than postal services provided by the merchant;</w:t>
      </w:r>
    </w:p>
    <w:p w14:paraId="121D1F5E" w14:textId="77777777" w:rsidR="002B4B83" w:rsidRPr="002B4B83" w:rsidRDefault="002B4B83" w:rsidP="002B4B83">
      <w:pPr>
        <w:widowControl w:val="0"/>
        <w:ind w:firstLine="709"/>
        <w:jc w:val="both"/>
        <w:rPr>
          <w:noProof/>
          <w:lang w:val="en-US"/>
        </w:rPr>
      </w:pPr>
      <w:r w:rsidRPr="002B4B83">
        <w:rPr>
          <w:noProof/>
          <w:lang w:val="en-US"/>
        </w:rPr>
        <w:t>2.7. other postal services – traditional postal services and other postal services provided by the merchant which are not included in the list of postal services of the universal postal service;</w:t>
      </w:r>
    </w:p>
    <w:p w14:paraId="02491DDD" w14:textId="77777777" w:rsidR="002B4B83" w:rsidRPr="002B4B83" w:rsidRDefault="002B4B83" w:rsidP="002B4B83">
      <w:pPr>
        <w:widowControl w:val="0"/>
        <w:ind w:firstLine="709"/>
        <w:jc w:val="both"/>
        <w:rPr>
          <w:noProof/>
          <w:lang w:val="en-US"/>
        </w:rPr>
      </w:pPr>
      <w:r w:rsidRPr="002B4B83">
        <w:rPr>
          <w:noProof/>
          <w:lang w:val="en-US"/>
        </w:rPr>
        <w:t>2.8. production capacity – the amount of postal services that can be provided by the merchant within a specified period by making full use of the fixed assets at its disposal;</w:t>
      </w:r>
    </w:p>
    <w:p w14:paraId="4A0B4A0D" w14:textId="77777777" w:rsidR="002B4B83" w:rsidRPr="002B4B83" w:rsidRDefault="002B4B83" w:rsidP="002B4B83">
      <w:pPr>
        <w:widowControl w:val="0"/>
        <w:ind w:firstLine="709"/>
        <w:jc w:val="both"/>
        <w:rPr>
          <w:noProof/>
          <w:lang w:val="en-US"/>
        </w:rPr>
      </w:pPr>
      <w:r w:rsidRPr="002B4B83">
        <w:rPr>
          <w:noProof/>
          <w:lang w:val="en-US"/>
        </w:rPr>
        <w:t>2.9. direct costs – costs of the merchant which are directly related to the provision of certain postal services;</w:t>
      </w:r>
    </w:p>
    <w:p w14:paraId="2E24B95B" w14:textId="77777777" w:rsidR="002B4B83" w:rsidRPr="002B4B83" w:rsidRDefault="002B4B83" w:rsidP="002B4B83">
      <w:pPr>
        <w:widowControl w:val="0"/>
        <w:ind w:firstLine="709"/>
        <w:jc w:val="both"/>
        <w:rPr>
          <w:noProof/>
          <w:lang w:val="en-US"/>
        </w:rPr>
      </w:pPr>
      <w:r w:rsidRPr="002B4B83">
        <w:rPr>
          <w:noProof/>
          <w:lang w:val="en-US"/>
        </w:rPr>
        <w:t>2.10. transfer payment – cost allocation and calculation in the internal accounting system of the merchant if the universal postal services, other postal services or other services are provided by one unit of the merchant to another unit of the same merchant, i.e. services are provided within the framework of the merchant.</w:t>
      </w:r>
    </w:p>
    <w:p w14:paraId="51E7A05D" w14:textId="77777777" w:rsidR="002B4B83" w:rsidRPr="002B4B83" w:rsidRDefault="002B4B83" w:rsidP="002B4B83">
      <w:pPr>
        <w:widowControl w:val="0"/>
        <w:jc w:val="both"/>
        <w:rPr>
          <w:noProof/>
          <w:lang w:val="en-US"/>
        </w:rPr>
      </w:pPr>
      <w:bookmarkStart w:id="6" w:name="p2_1"/>
      <w:bookmarkStart w:id="7" w:name="p-664427"/>
      <w:bookmarkEnd w:id="6"/>
      <w:bookmarkEnd w:id="7"/>
    </w:p>
    <w:p w14:paraId="3DFFF47D" w14:textId="77777777" w:rsidR="002B4B83" w:rsidRPr="002B4B83" w:rsidRDefault="002B4B83" w:rsidP="002B4B83">
      <w:pPr>
        <w:keepNext/>
        <w:keepLines/>
        <w:widowControl w:val="0"/>
        <w:jc w:val="both"/>
        <w:rPr>
          <w:noProof/>
          <w:lang w:val="en-US"/>
        </w:rPr>
      </w:pPr>
      <w:r w:rsidRPr="002B4B83">
        <w:rPr>
          <w:noProof/>
          <w:lang w:val="en-US"/>
        </w:rPr>
        <w:lastRenderedPageBreak/>
        <w:t>2.</w:t>
      </w:r>
      <w:r w:rsidRPr="002B4B83">
        <w:rPr>
          <w:noProof/>
          <w:vertAlign w:val="superscript"/>
          <w:lang w:val="en-US"/>
        </w:rPr>
        <w:t xml:space="preserve">1 </w:t>
      </w:r>
      <w:r w:rsidRPr="002B4B83">
        <w:rPr>
          <w:noProof/>
          <w:lang w:val="en-US"/>
        </w:rPr>
        <w:t>The merchant shall submit to the Regulator the original of the draft universal postal service tariff documents (in paper format or signed according to the procedures specified in legal acts with an electronic signature) and the electronic form (if the original of the draft tariff has been submitted in paper format). The merchant shall, together with the draft tariff, submit the justification for the costs forming the tariff referred to in the calculation of the draft tariff and the documents substantiating the abovementioned costs in accordance with the regulations of the Regulator for the justification of the costs forming the tariff.</w:t>
      </w:r>
    </w:p>
    <w:p w14:paraId="1F533E0C" w14:textId="77777777" w:rsidR="002B4B83" w:rsidRPr="002B4B83" w:rsidRDefault="002B4B83" w:rsidP="002B4B83">
      <w:pPr>
        <w:widowControl w:val="0"/>
        <w:jc w:val="both"/>
        <w:rPr>
          <w:noProof/>
          <w:lang w:val="en-US"/>
        </w:rPr>
      </w:pPr>
      <w:r w:rsidRPr="002B4B83">
        <w:rPr>
          <w:noProof/>
          <w:lang w:val="en-US"/>
        </w:rPr>
        <w:t>[</w:t>
      </w:r>
      <w:r w:rsidRPr="002B4B83">
        <w:rPr>
          <w:i/>
          <w:iCs/>
          <w:noProof/>
          <w:lang w:val="en-US"/>
        </w:rPr>
        <w:t>13 August 2018</w:t>
      </w:r>
      <w:r w:rsidRPr="002B4B83">
        <w:rPr>
          <w:noProof/>
          <w:lang w:val="en-US"/>
        </w:rPr>
        <w:t>]</w:t>
      </w:r>
    </w:p>
    <w:p w14:paraId="578015A5" w14:textId="77777777" w:rsidR="002B4B83" w:rsidRPr="002B4B83" w:rsidRDefault="002B4B83" w:rsidP="002B4B83">
      <w:pPr>
        <w:widowControl w:val="0"/>
        <w:jc w:val="both"/>
        <w:rPr>
          <w:noProof/>
          <w:lang w:val="en-US"/>
        </w:rPr>
      </w:pPr>
      <w:bookmarkStart w:id="8" w:name="p3"/>
      <w:bookmarkStart w:id="9" w:name="p-1127554"/>
      <w:bookmarkEnd w:id="8"/>
      <w:bookmarkEnd w:id="9"/>
    </w:p>
    <w:p w14:paraId="67CB3920" w14:textId="77777777" w:rsidR="002B4B83" w:rsidRPr="002B4B83" w:rsidRDefault="002B4B83" w:rsidP="002B4B83">
      <w:pPr>
        <w:widowControl w:val="0"/>
        <w:jc w:val="both"/>
        <w:rPr>
          <w:noProof/>
          <w:lang w:val="en-US"/>
        </w:rPr>
      </w:pPr>
      <w:r w:rsidRPr="002B4B83">
        <w:rPr>
          <w:noProof/>
          <w:lang w:val="en-US"/>
        </w:rPr>
        <w:t>3. The merchant shall use the rate of return on capital for determining the costs of capital, and such rate shall be determined in accordance with the methodology for the accounting and calculation of capital costs determined by the Regulator. The merchant who participates in the tender shall use the last return rate on capital determined by the Regulator. If the Regulator has not determined the rate of return on capital for the period when the draft tariff submitted by the merchant enters into effect, the merchant shall use the last return rate on capital determined by the Regulator.</w:t>
      </w:r>
    </w:p>
    <w:p w14:paraId="7A5B66D3" w14:textId="77777777" w:rsidR="002B4B83" w:rsidRPr="002B4B83" w:rsidRDefault="002B4B83" w:rsidP="002B4B83">
      <w:pPr>
        <w:widowControl w:val="0"/>
        <w:jc w:val="both"/>
        <w:rPr>
          <w:noProof/>
          <w:lang w:val="en-US"/>
        </w:rPr>
      </w:pPr>
      <w:r w:rsidRPr="002B4B83">
        <w:rPr>
          <w:noProof/>
          <w:lang w:val="en-US"/>
        </w:rPr>
        <w:t>[</w:t>
      </w:r>
      <w:r w:rsidRPr="002B4B83">
        <w:rPr>
          <w:i/>
          <w:iCs/>
          <w:noProof/>
          <w:lang w:val="en-US"/>
        </w:rPr>
        <w:t>13 August 2018; 29 August 2022</w:t>
      </w:r>
      <w:r w:rsidRPr="002B4B83">
        <w:rPr>
          <w:noProof/>
          <w:lang w:val="en-US"/>
        </w:rPr>
        <w:t>]</w:t>
      </w:r>
    </w:p>
    <w:p w14:paraId="1F84A391" w14:textId="77777777" w:rsidR="002B4B83" w:rsidRPr="002B4B83" w:rsidRDefault="002B4B83" w:rsidP="002B4B83">
      <w:pPr>
        <w:widowControl w:val="0"/>
        <w:jc w:val="both"/>
        <w:rPr>
          <w:b/>
          <w:bCs/>
          <w:noProof/>
          <w:lang w:val="en-US"/>
        </w:rPr>
      </w:pPr>
      <w:bookmarkStart w:id="10" w:name="n2"/>
      <w:bookmarkStart w:id="11" w:name="n-514334"/>
      <w:bookmarkEnd w:id="10"/>
      <w:bookmarkEnd w:id="11"/>
    </w:p>
    <w:p w14:paraId="3E83AF58" w14:textId="77777777" w:rsidR="002B4B83" w:rsidRPr="002B4B83" w:rsidRDefault="002B4B83" w:rsidP="002B4B83">
      <w:pPr>
        <w:widowControl w:val="0"/>
        <w:jc w:val="center"/>
        <w:rPr>
          <w:b/>
          <w:noProof/>
          <w:lang w:val="en-US"/>
        </w:rPr>
      </w:pPr>
      <w:r w:rsidRPr="002B4B83">
        <w:rPr>
          <w:b/>
          <w:noProof/>
          <w:lang w:val="en-US"/>
        </w:rPr>
        <w:t>II. Cost Allocation and Calculation Principles and Tariff Calculation</w:t>
      </w:r>
    </w:p>
    <w:p w14:paraId="5CEA8940" w14:textId="77777777" w:rsidR="002B4B83" w:rsidRPr="002B4B83" w:rsidRDefault="002B4B83" w:rsidP="002B4B83">
      <w:pPr>
        <w:widowControl w:val="0"/>
        <w:jc w:val="both"/>
        <w:rPr>
          <w:noProof/>
          <w:lang w:val="en-US"/>
        </w:rPr>
      </w:pPr>
      <w:bookmarkStart w:id="12" w:name="p4"/>
      <w:bookmarkStart w:id="13" w:name="p-514335"/>
      <w:bookmarkEnd w:id="12"/>
      <w:bookmarkEnd w:id="13"/>
    </w:p>
    <w:p w14:paraId="2CA044A0" w14:textId="77777777" w:rsidR="002B4B83" w:rsidRPr="002B4B83" w:rsidRDefault="002B4B83" w:rsidP="002B4B83">
      <w:pPr>
        <w:widowControl w:val="0"/>
        <w:jc w:val="both"/>
        <w:rPr>
          <w:noProof/>
          <w:lang w:val="en-US"/>
        </w:rPr>
      </w:pPr>
      <w:r w:rsidRPr="002B4B83">
        <w:rPr>
          <w:noProof/>
          <w:lang w:val="en-US"/>
        </w:rPr>
        <w:t>4. Cost allocation shall be based on a direct or indirect causal relationship. If the merchant cannot directly allocate the costs, it shall use the methodology of activities where each step of cost allocation is determined by taking into account the causal relationship.</w:t>
      </w:r>
    </w:p>
    <w:p w14:paraId="1B7588F1" w14:textId="77777777" w:rsidR="002B4B83" w:rsidRPr="002B4B83" w:rsidRDefault="002B4B83" w:rsidP="002B4B83">
      <w:pPr>
        <w:widowControl w:val="0"/>
        <w:jc w:val="both"/>
        <w:rPr>
          <w:noProof/>
          <w:lang w:val="en-US"/>
        </w:rPr>
      </w:pPr>
      <w:bookmarkStart w:id="14" w:name="p5"/>
      <w:bookmarkStart w:id="15" w:name="p-514336"/>
      <w:bookmarkEnd w:id="14"/>
      <w:bookmarkEnd w:id="15"/>
    </w:p>
    <w:p w14:paraId="07133EBA" w14:textId="77777777" w:rsidR="002B4B83" w:rsidRPr="002B4B83" w:rsidRDefault="002B4B83" w:rsidP="002B4B83">
      <w:pPr>
        <w:widowControl w:val="0"/>
        <w:jc w:val="both"/>
        <w:rPr>
          <w:noProof/>
          <w:lang w:val="en-US"/>
        </w:rPr>
      </w:pPr>
      <w:r w:rsidRPr="002B4B83">
        <w:rPr>
          <w:noProof/>
          <w:lang w:val="en-US"/>
        </w:rPr>
        <w:t>5. The merchant shall break down the costs as follows in its internal accounting system:</w:t>
      </w:r>
    </w:p>
    <w:p w14:paraId="085A0964" w14:textId="77777777" w:rsidR="002B4B83" w:rsidRPr="002B4B83" w:rsidRDefault="002B4B83" w:rsidP="002B4B83">
      <w:pPr>
        <w:widowControl w:val="0"/>
        <w:ind w:firstLine="709"/>
        <w:jc w:val="both"/>
        <w:rPr>
          <w:noProof/>
          <w:lang w:val="en-US"/>
        </w:rPr>
      </w:pPr>
      <w:r w:rsidRPr="002B4B83">
        <w:rPr>
          <w:noProof/>
          <w:lang w:val="en-US"/>
        </w:rPr>
        <w:t>5.1. direct costs that can be directly allocated to particular postal services;</w:t>
      </w:r>
    </w:p>
    <w:p w14:paraId="0126EE11" w14:textId="77777777" w:rsidR="002B4B83" w:rsidRPr="002B4B83" w:rsidRDefault="002B4B83" w:rsidP="002B4B83">
      <w:pPr>
        <w:widowControl w:val="0"/>
        <w:ind w:firstLine="709"/>
        <w:jc w:val="both"/>
        <w:rPr>
          <w:noProof/>
          <w:lang w:val="en-US"/>
        </w:rPr>
      </w:pPr>
      <w:r w:rsidRPr="002B4B83">
        <w:rPr>
          <w:noProof/>
          <w:lang w:val="en-US"/>
        </w:rPr>
        <w:t>5.2. indirect costs that cannot be directly allocated to particular postal services:</w:t>
      </w:r>
    </w:p>
    <w:p w14:paraId="4D87A026" w14:textId="77777777" w:rsidR="002B4B83" w:rsidRPr="002B4B83" w:rsidRDefault="002B4B83" w:rsidP="002B4B83">
      <w:pPr>
        <w:widowControl w:val="0"/>
        <w:ind w:left="709" w:firstLine="709"/>
        <w:jc w:val="both"/>
        <w:rPr>
          <w:noProof/>
          <w:lang w:val="en-US"/>
        </w:rPr>
      </w:pPr>
      <w:r w:rsidRPr="002B4B83">
        <w:rPr>
          <w:noProof/>
          <w:lang w:val="en-US"/>
        </w:rPr>
        <w:t>5.2.1. if it is possible, costs shall be allocated based on a direct analysis of the incurrence of costs;</w:t>
      </w:r>
    </w:p>
    <w:p w14:paraId="67179E75" w14:textId="77777777" w:rsidR="002B4B83" w:rsidRPr="002B4B83" w:rsidRDefault="002B4B83" w:rsidP="002B4B83">
      <w:pPr>
        <w:widowControl w:val="0"/>
        <w:ind w:left="709" w:firstLine="709"/>
        <w:jc w:val="both"/>
        <w:rPr>
          <w:noProof/>
          <w:lang w:val="en-US"/>
        </w:rPr>
      </w:pPr>
      <w:r w:rsidRPr="002B4B83">
        <w:rPr>
          <w:noProof/>
          <w:lang w:val="en-US"/>
        </w:rPr>
        <w:t>5.2.2. when direct analysis is not possible, indirect costs shall be distributed based on an indirect linkage to another cost category or group of cost categories for which a direct allocation is possible (indirect linkage is based on comparable cost structures);</w:t>
      </w:r>
    </w:p>
    <w:p w14:paraId="1026CCD8" w14:textId="77777777" w:rsidR="002B4B83" w:rsidRPr="002B4B83" w:rsidRDefault="002B4B83" w:rsidP="002B4B83">
      <w:pPr>
        <w:widowControl w:val="0"/>
        <w:ind w:left="709" w:firstLine="709"/>
        <w:jc w:val="both"/>
        <w:rPr>
          <w:noProof/>
          <w:lang w:val="en-US"/>
        </w:rPr>
      </w:pPr>
      <w:r w:rsidRPr="002B4B83">
        <w:rPr>
          <w:noProof/>
          <w:lang w:val="en-US"/>
        </w:rPr>
        <w:t>5.2.3. where neither direct, nor indirect cost allocation is possible, costs shall be allocated based on the general distribution which is calculated using the proportion of all directly or indirectly allocated costs for each service.</w:t>
      </w:r>
    </w:p>
    <w:p w14:paraId="3B8D21E2" w14:textId="77777777" w:rsidR="002B4B83" w:rsidRPr="002B4B83" w:rsidRDefault="002B4B83" w:rsidP="002B4B83">
      <w:pPr>
        <w:widowControl w:val="0"/>
        <w:jc w:val="both"/>
        <w:rPr>
          <w:noProof/>
          <w:lang w:val="en-US"/>
        </w:rPr>
      </w:pPr>
      <w:bookmarkStart w:id="16" w:name="p6"/>
      <w:bookmarkStart w:id="17" w:name="p-514337"/>
      <w:bookmarkEnd w:id="16"/>
      <w:bookmarkEnd w:id="17"/>
    </w:p>
    <w:p w14:paraId="3059A369" w14:textId="77777777" w:rsidR="002B4B83" w:rsidRPr="002B4B83" w:rsidRDefault="002B4B83" w:rsidP="002B4B83">
      <w:pPr>
        <w:widowControl w:val="0"/>
        <w:jc w:val="both"/>
        <w:rPr>
          <w:noProof/>
          <w:lang w:val="en-US"/>
        </w:rPr>
      </w:pPr>
      <w:r w:rsidRPr="002B4B83">
        <w:rPr>
          <w:noProof/>
          <w:lang w:val="en-US"/>
        </w:rPr>
        <w:t>6. The merchant shall calculate the tariff of the universal postal service by aggregating the operating costs and costs of capital financing allocated to the universal postal service. The universal postal service tariff calculated in accordance with this methodology and approved by the Regulator shall be the maximum limit of the price of the universal postal service offered by the merchant, and it shall be uniform throughout the territory of the Republic of Latvia, at the same time ensuring profitability for the activities of the merchant.</w:t>
      </w:r>
    </w:p>
    <w:p w14:paraId="79DEB17B" w14:textId="77777777" w:rsidR="002B4B83" w:rsidRPr="002B4B83" w:rsidRDefault="002B4B83" w:rsidP="002B4B83">
      <w:pPr>
        <w:widowControl w:val="0"/>
        <w:jc w:val="both"/>
        <w:rPr>
          <w:noProof/>
          <w:lang w:val="en-US"/>
        </w:rPr>
      </w:pPr>
      <w:bookmarkStart w:id="18" w:name="p7"/>
      <w:bookmarkStart w:id="19" w:name="p-514338"/>
      <w:bookmarkEnd w:id="18"/>
      <w:bookmarkEnd w:id="19"/>
    </w:p>
    <w:p w14:paraId="6F4BC0AE" w14:textId="77777777" w:rsidR="002B4B83" w:rsidRPr="002B4B83" w:rsidRDefault="002B4B83" w:rsidP="002B4B83">
      <w:pPr>
        <w:widowControl w:val="0"/>
        <w:jc w:val="both"/>
        <w:rPr>
          <w:noProof/>
          <w:lang w:val="en-US"/>
        </w:rPr>
      </w:pPr>
      <w:r w:rsidRPr="002B4B83">
        <w:rPr>
          <w:noProof/>
          <w:lang w:val="en-US"/>
        </w:rPr>
        <w:t>7. A provider of the universal postal service shall use the annual statement of the provider of the universal postal service which has been drawn up in accordance with the legal acts as the basis for the calculation of the costs of postal services and accounting separation.</w:t>
      </w:r>
    </w:p>
    <w:p w14:paraId="482BBCEF" w14:textId="77777777" w:rsidR="002B4B83" w:rsidRPr="002B4B83" w:rsidRDefault="002B4B83" w:rsidP="002B4B83">
      <w:pPr>
        <w:widowControl w:val="0"/>
        <w:jc w:val="both"/>
        <w:rPr>
          <w:noProof/>
          <w:lang w:val="en-US"/>
        </w:rPr>
      </w:pPr>
      <w:bookmarkStart w:id="20" w:name="p8"/>
      <w:bookmarkStart w:id="21" w:name="p-514339"/>
      <w:bookmarkEnd w:id="20"/>
      <w:bookmarkEnd w:id="21"/>
    </w:p>
    <w:p w14:paraId="50FC020D" w14:textId="77777777" w:rsidR="002B4B83" w:rsidRPr="002B4B83" w:rsidRDefault="002B4B83" w:rsidP="002B4B83">
      <w:pPr>
        <w:keepNext/>
        <w:keepLines/>
        <w:widowControl w:val="0"/>
        <w:jc w:val="both"/>
        <w:rPr>
          <w:noProof/>
          <w:lang w:val="en-US"/>
        </w:rPr>
      </w:pPr>
      <w:r w:rsidRPr="002B4B83">
        <w:rPr>
          <w:noProof/>
          <w:lang w:val="en-US"/>
        </w:rPr>
        <w:lastRenderedPageBreak/>
        <w:t>8. The merchant who participates in the tender and has not previously provided the universal postal service shall calculate the expected total annual costs for the provision of the universal postal service and use these costs as the basis for the calculation of universal postal service costs and accounting separation. The merchant who participates in the tender and has not previously provided the universal postal service shall calculate the expected total costs for the universal postal service based on operating costs and fixed assets and intangible long-term investments that are needed by the merchant to provide the universal postal service in conformity with the quality requirements laid down by the Regulator to the extent specified in tender regulations.</w:t>
      </w:r>
    </w:p>
    <w:p w14:paraId="6EE795C5" w14:textId="77777777" w:rsidR="002B4B83" w:rsidRPr="002B4B83" w:rsidRDefault="002B4B83" w:rsidP="002B4B83">
      <w:pPr>
        <w:widowControl w:val="0"/>
        <w:jc w:val="both"/>
        <w:rPr>
          <w:b/>
          <w:bCs/>
          <w:noProof/>
          <w:lang w:val="en-US"/>
        </w:rPr>
      </w:pPr>
      <w:bookmarkStart w:id="22" w:name="n3"/>
      <w:bookmarkStart w:id="23" w:name="n-514340"/>
      <w:bookmarkEnd w:id="22"/>
      <w:bookmarkEnd w:id="23"/>
    </w:p>
    <w:p w14:paraId="456999BB" w14:textId="77777777" w:rsidR="002B4B83" w:rsidRPr="002B4B83" w:rsidRDefault="002B4B83" w:rsidP="002B4B83">
      <w:pPr>
        <w:keepNext/>
        <w:keepLines/>
        <w:widowControl w:val="0"/>
        <w:jc w:val="center"/>
        <w:rPr>
          <w:b/>
          <w:noProof/>
          <w:lang w:val="en-US"/>
        </w:rPr>
      </w:pPr>
      <w:r w:rsidRPr="002B4B83">
        <w:rPr>
          <w:b/>
          <w:noProof/>
          <w:lang w:val="en-US"/>
        </w:rPr>
        <w:t>III. Operating Costs</w:t>
      </w:r>
    </w:p>
    <w:p w14:paraId="7F3B7BD0" w14:textId="77777777" w:rsidR="002B4B83" w:rsidRPr="002B4B83" w:rsidRDefault="002B4B83" w:rsidP="002B4B83">
      <w:pPr>
        <w:keepNext/>
        <w:keepLines/>
        <w:widowControl w:val="0"/>
        <w:jc w:val="both"/>
        <w:rPr>
          <w:noProof/>
          <w:lang w:val="en-US"/>
        </w:rPr>
      </w:pPr>
      <w:bookmarkStart w:id="24" w:name="p9"/>
      <w:bookmarkStart w:id="25" w:name="p-514341"/>
      <w:bookmarkEnd w:id="24"/>
      <w:bookmarkEnd w:id="25"/>
    </w:p>
    <w:p w14:paraId="2809D572" w14:textId="77777777" w:rsidR="002B4B83" w:rsidRPr="002B4B83" w:rsidRDefault="002B4B83" w:rsidP="002B4B83">
      <w:pPr>
        <w:keepNext/>
        <w:keepLines/>
        <w:widowControl w:val="0"/>
        <w:jc w:val="both"/>
        <w:rPr>
          <w:noProof/>
          <w:lang w:val="en-US"/>
        </w:rPr>
      </w:pPr>
      <w:r w:rsidRPr="002B4B83">
        <w:rPr>
          <w:noProof/>
          <w:lang w:val="en-US"/>
        </w:rPr>
        <w:t>9. The merchant shall, in its internal accounting system, break down the operating costs in the following cost groups:</w:t>
      </w:r>
    </w:p>
    <w:p w14:paraId="1C4E4C0F" w14:textId="77777777" w:rsidR="002B4B83" w:rsidRPr="002B4B83" w:rsidRDefault="002B4B83" w:rsidP="002B4B83">
      <w:pPr>
        <w:widowControl w:val="0"/>
        <w:ind w:firstLine="709"/>
        <w:jc w:val="both"/>
        <w:rPr>
          <w:noProof/>
          <w:lang w:val="en-US"/>
        </w:rPr>
      </w:pPr>
      <w:r w:rsidRPr="002B4B83">
        <w:rPr>
          <w:noProof/>
          <w:lang w:val="en-US"/>
        </w:rPr>
        <w:t>9.1. customer servicing at the point for the provision of postal services;</w:t>
      </w:r>
    </w:p>
    <w:p w14:paraId="02C8A688" w14:textId="77777777" w:rsidR="002B4B83" w:rsidRPr="002B4B83" w:rsidRDefault="002B4B83" w:rsidP="002B4B83">
      <w:pPr>
        <w:widowControl w:val="0"/>
        <w:ind w:firstLine="709"/>
        <w:jc w:val="both"/>
        <w:rPr>
          <w:noProof/>
          <w:lang w:val="en-US"/>
        </w:rPr>
      </w:pPr>
      <w:r w:rsidRPr="002B4B83">
        <w:rPr>
          <w:noProof/>
          <w:lang w:val="en-US"/>
        </w:rPr>
        <w:t>9.2. collection and acceptance of postal items;</w:t>
      </w:r>
    </w:p>
    <w:p w14:paraId="66A96308" w14:textId="77777777" w:rsidR="002B4B83" w:rsidRPr="002B4B83" w:rsidRDefault="002B4B83" w:rsidP="002B4B83">
      <w:pPr>
        <w:widowControl w:val="0"/>
        <w:ind w:firstLine="709"/>
        <w:jc w:val="both"/>
        <w:rPr>
          <w:noProof/>
          <w:lang w:val="en-US"/>
        </w:rPr>
      </w:pPr>
      <w:r w:rsidRPr="002B4B83">
        <w:rPr>
          <w:noProof/>
          <w:lang w:val="en-US"/>
        </w:rPr>
        <w:t>9.3. sorting of postal items;</w:t>
      </w:r>
    </w:p>
    <w:p w14:paraId="0B490985" w14:textId="77777777" w:rsidR="002B4B83" w:rsidRPr="002B4B83" w:rsidRDefault="002B4B83" w:rsidP="002B4B83">
      <w:pPr>
        <w:widowControl w:val="0"/>
        <w:ind w:firstLine="709"/>
        <w:jc w:val="both"/>
        <w:rPr>
          <w:noProof/>
          <w:lang w:val="en-US"/>
        </w:rPr>
      </w:pPr>
      <w:r w:rsidRPr="002B4B83">
        <w:rPr>
          <w:noProof/>
          <w:lang w:val="en-US"/>
        </w:rPr>
        <w:t>9.4. transportation of postal items;</w:t>
      </w:r>
    </w:p>
    <w:p w14:paraId="0BFEF51B" w14:textId="77777777" w:rsidR="002B4B83" w:rsidRPr="002B4B83" w:rsidRDefault="002B4B83" w:rsidP="002B4B83">
      <w:pPr>
        <w:widowControl w:val="0"/>
        <w:ind w:firstLine="709"/>
        <w:jc w:val="both"/>
        <w:rPr>
          <w:noProof/>
          <w:lang w:val="en-US"/>
        </w:rPr>
      </w:pPr>
      <w:r w:rsidRPr="002B4B83">
        <w:rPr>
          <w:noProof/>
          <w:lang w:val="en-US"/>
        </w:rPr>
        <w:t>9.5. delivery of postal items;</w:t>
      </w:r>
    </w:p>
    <w:p w14:paraId="4F0DD2B7" w14:textId="77777777" w:rsidR="002B4B83" w:rsidRPr="002B4B83" w:rsidRDefault="002B4B83" w:rsidP="002B4B83">
      <w:pPr>
        <w:widowControl w:val="0"/>
        <w:ind w:firstLine="709"/>
        <w:jc w:val="both"/>
        <w:rPr>
          <w:noProof/>
          <w:lang w:val="en-US"/>
        </w:rPr>
      </w:pPr>
      <w:r w:rsidRPr="002B4B83">
        <w:rPr>
          <w:noProof/>
          <w:lang w:val="en-US"/>
        </w:rPr>
        <w:t>9.6. costs exceeding costs needed for the effective provision of the universal postal service;</w:t>
      </w:r>
    </w:p>
    <w:p w14:paraId="6059A260" w14:textId="77777777" w:rsidR="002B4B83" w:rsidRPr="002B4B83" w:rsidRDefault="002B4B83" w:rsidP="002B4B83">
      <w:pPr>
        <w:widowControl w:val="0"/>
        <w:ind w:firstLine="709"/>
        <w:jc w:val="both"/>
        <w:rPr>
          <w:noProof/>
          <w:lang w:val="en-US"/>
        </w:rPr>
      </w:pPr>
      <w:r w:rsidRPr="002B4B83">
        <w:rPr>
          <w:noProof/>
          <w:lang w:val="en-US"/>
        </w:rPr>
        <w:t>9.7. spare capacity;</w:t>
      </w:r>
    </w:p>
    <w:p w14:paraId="69B72C4B" w14:textId="77777777" w:rsidR="002B4B83" w:rsidRPr="002B4B83" w:rsidRDefault="002B4B83" w:rsidP="002B4B83">
      <w:pPr>
        <w:widowControl w:val="0"/>
        <w:ind w:firstLine="709"/>
        <w:jc w:val="both"/>
        <w:rPr>
          <w:noProof/>
          <w:lang w:val="en-US"/>
        </w:rPr>
      </w:pPr>
      <w:r w:rsidRPr="002B4B83">
        <w:rPr>
          <w:noProof/>
          <w:lang w:val="en-US"/>
        </w:rPr>
        <w:t>9.8. indirect costs;</w:t>
      </w:r>
    </w:p>
    <w:p w14:paraId="332B16E8" w14:textId="77777777" w:rsidR="002B4B83" w:rsidRPr="002B4B83" w:rsidRDefault="002B4B83" w:rsidP="002B4B83">
      <w:pPr>
        <w:widowControl w:val="0"/>
        <w:ind w:firstLine="709"/>
        <w:jc w:val="both"/>
        <w:rPr>
          <w:noProof/>
          <w:lang w:val="en-US"/>
        </w:rPr>
      </w:pPr>
      <w:r w:rsidRPr="002B4B83">
        <w:rPr>
          <w:noProof/>
          <w:lang w:val="en-US"/>
        </w:rPr>
        <w:t>9.9. commitments;</w:t>
      </w:r>
    </w:p>
    <w:p w14:paraId="171A9E12" w14:textId="77777777" w:rsidR="002B4B83" w:rsidRPr="002B4B83" w:rsidRDefault="002B4B83" w:rsidP="002B4B83">
      <w:pPr>
        <w:widowControl w:val="0"/>
        <w:ind w:firstLine="709"/>
        <w:jc w:val="both"/>
        <w:rPr>
          <w:noProof/>
          <w:lang w:val="en-US"/>
        </w:rPr>
      </w:pPr>
      <w:r w:rsidRPr="002B4B83">
        <w:rPr>
          <w:noProof/>
          <w:lang w:val="en-US"/>
        </w:rPr>
        <w:t>9.10. undistributed profit;</w:t>
      </w:r>
    </w:p>
    <w:p w14:paraId="732EDF91" w14:textId="77777777" w:rsidR="002B4B83" w:rsidRPr="002B4B83" w:rsidRDefault="002B4B83" w:rsidP="002B4B83">
      <w:pPr>
        <w:widowControl w:val="0"/>
        <w:ind w:firstLine="709"/>
        <w:jc w:val="both"/>
        <w:rPr>
          <w:noProof/>
          <w:lang w:val="en-US"/>
        </w:rPr>
      </w:pPr>
      <w:r w:rsidRPr="002B4B83">
        <w:rPr>
          <w:noProof/>
          <w:lang w:val="en-US"/>
        </w:rPr>
        <w:t>9.11. transfer payment;</w:t>
      </w:r>
    </w:p>
    <w:p w14:paraId="6843C55E" w14:textId="77777777" w:rsidR="002B4B83" w:rsidRPr="002B4B83" w:rsidRDefault="002B4B83" w:rsidP="002B4B83">
      <w:pPr>
        <w:widowControl w:val="0"/>
        <w:ind w:firstLine="709"/>
        <w:jc w:val="both"/>
        <w:rPr>
          <w:noProof/>
          <w:lang w:val="en-US"/>
        </w:rPr>
      </w:pPr>
      <w:r w:rsidRPr="002B4B83">
        <w:rPr>
          <w:noProof/>
          <w:lang w:val="en-US"/>
        </w:rPr>
        <w:t>9.12. depreciation.</w:t>
      </w:r>
    </w:p>
    <w:p w14:paraId="0AF7A58E" w14:textId="77777777" w:rsidR="002B4B83" w:rsidRPr="002B4B83" w:rsidRDefault="002B4B83" w:rsidP="002B4B83">
      <w:pPr>
        <w:widowControl w:val="0"/>
        <w:jc w:val="both"/>
        <w:rPr>
          <w:noProof/>
          <w:lang w:val="en-US"/>
        </w:rPr>
      </w:pPr>
      <w:bookmarkStart w:id="26" w:name="p10"/>
      <w:bookmarkStart w:id="27" w:name="p-514342"/>
      <w:bookmarkEnd w:id="26"/>
      <w:bookmarkEnd w:id="27"/>
    </w:p>
    <w:p w14:paraId="5996FC78" w14:textId="77777777" w:rsidR="002B4B83" w:rsidRPr="002B4B83" w:rsidRDefault="002B4B83" w:rsidP="002B4B83">
      <w:pPr>
        <w:widowControl w:val="0"/>
        <w:jc w:val="both"/>
        <w:rPr>
          <w:noProof/>
          <w:lang w:val="en-US"/>
        </w:rPr>
      </w:pPr>
      <w:r w:rsidRPr="002B4B83">
        <w:rPr>
          <w:noProof/>
          <w:lang w:val="en-US"/>
        </w:rPr>
        <w:t>10. The merchant is entitled to expand and form the necessary cost subgroups in conformity with the internal accounting system of the merchant.</w:t>
      </w:r>
    </w:p>
    <w:p w14:paraId="1060772A" w14:textId="77777777" w:rsidR="002B4B83" w:rsidRPr="002B4B83" w:rsidRDefault="002B4B83" w:rsidP="002B4B83">
      <w:pPr>
        <w:widowControl w:val="0"/>
        <w:jc w:val="both"/>
        <w:rPr>
          <w:noProof/>
          <w:lang w:val="en-US"/>
        </w:rPr>
      </w:pPr>
      <w:bookmarkStart w:id="28" w:name="p11"/>
      <w:bookmarkStart w:id="29" w:name="p-514343"/>
      <w:bookmarkEnd w:id="28"/>
      <w:bookmarkEnd w:id="29"/>
    </w:p>
    <w:p w14:paraId="5FC84B7D" w14:textId="77777777" w:rsidR="002B4B83" w:rsidRPr="002B4B83" w:rsidRDefault="002B4B83" w:rsidP="002B4B83">
      <w:pPr>
        <w:widowControl w:val="0"/>
        <w:jc w:val="both"/>
        <w:rPr>
          <w:noProof/>
          <w:lang w:val="en-US"/>
        </w:rPr>
      </w:pPr>
      <w:r w:rsidRPr="002B4B83">
        <w:rPr>
          <w:noProof/>
          <w:lang w:val="en-US"/>
        </w:rPr>
        <w:t>11. The costs included in the cost groups may be directly or indirectly allocated by the merchant to the postal services belonging to the universal postal service, postal services for special tariffs, other postal services and other services. The merchant shall make a detailed breakdown of operating costs and allocation of such costs in conformity with the example for the breakdown of service operating costs and allocation thereof (Annex 1).</w:t>
      </w:r>
    </w:p>
    <w:p w14:paraId="2204F452" w14:textId="77777777" w:rsidR="002B4B83" w:rsidRPr="002B4B83" w:rsidRDefault="002B4B83" w:rsidP="002B4B83">
      <w:pPr>
        <w:widowControl w:val="0"/>
        <w:jc w:val="both"/>
        <w:rPr>
          <w:b/>
          <w:bCs/>
          <w:noProof/>
          <w:lang w:val="en-US"/>
        </w:rPr>
      </w:pPr>
      <w:bookmarkStart w:id="30" w:name="n4"/>
      <w:bookmarkStart w:id="31" w:name="n-514344"/>
      <w:bookmarkEnd w:id="30"/>
      <w:bookmarkEnd w:id="31"/>
    </w:p>
    <w:p w14:paraId="331DB592" w14:textId="77777777" w:rsidR="002B4B83" w:rsidRPr="002B4B83" w:rsidRDefault="002B4B83" w:rsidP="002B4B83">
      <w:pPr>
        <w:widowControl w:val="0"/>
        <w:jc w:val="center"/>
        <w:rPr>
          <w:b/>
          <w:noProof/>
          <w:lang w:val="en-US"/>
        </w:rPr>
      </w:pPr>
      <w:r w:rsidRPr="002B4B83">
        <w:rPr>
          <w:b/>
          <w:noProof/>
          <w:lang w:val="en-US"/>
        </w:rPr>
        <w:t>IV. Revenue Allocation</w:t>
      </w:r>
    </w:p>
    <w:p w14:paraId="15CB7C55" w14:textId="77777777" w:rsidR="002B4B83" w:rsidRPr="002B4B83" w:rsidRDefault="002B4B83" w:rsidP="002B4B83">
      <w:pPr>
        <w:widowControl w:val="0"/>
        <w:jc w:val="both"/>
        <w:rPr>
          <w:noProof/>
          <w:lang w:val="en-US"/>
        </w:rPr>
      </w:pPr>
      <w:bookmarkStart w:id="32" w:name="p12"/>
      <w:bookmarkStart w:id="33" w:name="p-514346"/>
      <w:bookmarkEnd w:id="32"/>
      <w:bookmarkEnd w:id="33"/>
    </w:p>
    <w:p w14:paraId="3A6D77A3" w14:textId="77777777" w:rsidR="002B4B83" w:rsidRPr="002B4B83" w:rsidRDefault="002B4B83" w:rsidP="002B4B83">
      <w:pPr>
        <w:widowControl w:val="0"/>
        <w:jc w:val="both"/>
        <w:rPr>
          <w:noProof/>
          <w:lang w:val="en-US"/>
        </w:rPr>
      </w:pPr>
      <w:r w:rsidRPr="002B4B83">
        <w:rPr>
          <w:noProof/>
          <w:lang w:val="en-US"/>
        </w:rPr>
        <w:t>12. A provider of the universal postal service shall allocate revenues of the provision of the universal postal service directly to the relevant universal postal service. If a direct allocation of revenues is not possible, then the provider of the universal postal service shall allocate revenues of the provision of the universal postal service based on an indirect causal relationship.</w:t>
      </w:r>
    </w:p>
    <w:p w14:paraId="149368E2" w14:textId="77777777" w:rsidR="002B4B83" w:rsidRPr="002B4B83" w:rsidRDefault="002B4B83" w:rsidP="002B4B83">
      <w:pPr>
        <w:widowControl w:val="0"/>
        <w:jc w:val="both"/>
        <w:rPr>
          <w:noProof/>
          <w:lang w:val="en-US"/>
        </w:rPr>
      </w:pPr>
      <w:bookmarkStart w:id="34" w:name="p13"/>
      <w:bookmarkStart w:id="35" w:name="p-514347"/>
      <w:bookmarkEnd w:id="34"/>
      <w:bookmarkEnd w:id="35"/>
    </w:p>
    <w:p w14:paraId="762B5035" w14:textId="77777777" w:rsidR="002B4B83" w:rsidRPr="002B4B83" w:rsidRDefault="002B4B83" w:rsidP="002B4B83">
      <w:pPr>
        <w:widowControl w:val="0"/>
        <w:jc w:val="both"/>
        <w:rPr>
          <w:noProof/>
          <w:lang w:val="en-US"/>
        </w:rPr>
      </w:pPr>
      <w:r w:rsidRPr="002B4B83">
        <w:rPr>
          <w:noProof/>
          <w:lang w:val="en-US"/>
        </w:rPr>
        <w:t>13. A provider of the universal postal service shall separate turnover of the universal postal service from turnover of postal services for special tariffs, other postal services and other services.</w:t>
      </w:r>
    </w:p>
    <w:p w14:paraId="76B1049A" w14:textId="77777777" w:rsidR="002B4B83" w:rsidRPr="002B4B83" w:rsidRDefault="002B4B83" w:rsidP="002B4B83">
      <w:pPr>
        <w:widowControl w:val="0"/>
        <w:jc w:val="both"/>
        <w:rPr>
          <w:b/>
          <w:bCs/>
          <w:noProof/>
          <w:lang w:val="en-US"/>
        </w:rPr>
      </w:pPr>
      <w:bookmarkStart w:id="36" w:name="n5"/>
      <w:bookmarkStart w:id="37" w:name="n-664429"/>
      <w:bookmarkEnd w:id="36"/>
      <w:bookmarkEnd w:id="37"/>
    </w:p>
    <w:p w14:paraId="000A71D3" w14:textId="77777777" w:rsidR="002B4B83" w:rsidRPr="002B4B83" w:rsidRDefault="002B4B83" w:rsidP="002B4B83">
      <w:pPr>
        <w:keepNext/>
        <w:keepLines/>
        <w:widowControl w:val="0"/>
        <w:jc w:val="center"/>
        <w:rPr>
          <w:b/>
          <w:noProof/>
          <w:lang w:val="en-US"/>
        </w:rPr>
      </w:pPr>
      <w:r w:rsidRPr="002B4B83">
        <w:rPr>
          <w:b/>
          <w:noProof/>
          <w:lang w:val="en-US"/>
        </w:rPr>
        <w:lastRenderedPageBreak/>
        <w:t>V. Costs of Capital Financing</w:t>
      </w:r>
    </w:p>
    <w:p w14:paraId="2BBD5218" w14:textId="77777777" w:rsidR="002B4B83" w:rsidRPr="002B4B83" w:rsidRDefault="002B4B83" w:rsidP="002B4B83">
      <w:pPr>
        <w:keepNext/>
        <w:keepLines/>
        <w:widowControl w:val="0"/>
        <w:jc w:val="center"/>
        <w:rPr>
          <w:noProof/>
          <w:lang w:val="en-US"/>
        </w:rPr>
      </w:pPr>
      <w:r w:rsidRPr="002B4B83">
        <w:rPr>
          <w:noProof/>
          <w:lang w:val="en-US"/>
        </w:rPr>
        <w:t>[</w:t>
      </w:r>
      <w:r w:rsidRPr="002B4B83">
        <w:rPr>
          <w:i/>
          <w:iCs/>
          <w:noProof/>
          <w:lang w:val="en-US"/>
        </w:rPr>
        <w:t>13 August 2018</w:t>
      </w:r>
      <w:r w:rsidRPr="002B4B83">
        <w:rPr>
          <w:noProof/>
          <w:lang w:val="en-US"/>
        </w:rPr>
        <w:t>]</w:t>
      </w:r>
    </w:p>
    <w:p w14:paraId="19031D2B" w14:textId="77777777" w:rsidR="002B4B83" w:rsidRPr="002B4B83" w:rsidRDefault="002B4B83" w:rsidP="002B4B83">
      <w:pPr>
        <w:keepNext/>
        <w:keepLines/>
        <w:widowControl w:val="0"/>
        <w:jc w:val="both"/>
        <w:rPr>
          <w:noProof/>
          <w:lang w:val="en-US"/>
        </w:rPr>
      </w:pPr>
      <w:bookmarkStart w:id="38" w:name="p14"/>
      <w:bookmarkStart w:id="39" w:name="p-514349"/>
      <w:bookmarkEnd w:id="38"/>
      <w:bookmarkEnd w:id="39"/>
    </w:p>
    <w:p w14:paraId="2782AF73" w14:textId="77777777" w:rsidR="002B4B83" w:rsidRPr="002B4B83" w:rsidRDefault="002B4B83" w:rsidP="002B4B83">
      <w:pPr>
        <w:keepNext/>
        <w:keepLines/>
        <w:widowControl w:val="0"/>
        <w:jc w:val="both"/>
        <w:rPr>
          <w:noProof/>
          <w:lang w:val="en-US"/>
        </w:rPr>
      </w:pPr>
      <w:r w:rsidRPr="002B4B83">
        <w:rPr>
          <w:noProof/>
          <w:lang w:val="en-US"/>
        </w:rPr>
        <w:t>14. A provider of the universal postal service shall calculate the cost of capital by applying the rate of return on capital to the value of the used capital determined at the end of the previous calendar year.</w:t>
      </w:r>
    </w:p>
    <w:p w14:paraId="5B91846D" w14:textId="77777777" w:rsidR="002B4B83" w:rsidRPr="002B4B83" w:rsidRDefault="002B4B83" w:rsidP="002B4B83">
      <w:pPr>
        <w:widowControl w:val="0"/>
        <w:jc w:val="both"/>
        <w:rPr>
          <w:noProof/>
          <w:lang w:val="en-US"/>
        </w:rPr>
      </w:pPr>
      <w:bookmarkStart w:id="40" w:name="p15"/>
      <w:bookmarkStart w:id="41" w:name="p-514350"/>
      <w:bookmarkEnd w:id="40"/>
      <w:bookmarkEnd w:id="41"/>
    </w:p>
    <w:p w14:paraId="78922588" w14:textId="77777777" w:rsidR="002B4B83" w:rsidRPr="002B4B83" w:rsidRDefault="002B4B83" w:rsidP="002B4B83">
      <w:pPr>
        <w:widowControl w:val="0"/>
        <w:jc w:val="both"/>
        <w:rPr>
          <w:noProof/>
          <w:lang w:val="en-US"/>
        </w:rPr>
      </w:pPr>
      <w:r w:rsidRPr="002B4B83">
        <w:rPr>
          <w:noProof/>
          <w:lang w:val="en-US"/>
        </w:rPr>
        <w:t>15. The merchant who participates in the tender and in the previous calendar year has not provided the universal postal service shall calculate the cost of capital financing by applying them to the expected value of the capital which is necessary to provide the universal postal service in conformity with the quality requirements laid down by the Regulator to the extent laid down in tender regulations.</w:t>
      </w:r>
    </w:p>
    <w:p w14:paraId="19B6CDBE" w14:textId="77777777" w:rsidR="002B4B83" w:rsidRPr="002B4B83" w:rsidRDefault="002B4B83" w:rsidP="002B4B83">
      <w:pPr>
        <w:widowControl w:val="0"/>
        <w:jc w:val="both"/>
        <w:rPr>
          <w:noProof/>
          <w:lang w:val="en-US"/>
        </w:rPr>
      </w:pPr>
      <w:bookmarkStart w:id="42" w:name="p16"/>
      <w:bookmarkStart w:id="43" w:name="p-664430"/>
      <w:bookmarkEnd w:id="42"/>
      <w:bookmarkEnd w:id="43"/>
    </w:p>
    <w:p w14:paraId="14FFA4E7" w14:textId="77777777" w:rsidR="002B4B83" w:rsidRPr="002B4B83" w:rsidRDefault="002B4B83" w:rsidP="002B4B83">
      <w:pPr>
        <w:widowControl w:val="0"/>
        <w:jc w:val="both"/>
        <w:rPr>
          <w:noProof/>
          <w:lang w:val="en-US"/>
        </w:rPr>
      </w:pPr>
      <w:r w:rsidRPr="002B4B83">
        <w:rPr>
          <w:noProof/>
          <w:lang w:val="en-US"/>
        </w:rPr>
        <w:t>16. [13 August 2018]</w:t>
      </w:r>
    </w:p>
    <w:p w14:paraId="2E65F235" w14:textId="77777777" w:rsidR="002B4B83" w:rsidRPr="002B4B83" w:rsidRDefault="002B4B83" w:rsidP="002B4B83">
      <w:pPr>
        <w:widowControl w:val="0"/>
        <w:jc w:val="both"/>
        <w:rPr>
          <w:noProof/>
          <w:lang w:val="en-US"/>
        </w:rPr>
      </w:pPr>
      <w:bookmarkStart w:id="44" w:name="p17"/>
      <w:bookmarkStart w:id="45" w:name="p-664431"/>
      <w:bookmarkEnd w:id="44"/>
      <w:bookmarkEnd w:id="45"/>
    </w:p>
    <w:p w14:paraId="1809AF40" w14:textId="77777777" w:rsidR="002B4B83" w:rsidRPr="002B4B83" w:rsidRDefault="002B4B83" w:rsidP="002B4B83">
      <w:pPr>
        <w:widowControl w:val="0"/>
        <w:jc w:val="both"/>
        <w:rPr>
          <w:noProof/>
          <w:lang w:val="en-US"/>
        </w:rPr>
      </w:pPr>
      <w:r w:rsidRPr="002B4B83">
        <w:rPr>
          <w:noProof/>
          <w:lang w:val="en-US"/>
        </w:rPr>
        <w:t>17. [13 August 2018]</w:t>
      </w:r>
    </w:p>
    <w:p w14:paraId="4694F57A" w14:textId="77777777" w:rsidR="002B4B83" w:rsidRPr="002B4B83" w:rsidRDefault="002B4B83" w:rsidP="002B4B83">
      <w:pPr>
        <w:widowControl w:val="0"/>
        <w:jc w:val="both"/>
        <w:rPr>
          <w:noProof/>
          <w:lang w:val="en-US"/>
        </w:rPr>
      </w:pPr>
      <w:bookmarkStart w:id="46" w:name="p18"/>
      <w:bookmarkStart w:id="47" w:name="p-664432"/>
      <w:bookmarkEnd w:id="46"/>
      <w:bookmarkEnd w:id="47"/>
    </w:p>
    <w:p w14:paraId="5B9A313F" w14:textId="77777777" w:rsidR="002B4B83" w:rsidRPr="002B4B83" w:rsidRDefault="002B4B83" w:rsidP="002B4B83">
      <w:pPr>
        <w:widowControl w:val="0"/>
        <w:jc w:val="both"/>
        <w:rPr>
          <w:noProof/>
          <w:lang w:val="en-US"/>
        </w:rPr>
      </w:pPr>
      <w:r w:rsidRPr="002B4B83">
        <w:rPr>
          <w:noProof/>
          <w:lang w:val="en-US"/>
        </w:rPr>
        <w:t>18. [13 August 2018]</w:t>
      </w:r>
    </w:p>
    <w:p w14:paraId="45601541" w14:textId="77777777" w:rsidR="002B4B83" w:rsidRPr="002B4B83" w:rsidRDefault="002B4B83" w:rsidP="002B4B83">
      <w:pPr>
        <w:widowControl w:val="0"/>
        <w:jc w:val="both"/>
        <w:rPr>
          <w:noProof/>
          <w:lang w:val="en-US"/>
        </w:rPr>
      </w:pPr>
      <w:bookmarkStart w:id="48" w:name="p19"/>
      <w:bookmarkStart w:id="49" w:name="p-664433"/>
      <w:bookmarkEnd w:id="48"/>
      <w:bookmarkEnd w:id="49"/>
    </w:p>
    <w:p w14:paraId="121C3083" w14:textId="77777777" w:rsidR="002B4B83" w:rsidRPr="002B4B83" w:rsidRDefault="002B4B83" w:rsidP="002B4B83">
      <w:pPr>
        <w:widowControl w:val="0"/>
        <w:jc w:val="both"/>
        <w:rPr>
          <w:noProof/>
          <w:lang w:val="en-US"/>
        </w:rPr>
      </w:pPr>
      <w:r w:rsidRPr="002B4B83">
        <w:rPr>
          <w:noProof/>
          <w:lang w:val="en-US"/>
        </w:rPr>
        <w:t>19. [13 August 2018]</w:t>
      </w:r>
    </w:p>
    <w:p w14:paraId="5E7DD985" w14:textId="77777777" w:rsidR="002B4B83" w:rsidRPr="002B4B83" w:rsidRDefault="002B4B83" w:rsidP="002B4B83">
      <w:pPr>
        <w:widowControl w:val="0"/>
        <w:jc w:val="both"/>
        <w:rPr>
          <w:noProof/>
          <w:lang w:val="en-US"/>
        </w:rPr>
      </w:pPr>
      <w:bookmarkStart w:id="50" w:name="p20"/>
      <w:bookmarkStart w:id="51" w:name="p-514356"/>
      <w:bookmarkEnd w:id="50"/>
      <w:bookmarkEnd w:id="51"/>
    </w:p>
    <w:p w14:paraId="1D0EAB8B" w14:textId="77777777" w:rsidR="002B4B83" w:rsidRPr="002B4B83" w:rsidRDefault="002B4B83" w:rsidP="002B4B83">
      <w:pPr>
        <w:widowControl w:val="0"/>
        <w:jc w:val="both"/>
        <w:rPr>
          <w:noProof/>
          <w:lang w:val="en-US"/>
        </w:rPr>
      </w:pPr>
      <w:r w:rsidRPr="002B4B83">
        <w:rPr>
          <w:noProof/>
          <w:lang w:val="en-US"/>
        </w:rPr>
        <w:t>20. The merchant shall make detailed allocation of fixed assets and intangible long-term investments in conformity with the example for the allocation of fixed assets and intangible long-term investments (Annex 2).</w:t>
      </w:r>
    </w:p>
    <w:p w14:paraId="56D7C05F" w14:textId="77777777" w:rsidR="002B4B83" w:rsidRPr="002B4B83" w:rsidRDefault="002B4B83" w:rsidP="002B4B83">
      <w:pPr>
        <w:widowControl w:val="0"/>
        <w:jc w:val="both"/>
        <w:rPr>
          <w:b/>
          <w:bCs/>
          <w:noProof/>
          <w:lang w:val="en-US"/>
        </w:rPr>
      </w:pPr>
      <w:bookmarkStart w:id="52" w:name="n6"/>
      <w:bookmarkStart w:id="53" w:name="n-514357"/>
      <w:bookmarkEnd w:id="52"/>
      <w:bookmarkEnd w:id="53"/>
    </w:p>
    <w:p w14:paraId="2DFBE44A" w14:textId="77777777" w:rsidR="002B4B83" w:rsidRPr="002B4B83" w:rsidRDefault="002B4B83" w:rsidP="002B4B83">
      <w:pPr>
        <w:widowControl w:val="0"/>
        <w:jc w:val="center"/>
        <w:rPr>
          <w:b/>
          <w:noProof/>
          <w:lang w:val="en-US"/>
        </w:rPr>
      </w:pPr>
      <w:r w:rsidRPr="002B4B83">
        <w:rPr>
          <w:b/>
          <w:noProof/>
          <w:lang w:val="en-US"/>
        </w:rPr>
        <w:t>VI. Accounting of Current Costs</w:t>
      </w:r>
    </w:p>
    <w:p w14:paraId="3371B450" w14:textId="77777777" w:rsidR="002B4B83" w:rsidRPr="002B4B83" w:rsidRDefault="002B4B83" w:rsidP="002B4B83">
      <w:pPr>
        <w:widowControl w:val="0"/>
        <w:jc w:val="both"/>
        <w:rPr>
          <w:noProof/>
          <w:lang w:val="en-US"/>
        </w:rPr>
      </w:pPr>
      <w:bookmarkStart w:id="54" w:name="p21"/>
      <w:bookmarkStart w:id="55" w:name="p-514358"/>
      <w:bookmarkEnd w:id="54"/>
      <w:bookmarkEnd w:id="55"/>
    </w:p>
    <w:p w14:paraId="2C1F3B34" w14:textId="77777777" w:rsidR="002B4B83" w:rsidRPr="002B4B83" w:rsidRDefault="002B4B83" w:rsidP="002B4B83">
      <w:pPr>
        <w:widowControl w:val="0"/>
        <w:jc w:val="both"/>
        <w:rPr>
          <w:noProof/>
          <w:lang w:val="en-US"/>
        </w:rPr>
      </w:pPr>
      <w:r w:rsidRPr="002B4B83">
        <w:rPr>
          <w:noProof/>
          <w:lang w:val="en-US"/>
        </w:rPr>
        <w:t>21. In order to apply and allocate depreciation, the merchant shall include the following key indicators in its internal accounting system:</w:t>
      </w:r>
    </w:p>
    <w:p w14:paraId="452F0113" w14:textId="77777777" w:rsidR="002B4B83" w:rsidRPr="002B4B83" w:rsidRDefault="002B4B83" w:rsidP="002B4B83">
      <w:pPr>
        <w:widowControl w:val="0"/>
        <w:ind w:firstLine="709"/>
        <w:jc w:val="both"/>
        <w:rPr>
          <w:noProof/>
          <w:lang w:val="en-US"/>
        </w:rPr>
      </w:pPr>
      <w:r w:rsidRPr="002B4B83">
        <w:rPr>
          <w:noProof/>
          <w:lang w:val="en-US"/>
        </w:rPr>
        <w:t>21.1. the total amount of long-term intangible investments and fixed assets as a source of profit;</w:t>
      </w:r>
    </w:p>
    <w:p w14:paraId="3748FECF" w14:textId="77777777" w:rsidR="002B4B83" w:rsidRPr="002B4B83" w:rsidRDefault="002B4B83" w:rsidP="002B4B83">
      <w:pPr>
        <w:widowControl w:val="0"/>
        <w:ind w:firstLine="709"/>
        <w:jc w:val="both"/>
        <w:rPr>
          <w:noProof/>
          <w:lang w:val="en-US"/>
        </w:rPr>
      </w:pPr>
      <w:r w:rsidRPr="002B4B83">
        <w:rPr>
          <w:noProof/>
          <w:lang w:val="en-US"/>
        </w:rPr>
        <w:t>21.2. the planned period during which the operation of fixed assets is economically viable;</w:t>
      </w:r>
    </w:p>
    <w:p w14:paraId="06641AED" w14:textId="77777777" w:rsidR="002B4B83" w:rsidRPr="002B4B83" w:rsidRDefault="002B4B83" w:rsidP="002B4B83">
      <w:pPr>
        <w:widowControl w:val="0"/>
        <w:ind w:firstLine="709"/>
        <w:jc w:val="both"/>
        <w:rPr>
          <w:noProof/>
          <w:lang w:val="en-US"/>
        </w:rPr>
      </w:pPr>
      <w:r w:rsidRPr="002B4B83">
        <w:rPr>
          <w:noProof/>
          <w:lang w:val="en-US"/>
        </w:rPr>
        <w:t>21.3. the expected residual value of fixed assets at the end of the period of their economically viable use.</w:t>
      </w:r>
    </w:p>
    <w:p w14:paraId="4969B3C3" w14:textId="77777777" w:rsidR="002B4B83" w:rsidRPr="002B4B83" w:rsidRDefault="002B4B83" w:rsidP="002B4B83">
      <w:pPr>
        <w:widowControl w:val="0"/>
        <w:jc w:val="both"/>
        <w:rPr>
          <w:noProof/>
          <w:lang w:val="en-US"/>
        </w:rPr>
      </w:pPr>
      <w:bookmarkStart w:id="56" w:name="p22"/>
      <w:bookmarkStart w:id="57" w:name="p-514359"/>
      <w:bookmarkEnd w:id="56"/>
      <w:bookmarkEnd w:id="57"/>
    </w:p>
    <w:p w14:paraId="77222C7C" w14:textId="77777777" w:rsidR="002B4B83" w:rsidRPr="002B4B83" w:rsidRDefault="002B4B83" w:rsidP="002B4B83">
      <w:pPr>
        <w:widowControl w:val="0"/>
        <w:jc w:val="both"/>
        <w:rPr>
          <w:noProof/>
          <w:lang w:val="en-US"/>
        </w:rPr>
      </w:pPr>
      <w:r w:rsidRPr="002B4B83">
        <w:rPr>
          <w:noProof/>
          <w:lang w:val="en-US"/>
        </w:rPr>
        <w:t>22. The merchant shall calculate the depreciation value by taking into account the international accounting standards and methods adopted by the merchant.</w:t>
      </w:r>
    </w:p>
    <w:p w14:paraId="7511796B" w14:textId="77777777" w:rsidR="002B4B83" w:rsidRPr="002B4B83" w:rsidRDefault="002B4B83" w:rsidP="002B4B83">
      <w:pPr>
        <w:widowControl w:val="0"/>
        <w:jc w:val="both"/>
        <w:rPr>
          <w:noProof/>
          <w:lang w:val="en-US"/>
        </w:rPr>
      </w:pPr>
      <w:bookmarkStart w:id="58" w:name="p23"/>
      <w:bookmarkStart w:id="59" w:name="p-514360"/>
      <w:bookmarkEnd w:id="58"/>
      <w:bookmarkEnd w:id="59"/>
    </w:p>
    <w:p w14:paraId="3A6BFF20" w14:textId="77777777" w:rsidR="002B4B83" w:rsidRPr="002B4B83" w:rsidRDefault="002B4B83" w:rsidP="002B4B83">
      <w:pPr>
        <w:widowControl w:val="0"/>
        <w:jc w:val="both"/>
        <w:rPr>
          <w:noProof/>
          <w:lang w:val="en-US"/>
        </w:rPr>
      </w:pPr>
      <w:r w:rsidRPr="002B4B83">
        <w:rPr>
          <w:noProof/>
          <w:lang w:val="en-US"/>
        </w:rPr>
        <w:t>23. For determining the used capital and depreciation included in the cost calculation, the merchant shall revaluate fixed assets by using one of the following methods:</w:t>
      </w:r>
    </w:p>
    <w:p w14:paraId="5C272ED6" w14:textId="77777777" w:rsidR="002B4B83" w:rsidRPr="002B4B83" w:rsidRDefault="002B4B83" w:rsidP="002B4B83">
      <w:pPr>
        <w:widowControl w:val="0"/>
        <w:ind w:firstLine="709"/>
        <w:jc w:val="both"/>
        <w:rPr>
          <w:noProof/>
          <w:lang w:val="en-US"/>
        </w:rPr>
      </w:pPr>
      <w:r w:rsidRPr="002B4B83">
        <w:rPr>
          <w:noProof/>
          <w:lang w:val="en-US"/>
        </w:rPr>
        <w:t>23.1. acquisition value less depreciation (financial statement value);</w:t>
      </w:r>
    </w:p>
    <w:p w14:paraId="663CBB21" w14:textId="77777777" w:rsidR="002B4B83" w:rsidRPr="002B4B83" w:rsidRDefault="002B4B83" w:rsidP="002B4B83">
      <w:pPr>
        <w:widowControl w:val="0"/>
        <w:ind w:firstLine="709"/>
        <w:jc w:val="both"/>
        <w:rPr>
          <w:noProof/>
          <w:lang w:val="en-US"/>
        </w:rPr>
      </w:pPr>
      <w:r w:rsidRPr="002B4B83">
        <w:rPr>
          <w:noProof/>
          <w:lang w:val="en-US"/>
        </w:rPr>
        <w:t>23.2. acquisition value indexed by inflation less depreciation;</w:t>
      </w:r>
    </w:p>
    <w:p w14:paraId="42E3D6B3" w14:textId="77777777" w:rsidR="002B4B83" w:rsidRPr="002B4B83" w:rsidRDefault="002B4B83" w:rsidP="002B4B83">
      <w:pPr>
        <w:widowControl w:val="0"/>
        <w:ind w:firstLine="709"/>
        <w:jc w:val="both"/>
        <w:rPr>
          <w:noProof/>
          <w:lang w:val="en-US"/>
        </w:rPr>
      </w:pPr>
      <w:r w:rsidRPr="002B4B83">
        <w:rPr>
          <w:noProof/>
          <w:lang w:val="en-US"/>
        </w:rPr>
        <w:t>23.3. the remaining replacement cost (replacement cost, taking into account the current prices and possible changes in the quality of fixed assets, less the actual depreciation determined by an expert);</w:t>
      </w:r>
    </w:p>
    <w:p w14:paraId="39B07894" w14:textId="77777777" w:rsidR="002B4B83" w:rsidRPr="002B4B83" w:rsidRDefault="002B4B83" w:rsidP="002B4B83">
      <w:pPr>
        <w:widowControl w:val="0"/>
        <w:ind w:firstLine="709"/>
        <w:jc w:val="both"/>
        <w:rPr>
          <w:noProof/>
          <w:lang w:val="en-US"/>
        </w:rPr>
      </w:pPr>
      <w:r w:rsidRPr="002B4B83">
        <w:rPr>
          <w:noProof/>
          <w:lang w:val="en-US"/>
        </w:rPr>
        <w:t>23.4. market value;</w:t>
      </w:r>
    </w:p>
    <w:p w14:paraId="420EA0A7" w14:textId="77777777" w:rsidR="002B4B83" w:rsidRPr="002B4B83" w:rsidRDefault="002B4B83" w:rsidP="002B4B83">
      <w:pPr>
        <w:widowControl w:val="0"/>
        <w:ind w:firstLine="709"/>
        <w:jc w:val="both"/>
        <w:rPr>
          <w:noProof/>
          <w:lang w:val="en-US"/>
        </w:rPr>
      </w:pPr>
      <w:r w:rsidRPr="002B4B83">
        <w:rPr>
          <w:noProof/>
          <w:lang w:val="en-US"/>
        </w:rPr>
        <w:t>23.5. recoverable amount which is the highest of the net sales value of fixed assets or of use value (discounted cash flows from the use of fixed assets).</w:t>
      </w:r>
    </w:p>
    <w:p w14:paraId="46360D2B" w14:textId="77777777" w:rsidR="002B4B83" w:rsidRPr="002B4B83" w:rsidRDefault="002B4B83" w:rsidP="002B4B83">
      <w:pPr>
        <w:widowControl w:val="0"/>
        <w:jc w:val="both"/>
        <w:rPr>
          <w:noProof/>
          <w:lang w:val="en-US"/>
        </w:rPr>
      </w:pPr>
      <w:bookmarkStart w:id="60" w:name="p24"/>
      <w:bookmarkStart w:id="61" w:name="p-514362"/>
      <w:bookmarkEnd w:id="60"/>
      <w:bookmarkEnd w:id="61"/>
    </w:p>
    <w:p w14:paraId="22A4170B" w14:textId="77777777" w:rsidR="002B4B83" w:rsidRPr="002B4B83" w:rsidRDefault="002B4B83" w:rsidP="002B4B83">
      <w:pPr>
        <w:widowControl w:val="0"/>
        <w:jc w:val="both"/>
        <w:rPr>
          <w:noProof/>
          <w:lang w:val="en-US"/>
        </w:rPr>
      </w:pPr>
      <w:r w:rsidRPr="002B4B83">
        <w:rPr>
          <w:noProof/>
          <w:lang w:val="en-US"/>
        </w:rPr>
        <w:t>24. At its own discretion, the merchant may use the following principles for the current cost accounting:</w:t>
      </w:r>
    </w:p>
    <w:p w14:paraId="0C14D478" w14:textId="77777777" w:rsidR="002B4B83" w:rsidRPr="002B4B83" w:rsidRDefault="002B4B83" w:rsidP="002B4B83">
      <w:pPr>
        <w:widowControl w:val="0"/>
        <w:ind w:firstLine="709"/>
        <w:jc w:val="both"/>
        <w:rPr>
          <w:noProof/>
          <w:lang w:val="en-US"/>
        </w:rPr>
      </w:pPr>
      <w:r w:rsidRPr="002B4B83">
        <w:rPr>
          <w:noProof/>
          <w:lang w:val="en-US"/>
        </w:rPr>
        <w:lastRenderedPageBreak/>
        <w:t>24.1. working capital maintenance which is understood as the ensuring of the merchant’s constant liquidity at the beginning and at the end of the reporting year;</w:t>
      </w:r>
    </w:p>
    <w:p w14:paraId="1627C069" w14:textId="77777777" w:rsidR="002B4B83" w:rsidRPr="002B4B83" w:rsidRDefault="002B4B83" w:rsidP="002B4B83">
      <w:pPr>
        <w:widowControl w:val="0"/>
        <w:ind w:firstLine="709"/>
        <w:jc w:val="both"/>
        <w:rPr>
          <w:noProof/>
          <w:lang w:val="en-US"/>
        </w:rPr>
      </w:pPr>
      <w:r w:rsidRPr="002B4B83">
        <w:rPr>
          <w:noProof/>
          <w:lang w:val="en-US"/>
        </w:rPr>
        <w:t>24.2. financial capital maintenance which is understood as the maintenance of the merchant’s financial capital at its present value. Capital shall be considered to be maintained, if at the end of the reporting year it the same or greater than at the beginning of the period.</w:t>
      </w:r>
    </w:p>
    <w:p w14:paraId="0E0D3432" w14:textId="77777777" w:rsidR="002B4B83" w:rsidRPr="002B4B83" w:rsidRDefault="002B4B83" w:rsidP="002B4B83">
      <w:pPr>
        <w:widowControl w:val="0"/>
        <w:jc w:val="both"/>
        <w:rPr>
          <w:noProof/>
          <w:lang w:val="en-US"/>
        </w:rPr>
      </w:pPr>
      <w:bookmarkStart w:id="62" w:name="p25"/>
      <w:bookmarkStart w:id="63" w:name="p-514365"/>
      <w:bookmarkEnd w:id="62"/>
      <w:bookmarkEnd w:id="63"/>
    </w:p>
    <w:p w14:paraId="2B98108C" w14:textId="77777777" w:rsidR="002B4B83" w:rsidRPr="002B4B83" w:rsidRDefault="002B4B83" w:rsidP="002B4B83">
      <w:pPr>
        <w:widowControl w:val="0"/>
        <w:jc w:val="both"/>
        <w:rPr>
          <w:noProof/>
          <w:lang w:val="en-US"/>
        </w:rPr>
      </w:pPr>
      <w:r w:rsidRPr="002B4B83">
        <w:rPr>
          <w:noProof/>
          <w:lang w:val="en-US"/>
        </w:rPr>
        <w:t>25. The merchant shall maintain the working capital based on the following principles:</w:t>
      </w:r>
    </w:p>
    <w:p w14:paraId="03BF8F0C" w14:textId="77777777" w:rsidR="002B4B83" w:rsidRPr="002B4B83" w:rsidRDefault="002B4B83" w:rsidP="002B4B83">
      <w:pPr>
        <w:widowControl w:val="0"/>
        <w:ind w:firstLine="709"/>
        <w:jc w:val="both"/>
        <w:rPr>
          <w:noProof/>
          <w:lang w:val="en-US"/>
        </w:rPr>
      </w:pPr>
      <w:r w:rsidRPr="002B4B83">
        <w:rPr>
          <w:noProof/>
          <w:lang w:val="en-US"/>
        </w:rPr>
        <w:t>25.1. merchant’s production capacity is maintained constant or increased;</w:t>
      </w:r>
    </w:p>
    <w:p w14:paraId="66DF7E13" w14:textId="77777777" w:rsidR="002B4B83" w:rsidRPr="002B4B83" w:rsidRDefault="002B4B83" w:rsidP="002B4B83">
      <w:pPr>
        <w:widowControl w:val="0"/>
        <w:ind w:firstLine="709"/>
        <w:jc w:val="both"/>
        <w:rPr>
          <w:noProof/>
          <w:lang w:val="en-US"/>
        </w:rPr>
      </w:pPr>
      <w:r w:rsidRPr="002B4B83">
        <w:rPr>
          <w:noProof/>
          <w:lang w:val="en-US"/>
        </w:rPr>
        <w:t>25.2. depreciation costs shall be re-determined by recalculating current costs of fixed assets;</w:t>
      </w:r>
    </w:p>
    <w:p w14:paraId="26F47A04" w14:textId="77777777" w:rsidR="002B4B83" w:rsidRPr="002B4B83" w:rsidRDefault="002B4B83" w:rsidP="002B4B83">
      <w:pPr>
        <w:widowControl w:val="0"/>
        <w:ind w:firstLine="709"/>
        <w:jc w:val="both"/>
        <w:rPr>
          <w:noProof/>
          <w:lang w:val="en-US"/>
        </w:rPr>
      </w:pPr>
      <w:r w:rsidRPr="002B4B83">
        <w:rPr>
          <w:noProof/>
          <w:lang w:val="en-US"/>
        </w:rPr>
        <w:t>25.3. the merchant shall determine the total value of fixed assets used in the calculation of costs differently from the accounting value of fixed assets, by taking into account changes in the price of fixed assets and technology: in order to revaluate fixed assets, specific price indices shall be applied to the total current value of fixed assets (the merchant may also use other well-defined and transparent procedures);</w:t>
      </w:r>
    </w:p>
    <w:p w14:paraId="0BF9C080" w14:textId="77777777" w:rsidR="002B4B83" w:rsidRPr="002B4B83" w:rsidRDefault="002B4B83" w:rsidP="002B4B83">
      <w:pPr>
        <w:widowControl w:val="0"/>
        <w:ind w:firstLine="709"/>
        <w:jc w:val="both"/>
        <w:rPr>
          <w:noProof/>
          <w:lang w:val="en-US"/>
        </w:rPr>
      </w:pPr>
      <w:r w:rsidRPr="002B4B83">
        <w:rPr>
          <w:noProof/>
          <w:lang w:val="en-US"/>
        </w:rPr>
        <w:t>25.4. revenues needed to ensure the expected profit is the total amount of capital costs, operating costs, current depreciation value and portion of overall costs;</w:t>
      </w:r>
    </w:p>
    <w:p w14:paraId="075AA833" w14:textId="77777777" w:rsidR="002B4B83" w:rsidRPr="002B4B83" w:rsidRDefault="002B4B83" w:rsidP="002B4B83">
      <w:pPr>
        <w:widowControl w:val="0"/>
        <w:ind w:firstLine="709"/>
        <w:jc w:val="both"/>
        <w:rPr>
          <w:noProof/>
          <w:lang w:val="en-US"/>
        </w:rPr>
      </w:pPr>
      <w:r w:rsidRPr="002B4B83">
        <w:rPr>
          <w:noProof/>
          <w:lang w:val="en-US"/>
        </w:rPr>
        <w:t>25.5. in order to correctly calculate the value of fixed assets, the merchant shall calculate annual depreciation value based on the assessment of the new fixed assets, taking into account price and useful life thereof.</w:t>
      </w:r>
    </w:p>
    <w:p w14:paraId="3BF35AC2" w14:textId="77777777" w:rsidR="002B4B83" w:rsidRPr="002B4B83" w:rsidRDefault="002B4B83" w:rsidP="002B4B83">
      <w:pPr>
        <w:widowControl w:val="0"/>
        <w:jc w:val="both"/>
        <w:rPr>
          <w:noProof/>
          <w:lang w:val="en-US"/>
        </w:rPr>
      </w:pPr>
      <w:bookmarkStart w:id="64" w:name="p26"/>
      <w:bookmarkStart w:id="65" w:name="p-514367"/>
      <w:bookmarkEnd w:id="64"/>
      <w:bookmarkEnd w:id="65"/>
    </w:p>
    <w:p w14:paraId="01EDA118" w14:textId="77777777" w:rsidR="002B4B83" w:rsidRPr="002B4B83" w:rsidRDefault="002B4B83" w:rsidP="002B4B83">
      <w:pPr>
        <w:widowControl w:val="0"/>
        <w:jc w:val="both"/>
        <w:rPr>
          <w:noProof/>
          <w:lang w:val="en-US"/>
        </w:rPr>
      </w:pPr>
      <w:r w:rsidRPr="002B4B83">
        <w:rPr>
          <w:noProof/>
          <w:lang w:val="en-US"/>
        </w:rPr>
        <w:t>26. The merchant shall maintain financial capital based on the following guiding principles:</w:t>
      </w:r>
    </w:p>
    <w:p w14:paraId="1449B651" w14:textId="77777777" w:rsidR="002B4B83" w:rsidRPr="002B4B83" w:rsidRDefault="002B4B83" w:rsidP="002B4B83">
      <w:pPr>
        <w:widowControl w:val="0"/>
        <w:ind w:firstLine="709"/>
        <w:jc w:val="both"/>
        <w:rPr>
          <w:noProof/>
          <w:lang w:val="en-US"/>
        </w:rPr>
      </w:pPr>
      <w:r w:rsidRPr="002B4B83">
        <w:rPr>
          <w:noProof/>
          <w:lang w:val="en-US"/>
        </w:rPr>
        <w:t>26.1. the merchant shall revaluate fixed assets, calculate additional depreciation and provisions in accordance with the methods laid down in Paragraph 21 of this methodology, while the profit and losses arising from the difference between the specific and general inflation of fixed assets and affecting merchant’s equity capital shall be taken into account separately;</w:t>
      </w:r>
    </w:p>
    <w:p w14:paraId="6AE3F56D" w14:textId="77777777" w:rsidR="002B4B83" w:rsidRPr="002B4B83" w:rsidRDefault="002B4B83" w:rsidP="002B4B83">
      <w:pPr>
        <w:widowControl w:val="0"/>
        <w:ind w:firstLine="709"/>
        <w:jc w:val="both"/>
        <w:rPr>
          <w:noProof/>
          <w:lang w:val="en-US"/>
        </w:rPr>
      </w:pPr>
      <w:r w:rsidRPr="002B4B83">
        <w:rPr>
          <w:noProof/>
          <w:lang w:val="en-US"/>
        </w:rPr>
        <w:t>26.2. changes in the value of merchant’s equity capital shall be determined according to inflation;</w:t>
      </w:r>
    </w:p>
    <w:p w14:paraId="464B49B0" w14:textId="77777777" w:rsidR="002B4B83" w:rsidRPr="002B4B83" w:rsidRDefault="002B4B83" w:rsidP="002B4B83">
      <w:pPr>
        <w:widowControl w:val="0"/>
        <w:ind w:firstLine="709"/>
        <w:jc w:val="both"/>
        <w:rPr>
          <w:noProof/>
          <w:lang w:val="en-US"/>
        </w:rPr>
      </w:pPr>
      <w:r w:rsidRPr="002B4B83">
        <w:rPr>
          <w:noProof/>
          <w:lang w:val="en-US"/>
        </w:rPr>
        <w:t>26.3. revenues needed to ensure the expected profit is the total amount of capital costs, operating costs, current depreciation value and the portion of overall costs or values that covers overall costs.</w:t>
      </w:r>
    </w:p>
    <w:p w14:paraId="5156BEC7" w14:textId="77777777" w:rsidR="002B4B83" w:rsidRPr="002B4B83" w:rsidRDefault="002B4B83" w:rsidP="002B4B83">
      <w:pPr>
        <w:widowControl w:val="0"/>
        <w:jc w:val="both"/>
        <w:rPr>
          <w:b/>
          <w:bCs/>
          <w:noProof/>
          <w:lang w:val="en-US"/>
        </w:rPr>
      </w:pPr>
      <w:bookmarkStart w:id="66" w:name="n7"/>
      <w:bookmarkStart w:id="67" w:name="n-514368"/>
      <w:bookmarkEnd w:id="66"/>
      <w:bookmarkEnd w:id="67"/>
    </w:p>
    <w:p w14:paraId="07E1A9F8" w14:textId="77777777" w:rsidR="002B4B83" w:rsidRPr="002B4B83" w:rsidRDefault="002B4B83" w:rsidP="002B4B83">
      <w:pPr>
        <w:widowControl w:val="0"/>
        <w:jc w:val="center"/>
        <w:rPr>
          <w:b/>
          <w:noProof/>
          <w:lang w:val="en-US"/>
        </w:rPr>
      </w:pPr>
      <w:r w:rsidRPr="002B4B83">
        <w:rPr>
          <w:b/>
          <w:noProof/>
          <w:lang w:val="en-US"/>
        </w:rPr>
        <w:t>VII. Transfer Payment</w:t>
      </w:r>
    </w:p>
    <w:p w14:paraId="7742421E" w14:textId="77777777" w:rsidR="002B4B83" w:rsidRPr="002B4B83" w:rsidRDefault="002B4B83" w:rsidP="002B4B83">
      <w:pPr>
        <w:widowControl w:val="0"/>
        <w:jc w:val="both"/>
        <w:rPr>
          <w:noProof/>
          <w:lang w:val="en-US"/>
        </w:rPr>
      </w:pPr>
      <w:bookmarkStart w:id="68" w:name="p27"/>
      <w:bookmarkStart w:id="69" w:name="p-514369"/>
      <w:bookmarkEnd w:id="68"/>
      <w:bookmarkEnd w:id="69"/>
    </w:p>
    <w:p w14:paraId="43EF6D7D" w14:textId="77777777" w:rsidR="002B4B83" w:rsidRPr="002B4B83" w:rsidRDefault="002B4B83" w:rsidP="002B4B83">
      <w:pPr>
        <w:widowControl w:val="0"/>
        <w:jc w:val="both"/>
        <w:rPr>
          <w:noProof/>
          <w:lang w:val="en-US"/>
        </w:rPr>
      </w:pPr>
      <w:r w:rsidRPr="002B4B83">
        <w:rPr>
          <w:noProof/>
          <w:lang w:val="en-US"/>
        </w:rPr>
        <w:t>27. The merchant shall apply a transfer payment, if the merchant uses the universal postal services, other postal services or other services to provide the universal postal service, postal services for special tariffs, other postal services or other services.</w:t>
      </w:r>
    </w:p>
    <w:p w14:paraId="53482029" w14:textId="77777777" w:rsidR="002B4B83" w:rsidRPr="002B4B83" w:rsidRDefault="002B4B83" w:rsidP="002B4B83">
      <w:pPr>
        <w:widowControl w:val="0"/>
        <w:jc w:val="both"/>
        <w:rPr>
          <w:noProof/>
          <w:lang w:val="en-US"/>
        </w:rPr>
      </w:pPr>
      <w:bookmarkStart w:id="70" w:name="p28"/>
      <w:bookmarkStart w:id="71" w:name="p-514370"/>
      <w:bookmarkEnd w:id="70"/>
      <w:bookmarkEnd w:id="71"/>
    </w:p>
    <w:p w14:paraId="1106B73D" w14:textId="77777777" w:rsidR="002B4B83" w:rsidRPr="002B4B83" w:rsidRDefault="002B4B83" w:rsidP="002B4B83">
      <w:pPr>
        <w:widowControl w:val="0"/>
        <w:jc w:val="both"/>
        <w:rPr>
          <w:noProof/>
          <w:lang w:val="en-US"/>
        </w:rPr>
      </w:pPr>
      <w:r w:rsidRPr="002B4B83">
        <w:rPr>
          <w:noProof/>
          <w:lang w:val="en-US"/>
        </w:rPr>
        <w:t>28. In transfer payments, the merchant shall account and allocate costs to the extent of the tariff of the universal postal service, other postal service or price of other services.</w:t>
      </w:r>
    </w:p>
    <w:p w14:paraId="49B059AE" w14:textId="77777777" w:rsidR="002B4B83" w:rsidRPr="002B4B83" w:rsidRDefault="002B4B83" w:rsidP="002B4B83">
      <w:pPr>
        <w:widowControl w:val="0"/>
        <w:jc w:val="both"/>
        <w:rPr>
          <w:b/>
          <w:bCs/>
          <w:noProof/>
          <w:lang w:val="en-US"/>
        </w:rPr>
      </w:pPr>
      <w:bookmarkStart w:id="72" w:name="n8"/>
      <w:bookmarkStart w:id="73" w:name="n-514371"/>
      <w:bookmarkEnd w:id="72"/>
      <w:bookmarkEnd w:id="73"/>
    </w:p>
    <w:p w14:paraId="0D6D3CBC" w14:textId="77777777" w:rsidR="002B4B83" w:rsidRPr="002B4B83" w:rsidRDefault="002B4B83" w:rsidP="002B4B83">
      <w:pPr>
        <w:widowControl w:val="0"/>
        <w:jc w:val="center"/>
        <w:rPr>
          <w:b/>
          <w:noProof/>
          <w:lang w:val="en-US"/>
        </w:rPr>
      </w:pPr>
      <w:r w:rsidRPr="002B4B83">
        <w:rPr>
          <w:b/>
          <w:noProof/>
          <w:lang w:val="en-US"/>
        </w:rPr>
        <w:t>VIII. Merchant’s Report</w:t>
      </w:r>
    </w:p>
    <w:p w14:paraId="32BFA794" w14:textId="77777777" w:rsidR="002B4B83" w:rsidRPr="002B4B83" w:rsidRDefault="002B4B83" w:rsidP="002B4B83">
      <w:pPr>
        <w:widowControl w:val="0"/>
        <w:jc w:val="both"/>
        <w:rPr>
          <w:noProof/>
          <w:lang w:val="en-US"/>
        </w:rPr>
      </w:pPr>
      <w:bookmarkStart w:id="74" w:name="p29"/>
      <w:bookmarkStart w:id="75" w:name="p-514372"/>
      <w:bookmarkEnd w:id="74"/>
      <w:bookmarkEnd w:id="75"/>
    </w:p>
    <w:p w14:paraId="7D8CA3D7" w14:textId="77777777" w:rsidR="002B4B83" w:rsidRPr="002B4B83" w:rsidRDefault="002B4B83" w:rsidP="002B4B83">
      <w:pPr>
        <w:widowControl w:val="0"/>
        <w:jc w:val="both"/>
        <w:rPr>
          <w:noProof/>
          <w:lang w:val="en-US"/>
        </w:rPr>
      </w:pPr>
      <w:r w:rsidRPr="002B4B83">
        <w:rPr>
          <w:noProof/>
          <w:lang w:val="en-US"/>
        </w:rPr>
        <w:t>29. A provider of the universal postal service shall, within seven months after the end of the current reporting year, and also when submitting the draft universal postal service tariff, draw up and submit to the Regulator a report containing the following information:</w:t>
      </w:r>
    </w:p>
    <w:p w14:paraId="17766F76" w14:textId="77777777" w:rsidR="002B4B83" w:rsidRPr="002B4B83" w:rsidRDefault="002B4B83" w:rsidP="002B4B83">
      <w:pPr>
        <w:widowControl w:val="0"/>
        <w:ind w:firstLine="709"/>
        <w:jc w:val="both"/>
        <w:rPr>
          <w:noProof/>
          <w:lang w:val="en-US"/>
        </w:rPr>
      </w:pPr>
      <w:r w:rsidRPr="002B4B83">
        <w:rPr>
          <w:noProof/>
          <w:lang w:val="en-US"/>
        </w:rPr>
        <w:t>29.1. profit and loss calculation;</w:t>
      </w:r>
    </w:p>
    <w:p w14:paraId="359EBB30" w14:textId="77777777" w:rsidR="002B4B83" w:rsidRPr="002B4B83" w:rsidRDefault="002B4B83" w:rsidP="002B4B83">
      <w:pPr>
        <w:widowControl w:val="0"/>
        <w:ind w:firstLine="709"/>
        <w:jc w:val="both"/>
        <w:rPr>
          <w:noProof/>
          <w:lang w:val="en-US"/>
        </w:rPr>
      </w:pPr>
      <w:r w:rsidRPr="002B4B83">
        <w:rPr>
          <w:noProof/>
          <w:lang w:val="en-US"/>
        </w:rPr>
        <w:t>29.2. balance sheet;</w:t>
      </w:r>
    </w:p>
    <w:p w14:paraId="257FF88E" w14:textId="77777777" w:rsidR="002B4B83" w:rsidRPr="002B4B83" w:rsidRDefault="002B4B83" w:rsidP="002B4B83">
      <w:pPr>
        <w:widowControl w:val="0"/>
        <w:ind w:firstLine="709"/>
        <w:jc w:val="both"/>
        <w:rPr>
          <w:noProof/>
          <w:lang w:val="en-US"/>
        </w:rPr>
      </w:pPr>
      <w:r w:rsidRPr="002B4B83">
        <w:rPr>
          <w:noProof/>
          <w:lang w:val="en-US"/>
        </w:rPr>
        <w:t>29.3. review of the scope of the provided universal postal service and the associated costs.</w:t>
      </w:r>
    </w:p>
    <w:p w14:paraId="396F2A71" w14:textId="77777777" w:rsidR="002B4B83" w:rsidRPr="002B4B83" w:rsidRDefault="002B4B83" w:rsidP="002B4B83">
      <w:pPr>
        <w:widowControl w:val="0"/>
        <w:jc w:val="both"/>
        <w:rPr>
          <w:noProof/>
          <w:lang w:val="en-US"/>
        </w:rPr>
      </w:pPr>
      <w:bookmarkStart w:id="76" w:name="p30"/>
      <w:bookmarkStart w:id="77" w:name="p-514373"/>
      <w:bookmarkEnd w:id="76"/>
      <w:bookmarkEnd w:id="77"/>
    </w:p>
    <w:p w14:paraId="78BBF622" w14:textId="77777777" w:rsidR="002B4B83" w:rsidRPr="002B4B83" w:rsidRDefault="002B4B83" w:rsidP="002B4B83">
      <w:pPr>
        <w:keepNext/>
        <w:keepLines/>
        <w:widowControl w:val="0"/>
        <w:jc w:val="both"/>
        <w:rPr>
          <w:noProof/>
          <w:lang w:val="en-US"/>
        </w:rPr>
      </w:pPr>
      <w:r w:rsidRPr="002B4B83">
        <w:rPr>
          <w:noProof/>
          <w:lang w:val="en-US"/>
        </w:rPr>
        <w:lastRenderedPageBreak/>
        <w:t>30. In order to ensure cost-based, transparent and equitable determination of universal postal service tariffs, a provider of the universal postal service shall, in its report to the Regulator, include information on the universal postal service, postal services for special tariffs, other postal services and other services.</w:t>
      </w:r>
    </w:p>
    <w:p w14:paraId="5DDE6252" w14:textId="77777777" w:rsidR="002B4B83" w:rsidRPr="002B4B83" w:rsidRDefault="002B4B83" w:rsidP="002B4B83">
      <w:pPr>
        <w:widowControl w:val="0"/>
        <w:jc w:val="both"/>
        <w:rPr>
          <w:noProof/>
          <w:lang w:val="en-US"/>
        </w:rPr>
      </w:pPr>
      <w:bookmarkStart w:id="78" w:name="p31"/>
      <w:bookmarkStart w:id="79" w:name="p-514374"/>
      <w:bookmarkEnd w:id="78"/>
      <w:bookmarkEnd w:id="79"/>
    </w:p>
    <w:p w14:paraId="376EDA40" w14:textId="77777777" w:rsidR="002B4B83" w:rsidRPr="002B4B83" w:rsidRDefault="002B4B83" w:rsidP="002B4B83">
      <w:pPr>
        <w:widowControl w:val="0"/>
        <w:jc w:val="both"/>
        <w:rPr>
          <w:noProof/>
          <w:lang w:val="en-US"/>
        </w:rPr>
      </w:pPr>
      <w:r w:rsidRPr="002B4B83">
        <w:rPr>
          <w:noProof/>
          <w:lang w:val="en-US"/>
        </w:rPr>
        <w:t>31. The report of a provider of the universal postal service submitted to the Regulator shall be used by the Regulator for regulating the universal postal service tariffs provided by the provider of the universal postal service.</w:t>
      </w:r>
    </w:p>
    <w:p w14:paraId="32B7A9C2" w14:textId="77777777" w:rsidR="002B4B83" w:rsidRPr="002B4B83" w:rsidRDefault="002B4B83" w:rsidP="002B4B83">
      <w:pPr>
        <w:widowControl w:val="0"/>
        <w:jc w:val="both"/>
        <w:rPr>
          <w:b/>
          <w:bCs/>
          <w:noProof/>
          <w:lang w:val="en-US"/>
        </w:rPr>
      </w:pPr>
      <w:bookmarkStart w:id="80" w:name="n9"/>
      <w:bookmarkStart w:id="81" w:name="n-514375"/>
      <w:bookmarkEnd w:id="80"/>
      <w:bookmarkEnd w:id="81"/>
    </w:p>
    <w:p w14:paraId="4AF84F84" w14:textId="77777777" w:rsidR="002B4B83" w:rsidRPr="002B4B83" w:rsidRDefault="002B4B83" w:rsidP="002B4B83">
      <w:pPr>
        <w:widowControl w:val="0"/>
        <w:jc w:val="center"/>
        <w:rPr>
          <w:b/>
          <w:noProof/>
          <w:lang w:val="en-US"/>
        </w:rPr>
      </w:pPr>
      <w:r w:rsidRPr="002B4B83">
        <w:rPr>
          <w:b/>
          <w:noProof/>
          <w:lang w:val="en-US"/>
        </w:rPr>
        <w:t>IX. Final Provisions</w:t>
      </w:r>
    </w:p>
    <w:p w14:paraId="330F6534" w14:textId="77777777" w:rsidR="002B4B83" w:rsidRPr="002B4B83" w:rsidRDefault="002B4B83" w:rsidP="002B4B83">
      <w:pPr>
        <w:widowControl w:val="0"/>
        <w:jc w:val="both"/>
        <w:rPr>
          <w:noProof/>
          <w:lang w:val="en-US"/>
        </w:rPr>
      </w:pPr>
      <w:bookmarkStart w:id="82" w:name="p32"/>
      <w:bookmarkStart w:id="83" w:name="p-514376"/>
      <w:bookmarkEnd w:id="82"/>
      <w:bookmarkEnd w:id="83"/>
    </w:p>
    <w:p w14:paraId="70AA4518" w14:textId="77777777" w:rsidR="002B4B83" w:rsidRPr="002B4B83" w:rsidRDefault="002B4B83" w:rsidP="002B4B83">
      <w:pPr>
        <w:widowControl w:val="0"/>
        <w:jc w:val="both"/>
        <w:rPr>
          <w:noProof/>
          <w:lang w:val="en-US"/>
        </w:rPr>
      </w:pPr>
      <w:r w:rsidRPr="002B4B83">
        <w:rPr>
          <w:noProof/>
          <w:lang w:val="en-US"/>
        </w:rPr>
        <w:t>32. A provider of the universal postal service who has not previously provided the universal postal service shall, within one year after the determination of commitments to provide the universal postal service, develop a cost accounting system that corresponds to this methodology.</w:t>
      </w:r>
    </w:p>
    <w:p w14:paraId="4F299551" w14:textId="77777777" w:rsidR="002B4B83" w:rsidRPr="002B4B83" w:rsidRDefault="002B4B83" w:rsidP="002B4B83">
      <w:pPr>
        <w:widowControl w:val="0"/>
        <w:jc w:val="both"/>
        <w:rPr>
          <w:noProof/>
          <w:lang w:val="en-US"/>
        </w:rPr>
      </w:pPr>
      <w:bookmarkStart w:id="84" w:name="p33"/>
      <w:bookmarkStart w:id="85" w:name="p-514377"/>
      <w:bookmarkEnd w:id="84"/>
      <w:bookmarkEnd w:id="85"/>
    </w:p>
    <w:p w14:paraId="095217F9" w14:textId="77777777" w:rsidR="002B4B83" w:rsidRPr="002B4B83" w:rsidRDefault="002B4B83" w:rsidP="002B4B83">
      <w:pPr>
        <w:widowControl w:val="0"/>
        <w:jc w:val="both"/>
        <w:rPr>
          <w:noProof/>
          <w:lang w:val="en-US"/>
        </w:rPr>
      </w:pPr>
      <w:r w:rsidRPr="002B4B83">
        <w:rPr>
          <w:noProof/>
          <w:lang w:val="en-US"/>
        </w:rPr>
        <w:t>33. Starting from 1 January 2014, the word “lats” in Paragraph 19 of this methodology shall be replaced by the word “euros”.</w:t>
      </w:r>
    </w:p>
    <w:p w14:paraId="2D6E733D" w14:textId="77777777" w:rsidR="002B4B83" w:rsidRPr="002B4B83" w:rsidRDefault="002B4B83" w:rsidP="002B4B83">
      <w:pPr>
        <w:widowControl w:val="0"/>
        <w:jc w:val="both"/>
        <w:rPr>
          <w:noProof/>
          <w:lang w:val="en-US"/>
        </w:rPr>
      </w:pPr>
      <w:bookmarkStart w:id="86" w:name="p34"/>
      <w:bookmarkStart w:id="87" w:name="p-514378"/>
      <w:bookmarkEnd w:id="86"/>
      <w:bookmarkEnd w:id="87"/>
    </w:p>
    <w:p w14:paraId="0147C574" w14:textId="77777777" w:rsidR="002B4B83" w:rsidRPr="002B4B83" w:rsidRDefault="002B4B83" w:rsidP="002B4B83">
      <w:pPr>
        <w:widowControl w:val="0"/>
        <w:jc w:val="both"/>
        <w:rPr>
          <w:noProof/>
          <w:lang w:val="en-US"/>
        </w:rPr>
      </w:pPr>
      <w:r w:rsidRPr="002B4B83">
        <w:rPr>
          <w:noProof/>
          <w:lang w:val="en-US"/>
        </w:rPr>
        <w:t>34. The weighted average rate of the loans received by the merchant specified in the capital financing cost calculation which is included in the report for 2013 drawn up by the provider of the universal postal service shall not exceed the weighted average annual rate of long-term loans issued in lats which is determined by the Central Statistical Bureau for the respective reporting period.</w:t>
      </w:r>
    </w:p>
    <w:p w14:paraId="396EA1E6" w14:textId="77777777" w:rsidR="002B4B83" w:rsidRPr="002B4B83" w:rsidRDefault="002B4B83" w:rsidP="002B4B83">
      <w:pPr>
        <w:widowControl w:val="0"/>
        <w:jc w:val="both"/>
        <w:rPr>
          <w:noProof/>
          <w:lang w:val="en-US"/>
        </w:rPr>
      </w:pPr>
      <w:bookmarkStart w:id="88" w:name="p35"/>
      <w:bookmarkStart w:id="89" w:name="p-514380"/>
      <w:bookmarkEnd w:id="88"/>
      <w:bookmarkEnd w:id="89"/>
    </w:p>
    <w:p w14:paraId="6445B538" w14:textId="77777777" w:rsidR="002B4B83" w:rsidRPr="002B4B83" w:rsidRDefault="002B4B83" w:rsidP="002B4B83">
      <w:pPr>
        <w:widowControl w:val="0"/>
        <w:jc w:val="both"/>
        <w:rPr>
          <w:noProof/>
          <w:lang w:val="en-US"/>
        </w:rPr>
      </w:pPr>
      <w:r w:rsidRPr="002B4B83">
        <w:rPr>
          <w:noProof/>
          <w:lang w:val="en-US"/>
        </w:rPr>
        <w:t>35. A draft tariff which has been calculated and submitted to the Regulator before the day when the euro is introduced shall be drawn up and calculated in lats. Starting from the day when the euro is introduced, a provider of the universal service shall convert a draft tariff calculated in lats, the evaluation of which has not been completed, into euro in conformity with the exchange rate determined by the Council of the European Union and the principles of rounding laid down in Section 6 of the Law on the Procedure for Introduction of Euro (hereinafter – the converted draft tariff). The total sum of costs of the converted draft tariff is formed by the converted costs positions included in the calculation of the draft tariff and their total sum shall not exceed the total sum of costs of the draft tariff under evaluation in lats which has been converted into euros in conformity with the exchange rate determined by the Council of the European Union and the principles of rounding laid down in Section 6 of the Law on the Procedure for Introduction of Euro. A draft tariff which has been calculated and submitted to the Regulator on the day when the euro is introduced or afterwards shall be prepared and calculated in euros. Such currency shall be indicated in the justifying documents which is used in drawing up the documents in conformity with the accounting requirements and the Law on the Procedure for Introduction of Euro.</w:t>
      </w:r>
    </w:p>
    <w:p w14:paraId="61460147" w14:textId="77777777" w:rsidR="002B4B83" w:rsidRPr="002B4B83" w:rsidRDefault="002B4B83" w:rsidP="002B4B83">
      <w:pPr>
        <w:widowControl w:val="0"/>
        <w:jc w:val="both"/>
        <w:rPr>
          <w:noProof/>
          <w:lang w:val="en-US"/>
        </w:rPr>
      </w:pPr>
      <w:bookmarkStart w:id="90" w:name="p36"/>
      <w:bookmarkStart w:id="91" w:name="p-514381"/>
      <w:bookmarkEnd w:id="90"/>
      <w:bookmarkEnd w:id="91"/>
    </w:p>
    <w:p w14:paraId="55ABFC20" w14:textId="77777777" w:rsidR="002B4B83" w:rsidRPr="002B4B83" w:rsidRDefault="002B4B83" w:rsidP="002B4B83">
      <w:pPr>
        <w:widowControl w:val="0"/>
        <w:jc w:val="both"/>
        <w:rPr>
          <w:noProof/>
          <w:lang w:val="en-US"/>
        </w:rPr>
      </w:pPr>
      <w:r w:rsidRPr="002B4B83">
        <w:rPr>
          <w:noProof/>
          <w:lang w:val="en-US"/>
        </w:rPr>
        <w:t>36. In the report specified in Paragraph 29 of this methodology and the documents justifying it, a provider of the universal service shall indicate such currency which is used in drawing up the documents in conformity with the accounting requirements and the Law on the Procedure for Introduction of Euro.</w:t>
      </w:r>
    </w:p>
    <w:p w14:paraId="41F430B7" w14:textId="77777777" w:rsidR="002B4B83" w:rsidRPr="002B4B83" w:rsidRDefault="002B4B83" w:rsidP="002B4B83">
      <w:pPr>
        <w:widowControl w:val="0"/>
        <w:jc w:val="both"/>
        <w:rPr>
          <w:noProof/>
          <w:lang w:val="en-US"/>
        </w:rPr>
      </w:pPr>
      <w:bookmarkStart w:id="92" w:name="p36_1"/>
      <w:bookmarkStart w:id="93" w:name="p-664434"/>
      <w:bookmarkEnd w:id="92"/>
      <w:bookmarkEnd w:id="93"/>
    </w:p>
    <w:p w14:paraId="4FFDB532" w14:textId="77777777" w:rsidR="002B4B83" w:rsidRPr="002B4B83" w:rsidRDefault="002B4B83" w:rsidP="002B4B83">
      <w:pPr>
        <w:widowControl w:val="0"/>
        <w:jc w:val="both"/>
        <w:rPr>
          <w:noProof/>
          <w:lang w:val="en-US"/>
        </w:rPr>
      </w:pPr>
      <w:r w:rsidRPr="002B4B83">
        <w:rPr>
          <w:noProof/>
          <w:lang w:val="en-US"/>
        </w:rPr>
        <w:t>36.</w:t>
      </w:r>
      <w:r w:rsidRPr="002B4B83">
        <w:rPr>
          <w:noProof/>
          <w:vertAlign w:val="superscript"/>
          <w:lang w:val="en-US"/>
        </w:rPr>
        <w:t xml:space="preserve">1 </w:t>
      </w:r>
      <w:r w:rsidRPr="002B4B83">
        <w:rPr>
          <w:noProof/>
          <w:lang w:val="en-US"/>
        </w:rPr>
        <w:t>The rate of return on capital required for the preparation of the draft tariff the date of coming into effect of which is planned until 31 December 2018 shall be determined by the Regulator upon request of the provider of the universal postal service. This rate shall be calculated in accordance with the methodology for calculating the rate of return on capital determined by the Regulator.</w:t>
      </w:r>
    </w:p>
    <w:p w14:paraId="531D1B66" w14:textId="77777777" w:rsidR="002B4B83" w:rsidRPr="002B4B83" w:rsidRDefault="002B4B83" w:rsidP="002B4B83">
      <w:pPr>
        <w:widowControl w:val="0"/>
        <w:jc w:val="both"/>
        <w:rPr>
          <w:noProof/>
          <w:lang w:val="en-US"/>
        </w:rPr>
      </w:pPr>
      <w:r w:rsidRPr="002B4B83">
        <w:rPr>
          <w:noProof/>
          <w:lang w:val="en-US"/>
        </w:rPr>
        <w:lastRenderedPageBreak/>
        <w:t>[</w:t>
      </w:r>
      <w:r w:rsidRPr="002B4B83">
        <w:rPr>
          <w:i/>
          <w:iCs/>
          <w:noProof/>
          <w:lang w:val="en-US"/>
        </w:rPr>
        <w:t>13 August 2018</w:t>
      </w:r>
      <w:r w:rsidRPr="002B4B83">
        <w:rPr>
          <w:noProof/>
          <w:lang w:val="en-US"/>
        </w:rPr>
        <w:t>]</w:t>
      </w:r>
    </w:p>
    <w:p w14:paraId="1EB108E6" w14:textId="77777777" w:rsidR="002B4B83" w:rsidRPr="002B4B83" w:rsidRDefault="002B4B83" w:rsidP="002B4B83">
      <w:pPr>
        <w:widowControl w:val="0"/>
        <w:jc w:val="both"/>
        <w:rPr>
          <w:noProof/>
          <w:lang w:val="en-US"/>
        </w:rPr>
      </w:pPr>
      <w:bookmarkStart w:id="94" w:name="p37"/>
      <w:bookmarkStart w:id="95" w:name="p-514382"/>
      <w:bookmarkEnd w:id="94"/>
      <w:bookmarkEnd w:id="95"/>
    </w:p>
    <w:p w14:paraId="08AF282A" w14:textId="77777777" w:rsidR="002B4B83" w:rsidRPr="002B4B83" w:rsidRDefault="002B4B83" w:rsidP="002B4B83">
      <w:pPr>
        <w:widowControl w:val="0"/>
        <w:jc w:val="both"/>
        <w:rPr>
          <w:noProof/>
          <w:lang w:val="en-US"/>
        </w:rPr>
      </w:pPr>
      <w:r w:rsidRPr="002B4B83">
        <w:rPr>
          <w:noProof/>
          <w:lang w:val="en-US"/>
        </w:rPr>
        <w:t>37. Decision No. 1/4 of the Public Utilities Commission of 17 September 2009, Universal Postal Service Tariff Calculation Methodology (</w:t>
      </w:r>
      <w:r w:rsidRPr="002B4B83">
        <w:rPr>
          <w:i/>
          <w:iCs/>
          <w:noProof/>
          <w:lang w:val="en-US"/>
        </w:rPr>
        <w:t>Latvijas Vēstnesis</w:t>
      </w:r>
      <w:r w:rsidRPr="002B4B83">
        <w:rPr>
          <w:noProof/>
          <w:lang w:val="en-US"/>
        </w:rPr>
        <w:t>, 2009, No. 151), is repealed.</w:t>
      </w:r>
    </w:p>
    <w:p w14:paraId="42A4871C" w14:textId="77777777" w:rsidR="002B4B83" w:rsidRPr="002B4B83" w:rsidRDefault="002B4B83" w:rsidP="002B4B83">
      <w:pPr>
        <w:widowControl w:val="0"/>
        <w:jc w:val="both"/>
        <w:rPr>
          <w:noProof/>
          <w:lang w:val="en-US"/>
        </w:rPr>
      </w:pPr>
      <w:bookmarkStart w:id="96" w:name="p38"/>
      <w:bookmarkStart w:id="97" w:name="p-514383"/>
      <w:bookmarkEnd w:id="96"/>
      <w:bookmarkEnd w:id="97"/>
    </w:p>
    <w:p w14:paraId="3CE00B53" w14:textId="77777777" w:rsidR="002B4B83" w:rsidRPr="002B4B83" w:rsidRDefault="002B4B83" w:rsidP="002B4B83">
      <w:pPr>
        <w:widowControl w:val="0"/>
        <w:jc w:val="both"/>
        <w:rPr>
          <w:noProof/>
          <w:lang w:val="en-US"/>
        </w:rPr>
      </w:pPr>
      <w:r w:rsidRPr="002B4B83">
        <w:rPr>
          <w:noProof/>
          <w:lang w:val="en-US"/>
        </w:rPr>
        <w:t xml:space="preserve">38. This methodology shall come into force on the day following its publication in the official gazette </w:t>
      </w:r>
      <w:r w:rsidRPr="002B4B83">
        <w:rPr>
          <w:i/>
          <w:iCs/>
          <w:noProof/>
          <w:lang w:val="en-US"/>
        </w:rPr>
        <w:t>Latvijas Vēstnesis</w:t>
      </w:r>
      <w:r w:rsidRPr="002B4B83">
        <w:rPr>
          <w:noProof/>
          <w:lang w:val="en-US"/>
        </w:rPr>
        <w:t>.</w:t>
      </w:r>
    </w:p>
    <w:p w14:paraId="7A1F33EF" w14:textId="77777777" w:rsidR="002B4B83" w:rsidRPr="002B4B83" w:rsidRDefault="002B4B83" w:rsidP="002B4B83">
      <w:pPr>
        <w:widowControl w:val="0"/>
        <w:jc w:val="both"/>
        <w:rPr>
          <w:noProof/>
          <w:lang w:val="en-US"/>
        </w:rPr>
      </w:pPr>
    </w:p>
    <w:p w14:paraId="1A184E4A" w14:textId="77777777" w:rsidR="002B4B83" w:rsidRPr="002B4B83" w:rsidRDefault="002B4B83" w:rsidP="002B4B83">
      <w:pPr>
        <w:widowControl w:val="0"/>
        <w:jc w:val="both"/>
        <w:rPr>
          <w:noProof/>
          <w:lang w:val="en-US"/>
        </w:rPr>
      </w:pPr>
    </w:p>
    <w:p w14:paraId="3180271A" w14:textId="77777777" w:rsidR="002B4B83" w:rsidRPr="002B4B83" w:rsidRDefault="002B4B83" w:rsidP="002B4B83">
      <w:pPr>
        <w:widowControl w:val="0"/>
        <w:jc w:val="both"/>
        <w:rPr>
          <w:noProof/>
          <w:lang w:val="en-US"/>
        </w:rPr>
      </w:pPr>
      <w:r w:rsidRPr="002B4B83">
        <w:rPr>
          <w:noProof/>
          <w:lang w:val="en-US"/>
        </w:rPr>
        <w:t xml:space="preserve">Acting in the capacity of the chairperson of the Public Utilities Commission </w:t>
      </w:r>
    </w:p>
    <w:p w14:paraId="1C68EF75" w14:textId="77777777" w:rsidR="002B4B83" w:rsidRPr="002B4B83" w:rsidRDefault="002B4B83" w:rsidP="002B4B83">
      <w:pPr>
        <w:widowControl w:val="0"/>
        <w:tabs>
          <w:tab w:val="left" w:pos="8080"/>
        </w:tabs>
        <w:jc w:val="both"/>
        <w:rPr>
          <w:noProof/>
          <w:lang w:val="en-US"/>
        </w:rPr>
      </w:pPr>
      <w:r w:rsidRPr="002B4B83">
        <w:rPr>
          <w:noProof/>
          <w:lang w:val="en-US"/>
        </w:rPr>
        <w:t>Member of the Board</w:t>
      </w:r>
      <w:r w:rsidRPr="002B4B83">
        <w:rPr>
          <w:noProof/>
          <w:lang w:val="en-US"/>
        </w:rPr>
        <w:tab/>
        <w:t>G. Zeltiņš</w:t>
      </w:r>
    </w:p>
    <w:p w14:paraId="00B71B46" w14:textId="77777777" w:rsidR="002B4B83" w:rsidRPr="002B4B83" w:rsidRDefault="002B4B83" w:rsidP="002B4B83">
      <w:pPr>
        <w:widowControl w:val="0"/>
        <w:rPr>
          <w:noProof/>
          <w:lang w:val="en-US"/>
        </w:rPr>
      </w:pPr>
      <w:r w:rsidRPr="002B4B83">
        <w:rPr>
          <w:noProof/>
          <w:lang w:val="en-US"/>
        </w:rPr>
        <w:br w:type="page"/>
      </w:r>
    </w:p>
    <w:p w14:paraId="0B9DEFA6" w14:textId="77777777" w:rsidR="002B4B83" w:rsidRPr="002B4B83" w:rsidRDefault="002B4B83" w:rsidP="002B4B83">
      <w:pPr>
        <w:widowControl w:val="0"/>
        <w:rPr>
          <w:noProof/>
          <w:lang w:val="en-US"/>
        </w:rPr>
      </w:pPr>
    </w:p>
    <w:p w14:paraId="44FF7505" w14:textId="77777777" w:rsidR="002B4B83" w:rsidRPr="002B4B83" w:rsidRDefault="002B4B83" w:rsidP="002B4B83">
      <w:pPr>
        <w:widowControl w:val="0"/>
        <w:jc w:val="right"/>
        <w:rPr>
          <w:b/>
          <w:noProof/>
          <w:lang w:val="en-US"/>
        </w:rPr>
      </w:pPr>
      <w:r w:rsidRPr="002B4B83">
        <w:rPr>
          <w:b/>
          <w:noProof/>
          <w:lang w:val="en-US"/>
        </w:rPr>
        <w:t>Annex 1</w:t>
      </w:r>
    </w:p>
    <w:p w14:paraId="17390B43" w14:textId="77777777" w:rsidR="002B4B83" w:rsidRPr="002B4B83" w:rsidRDefault="002B4B83" w:rsidP="002B4B83">
      <w:pPr>
        <w:widowControl w:val="0"/>
        <w:jc w:val="right"/>
        <w:rPr>
          <w:noProof/>
          <w:lang w:val="en-US"/>
        </w:rPr>
      </w:pPr>
      <w:r w:rsidRPr="002B4B83">
        <w:rPr>
          <w:noProof/>
          <w:lang w:val="en-US"/>
        </w:rPr>
        <w:t>Decision No. 1/28 of the Public Utilities Commission</w:t>
      </w:r>
    </w:p>
    <w:p w14:paraId="0271BB3F" w14:textId="77777777" w:rsidR="002B4B83" w:rsidRPr="002B4B83" w:rsidRDefault="002B4B83" w:rsidP="002B4B83">
      <w:pPr>
        <w:widowControl w:val="0"/>
        <w:jc w:val="right"/>
        <w:rPr>
          <w:noProof/>
          <w:lang w:val="en-US"/>
        </w:rPr>
      </w:pPr>
      <w:r w:rsidRPr="002B4B83">
        <w:rPr>
          <w:noProof/>
          <w:lang w:val="en-US"/>
        </w:rPr>
        <w:t>11 October 2013</w:t>
      </w:r>
      <w:bookmarkStart w:id="98" w:name="piel-514385"/>
      <w:bookmarkStart w:id="99" w:name="piel1"/>
      <w:bookmarkEnd w:id="98"/>
      <w:bookmarkEnd w:id="99"/>
    </w:p>
    <w:p w14:paraId="60291250" w14:textId="77777777" w:rsidR="002B4B83" w:rsidRPr="002B4B83" w:rsidRDefault="002B4B83" w:rsidP="002B4B83">
      <w:pPr>
        <w:widowControl w:val="0"/>
        <w:jc w:val="both"/>
        <w:rPr>
          <w:b/>
          <w:bCs/>
          <w:noProof/>
          <w:lang w:val="en-US"/>
        </w:rPr>
      </w:pPr>
      <w:bookmarkStart w:id="100" w:name="514386"/>
      <w:bookmarkStart w:id="101" w:name="n-514386"/>
      <w:bookmarkEnd w:id="100"/>
      <w:bookmarkEnd w:id="101"/>
    </w:p>
    <w:p w14:paraId="22B06A46" w14:textId="77777777" w:rsidR="002B4B83" w:rsidRPr="002B4B83" w:rsidRDefault="002B4B83" w:rsidP="002B4B83">
      <w:pPr>
        <w:widowControl w:val="0"/>
        <w:jc w:val="both"/>
        <w:rPr>
          <w:b/>
          <w:bCs/>
          <w:noProof/>
          <w:lang w:val="en-US"/>
        </w:rPr>
      </w:pPr>
    </w:p>
    <w:p w14:paraId="64E9B66D" w14:textId="77777777" w:rsidR="002B4B83" w:rsidRPr="002B4B83" w:rsidRDefault="002B4B83" w:rsidP="002B4B83">
      <w:pPr>
        <w:widowControl w:val="0"/>
        <w:jc w:val="center"/>
        <w:rPr>
          <w:b/>
          <w:noProof/>
          <w:sz w:val="28"/>
          <w:lang w:val="en-US"/>
        </w:rPr>
      </w:pPr>
      <w:r w:rsidRPr="002B4B83">
        <w:rPr>
          <w:b/>
          <w:noProof/>
          <w:sz w:val="28"/>
          <w:lang w:val="en-US"/>
        </w:rPr>
        <w:t>Example of the Breakdown of Service Operating Costs and Allocation Thereof</w:t>
      </w:r>
    </w:p>
    <w:p w14:paraId="750859DF" w14:textId="77777777" w:rsidR="002B4B83" w:rsidRPr="002B4B83" w:rsidRDefault="002B4B83" w:rsidP="002B4B83">
      <w:pPr>
        <w:widowControl w:val="0"/>
        <w:jc w:val="both"/>
        <w:rPr>
          <w:b/>
          <w:bCs/>
          <w:noProof/>
          <w:lang w:val="en-US"/>
        </w:rPr>
      </w:pPr>
    </w:p>
    <w:p w14:paraId="5C6CBDE4" w14:textId="77777777" w:rsidR="002B4B83" w:rsidRPr="002B4B83" w:rsidRDefault="002B4B83" w:rsidP="002B4B83">
      <w:pPr>
        <w:widowControl w:val="0"/>
        <w:jc w:val="both"/>
        <w:rPr>
          <w:b/>
          <w:bCs/>
          <w:noProof/>
          <w:lang w:val="en-US"/>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687"/>
        <w:gridCol w:w="3543"/>
        <w:gridCol w:w="2825"/>
      </w:tblGrid>
      <w:tr w:rsidR="002B4B83" w:rsidRPr="002B4B83" w14:paraId="53594829" w14:textId="77777777" w:rsidTr="00686EA8">
        <w:trPr>
          <w:jc w:val="center"/>
        </w:trPr>
        <w:tc>
          <w:tcPr>
            <w:tcW w:w="1483" w:type="pct"/>
            <w:tcBorders>
              <w:top w:val="outset" w:sz="6" w:space="0" w:color="414142"/>
              <w:left w:val="outset" w:sz="6" w:space="0" w:color="414142"/>
              <w:bottom w:val="outset" w:sz="6" w:space="0" w:color="414142"/>
              <w:right w:val="outset" w:sz="6" w:space="0" w:color="414142"/>
            </w:tcBorders>
            <w:vAlign w:val="center"/>
            <w:hideMark/>
          </w:tcPr>
          <w:p w14:paraId="52BDB3A9" w14:textId="77777777" w:rsidR="002B4B83" w:rsidRPr="002B4B83" w:rsidRDefault="002B4B83" w:rsidP="00686EA8">
            <w:pPr>
              <w:widowControl w:val="0"/>
              <w:jc w:val="center"/>
              <w:rPr>
                <w:noProof/>
                <w:lang w:val="en-US"/>
              </w:rPr>
            </w:pPr>
            <w:r w:rsidRPr="002B4B83">
              <w:rPr>
                <w:noProof/>
                <w:lang w:val="en-US"/>
              </w:rPr>
              <w:t>Cost group</w:t>
            </w:r>
          </w:p>
        </w:tc>
        <w:tc>
          <w:tcPr>
            <w:tcW w:w="1956" w:type="pct"/>
            <w:tcBorders>
              <w:top w:val="outset" w:sz="6" w:space="0" w:color="414142"/>
              <w:left w:val="outset" w:sz="6" w:space="0" w:color="414142"/>
              <w:bottom w:val="outset" w:sz="6" w:space="0" w:color="414142"/>
              <w:right w:val="outset" w:sz="6" w:space="0" w:color="414142"/>
            </w:tcBorders>
            <w:vAlign w:val="center"/>
            <w:hideMark/>
          </w:tcPr>
          <w:p w14:paraId="52A24072" w14:textId="77777777" w:rsidR="002B4B83" w:rsidRPr="002B4B83" w:rsidRDefault="002B4B83" w:rsidP="00686EA8">
            <w:pPr>
              <w:widowControl w:val="0"/>
              <w:jc w:val="center"/>
              <w:rPr>
                <w:noProof/>
                <w:lang w:val="en-US"/>
              </w:rPr>
            </w:pPr>
            <w:r w:rsidRPr="002B4B83">
              <w:rPr>
                <w:noProof/>
                <w:lang w:val="en-US"/>
              </w:rPr>
              <w:t>Costs included in the cost group</w:t>
            </w:r>
          </w:p>
        </w:tc>
        <w:tc>
          <w:tcPr>
            <w:tcW w:w="1560" w:type="pct"/>
            <w:tcBorders>
              <w:top w:val="outset" w:sz="6" w:space="0" w:color="414142"/>
              <w:left w:val="outset" w:sz="6" w:space="0" w:color="414142"/>
              <w:bottom w:val="outset" w:sz="6" w:space="0" w:color="414142"/>
              <w:right w:val="outset" w:sz="6" w:space="0" w:color="414142"/>
            </w:tcBorders>
            <w:vAlign w:val="center"/>
            <w:hideMark/>
          </w:tcPr>
          <w:p w14:paraId="358F3E64" w14:textId="77777777" w:rsidR="002B4B83" w:rsidRPr="002B4B83" w:rsidRDefault="002B4B83" w:rsidP="00686EA8">
            <w:pPr>
              <w:widowControl w:val="0"/>
              <w:jc w:val="center"/>
              <w:rPr>
                <w:noProof/>
                <w:lang w:val="en-US"/>
              </w:rPr>
            </w:pPr>
            <w:r w:rsidRPr="002B4B83">
              <w:rPr>
                <w:noProof/>
                <w:lang w:val="en-US"/>
              </w:rPr>
              <w:t>Types of services to be covered by the costs included in the cost group</w:t>
            </w:r>
          </w:p>
        </w:tc>
      </w:tr>
      <w:tr w:rsidR="002B4B83" w:rsidRPr="002B4B83" w14:paraId="72C114D5" w14:textId="77777777" w:rsidTr="00686EA8">
        <w:trPr>
          <w:jc w:val="center"/>
        </w:trPr>
        <w:tc>
          <w:tcPr>
            <w:tcW w:w="1483" w:type="pct"/>
            <w:tcBorders>
              <w:top w:val="outset" w:sz="6" w:space="0" w:color="414142"/>
              <w:left w:val="outset" w:sz="6" w:space="0" w:color="414142"/>
              <w:bottom w:val="outset" w:sz="6" w:space="0" w:color="414142"/>
              <w:right w:val="outset" w:sz="6" w:space="0" w:color="414142"/>
            </w:tcBorders>
            <w:hideMark/>
          </w:tcPr>
          <w:p w14:paraId="233231D3" w14:textId="77777777" w:rsidR="002B4B83" w:rsidRPr="002B4B83" w:rsidRDefault="002B4B83" w:rsidP="00686EA8">
            <w:pPr>
              <w:widowControl w:val="0"/>
              <w:jc w:val="both"/>
              <w:rPr>
                <w:noProof/>
                <w:lang w:val="en-US"/>
              </w:rPr>
            </w:pPr>
            <w:r w:rsidRPr="002B4B83">
              <w:rPr>
                <w:noProof/>
                <w:lang w:val="en-US"/>
              </w:rPr>
              <w:t>Provision of customer service at the point for provision of postal services</w:t>
            </w:r>
          </w:p>
        </w:tc>
        <w:tc>
          <w:tcPr>
            <w:tcW w:w="1956" w:type="pct"/>
            <w:tcBorders>
              <w:top w:val="outset" w:sz="6" w:space="0" w:color="414142"/>
              <w:left w:val="outset" w:sz="6" w:space="0" w:color="414142"/>
              <w:bottom w:val="outset" w:sz="6" w:space="0" w:color="414142"/>
              <w:right w:val="outset" w:sz="6" w:space="0" w:color="414142"/>
            </w:tcBorders>
            <w:hideMark/>
          </w:tcPr>
          <w:p w14:paraId="57AE38D4" w14:textId="77777777" w:rsidR="002B4B83" w:rsidRPr="002B4B83" w:rsidRDefault="002B4B83" w:rsidP="00686EA8">
            <w:pPr>
              <w:widowControl w:val="0"/>
              <w:jc w:val="both"/>
              <w:rPr>
                <w:noProof/>
                <w:lang w:val="en-US"/>
              </w:rPr>
            </w:pPr>
            <w:r w:rsidRPr="002B4B83">
              <w:rPr>
                <w:noProof/>
                <w:lang w:val="en-US"/>
              </w:rPr>
              <w:t>Work remuneration and other personnel expenditures incurred by the merchant</w:t>
            </w:r>
          </w:p>
          <w:p w14:paraId="51C6FA4D" w14:textId="77777777" w:rsidR="002B4B83" w:rsidRPr="002B4B83" w:rsidRDefault="002B4B83" w:rsidP="00686EA8">
            <w:pPr>
              <w:widowControl w:val="0"/>
              <w:jc w:val="both"/>
              <w:rPr>
                <w:noProof/>
                <w:lang w:val="en-US"/>
              </w:rPr>
            </w:pPr>
            <w:r w:rsidRPr="002B4B83">
              <w:rPr>
                <w:noProof/>
                <w:lang w:val="en-US"/>
              </w:rPr>
              <w:t>Machinery and equipment</w:t>
            </w:r>
          </w:p>
          <w:p w14:paraId="597D3B48" w14:textId="77777777" w:rsidR="002B4B83" w:rsidRPr="002B4B83" w:rsidRDefault="002B4B83" w:rsidP="00686EA8">
            <w:pPr>
              <w:widowControl w:val="0"/>
              <w:jc w:val="both"/>
              <w:rPr>
                <w:noProof/>
                <w:lang w:val="en-US"/>
              </w:rPr>
            </w:pPr>
            <w:r w:rsidRPr="002B4B83">
              <w:rPr>
                <w:noProof/>
                <w:lang w:val="en-US"/>
              </w:rPr>
              <w:t>Infrastructure maintenance costs</w:t>
            </w:r>
          </w:p>
          <w:p w14:paraId="345814CB" w14:textId="77777777" w:rsidR="002B4B83" w:rsidRPr="002B4B83" w:rsidRDefault="002B4B83" w:rsidP="00686EA8">
            <w:pPr>
              <w:widowControl w:val="0"/>
              <w:jc w:val="both"/>
              <w:rPr>
                <w:noProof/>
                <w:lang w:val="en-US"/>
              </w:rPr>
            </w:pPr>
            <w:r w:rsidRPr="002B4B83">
              <w:rPr>
                <w:noProof/>
                <w:lang w:val="en-US"/>
              </w:rPr>
              <w:t>Raw materials and materials</w:t>
            </w:r>
          </w:p>
        </w:tc>
        <w:tc>
          <w:tcPr>
            <w:tcW w:w="1560" w:type="pct"/>
            <w:tcBorders>
              <w:top w:val="outset" w:sz="6" w:space="0" w:color="414142"/>
              <w:left w:val="outset" w:sz="6" w:space="0" w:color="414142"/>
              <w:bottom w:val="outset" w:sz="6" w:space="0" w:color="414142"/>
              <w:right w:val="outset" w:sz="6" w:space="0" w:color="414142"/>
            </w:tcBorders>
            <w:hideMark/>
          </w:tcPr>
          <w:p w14:paraId="32228F35"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72DCA776"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16115773"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32549ABD"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22662A11" w14:textId="77777777" w:rsidTr="00686EA8">
        <w:trPr>
          <w:jc w:val="center"/>
        </w:trPr>
        <w:tc>
          <w:tcPr>
            <w:tcW w:w="1483" w:type="pct"/>
            <w:tcBorders>
              <w:top w:val="outset" w:sz="6" w:space="0" w:color="414142"/>
              <w:left w:val="outset" w:sz="6" w:space="0" w:color="414142"/>
              <w:bottom w:val="outset" w:sz="6" w:space="0" w:color="414142"/>
              <w:right w:val="outset" w:sz="6" w:space="0" w:color="414142"/>
            </w:tcBorders>
            <w:hideMark/>
          </w:tcPr>
          <w:p w14:paraId="744916DA" w14:textId="77777777" w:rsidR="002B4B83" w:rsidRPr="002B4B83" w:rsidRDefault="002B4B83" w:rsidP="00686EA8">
            <w:pPr>
              <w:widowControl w:val="0"/>
              <w:jc w:val="both"/>
              <w:rPr>
                <w:noProof/>
                <w:lang w:val="en-US"/>
              </w:rPr>
            </w:pPr>
            <w:r w:rsidRPr="002B4B83">
              <w:rPr>
                <w:noProof/>
                <w:lang w:val="en-US"/>
              </w:rPr>
              <w:t>Collection of postal items</w:t>
            </w:r>
          </w:p>
        </w:tc>
        <w:tc>
          <w:tcPr>
            <w:tcW w:w="1956" w:type="pct"/>
            <w:tcBorders>
              <w:top w:val="outset" w:sz="6" w:space="0" w:color="414142"/>
              <w:left w:val="outset" w:sz="6" w:space="0" w:color="414142"/>
              <w:bottom w:val="outset" w:sz="6" w:space="0" w:color="414142"/>
              <w:right w:val="outset" w:sz="6" w:space="0" w:color="414142"/>
            </w:tcBorders>
            <w:hideMark/>
          </w:tcPr>
          <w:p w14:paraId="32FEA38E" w14:textId="77777777" w:rsidR="002B4B83" w:rsidRPr="002B4B83" w:rsidRDefault="002B4B83" w:rsidP="00686EA8">
            <w:pPr>
              <w:widowControl w:val="0"/>
              <w:jc w:val="both"/>
              <w:rPr>
                <w:noProof/>
                <w:lang w:val="en-US"/>
              </w:rPr>
            </w:pPr>
            <w:r w:rsidRPr="002B4B83">
              <w:rPr>
                <w:noProof/>
                <w:lang w:val="en-US"/>
              </w:rPr>
              <w:t>Work remuneration and other personnel expenditures incurred by the merchant</w:t>
            </w:r>
          </w:p>
          <w:p w14:paraId="6DD549E3" w14:textId="77777777" w:rsidR="002B4B83" w:rsidRPr="002B4B83" w:rsidRDefault="002B4B83" w:rsidP="00686EA8">
            <w:pPr>
              <w:widowControl w:val="0"/>
              <w:jc w:val="both"/>
              <w:rPr>
                <w:noProof/>
                <w:lang w:val="en-US"/>
              </w:rPr>
            </w:pPr>
            <w:r w:rsidRPr="002B4B83">
              <w:rPr>
                <w:noProof/>
                <w:lang w:val="en-US"/>
              </w:rPr>
              <w:t>Transport</w:t>
            </w:r>
          </w:p>
          <w:p w14:paraId="2A80785C" w14:textId="77777777" w:rsidR="002B4B83" w:rsidRPr="002B4B83" w:rsidRDefault="002B4B83" w:rsidP="00686EA8">
            <w:pPr>
              <w:widowControl w:val="0"/>
              <w:jc w:val="both"/>
              <w:rPr>
                <w:noProof/>
                <w:lang w:val="en-US"/>
              </w:rPr>
            </w:pPr>
            <w:r w:rsidRPr="002B4B83">
              <w:rPr>
                <w:noProof/>
                <w:lang w:val="en-US"/>
              </w:rPr>
              <w:t>Maintenance of post boxes</w:t>
            </w:r>
          </w:p>
        </w:tc>
        <w:tc>
          <w:tcPr>
            <w:tcW w:w="1560" w:type="pct"/>
            <w:tcBorders>
              <w:top w:val="outset" w:sz="6" w:space="0" w:color="414142"/>
              <w:left w:val="outset" w:sz="6" w:space="0" w:color="414142"/>
              <w:bottom w:val="outset" w:sz="6" w:space="0" w:color="414142"/>
              <w:right w:val="outset" w:sz="6" w:space="0" w:color="414142"/>
            </w:tcBorders>
            <w:hideMark/>
          </w:tcPr>
          <w:p w14:paraId="1D9634AB"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266F5665" w14:textId="77777777" w:rsidR="002B4B83" w:rsidRPr="002B4B83" w:rsidRDefault="002B4B83" w:rsidP="00686EA8">
            <w:pPr>
              <w:widowControl w:val="0"/>
              <w:jc w:val="both"/>
              <w:rPr>
                <w:noProof/>
                <w:lang w:val="en-US"/>
              </w:rPr>
            </w:pPr>
            <w:r w:rsidRPr="002B4B83">
              <w:rPr>
                <w:noProof/>
                <w:lang w:val="en-US"/>
              </w:rPr>
              <w:t>Postal services for special tariffs (via the postal services)</w:t>
            </w:r>
          </w:p>
          <w:p w14:paraId="1852251B" w14:textId="77777777" w:rsidR="002B4B83" w:rsidRPr="002B4B83" w:rsidRDefault="002B4B83" w:rsidP="00686EA8">
            <w:pPr>
              <w:widowControl w:val="0"/>
              <w:jc w:val="both"/>
              <w:rPr>
                <w:noProof/>
                <w:lang w:val="en-US"/>
              </w:rPr>
            </w:pPr>
            <w:r w:rsidRPr="002B4B83">
              <w:rPr>
                <w:noProof/>
                <w:lang w:val="en-US"/>
              </w:rPr>
              <w:t>Other postal services (via the postal services)</w:t>
            </w:r>
          </w:p>
        </w:tc>
      </w:tr>
      <w:tr w:rsidR="002B4B83" w:rsidRPr="002B4B83" w14:paraId="608F8B54" w14:textId="77777777" w:rsidTr="00686EA8">
        <w:trPr>
          <w:jc w:val="center"/>
        </w:trPr>
        <w:tc>
          <w:tcPr>
            <w:tcW w:w="1483" w:type="pct"/>
            <w:tcBorders>
              <w:top w:val="outset" w:sz="6" w:space="0" w:color="414142"/>
              <w:left w:val="outset" w:sz="6" w:space="0" w:color="414142"/>
              <w:bottom w:val="outset" w:sz="6" w:space="0" w:color="414142"/>
              <w:right w:val="outset" w:sz="6" w:space="0" w:color="414142"/>
            </w:tcBorders>
            <w:hideMark/>
          </w:tcPr>
          <w:p w14:paraId="44689CED" w14:textId="77777777" w:rsidR="002B4B83" w:rsidRPr="002B4B83" w:rsidRDefault="002B4B83" w:rsidP="00686EA8">
            <w:pPr>
              <w:widowControl w:val="0"/>
              <w:jc w:val="both"/>
              <w:rPr>
                <w:noProof/>
                <w:lang w:val="en-US"/>
              </w:rPr>
            </w:pPr>
            <w:r w:rsidRPr="002B4B83">
              <w:rPr>
                <w:noProof/>
                <w:lang w:val="en-US"/>
              </w:rPr>
              <w:t>Transportation of postal items</w:t>
            </w:r>
          </w:p>
        </w:tc>
        <w:tc>
          <w:tcPr>
            <w:tcW w:w="1956" w:type="pct"/>
            <w:tcBorders>
              <w:top w:val="outset" w:sz="6" w:space="0" w:color="414142"/>
              <w:left w:val="outset" w:sz="6" w:space="0" w:color="414142"/>
              <w:bottom w:val="outset" w:sz="6" w:space="0" w:color="414142"/>
              <w:right w:val="outset" w:sz="6" w:space="0" w:color="414142"/>
            </w:tcBorders>
            <w:hideMark/>
          </w:tcPr>
          <w:p w14:paraId="7C590643" w14:textId="77777777" w:rsidR="002B4B83" w:rsidRPr="002B4B83" w:rsidRDefault="002B4B83" w:rsidP="00686EA8">
            <w:pPr>
              <w:widowControl w:val="0"/>
              <w:jc w:val="both"/>
              <w:rPr>
                <w:noProof/>
                <w:lang w:val="en-US"/>
              </w:rPr>
            </w:pPr>
            <w:r w:rsidRPr="002B4B83">
              <w:rPr>
                <w:noProof/>
                <w:lang w:val="en-US"/>
              </w:rPr>
              <w:t>Work remuneration and other personnel expenditures incurred by the merchant</w:t>
            </w:r>
          </w:p>
          <w:p w14:paraId="7E523431" w14:textId="77777777" w:rsidR="002B4B83" w:rsidRPr="002B4B83" w:rsidRDefault="002B4B83" w:rsidP="00686EA8">
            <w:pPr>
              <w:widowControl w:val="0"/>
              <w:jc w:val="both"/>
              <w:rPr>
                <w:noProof/>
                <w:lang w:val="en-US"/>
              </w:rPr>
            </w:pPr>
            <w:r w:rsidRPr="002B4B83">
              <w:rPr>
                <w:noProof/>
                <w:lang w:val="en-US"/>
              </w:rPr>
              <w:t>Transport</w:t>
            </w:r>
          </w:p>
          <w:p w14:paraId="32A945BF" w14:textId="77777777" w:rsidR="002B4B83" w:rsidRPr="002B4B83" w:rsidRDefault="002B4B83" w:rsidP="00686EA8">
            <w:pPr>
              <w:widowControl w:val="0"/>
              <w:jc w:val="both"/>
              <w:rPr>
                <w:noProof/>
                <w:lang w:val="en-US"/>
              </w:rPr>
            </w:pPr>
            <w:r w:rsidRPr="002B4B83">
              <w:rPr>
                <w:noProof/>
                <w:lang w:val="en-US"/>
              </w:rPr>
              <w:t>Machinery and equipment</w:t>
            </w:r>
          </w:p>
          <w:p w14:paraId="22E5734D" w14:textId="77777777" w:rsidR="002B4B83" w:rsidRPr="002B4B83" w:rsidRDefault="002B4B83" w:rsidP="00686EA8">
            <w:pPr>
              <w:widowControl w:val="0"/>
              <w:jc w:val="both"/>
              <w:rPr>
                <w:noProof/>
                <w:lang w:val="en-US"/>
              </w:rPr>
            </w:pPr>
            <w:r w:rsidRPr="002B4B83">
              <w:rPr>
                <w:noProof/>
                <w:lang w:val="en-US"/>
              </w:rPr>
              <w:t>Infrastructure maintenance costs</w:t>
            </w:r>
          </w:p>
        </w:tc>
        <w:tc>
          <w:tcPr>
            <w:tcW w:w="1560" w:type="pct"/>
            <w:tcBorders>
              <w:top w:val="outset" w:sz="6" w:space="0" w:color="414142"/>
              <w:left w:val="outset" w:sz="6" w:space="0" w:color="414142"/>
              <w:bottom w:val="outset" w:sz="6" w:space="0" w:color="414142"/>
              <w:right w:val="outset" w:sz="6" w:space="0" w:color="414142"/>
            </w:tcBorders>
            <w:hideMark/>
          </w:tcPr>
          <w:p w14:paraId="57850C51" w14:textId="77777777" w:rsidR="002B4B83" w:rsidRPr="002B4B83" w:rsidRDefault="002B4B83" w:rsidP="00686EA8">
            <w:pPr>
              <w:widowControl w:val="0"/>
              <w:jc w:val="both"/>
              <w:rPr>
                <w:noProof/>
                <w:lang w:val="en-US"/>
              </w:rPr>
            </w:pPr>
            <w:r w:rsidRPr="002B4B83">
              <w:rPr>
                <w:noProof/>
                <w:lang w:val="en-US"/>
              </w:rPr>
              <w:t>Universal postal services (via the postal services)</w:t>
            </w:r>
          </w:p>
          <w:p w14:paraId="263653DF"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0D3C60B1"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60560F23"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55CBD1E2" w14:textId="77777777" w:rsidTr="00686EA8">
        <w:trPr>
          <w:jc w:val="center"/>
        </w:trPr>
        <w:tc>
          <w:tcPr>
            <w:tcW w:w="1483" w:type="pct"/>
            <w:tcBorders>
              <w:top w:val="outset" w:sz="6" w:space="0" w:color="414142"/>
              <w:left w:val="outset" w:sz="6" w:space="0" w:color="414142"/>
              <w:bottom w:val="outset" w:sz="6" w:space="0" w:color="414142"/>
              <w:right w:val="outset" w:sz="6" w:space="0" w:color="414142"/>
            </w:tcBorders>
            <w:hideMark/>
          </w:tcPr>
          <w:p w14:paraId="7DE0F8A4" w14:textId="77777777" w:rsidR="002B4B83" w:rsidRPr="002B4B83" w:rsidRDefault="002B4B83" w:rsidP="00686EA8">
            <w:pPr>
              <w:widowControl w:val="0"/>
              <w:jc w:val="both"/>
              <w:rPr>
                <w:noProof/>
                <w:lang w:val="en-US"/>
              </w:rPr>
            </w:pPr>
            <w:r w:rsidRPr="002B4B83">
              <w:rPr>
                <w:noProof/>
                <w:lang w:val="en-US"/>
              </w:rPr>
              <w:t>Sorting of postal items</w:t>
            </w:r>
          </w:p>
        </w:tc>
        <w:tc>
          <w:tcPr>
            <w:tcW w:w="1956" w:type="pct"/>
            <w:tcBorders>
              <w:top w:val="outset" w:sz="6" w:space="0" w:color="414142"/>
              <w:left w:val="outset" w:sz="6" w:space="0" w:color="414142"/>
              <w:bottom w:val="outset" w:sz="6" w:space="0" w:color="414142"/>
              <w:right w:val="outset" w:sz="6" w:space="0" w:color="414142"/>
            </w:tcBorders>
            <w:hideMark/>
          </w:tcPr>
          <w:p w14:paraId="3AAFB7B2" w14:textId="77777777" w:rsidR="002B4B83" w:rsidRPr="002B4B83" w:rsidRDefault="002B4B83" w:rsidP="00686EA8">
            <w:pPr>
              <w:widowControl w:val="0"/>
              <w:jc w:val="both"/>
              <w:rPr>
                <w:noProof/>
                <w:lang w:val="en-US"/>
              </w:rPr>
            </w:pPr>
            <w:r w:rsidRPr="002B4B83">
              <w:rPr>
                <w:noProof/>
                <w:lang w:val="en-US"/>
              </w:rPr>
              <w:t>Work remuneration and other personnel expenditures incurred by the merchant</w:t>
            </w:r>
          </w:p>
          <w:p w14:paraId="0226F4EB" w14:textId="77777777" w:rsidR="002B4B83" w:rsidRPr="002B4B83" w:rsidRDefault="002B4B83" w:rsidP="00686EA8">
            <w:pPr>
              <w:widowControl w:val="0"/>
              <w:jc w:val="both"/>
              <w:rPr>
                <w:noProof/>
                <w:lang w:val="en-US"/>
              </w:rPr>
            </w:pPr>
            <w:r w:rsidRPr="002B4B83">
              <w:rPr>
                <w:noProof/>
                <w:lang w:val="en-US"/>
              </w:rPr>
              <w:t>Machinery and equipment</w:t>
            </w:r>
          </w:p>
          <w:p w14:paraId="2B8E9943" w14:textId="77777777" w:rsidR="002B4B83" w:rsidRPr="002B4B83" w:rsidRDefault="002B4B83" w:rsidP="00686EA8">
            <w:pPr>
              <w:widowControl w:val="0"/>
              <w:jc w:val="both"/>
              <w:rPr>
                <w:noProof/>
                <w:lang w:val="en-US"/>
              </w:rPr>
            </w:pPr>
            <w:r w:rsidRPr="002B4B83">
              <w:rPr>
                <w:noProof/>
                <w:lang w:val="en-US"/>
              </w:rPr>
              <w:t>Infrastructure maintenance costs</w:t>
            </w:r>
          </w:p>
          <w:p w14:paraId="189A7A88" w14:textId="77777777" w:rsidR="002B4B83" w:rsidRPr="002B4B83" w:rsidRDefault="002B4B83" w:rsidP="00686EA8">
            <w:pPr>
              <w:widowControl w:val="0"/>
              <w:jc w:val="both"/>
              <w:rPr>
                <w:noProof/>
                <w:lang w:val="en-US"/>
              </w:rPr>
            </w:pPr>
            <w:r w:rsidRPr="002B4B83">
              <w:rPr>
                <w:noProof/>
                <w:lang w:val="en-US"/>
              </w:rPr>
              <w:t>Raw materials and materials</w:t>
            </w:r>
          </w:p>
        </w:tc>
        <w:tc>
          <w:tcPr>
            <w:tcW w:w="1560" w:type="pct"/>
            <w:tcBorders>
              <w:top w:val="outset" w:sz="6" w:space="0" w:color="414142"/>
              <w:left w:val="outset" w:sz="6" w:space="0" w:color="414142"/>
              <w:bottom w:val="outset" w:sz="6" w:space="0" w:color="414142"/>
              <w:right w:val="outset" w:sz="6" w:space="0" w:color="414142"/>
            </w:tcBorders>
            <w:hideMark/>
          </w:tcPr>
          <w:p w14:paraId="795B800E"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464C9252"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029629BC" w14:textId="77777777" w:rsidR="002B4B83" w:rsidRPr="002B4B83" w:rsidRDefault="002B4B83" w:rsidP="00686EA8">
            <w:pPr>
              <w:widowControl w:val="0"/>
              <w:jc w:val="both"/>
              <w:rPr>
                <w:noProof/>
                <w:lang w:val="en-US"/>
              </w:rPr>
            </w:pPr>
            <w:r w:rsidRPr="002B4B83">
              <w:rPr>
                <w:noProof/>
                <w:lang w:val="en-US"/>
              </w:rPr>
              <w:t>Other postal services (by the postal services)</w:t>
            </w:r>
          </w:p>
        </w:tc>
      </w:tr>
      <w:tr w:rsidR="002B4B83" w:rsidRPr="002B4B83" w14:paraId="2B1A5834" w14:textId="77777777" w:rsidTr="00686EA8">
        <w:trPr>
          <w:jc w:val="center"/>
        </w:trPr>
        <w:tc>
          <w:tcPr>
            <w:tcW w:w="1483" w:type="pct"/>
            <w:tcBorders>
              <w:top w:val="outset" w:sz="6" w:space="0" w:color="414142"/>
              <w:left w:val="outset" w:sz="6" w:space="0" w:color="414142"/>
              <w:bottom w:val="outset" w:sz="6" w:space="0" w:color="414142"/>
              <w:right w:val="outset" w:sz="6" w:space="0" w:color="414142"/>
            </w:tcBorders>
            <w:hideMark/>
          </w:tcPr>
          <w:p w14:paraId="073FBAFA" w14:textId="77777777" w:rsidR="002B4B83" w:rsidRPr="002B4B83" w:rsidRDefault="002B4B83" w:rsidP="00686EA8">
            <w:pPr>
              <w:widowControl w:val="0"/>
              <w:jc w:val="both"/>
              <w:rPr>
                <w:noProof/>
                <w:lang w:val="en-US"/>
              </w:rPr>
            </w:pPr>
            <w:r w:rsidRPr="002B4B83">
              <w:rPr>
                <w:noProof/>
                <w:lang w:val="en-US"/>
              </w:rPr>
              <w:t>Delivery of postal items</w:t>
            </w:r>
          </w:p>
        </w:tc>
        <w:tc>
          <w:tcPr>
            <w:tcW w:w="1956" w:type="pct"/>
            <w:tcBorders>
              <w:top w:val="outset" w:sz="6" w:space="0" w:color="414142"/>
              <w:left w:val="outset" w:sz="6" w:space="0" w:color="414142"/>
              <w:bottom w:val="outset" w:sz="6" w:space="0" w:color="414142"/>
              <w:right w:val="outset" w:sz="6" w:space="0" w:color="414142"/>
            </w:tcBorders>
            <w:hideMark/>
          </w:tcPr>
          <w:p w14:paraId="32F4B434" w14:textId="77777777" w:rsidR="002B4B83" w:rsidRPr="002B4B83" w:rsidRDefault="002B4B83" w:rsidP="00686EA8">
            <w:pPr>
              <w:widowControl w:val="0"/>
              <w:jc w:val="both"/>
              <w:rPr>
                <w:noProof/>
                <w:lang w:val="en-US"/>
              </w:rPr>
            </w:pPr>
            <w:r w:rsidRPr="002B4B83">
              <w:rPr>
                <w:noProof/>
                <w:lang w:val="en-US"/>
              </w:rPr>
              <w:t>Work remuneration and other personnel expenditures incurred by the merchant</w:t>
            </w:r>
          </w:p>
          <w:p w14:paraId="70B20F3F" w14:textId="77777777" w:rsidR="002B4B83" w:rsidRPr="002B4B83" w:rsidRDefault="002B4B83" w:rsidP="00686EA8">
            <w:pPr>
              <w:widowControl w:val="0"/>
              <w:jc w:val="both"/>
              <w:rPr>
                <w:noProof/>
                <w:lang w:val="en-US"/>
              </w:rPr>
            </w:pPr>
            <w:r w:rsidRPr="002B4B83">
              <w:rPr>
                <w:noProof/>
                <w:lang w:val="en-US"/>
              </w:rPr>
              <w:t>Transport</w:t>
            </w:r>
          </w:p>
          <w:p w14:paraId="79FFD45A" w14:textId="77777777" w:rsidR="002B4B83" w:rsidRPr="002B4B83" w:rsidRDefault="002B4B83" w:rsidP="00686EA8">
            <w:pPr>
              <w:widowControl w:val="0"/>
              <w:jc w:val="both"/>
              <w:rPr>
                <w:noProof/>
                <w:lang w:val="en-US"/>
              </w:rPr>
            </w:pPr>
            <w:r w:rsidRPr="002B4B83">
              <w:rPr>
                <w:noProof/>
                <w:lang w:val="en-US"/>
              </w:rPr>
              <w:t>Machinery and equipment</w:t>
            </w:r>
          </w:p>
          <w:p w14:paraId="66827342" w14:textId="77777777" w:rsidR="002B4B83" w:rsidRPr="002B4B83" w:rsidRDefault="002B4B83" w:rsidP="00686EA8">
            <w:pPr>
              <w:widowControl w:val="0"/>
              <w:jc w:val="both"/>
              <w:rPr>
                <w:noProof/>
                <w:lang w:val="en-US"/>
              </w:rPr>
            </w:pPr>
            <w:r w:rsidRPr="002B4B83">
              <w:rPr>
                <w:noProof/>
                <w:lang w:val="en-US"/>
              </w:rPr>
              <w:t>Infrastructure maintenance costs</w:t>
            </w:r>
          </w:p>
        </w:tc>
        <w:tc>
          <w:tcPr>
            <w:tcW w:w="1560" w:type="pct"/>
            <w:tcBorders>
              <w:top w:val="outset" w:sz="6" w:space="0" w:color="414142"/>
              <w:left w:val="outset" w:sz="6" w:space="0" w:color="414142"/>
              <w:bottom w:val="outset" w:sz="6" w:space="0" w:color="414142"/>
              <w:right w:val="outset" w:sz="6" w:space="0" w:color="414142"/>
            </w:tcBorders>
            <w:hideMark/>
          </w:tcPr>
          <w:p w14:paraId="358CA0D7"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6F03273A"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6704D514"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3F6F4798"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058638C0" w14:textId="77777777" w:rsidTr="00686EA8">
        <w:trPr>
          <w:jc w:val="center"/>
        </w:trPr>
        <w:tc>
          <w:tcPr>
            <w:tcW w:w="1483" w:type="pct"/>
            <w:tcBorders>
              <w:top w:val="outset" w:sz="6" w:space="0" w:color="414142"/>
              <w:left w:val="outset" w:sz="6" w:space="0" w:color="414142"/>
              <w:bottom w:val="outset" w:sz="6" w:space="0" w:color="414142"/>
              <w:right w:val="outset" w:sz="6" w:space="0" w:color="414142"/>
            </w:tcBorders>
            <w:hideMark/>
          </w:tcPr>
          <w:p w14:paraId="2CB68F65" w14:textId="77777777" w:rsidR="002B4B83" w:rsidRPr="002B4B83" w:rsidRDefault="002B4B83" w:rsidP="00686EA8">
            <w:pPr>
              <w:widowControl w:val="0"/>
              <w:jc w:val="both"/>
              <w:rPr>
                <w:noProof/>
                <w:lang w:val="en-US"/>
              </w:rPr>
            </w:pPr>
            <w:r w:rsidRPr="002B4B83">
              <w:rPr>
                <w:noProof/>
                <w:lang w:val="en-US"/>
              </w:rPr>
              <w:lastRenderedPageBreak/>
              <w:t>Costs exceeding costs needed for the of provision of efficient universal postal service</w:t>
            </w:r>
          </w:p>
        </w:tc>
        <w:tc>
          <w:tcPr>
            <w:tcW w:w="1956" w:type="pct"/>
            <w:tcBorders>
              <w:top w:val="outset" w:sz="6" w:space="0" w:color="414142"/>
              <w:left w:val="outset" w:sz="6" w:space="0" w:color="414142"/>
              <w:bottom w:val="outset" w:sz="6" w:space="0" w:color="414142"/>
              <w:right w:val="outset" w:sz="6" w:space="0" w:color="414142"/>
            </w:tcBorders>
            <w:hideMark/>
          </w:tcPr>
          <w:p w14:paraId="72A7DA9F" w14:textId="77777777" w:rsidR="002B4B83" w:rsidRPr="002B4B83" w:rsidRDefault="002B4B83" w:rsidP="00686EA8">
            <w:pPr>
              <w:widowControl w:val="0"/>
              <w:jc w:val="both"/>
              <w:rPr>
                <w:noProof/>
                <w:lang w:val="en-US"/>
              </w:rPr>
            </w:pPr>
            <w:r w:rsidRPr="002B4B83">
              <w:rPr>
                <w:noProof/>
                <w:lang w:val="en-US"/>
              </w:rPr>
              <w:t>Justified or related to legal acts</w:t>
            </w:r>
          </w:p>
          <w:p w14:paraId="2C7B0A29" w14:textId="77777777" w:rsidR="002B4B83" w:rsidRPr="002B4B83" w:rsidRDefault="002B4B83" w:rsidP="00686EA8">
            <w:pPr>
              <w:widowControl w:val="0"/>
              <w:jc w:val="both"/>
              <w:rPr>
                <w:noProof/>
                <w:lang w:val="en-US"/>
              </w:rPr>
            </w:pPr>
            <w:r w:rsidRPr="002B4B83">
              <w:rPr>
                <w:noProof/>
                <w:lang w:val="en-US"/>
              </w:rPr>
              <w:t>Historical aspect</w:t>
            </w:r>
          </w:p>
        </w:tc>
        <w:tc>
          <w:tcPr>
            <w:tcW w:w="1560" w:type="pct"/>
            <w:tcBorders>
              <w:top w:val="outset" w:sz="6" w:space="0" w:color="414142"/>
              <w:left w:val="outset" w:sz="6" w:space="0" w:color="414142"/>
              <w:bottom w:val="outset" w:sz="6" w:space="0" w:color="414142"/>
              <w:right w:val="outset" w:sz="6" w:space="0" w:color="414142"/>
            </w:tcBorders>
            <w:hideMark/>
          </w:tcPr>
          <w:p w14:paraId="07419F3D"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7B86A08D"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76CA46AB"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4905FB4B"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2DE558F9" w14:textId="77777777" w:rsidTr="00686EA8">
        <w:trPr>
          <w:jc w:val="center"/>
        </w:trPr>
        <w:tc>
          <w:tcPr>
            <w:tcW w:w="1483" w:type="pct"/>
            <w:tcBorders>
              <w:top w:val="outset" w:sz="6" w:space="0" w:color="414142"/>
              <w:left w:val="outset" w:sz="6" w:space="0" w:color="414142"/>
              <w:bottom w:val="outset" w:sz="6" w:space="0" w:color="414142"/>
              <w:right w:val="outset" w:sz="6" w:space="0" w:color="414142"/>
            </w:tcBorders>
            <w:hideMark/>
          </w:tcPr>
          <w:p w14:paraId="093BE2B0" w14:textId="77777777" w:rsidR="002B4B83" w:rsidRPr="002B4B83" w:rsidRDefault="002B4B83" w:rsidP="00686EA8">
            <w:pPr>
              <w:widowControl w:val="0"/>
              <w:jc w:val="both"/>
              <w:rPr>
                <w:noProof/>
                <w:lang w:val="en-US"/>
              </w:rPr>
            </w:pPr>
            <w:r w:rsidRPr="002B4B83">
              <w:rPr>
                <w:noProof/>
                <w:lang w:val="en-US"/>
              </w:rPr>
              <w:t>Spare capacity</w:t>
            </w:r>
          </w:p>
        </w:tc>
        <w:tc>
          <w:tcPr>
            <w:tcW w:w="1956" w:type="pct"/>
            <w:tcBorders>
              <w:top w:val="outset" w:sz="6" w:space="0" w:color="414142"/>
              <w:left w:val="outset" w:sz="6" w:space="0" w:color="414142"/>
              <w:bottom w:val="outset" w:sz="6" w:space="0" w:color="414142"/>
              <w:right w:val="outset" w:sz="6" w:space="0" w:color="414142"/>
            </w:tcBorders>
            <w:hideMark/>
          </w:tcPr>
          <w:p w14:paraId="5974319C" w14:textId="77777777" w:rsidR="002B4B83" w:rsidRPr="002B4B83" w:rsidRDefault="002B4B83" w:rsidP="00686EA8">
            <w:pPr>
              <w:widowControl w:val="0"/>
              <w:jc w:val="both"/>
              <w:rPr>
                <w:noProof/>
                <w:lang w:val="en-US"/>
              </w:rPr>
            </w:pPr>
            <w:r w:rsidRPr="002B4B83">
              <w:rPr>
                <w:noProof/>
                <w:lang w:val="en-US"/>
              </w:rPr>
              <w:t>Work remuneration and other personnel expenditures incurred by the merchant</w:t>
            </w:r>
          </w:p>
          <w:p w14:paraId="59A005F0" w14:textId="77777777" w:rsidR="002B4B83" w:rsidRPr="002B4B83" w:rsidRDefault="002B4B83" w:rsidP="00686EA8">
            <w:pPr>
              <w:widowControl w:val="0"/>
              <w:jc w:val="both"/>
              <w:rPr>
                <w:noProof/>
                <w:lang w:val="en-US"/>
              </w:rPr>
            </w:pPr>
            <w:r w:rsidRPr="002B4B83">
              <w:rPr>
                <w:noProof/>
                <w:lang w:val="en-US"/>
              </w:rPr>
              <w:t>Machinery and equipment</w:t>
            </w:r>
          </w:p>
          <w:p w14:paraId="6B10A0FA" w14:textId="77777777" w:rsidR="002B4B83" w:rsidRPr="002B4B83" w:rsidRDefault="002B4B83" w:rsidP="00686EA8">
            <w:pPr>
              <w:widowControl w:val="0"/>
              <w:jc w:val="both"/>
              <w:rPr>
                <w:noProof/>
                <w:lang w:val="en-US"/>
              </w:rPr>
            </w:pPr>
            <w:r w:rsidRPr="002B4B83">
              <w:rPr>
                <w:noProof/>
                <w:lang w:val="en-US"/>
              </w:rPr>
              <w:t>Infrastructure maintenance costs</w:t>
            </w:r>
          </w:p>
          <w:p w14:paraId="77FC7A06" w14:textId="77777777" w:rsidR="002B4B83" w:rsidRPr="002B4B83" w:rsidRDefault="002B4B83" w:rsidP="00686EA8">
            <w:pPr>
              <w:widowControl w:val="0"/>
              <w:jc w:val="both"/>
              <w:rPr>
                <w:noProof/>
                <w:lang w:val="en-US"/>
              </w:rPr>
            </w:pPr>
            <w:r w:rsidRPr="002B4B83">
              <w:rPr>
                <w:noProof/>
                <w:lang w:val="en-US"/>
              </w:rPr>
              <w:t>Transport</w:t>
            </w:r>
          </w:p>
        </w:tc>
        <w:tc>
          <w:tcPr>
            <w:tcW w:w="1560" w:type="pct"/>
            <w:tcBorders>
              <w:top w:val="outset" w:sz="6" w:space="0" w:color="414142"/>
              <w:left w:val="outset" w:sz="6" w:space="0" w:color="414142"/>
              <w:bottom w:val="outset" w:sz="6" w:space="0" w:color="414142"/>
              <w:right w:val="outset" w:sz="6" w:space="0" w:color="414142"/>
            </w:tcBorders>
            <w:hideMark/>
          </w:tcPr>
          <w:p w14:paraId="2BE224E7"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1DAE7AFA"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49B0801E"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132FDAB0"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5123ED15" w14:textId="77777777" w:rsidTr="00686EA8">
        <w:trPr>
          <w:jc w:val="center"/>
        </w:trPr>
        <w:tc>
          <w:tcPr>
            <w:tcW w:w="1483" w:type="pct"/>
            <w:tcBorders>
              <w:top w:val="outset" w:sz="6" w:space="0" w:color="414142"/>
              <w:left w:val="outset" w:sz="6" w:space="0" w:color="414142"/>
              <w:bottom w:val="outset" w:sz="6" w:space="0" w:color="414142"/>
              <w:right w:val="outset" w:sz="6" w:space="0" w:color="414142"/>
            </w:tcBorders>
            <w:hideMark/>
          </w:tcPr>
          <w:p w14:paraId="5293036D" w14:textId="77777777" w:rsidR="002B4B83" w:rsidRPr="002B4B83" w:rsidRDefault="002B4B83" w:rsidP="00686EA8">
            <w:pPr>
              <w:widowControl w:val="0"/>
              <w:jc w:val="both"/>
              <w:rPr>
                <w:noProof/>
                <w:lang w:val="en-US"/>
              </w:rPr>
            </w:pPr>
            <w:r w:rsidRPr="002B4B83">
              <w:rPr>
                <w:noProof/>
                <w:lang w:val="en-US"/>
              </w:rPr>
              <w:t>Indirect costs</w:t>
            </w:r>
          </w:p>
        </w:tc>
        <w:tc>
          <w:tcPr>
            <w:tcW w:w="1956" w:type="pct"/>
            <w:tcBorders>
              <w:top w:val="outset" w:sz="6" w:space="0" w:color="414142"/>
              <w:left w:val="outset" w:sz="6" w:space="0" w:color="414142"/>
              <w:bottom w:val="outset" w:sz="6" w:space="0" w:color="414142"/>
              <w:right w:val="outset" w:sz="6" w:space="0" w:color="414142"/>
            </w:tcBorders>
            <w:hideMark/>
          </w:tcPr>
          <w:p w14:paraId="6CF74490" w14:textId="77777777" w:rsidR="002B4B83" w:rsidRPr="002B4B83" w:rsidRDefault="002B4B83" w:rsidP="00686EA8">
            <w:pPr>
              <w:widowControl w:val="0"/>
              <w:jc w:val="both"/>
              <w:rPr>
                <w:noProof/>
                <w:lang w:val="en-US"/>
              </w:rPr>
            </w:pPr>
            <w:r w:rsidRPr="002B4B83">
              <w:rPr>
                <w:noProof/>
                <w:lang w:val="en-US"/>
              </w:rPr>
              <w:t>Work remuneration and other personnel expenditures incurred by the merchant</w:t>
            </w:r>
          </w:p>
          <w:p w14:paraId="650E2B97" w14:textId="77777777" w:rsidR="002B4B83" w:rsidRPr="002B4B83" w:rsidRDefault="002B4B83" w:rsidP="00686EA8">
            <w:pPr>
              <w:widowControl w:val="0"/>
              <w:jc w:val="both"/>
              <w:rPr>
                <w:noProof/>
                <w:lang w:val="en-US"/>
              </w:rPr>
            </w:pPr>
            <w:r w:rsidRPr="002B4B83">
              <w:rPr>
                <w:noProof/>
                <w:lang w:val="en-US"/>
              </w:rPr>
              <w:t>Machinery and equipment</w:t>
            </w:r>
          </w:p>
          <w:p w14:paraId="6BAB339E" w14:textId="77777777" w:rsidR="002B4B83" w:rsidRPr="002B4B83" w:rsidRDefault="002B4B83" w:rsidP="00686EA8">
            <w:pPr>
              <w:widowControl w:val="0"/>
              <w:jc w:val="both"/>
              <w:rPr>
                <w:noProof/>
                <w:lang w:val="en-US"/>
              </w:rPr>
            </w:pPr>
            <w:r w:rsidRPr="002B4B83">
              <w:rPr>
                <w:noProof/>
                <w:lang w:val="en-US"/>
              </w:rPr>
              <w:t>Infrastructure maintenance costs</w:t>
            </w:r>
          </w:p>
          <w:p w14:paraId="21E82697" w14:textId="77777777" w:rsidR="002B4B83" w:rsidRPr="002B4B83" w:rsidRDefault="002B4B83" w:rsidP="00686EA8">
            <w:pPr>
              <w:widowControl w:val="0"/>
              <w:jc w:val="both"/>
              <w:rPr>
                <w:noProof/>
                <w:lang w:val="en-US"/>
              </w:rPr>
            </w:pPr>
            <w:r w:rsidRPr="002B4B83">
              <w:rPr>
                <w:noProof/>
                <w:lang w:val="en-US"/>
              </w:rPr>
              <w:t>Transport</w:t>
            </w:r>
          </w:p>
          <w:p w14:paraId="621D41CD" w14:textId="77777777" w:rsidR="002B4B83" w:rsidRPr="002B4B83" w:rsidRDefault="002B4B83" w:rsidP="00686EA8">
            <w:pPr>
              <w:widowControl w:val="0"/>
              <w:jc w:val="both"/>
              <w:rPr>
                <w:noProof/>
                <w:lang w:val="en-US"/>
              </w:rPr>
            </w:pPr>
            <w:r w:rsidRPr="002B4B83">
              <w:rPr>
                <w:noProof/>
                <w:lang w:val="en-US"/>
              </w:rPr>
              <w:t>Office expenditures</w:t>
            </w:r>
          </w:p>
          <w:p w14:paraId="1772323D" w14:textId="77777777" w:rsidR="002B4B83" w:rsidRPr="002B4B83" w:rsidRDefault="002B4B83" w:rsidP="00686EA8">
            <w:pPr>
              <w:widowControl w:val="0"/>
              <w:jc w:val="both"/>
              <w:rPr>
                <w:noProof/>
                <w:lang w:val="en-US"/>
              </w:rPr>
            </w:pPr>
            <w:r w:rsidRPr="002B4B83">
              <w:rPr>
                <w:noProof/>
                <w:lang w:val="en-US"/>
              </w:rPr>
              <w:t>Settlements for international mail carriage and shipments</w:t>
            </w:r>
          </w:p>
          <w:p w14:paraId="12FDFCB2" w14:textId="77777777" w:rsidR="002B4B83" w:rsidRPr="002B4B83" w:rsidRDefault="002B4B83" w:rsidP="00686EA8">
            <w:pPr>
              <w:widowControl w:val="0"/>
              <w:jc w:val="both"/>
              <w:rPr>
                <w:noProof/>
                <w:lang w:val="en-US"/>
              </w:rPr>
            </w:pPr>
            <w:r w:rsidRPr="002B4B83">
              <w:rPr>
                <w:noProof/>
                <w:lang w:val="en-US"/>
              </w:rPr>
              <w:t>Administrative costs</w:t>
            </w:r>
          </w:p>
        </w:tc>
        <w:tc>
          <w:tcPr>
            <w:tcW w:w="1560" w:type="pct"/>
            <w:tcBorders>
              <w:top w:val="outset" w:sz="6" w:space="0" w:color="414142"/>
              <w:left w:val="outset" w:sz="6" w:space="0" w:color="414142"/>
              <w:bottom w:val="outset" w:sz="6" w:space="0" w:color="414142"/>
              <w:right w:val="outset" w:sz="6" w:space="0" w:color="414142"/>
            </w:tcBorders>
            <w:hideMark/>
          </w:tcPr>
          <w:p w14:paraId="34D3E46C"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3FEEE012"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4A16EE67"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6CC4B36A"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7D4C8DC2" w14:textId="77777777" w:rsidTr="00686EA8">
        <w:trPr>
          <w:jc w:val="center"/>
        </w:trPr>
        <w:tc>
          <w:tcPr>
            <w:tcW w:w="1483" w:type="pct"/>
            <w:tcBorders>
              <w:top w:val="outset" w:sz="6" w:space="0" w:color="414142"/>
              <w:left w:val="outset" w:sz="6" w:space="0" w:color="414142"/>
              <w:bottom w:val="outset" w:sz="6" w:space="0" w:color="414142"/>
              <w:right w:val="outset" w:sz="6" w:space="0" w:color="414142"/>
            </w:tcBorders>
            <w:hideMark/>
          </w:tcPr>
          <w:p w14:paraId="6A4B16F8" w14:textId="77777777" w:rsidR="002B4B83" w:rsidRPr="002B4B83" w:rsidRDefault="002B4B83" w:rsidP="00686EA8">
            <w:pPr>
              <w:widowControl w:val="0"/>
              <w:jc w:val="both"/>
              <w:rPr>
                <w:noProof/>
                <w:lang w:val="en-US"/>
              </w:rPr>
            </w:pPr>
            <w:r w:rsidRPr="002B4B83">
              <w:rPr>
                <w:noProof/>
                <w:lang w:val="en-US"/>
              </w:rPr>
              <w:t>Commitments</w:t>
            </w:r>
          </w:p>
        </w:tc>
        <w:tc>
          <w:tcPr>
            <w:tcW w:w="1956" w:type="pct"/>
            <w:tcBorders>
              <w:top w:val="outset" w:sz="6" w:space="0" w:color="414142"/>
              <w:left w:val="outset" w:sz="6" w:space="0" w:color="414142"/>
              <w:bottom w:val="outset" w:sz="6" w:space="0" w:color="414142"/>
              <w:right w:val="outset" w:sz="6" w:space="0" w:color="414142"/>
            </w:tcBorders>
            <w:hideMark/>
          </w:tcPr>
          <w:p w14:paraId="5DBD07DA" w14:textId="77777777" w:rsidR="002B4B83" w:rsidRPr="002B4B83" w:rsidRDefault="002B4B83" w:rsidP="00686EA8">
            <w:pPr>
              <w:widowControl w:val="0"/>
              <w:jc w:val="both"/>
              <w:rPr>
                <w:noProof/>
                <w:lang w:val="en-US"/>
              </w:rPr>
            </w:pPr>
            <w:r w:rsidRPr="002B4B83">
              <w:rPr>
                <w:noProof/>
                <w:lang w:val="en-US"/>
              </w:rPr>
              <w:t>Discount applied to universal postal services, other postal services, other services</w:t>
            </w:r>
          </w:p>
          <w:p w14:paraId="37E31548" w14:textId="77777777" w:rsidR="002B4B83" w:rsidRPr="002B4B83" w:rsidRDefault="002B4B83" w:rsidP="00686EA8">
            <w:pPr>
              <w:widowControl w:val="0"/>
              <w:jc w:val="both"/>
              <w:rPr>
                <w:noProof/>
                <w:lang w:val="en-US"/>
              </w:rPr>
            </w:pPr>
            <w:r w:rsidRPr="002B4B83">
              <w:rPr>
                <w:noProof/>
                <w:lang w:val="en-US"/>
              </w:rPr>
              <w:t>Credit interest</w:t>
            </w:r>
          </w:p>
          <w:p w14:paraId="1DB431E4" w14:textId="77777777" w:rsidR="002B4B83" w:rsidRPr="002B4B83" w:rsidRDefault="002B4B83" w:rsidP="00686EA8">
            <w:pPr>
              <w:widowControl w:val="0"/>
              <w:jc w:val="both"/>
              <w:rPr>
                <w:noProof/>
                <w:lang w:val="en-US"/>
              </w:rPr>
            </w:pPr>
            <w:r w:rsidRPr="002B4B83">
              <w:rPr>
                <w:noProof/>
                <w:lang w:val="en-US"/>
              </w:rPr>
              <w:t>Delayed international settlements</w:t>
            </w:r>
          </w:p>
          <w:p w14:paraId="24EABD4A" w14:textId="77777777" w:rsidR="002B4B83" w:rsidRPr="002B4B83" w:rsidRDefault="002B4B83" w:rsidP="00686EA8">
            <w:pPr>
              <w:widowControl w:val="0"/>
              <w:jc w:val="both"/>
              <w:rPr>
                <w:noProof/>
                <w:lang w:val="en-US"/>
              </w:rPr>
            </w:pPr>
            <w:r w:rsidRPr="002B4B83">
              <w:rPr>
                <w:noProof/>
                <w:lang w:val="en-US"/>
              </w:rPr>
              <w:t>Compensation of the delayed revenues from international letter-post items with tariffs of other postal services</w:t>
            </w:r>
          </w:p>
        </w:tc>
        <w:tc>
          <w:tcPr>
            <w:tcW w:w="1560" w:type="pct"/>
            <w:tcBorders>
              <w:top w:val="outset" w:sz="6" w:space="0" w:color="414142"/>
              <w:left w:val="outset" w:sz="6" w:space="0" w:color="414142"/>
              <w:bottom w:val="outset" w:sz="6" w:space="0" w:color="414142"/>
              <w:right w:val="outset" w:sz="6" w:space="0" w:color="414142"/>
            </w:tcBorders>
            <w:hideMark/>
          </w:tcPr>
          <w:p w14:paraId="5C6C81F8"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49C2E8E0"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556CB4C9"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466073F0"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48B51153" w14:textId="77777777" w:rsidTr="00686EA8">
        <w:trPr>
          <w:jc w:val="center"/>
        </w:trPr>
        <w:tc>
          <w:tcPr>
            <w:tcW w:w="1483" w:type="pct"/>
            <w:tcBorders>
              <w:top w:val="outset" w:sz="6" w:space="0" w:color="414142"/>
              <w:left w:val="outset" w:sz="6" w:space="0" w:color="414142"/>
              <w:bottom w:val="outset" w:sz="6" w:space="0" w:color="414142"/>
              <w:right w:val="outset" w:sz="6" w:space="0" w:color="414142"/>
            </w:tcBorders>
            <w:hideMark/>
          </w:tcPr>
          <w:p w14:paraId="7CE747EE" w14:textId="77777777" w:rsidR="002B4B83" w:rsidRPr="002B4B83" w:rsidRDefault="002B4B83" w:rsidP="00686EA8">
            <w:pPr>
              <w:widowControl w:val="0"/>
              <w:jc w:val="both"/>
              <w:rPr>
                <w:noProof/>
                <w:lang w:val="en-US"/>
              </w:rPr>
            </w:pPr>
            <w:r w:rsidRPr="002B4B83">
              <w:rPr>
                <w:noProof/>
                <w:lang w:val="en-US"/>
              </w:rPr>
              <w:t>Undistributed profit</w:t>
            </w:r>
          </w:p>
        </w:tc>
        <w:tc>
          <w:tcPr>
            <w:tcW w:w="1956" w:type="pct"/>
            <w:tcBorders>
              <w:top w:val="outset" w:sz="6" w:space="0" w:color="414142"/>
              <w:left w:val="outset" w:sz="6" w:space="0" w:color="414142"/>
              <w:bottom w:val="outset" w:sz="6" w:space="0" w:color="414142"/>
              <w:right w:val="outset" w:sz="6" w:space="0" w:color="414142"/>
            </w:tcBorders>
            <w:hideMark/>
          </w:tcPr>
          <w:p w14:paraId="4FBF6A6C" w14:textId="77777777" w:rsidR="002B4B83" w:rsidRPr="002B4B83" w:rsidRDefault="002B4B83" w:rsidP="00686EA8">
            <w:pPr>
              <w:widowControl w:val="0"/>
              <w:jc w:val="both"/>
              <w:rPr>
                <w:noProof/>
                <w:lang w:val="en-US"/>
              </w:rPr>
            </w:pPr>
            <w:r w:rsidRPr="002B4B83">
              <w:rPr>
                <w:noProof/>
                <w:lang w:val="en-US"/>
              </w:rPr>
              <w:t>Capital replacement costs.</w:t>
            </w:r>
          </w:p>
          <w:p w14:paraId="7D629FE6" w14:textId="77777777" w:rsidR="002B4B83" w:rsidRPr="002B4B83" w:rsidRDefault="002B4B83" w:rsidP="00686EA8">
            <w:pPr>
              <w:widowControl w:val="0"/>
              <w:jc w:val="both"/>
              <w:rPr>
                <w:noProof/>
                <w:lang w:val="en-US"/>
              </w:rPr>
            </w:pPr>
            <w:r w:rsidRPr="002B4B83">
              <w:rPr>
                <w:noProof/>
                <w:lang w:val="en-US"/>
              </w:rPr>
              <w:t>Expected profitability</w:t>
            </w:r>
          </w:p>
        </w:tc>
        <w:tc>
          <w:tcPr>
            <w:tcW w:w="1560" w:type="pct"/>
            <w:tcBorders>
              <w:top w:val="outset" w:sz="6" w:space="0" w:color="414142"/>
              <w:left w:val="outset" w:sz="6" w:space="0" w:color="414142"/>
              <w:bottom w:val="outset" w:sz="6" w:space="0" w:color="414142"/>
              <w:right w:val="outset" w:sz="6" w:space="0" w:color="414142"/>
            </w:tcBorders>
            <w:hideMark/>
          </w:tcPr>
          <w:p w14:paraId="4B9D459F"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6B84C365"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5F48E357"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0A465EF2"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360491DC" w14:textId="77777777" w:rsidTr="00686EA8">
        <w:trPr>
          <w:jc w:val="center"/>
        </w:trPr>
        <w:tc>
          <w:tcPr>
            <w:tcW w:w="1483" w:type="pct"/>
            <w:tcBorders>
              <w:top w:val="outset" w:sz="6" w:space="0" w:color="414142"/>
              <w:left w:val="outset" w:sz="6" w:space="0" w:color="414142"/>
              <w:bottom w:val="outset" w:sz="6" w:space="0" w:color="414142"/>
              <w:right w:val="outset" w:sz="6" w:space="0" w:color="414142"/>
            </w:tcBorders>
            <w:hideMark/>
          </w:tcPr>
          <w:p w14:paraId="65668BD2" w14:textId="77777777" w:rsidR="002B4B83" w:rsidRPr="002B4B83" w:rsidRDefault="002B4B83" w:rsidP="00686EA8">
            <w:pPr>
              <w:widowControl w:val="0"/>
              <w:jc w:val="both"/>
              <w:rPr>
                <w:noProof/>
                <w:lang w:val="en-US"/>
              </w:rPr>
            </w:pPr>
            <w:r w:rsidRPr="002B4B83">
              <w:rPr>
                <w:noProof/>
                <w:lang w:val="en-US"/>
              </w:rPr>
              <w:t>Transfer charges</w:t>
            </w:r>
          </w:p>
        </w:tc>
        <w:tc>
          <w:tcPr>
            <w:tcW w:w="1956" w:type="pct"/>
            <w:tcBorders>
              <w:top w:val="outset" w:sz="6" w:space="0" w:color="414142"/>
              <w:left w:val="outset" w:sz="6" w:space="0" w:color="414142"/>
              <w:bottom w:val="outset" w:sz="6" w:space="0" w:color="414142"/>
              <w:right w:val="outset" w:sz="6" w:space="0" w:color="414142"/>
            </w:tcBorders>
            <w:hideMark/>
          </w:tcPr>
          <w:p w14:paraId="2A0EDBFF" w14:textId="77777777" w:rsidR="002B4B83" w:rsidRPr="002B4B83" w:rsidRDefault="002B4B83" w:rsidP="00686EA8">
            <w:pPr>
              <w:widowControl w:val="0"/>
              <w:jc w:val="both"/>
              <w:rPr>
                <w:noProof/>
                <w:lang w:val="en-US"/>
              </w:rPr>
            </w:pPr>
            <w:r w:rsidRPr="002B4B83">
              <w:rPr>
                <w:noProof/>
                <w:lang w:val="en-US"/>
              </w:rPr>
              <w:t>Costs of the provision of the universal postal service, other postal services or other services to another unit of the merchant</w:t>
            </w:r>
          </w:p>
        </w:tc>
        <w:tc>
          <w:tcPr>
            <w:tcW w:w="1560" w:type="pct"/>
            <w:tcBorders>
              <w:top w:val="outset" w:sz="6" w:space="0" w:color="414142"/>
              <w:left w:val="outset" w:sz="6" w:space="0" w:color="414142"/>
              <w:bottom w:val="outset" w:sz="6" w:space="0" w:color="414142"/>
              <w:right w:val="outset" w:sz="6" w:space="0" w:color="414142"/>
            </w:tcBorders>
            <w:hideMark/>
          </w:tcPr>
          <w:p w14:paraId="171A7DE9"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6E5D16ED"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044586A6"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7A4B4E37"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39A4E5A5" w14:textId="77777777" w:rsidTr="00686EA8">
        <w:trPr>
          <w:jc w:val="center"/>
        </w:trPr>
        <w:tc>
          <w:tcPr>
            <w:tcW w:w="1483" w:type="pct"/>
            <w:tcBorders>
              <w:top w:val="outset" w:sz="6" w:space="0" w:color="414142"/>
              <w:left w:val="outset" w:sz="6" w:space="0" w:color="414142"/>
              <w:bottom w:val="outset" w:sz="6" w:space="0" w:color="414142"/>
              <w:right w:val="outset" w:sz="6" w:space="0" w:color="414142"/>
            </w:tcBorders>
            <w:hideMark/>
          </w:tcPr>
          <w:p w14:paraId="685C84C1" w14:textId="77777777" w:rsidR="002B4B83" w:rsidRPr="002B4B83" w:rsidRDefault="002B4B83" w:rsidP="00686EA8">
            <w:pPr>
              <w:widowControl w:val="0"/>
              <w:jc w:val="both"/>
              <w:rPr>
                <w:noProof/>
                <w:lang w:val="en-US"/>
              </w:rPr>
            </w:pPr>
            <w:r w:rsidRPr="002B4B83">
              <w:rPr>
                <w:noProof/>
                <w:lang w:val="en-US"/>
              </w:rPr>
              <w:lastRenderedPageBreak/>
              <w:t>Depreciation</w:t>
            </w:r>
          </w:p>
        </w:tc>
        <w:tc>
          <w:tcPr>
            <w:tcW w:w="1956" w:type="pct"/>
            <w:tcBorders>
              <w:top w:val="outset" w:sz="6" w:space="0" w:color="414142"/>
              <w:left w:val="outset" w:sz="6" w:space="0" w:color="414142"/>
              <w:bottom w:val="outset" w:sz="6" w:space="0" w:color="414142"/>
              <w:right w:val="outset" w:sz="6" w:space="0" w:color="414142"/>
            </w:tcBorders>
            <w:hideMark/>
          </w:tcPr>
          <w:p w14:paraId="405DC62A" w14:textId="77777777" w:rsidR="002B4B83" w:rsidRPr="002B4B83" w:rsidRDefault="002B4B83" w:rsidP="00686EA8">
            <w:pPr>
              <w:widowControl w:val="0"/>
              <w:jc w:val="both"/>
              <w:rPr>
                <w:noProof/>
                <w:lang w:val="en-US"/>
              </w:rPr>
            </w:pPr>
            <w:r w:rsidRPr="002B4B83">
              <w:rPr>
                <w:noProof/>
                <w:lang w:val="en-US"/>
              </w:rPr>
              <w:t xml:space="preserve"> </w:t>
            </w:r>
          </w:p>
        </w:tc>
        <w:tc>
          <w:tcPr>
            <w:tcW w:w="1560" w:type="pct"/>
            <w:tcBorders>
              <w:top w:val="outset" w:sz="6" w:space="0" w:color="414142"/>
              <w:left w:val="outset" w:sz="6" w:space="0" w:color="414142"/>
              <w:bottom w:val="outset" w:sz="6" w:space="0" w:color="414142"/>
              <w:right w:val="outset" w:sz="6" w:space="0" w:color="414142"/>
            </w:tcBorders>
            <w:hideMark/>
          </w:tcPr>
          <w:p w14:paraId="6888223B"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49961DA1"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1EFB8E6B"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33936C0C" w14:textId="77777777" w:rsidR="002B4B83" w:rsidRPr="002B4B83" w:rsidRDefault="002B4B83" w:rsidP="00686EA8">
            <w:pPr>
              <w:widowControl w:val="0"/>
              <w:jc w:val="both"/>
              <w:rPr>
                <w:noProof/>
                <w:lang w:val="en-US"/>
              </w:rPr>
            </w:pPr>
            <w:r w:rsidRPr="002B4B83">
              <w:rPr>
                <w:noProof/>
                <w:lang w:val="en-US"/>
              </w:rPr>
              <w:t>Other services</w:t>
            </w:r>
          </w:p>
        </w:tc>
      </w:tr>
    </w:tbl>
    <w:p w14:paraId="060ACA41" w14:textId="77777777" w:rsidR="002B4B83" w:rsidRPr="002B4B83" w:rsidRDefault="002B4B83" w:rsidP="002B4B83">
      <w:pPr>
        <w:widowControl w:val="0"/>
        <w:jc w:val="both"/>
        <w:rPr>
          <w:noProof/>
          <w:lang w:val="en-US"/>
        </w:rPr>
      </w:pPr>
    </w:p>
    <w:p w14:paraId="66FDD4E3" w14:textId="77777777" w:rsidR="002B4B83" w:rsidRPr="002B4B83" w:rsidRDefault="002B4B83" w:rsidP="002B4B83">
      <w:pPr>
        <w:widowControl w:val="0"/>
        <w:jc w:val="both"/>
        <w:rPr>
          <w:noProof/>
          <w:lang w:val="en-US"/>
        </w:rPr>
      </w:pPr>
    </w:p>
    <w:p w14:paraId="32DCE7ED" w14:textId="77777777" w:rsidR="002B4B83" w:rsidRPr="002B4B83" w:rsidRDefault="002B4B83" w:rsidP="002B4B83">
      <w:pPr>
        <w:widowControl w:val="0"/>
        <w:jc w:val="both"/>
        <w:rPr>
          <w:noProof/>
          <w:lang w:val="en-US"/>
        </w:rPr>
      </w:pPr>
      <w:r w:rsidRPr="002B4B83">
        <w:rPr>
          <w:noProof/>
          <w:lang w:val="en-US"/>
        </w:rPr>
        <w:t>Acting in the capacity of the chairperson of the Public Utilities Commission</w:t>
      </w:r>
    </w:p>
    <w:p w14:paraId="5FBA324F" w14:textId="77777777" w:rsidR="002B4B83" w:rsidRPr="002B4B83" w:rsidRDefault="002B4B83" w:rsidP="002B4B83">
      <w:pPr>
        <w:widowControl w:val="0"/>
        <w:tabs>
          <w:tab w:val="left" w:pos="7938"/>
        </w:tabs>
        <w:jc w:val="both"/>
        <w:rPr>
          <w:noProof/>
          <w:lang w:val="en-US"/>
        </w:rPr>
      </w:pPr>
      <w:r w:rsidRPr="002B4B83">
        <w:rPr>
          <w:noProof/>
          <w:lang w:val="en-US"/>
        </w:rPr>
        <w:t>Member of the Board</w:t>
      </w:r>
      <w:r w:rsidRPr="002B4B83">
        <w:rPr>
          <w:noProof/>
          <w:lang w:val="en-US"/>
        </w:rPr>
        <w:tab/>
        <w:t>G. Zeltiņš</w:t>
      </w:r>
    </w:p>
    <w:p w14:paraId="0528D7EB" w14:textId="77777777" w:rsidR="002B4B83" w:rsidRPr="002B4B83" w:rsidRDefault="002B4B83" w:rsidP="002B4B83">
      <w:pPr>
        <w:widowControl w:val="0"/>
        <w:jc w:val="both"/>
        <w:rPr>
          <w:noProof/>
          <w:lang w:val="en-US"/>
        </w:rPr>
      </w:pPr>
      <w:r w:rsidRPr="002B4B83">
        <w:rPr>
          <w:noProof/>
          <w:lang w:val="en-US"/>
        </w:rPr>
        <w:br w:type="page"/>
      </w:r>
    </w:p>
    <w:p w14:paraId="0AF01656" w14:textId="77777777" w:rsidR="002B4B83" w:rsidRPr="002B4B83" w:rsidRDefault="002B4B83" w:rsidP="002B4B83">
      <w:pPr>
        <w:widowControl w:val="0"/>
        <w:jc w:val="both"/>
        <w:rPr>
          <w:noProof/>
          <w:lang w:val="en-US"/>
        </w:rPr>
      </w:pPr>
    </w:p>
    <w:p w14:paraId="37958B0E" w14:textId="77777777" w:rsidR="002B4B83" w:rsidRPr="002B4B83" w:rsidRDefault="002B4B83" w:rsidP="002B4B83">
      <w:pPr>
        <w:widowControl w:val="0"/>
        <w:jc w:val="right"/>
        <w:rPr>
          <w:b/>
          <w:noProof/>
          <w:lang w:val="en-US"/>
        </w:rPr>
      </w:pPr>
      <w:r w:rsidRPr="002B4B83">
        <w:rPr>
          <w:b/>
          <w:noProof/>
          <w:lang w:val="en-US"/>
        </w:rPr>
        <w:t>Annex 2</w:t>
      </w:r>
    </w:p>
    <w:p w14:paraId="7F045932" w14:textId="77777777" w:rsidR="002B4B83" w:rsidRPr="002B4B83" w:rsidRDefault="002B4B83" w:rsidP="002B4B83">
      <w:pPr>
        <w:widowControl w:val="0"/>
        <w:jc w:val="right"/>
        <w:rPr>
          <w:noProof/>
          <w:lang w:val="en-US"/>
        </w:rPr>
      </w:pPr>
      <w:r w:rsidRPr="002B4B83">
        <w:rPr>
          <w:noProof/>
          <w:lang w:val="en-US"/>
        </w:rPr>
        <w:t>Decision No. 1/28 of the Public Utilities Commission</w:t>
      </w:r>
    </w:p>
    <w:p w14:paraId="64DECD72" w14:textId="77777777" w:rsidR="002B4B83" w:rsidRPr="002B4B83" w:rsidRDefault="002B4B83" w:rsidP="002B4B83">
      <w:pPr>
        <w:widowControl w:val="0"/>
        <w:jc w:val="right"/>
        <w:rPr>
          <w:noProof/>
          <w:lang w:val="en-US"/>
        </w:rPr>
      </w:pPr>
      <w:r w:rsidRPr="002B4B83">
        <w:rPr>
          <w:noProof/>
          <w:lang w:val="en-US"/>
        </w:rPr>
        <w:t>11 October 2013</w:t>
      </w:r>
      <w:bookmarkStart w:id="102" w:name="piel-514390"/>
      <w:bookmarkStart w:id="103" w:name="piel2"/>
      <w:bookmarkEnd w:id="102"/>
      <w:bookmarkEnd w:id="103"/>
    </w:p>
    <w:p w14:paraId="527C7909" w14:textId="77777777" w:rsidR="002B4B83" w:rsidRPr="002B4B83" w:rsidRDefault="002B4B83" w:rsidP="002B4B83">
      <w:pPr>
        <w:widowControl w:val="0"/>
        <w:jc w:val="both"/>
        <w:rPr>
          <w:b/>
          <w:bCs/>
          <w:noProof/>
          <w:lang w:val="en-US"/>
        </w:rPr>
      </w:pPr>
      <w:bookmarkStart w:id="104" w:name="514391"/>
      <w:bookmarkStart w:id="105" w:name="n-514391"/>
      <w:bookmarkEnd w:id="104"/>
      <w:bookmarkEnd w:id="105"/>
    </w:p>
    <w:p w14:paraId="0C3C3A52" w14:textId="77777777" w:rsidR="002B4B83" w:rsidRPr="002B4B83" w:rsidRDefault="002B4B83" w:rsidP="002B4B83">
      <w:pPr>
        <w:widowControl w:val="0"/>
        <w:jc w:val="both"/>
        <w:rPr>
          <w:b/>
          <w:bCs/>
          <w:noProof/>
          <w:lang w:val="en-US"/>
        </w:rPr>
      </w:pPr>
    </w:p>
    <w:p w14:paraId="7D960C6A" w14:textId="77777777" w:rsidR="002B4B83" w:rsidRPr="002B4B83" w:rsidRDefault="002B4B83" w:rsidP="002B4B83">
      <w:pPr>
        <w:widowControl w:val="0"/>
        <w:jc w:val="center"/>
        <w:rPr>
          <w:b/>
          <w:noProof/>
          <w:sz w:val="28"/>
          <w:lang w:val="en-US"/>
        </w:rPr>
      </w:pPr>
      <w:r w:rsidRPr="002B4B83">
        <w:rPr>
          <w:b/>
          <w:noProof/>
          <w:sz w:val="28"/>
          <w:lang w:val="en-US"/>
        </w:rPr>
        <w:t>Example for the Allocation of Fixed Assets and Intangible Long-term Investments</w:t>
      </w:r>
    </w:p>
    <w:p w14:paraId="00673A4B" w14:textId="77777777" w:rsidR="002B4B83" w:rsidRPr="002B4B83" w:rsidRDefault="002B4B83" w:rsidP="002B4B83">
      <w:pPr>
        <w:widowControl w:val="0"/>
        <w:jc w:val="both"/>
        <w:rPr>
          <w:b/>
          <w:bCs/>
          <w:noProof/>
          <w:lang w:val="en-US"/>
        </w:rPr>
      </w:pPr>
    </w:p>
    <w:p w14:paraId="1334056C" w14:textId="77777777" w:rsidR="002B4B83" w:rsidRPr="002B4B83" w:rsidRDefault="002B4B83" w:rsidP="002B4B83">
      <w:pPr>
        <w:widowControl w:val="0"/>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35"/>
        <w:gridCol w:w="2626"/>
        <w:gridCol w:w="3894"/>
      </w:tblGrid>
      <w:tr w:rsidR="002B4B83" w:rsidRPr="002B4B83" w14:paraId="4E5FC898" w14:textId="77777777" w:rsidTr="00686EA8">
        <w:tc>
          <w:tcPr>
            <w:tcW w:w="1400" w:type="pct"/>
            <w:tcBorders>
              <w:top w:val="outset" w:sz="6" w:space="0" w:color="414142"/>
              <w:left w:val="outset" w:sz="6" w:space="0" w:color="414142"/>
              <w:bottom w:val="outset" w:sz="6" w:space="0" w:color="414142"/>
              <w:right w:val="outset" w:sz="6" w:space="0" w:color="414142"/>
            </w:tcBorders>
            <w:vAlign w:val="center"/>
            <w:hideMark/>
          </w:tcPr>
          <w:p w14:paraId="4DC0C039" w14:textId="77777777" w:rsidR="002B4B83" w:rsidRPr="002B4B83" w:rsidRDefault="002B4B83" w:rsidP="00686EA8">
            <w:pPr>
              <w:widowControl w:val="0"/>
              <w:jc w:val="center"/>
              <w:rPr>
                <w:noProof/>
                <w:lang w:val="en-US"/>
              </w:rPr>
            </w:pPr>
            <w:r w:rsidRPr="002B4B83">
              <w:rPr>
                <w:noProof/>
                <w:lang w:val="en-US"/>
              </w:rPr>
              <w:t>Cost group</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769B378E" w14:textId="77777777" w:rsidR="002B4B83" w:rsidRPr="002B4B83" w:rsidRDefault="002B4B83" w:rsidP="00686EA8">
            <w:pPr>
              <w:widowControl w:val="0"/>
              <w:jc w:val="center"/>
              <w:rPr>
                <w:noProof/>
                <w:lang w:val="en-US"/>
              </w:rPr>
            </w:pPr>
            <w:r w:rsidRPr="002B4B83">
              <w:rPr>
                <w:noProof/>
                <w:lang w:val="en-US"/>
              </w:rPr>
              <w:t>Fixed assets and intangible long-term investments included in the cost group</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3BAF47BC" w14:textId="77777777" w:rsidR="002B4B83" w:rsidRPr="002B4B83" w:rsidRDefault="002B4B83" w:rsidP="00686EA8">
            <w:pPr>
              <w:widowControl w:val="0"/>
              <w:jc w:val="center"/>
              <w:rPr>
                <w:noProof/>
                <w:lang w:val="en-US"/>
              </w:rPr>
            </w:pPr>
            <w:r w:rsidRPr="002B4B83">
              <w:rPr>
                <w:noProof/>
                <w:lang w:val="en-US"/>
              </w:rPr>
              <w:t>Types of services to be covered by fixed assets and intangible long-term investments included in the cost group</w:t>
            </w:r>
          </w:p>
        </w:tc>
      </w:tr>
      <w:tr w:rsidR="002B4B83" w:rsidRPr="002B4B83" w14:paraId="298F7E7C" w14:textId="77777777" w:rsidTr="00686EA8">
        <w:tc>
          <w:tcPr>
            <w:tcW w:w="1400" w:type="pct"/>
            <w:tcBorders>
              <w:top w:val="outset" w:sz="6" w:space="0" w:color="414142"/>
              <w:left w:val="outset" w:sz="6" w:space="0" w:color="414142"/>
              <w:bottom w:val="outset" w:sz="6" w:space="0" w:color="414142"/>
              <w:right w:val="outset" w:sz="6" w:space="0" w:color="414142"/>
            </w:tcBorders>
            <w:hideMark/>
          </w:tcPr>
          <w:p w14:paraId="4B9F4C21" w14:textId="77777777" w:rsidR="002B4B83" w:rsidRPr="002B4B83" w:rsidRDefault="002B4B83" w:rsidP="00686EA8">
            <w:pPr>
              <w:widowControl w:val="0"/>
              <w:jc w:val="both"/>
              <w:rPr>
                <w:noProof/>
                <w:lang w:val="en-US"/>
              </w:rPr>
            </w:pPr>
            <w:r w:rsidRPr="002B4B83">
              <w:rPr>
                <w:noProof/>
                <w:lang w:val="en-US"/>
              </w:rPr>
              <w:t>Buildings and structures</w:t>
            </w:r>
          </w:p>
        </w:tc>
        <w:tc>
          <w:tcPr>
            <w:tcW w:w="1450" w:type="pct"/>
            <w:tcBorders>
              <w:top w:val="outset" w:sz="6" w:space="0" w:color="414142"/>
              <w:left w:val="outset" w:sz="6" w:space="0" w:color="414142"/>
              <w:bottom w:val="outset" w:sz="6" w:space="0" w:color="414142"/>
              <w:right w:val="outset" w:sz="6" w:space="0" w:color="414142"/>
            </w:tcBorders>
            <w:hideMark/>
          </w:tcPr>
          <w:p w14:paraId="393870D2" w14:textId="77777777" w:rsidR="002B4B83" w:rsidRPr="002B4B83" w:rsidRDefault="002B4B83" w:rsidP="00686EA8">
            <w:pPr>
              <w:widowControl w:val="0"/>
              <w:jc w:val="both"/>
              <w:rPr>
                <w:noProof/>
                <w:lang w:val="en-US"/>
              </w:rPr>
            </w:pPr>
            <w:r w:rsidRPr="002B4B83">
              <w:rPr>
                <w:noProof/>
                <w:lang w:val="en-US"/>
              </w:rPr>
              <w:t>Post offices</w:t>
            </w:r>
          </w:p>
          <w:p w14:paraId="454CF22B" w14:textId="77777777" w:rsidR="002B4B83" w:rsidRPr="002B4B83" w:rsidRDefault="002B4B83" w:rsidP="00686EA8">
            <w:pPr>
              <w:widowControl w:val="0"/>
              <w:jc w:val="both"/>
              <w:rPr>
                <w:noProof/>
                <w:lang w:val="en-US"/>
              </w:rPr>
            </w:pPr>
            <w:r w:rsidRPr="002B4B83">
              <w:rPr>
                <w:noProof/>
                <w:lang w:val="en-US"/>
              </w:rPr>
              <w:t>Other buildings and structures</w:t>
            </w:r>
          </w:p>
        </w:tc>
        <w:tc>
          <w:tcPr>
            <w:tcW w:w="2150" w:type="pct"/>
            <w:tcBorders>
              <w:top w:val="outset" w:sz="6" w:space="0" w:color="414142"/>
              <w:left w:val="outset" w:sz="6" w:space="0" w:color="414142"/>
              <w:bottom w:val="outset" w:sz="6" w:space="0" w:color="414142"/>
              <w:right w:val="outset" w:sz="6" w:space="0" w:color="414142"/>
            </w:tcBorders>
            <w:hideMark/>
          </w:tcPr>
          <w:p w14:paraId="33F33935"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14E67B13"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690C530E"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18DB210C"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5A719D05" w14:textId="77777777" w:rsidTr="00686EA8">
        <w:tc>
          <w:tcPr>
            <w:tcW w:w="1400" w:type="pct"/>
            <w:tcBorders>
              <w:top w:val="outset" w:sz="6" w:space="0" w:color="414142"/>
              <w:left w:val="outset" w:sz="6" w:space="0" w:color="414142"/>
              <w:bottom w:val="outset" w:sz="6" w:space="0" w:color="414142"/>
              <w:right w:val="outset" w:sz="6" w:space="0" w:color="414142"/>
            </w:tcBorders>
            <w:hideMark/>
          </w:tcPr>
          <w:p w14:paraId="00F42C93" w14:textId="77777777" w:rsidR="002B4B83" w:rsidRPr="002B4B83" w:rsidRDefault="002B4B83" w:rsidP="00686EA8">
            <w:pPr>
              <w:widowControl w:val="0"/>
              <w:jc w:val="both"/>
              <w:rPr>
                <w:noProof/>
                <w:lang w:val="en-US"/>
              </w:rPr>
            </w:pPr>
            <w:r w:rsidRPr="002B4B83">
              <w:rPr>
                <w:noProof/>
                <w:lang w:val="en-US"/>
              </w:rPr>
              <w:t>Transport vehicles</w:t>
            </w:r>
          </w:p>
          <w:p w14:paraId="325EA87E" w14:textId="77777777" w:rsidR="002B4B83" w:rsidRPr="002B4B83" w:rsidRDefault="002B4B83" w:rsidP="00686EA8">
            <w:pPr>
              <w:widowControl w:val="0"/>
              <w:jc w:val="both"/>
              <w:rPr>
                <w:noProof/>
                <w:lang w:val="en-US"/>
              </w:rPr>
            </w:pPr>
            <w:r w:rsidRPr="002B4B83">
              <w:rPr>
                <w:noProof/>
                <w:lang w:val="en-US"/>
              </w:rPr>
              <w:t>Machinery and equipment</w:t>
            </w:r>
          </w:p>
        </w:tc>
        <w:tc>
          <w:tcPr>
            <w:tcW w:w="1450" w:type="pct"/>
            <w:tcBorders>
              <w:top w:val="outset" w:sz="6" w:space="0" w:color="414142"/>
              <w:left w:val="outset" w:sz="6" w:space="0" w:color="414142"/>
              <w:bottom w:val="outset" w:sz="6" w:space="0" w:color="414142"/>
              <w:right w:val="outset" w:sz="6" w:space="0" w:color="414142"/>
            </w:tcBorders>
            <w:hideMark/>
          </w:tcPr>
          <w:p w14:paraId="7472C03D" w14:textId="77777777" w:rsidR="002B4B83" w:rsidRPr="002B4B83" w:rsidRDefault="002B4B83" w:rsidP="00686EA8">
            <w:pPr>
              <w:widowControl w:val="0"/>
              <w:jc w:val="both"/>
              <w:rPr>
                <w:noProof/>
                <w:lang w:val="en-US"/>
              </w:rPr>
            </w:pPr>
            <w:r w:rsidRPr="002B4B83">
              <w:rPr>
                <w:noProof/>
                <w:lang w:val="en-US"/>
              </w:rPr>
              <w:t>Road transport</w:t>
            </w:r>
          </w:p>
          <w:p w14:paraId="7145E107" w14:textId="77777777" w:rsidR="002B4B83" w:rsidRPr="002B4B83" w:rsidRDefault="002B4B83" w:rsidP="00686EA8">
            <w:pPr>
              <w:widowControl w:val="0"/>
              <w:jc w:val="both"/>
              <w:rPr>
                <w:noProof/>
                <w:lang w:val="en-US"/>
              </w:rPr>
            </w:pPr>
            <w:r w:rsidRPr="002B4B83">
              <w:rPr>
                <w:noProof/>
                <w:lang w:val="en-US"/>
              </w:rPr>
              <w:t>Postal technological and other equipment</w:t>
            </w:r>
          </w:p>
        </w:tc>
        <w:tc>
          <w:tcPr>
            <w:tcW w:w="2150" w:type="pct"/>
            <w:tcBorders>
              <w:top w:val="outset" w:sz="6" w:space="0" w:color="414142"/>
              <w:left w:val="outset" w:sz="6" w:space="0" w:color="414142"/>
              <w:bottom w:val="outset" w:sz="6" w:space="0" w:color="414142"/>
              <w:right w:val="outset" w:sz="6" w:space="0" w:color="414142"/>
            </w:tcBorders>
            <w:hideMark/>
          </w:tcPr>
          <w:p w14:paraId="20D6AB54"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66776AA3"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0E42E71A"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37A89BE6"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6B422E5B" w14:textId="77777777" w:rsidTr="00686EA8">
        <w:tc>
          <w:tcPr>
            <w:tcW w:w="1400" w:type="pct"/>
            <w:tcBorders>
              <w:top w:val="outset" w:sz="6" w:space="0" w:color="414142"/>
              <w:left w:val="outset" w:sz="6" w:space="0" w:color="414142"/>
              <w:bottom w:val="outset" w:sz="6" w:space="0" w:color="414142"/>
              <w:right w:val="outset" w:sz="6" w:space="0" w:color="414142"/>
            </w:tcBorders>
            <w:hideMark/>
          </w:tcPr>
          <w:p w14:paraId="53A1BA2F" w14:textId="77777777" w:rsidR="002B4B83" w:rsidRPr="002B4B83" w:rsidRDefault="002B4B83" w:rsidP="00686EA8">
            <w:pPr>
              <w:widowControl w:val="0"/>
              <w:jc w:val="both"/>
              <w:rPr>
                <w:noProof/>
                <w:lang w:val="en-US"/>
              </w:rPr>
            </w:pPr>
            <w:r w:rsidRPr="002B4B83">
              <w:rPr>
                <w:noProof/>
                <w:lang w:val="en-US"/>
              </w:rPr>
              <w:t>Computers and computer network</w:t>
            </w:r>
          </w:p>
        </w:tc>
        <w:tc>
          <w:tcPr>
            <w:tcW w:w="1450" w:type="pct"/>
            <w:tcBorders>
              <w:top w:val="outset" w:sz="6" w:space="0" w:color="414142"/>
              <w:left w:val="outset" w:sz="6" w:space="0" w:color="414142"/>
              <w:bottom w:val="outset" w:sz="6" w:space="0" w:color="414142"/>
              <w:right w:val="outset" w:sz="6" w:space="0" w:color="414142"/>
            </w:tcBorders>
            <w:hideMark/>
          </w:tcPr>
          <w:p w14:paraId="7E707017" w14:textId="77777777" w:rsidR="002B4B83" w:rsidRPr="002B4B83" w:rsidRDefault="002B4B83" w:rsidP="00686EA8">
            <w:pPr>
              <w:widowControl w:val="0"/>
              <w:jc w:val="both"/>
              <w:rPr>
                <w:noProof/>
                <w:lang w:val="en-US"/>
              </w:rPr>
            </w:pPr>
            <w:r w:rsidRPr="002B4B83">
              <w:rPr>
                <w:noProof/>
                <w:lang w:val="en-US"/>
              </w:rPr>
              <w:t>Computers</w:t>
            </w:r>
          </w:p>
          <w:p w14:paraId="3A892C73" w14:textId="77777777" w:rsidR="002B4B83" w:rsidRPr="002B4B83" w:rsidRDefault="002B4B83" w:rsidP="00686EA8">
            <w:pPr>
              <w:widowControl w:val="0"/>
              <w:jc w:val="both"/>
              <w:rPr>
                <w:noProof/>
                <w:lang w:val="en-US"/>
              </w:rPr>
            </w:pPr>
            <w:r w:rsidRPr="002B4B83">
              <w:rPr>
                <w:noProof/>
                <w:lang w:val="en-US"/>
              </w:rPr>
              <w:t>Computer network</w:t>
            </w:r>
          </w:p>
        </w:tc>
        <w:tc>
          <w:tcPr>
            <w:tcW w:w="2150" w:type="pct"/>
            <w:tcBorders>
              <w:top w:val="outset" w:sz="6" w:space="0" w:color="414142"/>
              <w:left w:val="outset" w:sz="6" w:space="0" w:color="414142"/>
              <w:bottom w:val="outset" w:sz="6" w:space="0" w:color="414142"/>
              <w:right w:val="outset" w:sz="6" w:space="0" w:color="414142"/>
            </w:tcBorders>
            <w:hideMark/>
          </w:tcPr>
          <w:p w14:paraId="3B7B08A0"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7A06BB96"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6F57650C"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06CC6B6F"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18E5ADD7" w14:textId="77777777" w:rsidTr="00686EA8">
        <w:tc>
          <w:tcPr>
            <w:tcW w:w="1400" w:type="pct"/>
            <w:tcBorders>
              <w:top w:val="outset" w:sz="6" w:space="0" w:color="414142"/>
              <w:left w:val="outset" w:sz="6" w:space="0" w:color="414142"/>
              <w:bottom w:val="outset" w:sz="6" w:space="0" w:color="414142"/>
              <w:right w:val="outset" w:sz="6" w:space="0" w:color="414142"/>
            </w:tcBorders>
            <w:hideMark/>
          </w:tcPr>
          <w:p w14:paraId="64F93944" w14:textId="77777777" w:rsidR="002B4B83" w:rsidRPr="002B4B83" w:rsidRDefault="002B4B83" w:rsidP="00686EA8">
            <w:pPr>
              <w:widowControl w:val="0"/>
              <w:jc w:val="both"/>
              <w:rPr>
                <w:noProof/>
                <w:lang w:val="en-US"/>
              </w:rPr>
            </w:pPr>
            <w:r w:rsidRPr="002B4B83">
              <w:rPr>
                <w:noProof/>
                <w:lang w:val="en-US"/>
              </w:rPr>
              <w:t>Land</w:t>
            </w:r>
          </w:p>
        </w:tc>
        <w:tc>
          <w:tcPr>
            <w:tcW w:w="1450" w:type="pct"/>
            <w:tcBorders>
              <w:top w:val="outset" w:sz="6" w:space="0" w:color="414142"/>
              <w:left w:val="outset" w:sz="6" w:space="0" w:color="414142"/>
              <w:bottom w:val="outset" w:sz="6" w:space="0" w:color="414142"/>
              <w:right w:val="outset" w:sz="6" w:space="0" w:color="414142"/>
            </w:tcBorders>
            <w:hideMark/>
          </w:tcPr>
          <w:p w14:paraId="4816C83C" w14:textId="77777777" w:rsidR="002B4B83" w:rsidRPr="002B4B83" w:rsidRDefault="002B4B83" w:rsidP="00686EA8">
            <w:pPr>
              <w:widowControl w:val="0"/>
              <w:jc w:val="both"/>
              <w:rPr>
                <w:noProof/>
                <w:lang w:val="en-US"/>
              </w:rPr>
            </w:pPr>
            <w:r w:rsidRPr="002B4B83">
              <w:rPr>
                <w:noProof/>
                <w:lang w:val="en-US"/>
              </w:rPr>
              <w:t>Land</w:t>
            </w:r>
          </w:p>
        </w:tc>
        <w:tc>
          <w:tcPr>
            <w:tcW w:w="2150" w:type="pct"/>
            <w:tcBorders>
              <w:top w:val="outset" w:sz="6" w:space="0" w:color="414142"/>
              <w:left w:val="outset" w:sz="6" w:space="0" w:color="414142"/>
              <w:bottom w:val="outset" w:sz="6" w:space="0" w:color="414142"/>
              <w:right w:val="outset" w:sz="6" w:space="0" w:color="414142"/>
            </w:tcBorders>
            <w:hideMark/>
          </w:tcPr>
          <w:p w14:paraId="2D0C7A2B"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52B78B54"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6668E8D5"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61B932FB"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4654A2EC" w14:textId="77777777" w:rsidTr="00686EA8">
        <w:tc>
          <w:tcPr>
            <w:tcW w:w="1400" w:type="pct"/>
            <w:tcBorders>
              <w:top w:val="outset" w:sz="6" w:space="0" w:color="414142"/>
              <w:left w:val="outset" w:sz="6" w:space="0" w:color="414142"/>
              <w:bottom w:val="outset" w:sz="6" w:space="0" w:color="414142"/>
              <w:right w:val="outset" w:sz="6" w:space="0" w:color="414142"/>
            </w:tcBorders>
            <w:hideMark/>
          </w:tcPr>
          <w:p w14:paraId="3E4ABEBD" w14:textId="77777777" w:rsidR="002B4B83" w:rsidRPr="002B4B83" w:rsidRDefault="002B4B83" w:rsidP="00686EA8">
            <w:pPr>
              <w:widowControl w:val="0"/>
              <w:jc w:val="both"/>
              <w:rPr>
                <w:noProof/>
                <w:lang w:val="en-US"/>
              </w:rPr>
            </w:pPr>
            <w:r w:rsidRPr="002B4B83">
              <w:rPr>
                <w:noProof/>
                <w:lang w:val="en-US"/>
              </w:rPr>
              <w:t>Office equipment and devices</w:t>
            </w:r>
          </w:p>
        </w:tc>
        <w:tc>
          <w:tcPr>
            <w:tcW w:w="1450" w:type="pct"/>
            <w:tcBorders>
              <w:top w:val="outset" w:sz="6" w:space="0" w:color="414142"/>
              <w:left w:val="outset" w:sz="6" w:space="0" w:color="414142"/>
              <w:bottom w:val="outset" w:sz="6" w:space="0" w:color="414142"/>
              <w:right w:val="outset" w:sz="6" w:space="0" w:color="414142"/>
            </w:tcBorders>
            <w:hideMark/>
          </w:tcPr>
          <w:p w14:paraId="548423E3" w14:textId="77777777" w:rsidR="002B4B83" w:rsidRPr="002B4B83" w:rsidRDefault="002B4B83" w:rsidP="00686EA8">
            <w:pPr>
              <w:widowControl w:val="0"/>
              <w:jc w:val="both"/>
              <w:rPr>
                <w:noProof/>
                <w:lang w:val="en-US"/>
              </w:rPr>
            </w:pPr>
            <w:r w:rsidRPr="002B4B83">
              <w:rPr>
                <w:noProof/>
                <w:lang w:val="en-US"/>
              </w:rPr>
              <w:t>Furniture</w:t>
            </w:r>
          </w:p>
          <w:p w14:paraId="6C61A363" w14:textId="77777777" w:rsidR="002B4B83" w:rsidRPr="002B4B83" w:rsidRDefault="002B4B83" w:rsidP="00686EA8">
            <w:pPr>
              <w:widowControl w:val="0"/>
              <w:jc w:val="both"/>
              <w:rPr>
                <w:noProof/>
                <w:lang w:val="en-US"/>
              </w:rPr>
            </w:pPr>
            <w:r w:rsidRPr="002B4B83">
              <w:rPr>
                <w:noProof/>
                <w:lang w:val="en-US"/>
              </w:rPr>
              <w:t>Office equipment</w:t>
            </w:r>
          </w:p>
        </w:tc>
        <w:tc>
          <w:tcPr>
            <w:tcW w:w="2150" w:type="pct"/>
            <w:tcBorders>
              <w:top w:val="outset" w:sz="6" w:space="0" w:color="414142"/>
              <w:left w:val="outset" w:sz="6" w:space="0" w:color="414142"/>
              <w:bottom w:val="outset" w:sz="6" w:space="0" w:color="414142"/>
              <w:right w:val="outset" w:sz="6" w:space="0" w:color="414142"/>
            </w:tcBorders>
            <w:hideMark/>
          </w:tcPr>
          <w:p w14:paraId="78C60AB1"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609520B5"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5414BC0F"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3A7F7267" w14:textId="77777777" w:rsidR="002B4B83" w:rsidRPr="002B4B83" w:rsidRDefault="002B4B83" w:rsidP="00686EA8">
            <w:pPr>
              <w:widowControl w:val="0"/>
              <w:jc w:val="both"/>
              <w:rPr>
                <w:noProof/>
                <w:lang w:val="en-US"/>
              </w:rPr>
            </w:pPr>
            <w:r w:rsidRPr="002B4B83">
              <w:rPr>
                <w:noProof/>
                <w:lang w:val="en-US"/>
              </w:rPr>
              <w:t>Other services</w:t>
            </w:r>
          </w:p>
        </w:tc>
      </w:tr>
      <w:tr w:rsidR="002B4B83" w:rsidRPr="002B4B83" w14:paraId="09DAFE96" w14:textId="77777777" w:rsidTr="00686EA8">
        <w:tc>
          <w:tcPr>
            <w:tcW w:w="1400" w:type="pct"/>
            <w:tcBorders>
              <w:top w:val="outset" w:sz="6" w:space="0" w:color="414142"/>
              <w:left w:val="outset" w:sz="6" w:space="0" w:color="414142"/>
              <w:bottom w:val="outset" w:sz="6" w:space="0" w:color="414142"/>
              <w:right w:val="outset" w:sz="6" w:space="0" w:color="414142"/>
            </w:tcBorders>
            <w:hideMark/>
          </w:tcPr>
          <w:p w14:paraId="37FB18D8" w14:textId="77777777" w:rsidR="002B4B83" w:rsidRPr="002B4B83" w:rsidRDefault="002B4B83" w:rsidP="00686EA8">
            <w:pPr>
              <w:keepNext/>
              <w:keepLines/>
              <w:widowControl w:val="0"/>
              <w:jc w:val="both"/>
              <w:rPr>
                <w:noProof/>
                <w:lang w:val="en-US"/>
              </w:rPr>
            </w:pPr>
            <w:r w:rsidRPr="002B4B83">
              <w:rPr>
                <w:noProof/>
                <w:lang w:val="en-US"/>
              </w:rPr>
              <w:lastRenderedPageBreak/>
              <w:t>Other fixed assets</w:t>
            </w:r>
          </w:p>
        </w:tc>
        <w:tc>
          <w:tcPr>
            <w:tcW w:w="1450" w:type="pct"/>
            <w:tcBorders>
              <w:top w:val="outset" w:sz="6" w:space="0" w:color="414142"/>
              <w:left w:val="outset" w:sz="6" w:space="0" w:color="414142"/>
              <w:bottom w:val="outset" w:sz="6" w:space="0" w:color="414142"/>
              <w:right w:val="outset" w:sz="6" w:space="0" w:color="414142"/>
            </w:tcBorders>
            <w:hideMark/>
          </w:tcPr>
          <w:p w14:paraId="36F4D988" w14:textId="77777777" w:rsidR="002B4B83" w:rsidRPr="002B4B83" w:rsidRDefault="002B4B83" w:rsidP="00686EA8">
            <w:pPr>
              <w:keepNext/>
              <w:keepLines/>
              <w:widowControl w:val="0"/>
              <w:jc w:val="both"/>
              <w:rPr>
                <w:noProof/>
                <w:lang w:val="en-US"/>
              </w:rPr>
            </w:pPr>
            <w:r w:rsidRPr="002B4B83">
              <w:rPr>
                <w:noProof/>
                <w:lang w:val="en-US"/>
              </w:rPr>
              <w:t>Other fixed assets</w:t>
            </w:r>
          </w:p>
        </w:tc>
        <w:tc>
          <w:tcPr>
            <w:tcW w:w="2150" w:type="pct"/>
            <w:tcBorders>
              <w:top w:val="outset" w:sz="6" w:space="0" w:color="414142"/>
              <w:left w:val="outset" w:sz="6" w:space="0" w:color="414142"/>
              <w:bottom w:val="outset" w:sz="6" w:space="0" w:color="414142"/>
              <w:right w:val="outset" w:sz="6" w:space="0" w:color="414142"/>
            </w:tcBorders>
            <w:hideMark/>
          </w:tcPr>
          <w:p w14:paraId="6A49FFAF" w14:textId="77777777" w:rsidR="002B4B83" w:rsidRPr="002B4B83" w:rsidRDefault="002B4B83" w:rsidP="00686EA8">
            <w:pPr>
              <w:keepNext/>
              <w:keepLines/>
              <w:widowControl w:val="0"/>
              <w:jc w:val="both"/>
              <w:rPr>
                <w:noProof/>
                <w:lang w:val="en-US"/>
              </w:rPr>
            </w:pPr>
            <w:r w:rsidRPr="002B4B83">
              <w:rPr>
                <w:noProof/>
                <w:lang w:val="en-US"/>
              </w:rPr>
              <w:t>Universal postal services (by the postal services)</w:t>
            </w:r>
          </w:p>
          <w:p w14:paraId="33E2CF24" w14:textId="77777777" w:rsidR="002B4B83" w:rsidRPr="002B4B83" w:rsidRDefault="002B4B83" w:rsidP="00686EA8">
            <w:pPr>
              <w:keepNext/>
              <w:keepLines/>
              <w:widowControl w:val="0"/>
              <w:jc w:val="both"/>
              <w:rPr>
                <w:noProof/>
                <w:lang w:val="en-US"/>
              </w:rPr>
            </w:pPr>
            <w:r w:rsidRPr="002B4B83">
              <w:rPr>
                <w:noProof/>
                <w:lang w:val="en-US"/>
              </w:rPr>
              <w:t>Postal services for special tariffs (by the postal services)</w:t>
            </w:r>
          </w:p>
          <w:p w14:paraId="1F316781" w14:textId="77777777" w:rsidR="002B4B83" w:rsidRPr="002B4B83" w:rsidRDefault="002B4B83" w:rsidP="00686EA8">
            <w:pPr>
              <w:keepNext/>
              <w:keepLines/>
              <w:widowControl w:val="0"/>
              <w:jc w:val="both"/>
              <w:rPr>
                <w:noProof/>
                <w:lang w:val="en-US"/>
              </w:rPr>
            </w:pPr>
            <w:r w:rsidRPr="002B4B83">
              <w:rPr>
                <w:noProof/>
                <w:lang w:val="en-US"/>
              </w:rPr>
              <w:t>Other postal services (by the postal services)</w:t>
            </w:r>
          </w:p>
          <w:p w14:paraId="455C8805" w14:textId="77777777" w:rsidR="002B4B83" w:rsidRPr="002B4B83" w:rsidRDefault="002B4B83" w:rsidP="00686EA8">
            <w:pPr>
              <w:keepNext/>
              <w:keepLines/>
              <w:widowControl w:val="0"/>
              <w:jc w:val="both"/>
              <w:rPr>
                <w:noProof/>
                <w:lang w:val="en-US"/>
              </w:rPr>
            </w:pPr>
            <w:r w:rsidRPr="002B4B83">
              <w:rPr>
                <w:noProof/>
                <w:lang w:val="en-US"/>
              </w:rPr>
              <w:t>Other services</w:t>
            </w:r>
          </w:p>
        </w:tc>
      </w:tr>
      <w:tr w:rsidR="002B4B83" w:rsidRPr="002B4B83" w14:paraId="72260BAD" w14:textId="77777777" w:rsidTr="00686EA8">
        <w:tc>
          <w:tcPr>
            <w:tcW w:w="1400" w:type="pct"/>
            <w:tcBorders>
              <w:top w:val="outset" w:sz="6" w:space="0" w:color="414142"/>
              <w:left w:val="outset" w:sz="6" w:space="0" w:color="414142"/>
              <w:bottom w:val="outset" w:sz="6" w:space="0" w:color="414142"/>
              <w:right w:val="outset" w:sz="6" w:space="0" w:color="414142"/>
            </w:tcBorders>
            <w:hideMark/>
          </w:tcPr>
          <w:p w14:paraId="31658102" w14:textId="77777777" w:rsidR="002B4B83" w:rsidRPr="002B4B83" w:rsidRDefault="002B4B83" w:rsidP="00686EA8">
            <w:pPr>
              <w:widowControl w:val="0"/>
              <w:jc w:val="both"/>
              <w:rPr>
                <w:noProof/>
                <w:lang w:val="en-US"/>
              </w:rPr>
            </w:pPr>
            <w:r w:rsidRPr="002B4B83">
              <w:rPr>
                <w:noProof/>
                <w:lang w:val="en-US"/>
              </w:rPr>
              <w:t>Intangible long-term investments</w:t>
            </w:r>
          </w:p>
        </w:tc>
        <w:tc>
          <w:tcPr>
            <w:tcW w:w="1450" w:type="pct"/>
            <w:tcBorders>
              <w:top w:val="outset" w:sz="6" w:space="0" w:color="414142"/>
              <w:left w:val="outset" w:sz="6" w:space="0" w:color="414142"/>
              <w:bottom w:val="outset" w:sz="6" w:space="0" w:color="414142"/>
              <w:right w:val="outset" w:sz="6" w:space="0" w:color="414142"/>
            </w:tcBorders>
            <w:hideMark/>
          </w:tcPr>
          <w:p w14:paraId="1E12EC44" w14:textId="77777777" w:rsidR="002B4B83" w:rsidRPr="002B4B83" w:rsidRDefault="002B4B83" w:rsidP="00686EA8">
            <w:pPr>
              <w:widowControl w:val="0"/>
              <w:jc w:val="both"/>
              <w:rPr>
                <w:noProof/>
                <w:lang w:val="en-US"/>
              </w:rPr>
            </w:pPr>
            <w:r w:rsidRPr="002B4B83">
              <w:rPr>
                <w:noProof/>
                <w:lang w:val="en-US"/>
              </w:rPr>
              <w:t>Licenses</w:t>
            </w:r>
          </w:p>
          <w:p w14:paraId="56FEAB91" w14:textId="77777777" w:rsidR="002B4B83" w:rsidRPr="002B4B83" w:rsidRDefault="002B4B83" w:rsidP="00686EA8">
            <w:pPr>
              <w:widowControl w:val="0"/>
              <w:jc w:val="both"/>
              <w:rPr>
                <w:noProof/>
                <w:lang w:val="en-US"/>
              </w:rPr>
            </w:pPr>
            <w:r w:rsidRPr="002B4B83">
              <w:rPr>
                <w:noProof/>
                <w:lang w:val="en-US"/>
              </w:rPr>
              <w:t>Computer software</w:t>
            </w:r>
          </w:p>
        </w:tc>
        <w:tc>
          <w:tcPr>
            <w:tcW w:w="2150" w:type="pct"/>
            <w:tcBorders>
              <w:top w:val="outset" w:sz="6" w:space="0" w:color="414142"/>
              <w:left w:val="outset" w:sz="6" w:space="0" w:color="414142"/>
              <w:bottom w:val="outset" w:sz="6" w:space="0" w:color="414142"/>
              <w:right w:val="outset" w:sz="6" w:space="0" w:color="414142"/>
            </w:tcBorders>
            <w:hideMark/>
          </w:tcPr>
          <w:p w14:paraId="0308C2BB" w14:textId="77777777" w:rsidR="002B4B83" w:rsidRPr="002B4B83" w:rsidRDefault="002B4B83" w:rsidP="00686EA8">
            <w:pPr>
              <w:widowControl w:val="0"/>
              <w:jc w:val="both"/>
              <w:rPr>
                <w:noProof/>
                <w:lang w:val="en-US"/>
              </w:rPr>
            </w:pPr>
            <w:r w:rsidRPr="002B4B83">
              <w:rPr>
                <w:noProof/>
                <w:lang w:val="en-US"/>
              </w:rPr>
              <w:t>Universal postal services (by the postal services)</w:t>
            </w:r>
          </w:p>
          <w:p w14:paraId="02232660" w14:textId="77777777" w:rsidR="002B4B83" w:rsidRPr="002B4B83" w:rsidRDefault="002B4B83" w:rsidP="00686EA8">
            <w:pPr>
              <w:widowControl w:val="0"/>
              <w:jc w:val="both"/>
              <w:rPr>
                <w:noProof/>
                <w:lang w:val="en-US"/>
              </w:rPr>
            </w:pPr>
            <w:r w:rsidRPr="002B4B83">
              <w:rPr>
                <w:noProof/>
                <w:lang w:val="en-US"/>
              </w:rPr>
              <w:t>Postal services for special tariffs (by the postal services)</w:t>
            </w:r>
          </w:p>
          <w:p w14:paraId="1983EB53" w14:textId="77777777" w:rsidR="002B4B83" w:rsidRPr="002B4B83" w:rsidRDefault="002B4B83" w:rsidP="00686EA8">
            <w:pPr>
              <w:widowControl w:val="0"/>
              <w:jc w:val="both"/>
              <w:rPr>
                <w:noProof/>
                <w:lang w:val="en-US"/>
              </w:rPr>
            </w:pPr>
            <w:r w:rsidRPr="002B4B83">
              <w:rPr>
                <w:noProof/>
                <w:lang w:val="en-US"/>
              </w:rPr>
              <w:t>Other postal services (by the postal services)</w:t>
            </w:r>
          </w:p>
          <w:p w14:paraId="74E78D56" w14:textId="77777777" w:rsidR="002B4B83" w:rsidRPr="002B4B83" w:rsidRDefault="002B4B83" w:rsidP="00686EA8">
            <w:pPr>
              <w:widowControl w:val="0"/>
              <w:jc w:val="both"/>
              <w:rPr>
                <w:noProof/>
                <w:lang w:val="en-US"/>
              </w:rPr>
            </w:pPr>
            <w:r w:rsidRPr="002B4B83">
              <w:rPr>
                <w:noProof/>
                <w:lang w:val="en-US"/>
              </w:rPr>
              <w:t>Other services</w:t>
            </w:r>
          </w:p>
        </w:tc>
      </w:tr>
    </w:tbl>
    <w:p w14:paraId="389AE828" w14:textId="77777777" w:rsidR="002B4B83" w:rsidRPr="002B4B83" w:rsidRDefault="002B4B83" w:rsidP="002B4B83">
      <w:pPr>
        <w:widowControl w:val="0"/>
        <w:jc w:val="both"/>
        <w:rPr>
          <w:noProof/>
          <w:lang w:val="en-US"/>
        </w:rPr>
      </w:pPr>
    </w:p>
    <w:p w14:paraId="29C90732" w14:textId="77777777" w:rsidR="002B4B83" w:rsidRPr="002B4B83" w:rsidRDefault="002B4B83" w:rsidP="002B4B83">
      <w:pPr>
        <w:widowControl w:val="0"/>
        <w:jc w:val="both"/>
        <w:rPr>
          <w:noProof/>
          <w:lang w:val="en-US"/>
        </w:rPr>
      </w:pPr>
    </w:p>
    <w:p w14:paraId="2025D9A4" w14:textId="77777777" w:rsidR="002B4B83" w:rsidRPr="002B4B83" w:rsidRDefault="002B4B83" w:rsidP="002B4B83">
      <w:pPr>
        <w:widowControl w:val="0"/>
        <w:jc w:val="both"/>
        <w:rPr>
          <w:noProof/>
          <w:lang w:val="en-US"/>
        </w:rPr>
      </w:pPr>
      <w:r w:rsidRPr="002B4B83">
        <w:rPr>
          <w:noProof/>
          <w:lang w:val="en-US"/>
        </w:rPr>
        <w:t>Acting in the capacity of the chairperson of the Public Utilities Commission</w:t>
      </w:r>
    </w:p>
    <w:p w14:paraId="671B1F33" w14:textId="77777777" w:rsidR="002B4B83" w:rsidRPr="002B4B83" w:rsidRDefault="002B4B83" w:rsidP="002B4B83">
      <w:pPr>
        <w:widowControl w:val="0"/>
        <w:tabs>
          <w:tab w:val="left" w:pos="8080"/>
        </w:tabs>
        <w:jc w:val="both"/>
        <w:rPr>
          <w:noProof/>
          <w:lang w:val="en-US"/>
        </w:rPr>
      </w:pPr>
      <w:r w:rsidRPr="002B4B83">
        <w:rPr>
          <w:noProof/>
          <w:lang w:val="en-US"/>
        </w:rPr>
        <w:t>Member of the Board</w:t>
      </w:r>
      <w:r w:rsidRPr="002B4B83">
        <w:rPr>
          <w:noProof/>
          <w:lang w:val="en-US"/>
        </w:rPr>
        <w:tab/>
        <w:t>G. Zeltiņš</w:t>
      </w:r>
    </w:p>
    <w:p w14:paraId="1688D154" w14:textId="77777777" w:rsidR="002B4B83" w:rsidRPr="002B4B83" w:rsidRDefault="002B4B83" w:rsidP="002B4B83">
      <w:pPr>
        <w:widowControl w:val="0"/>
        <w:jc w:val="both"/>
        <w:rPr>
          <w:noProof/>
          <w:lang w:val="en-US"/>
        </w:rPr>
      </w:pPr>
    </w:p>
    <w:sectPr w:rsidR="002B4B83" w:rsidRPr="002B4B83" w:rsidSect="00DB173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9FA9" w14:textId="77777777" w:rsidR="00767875" w:rsidRPr="002B4B83" w:rsidRDefault="00767875" w:rsidP="0015187F">
      <w:pPr>
        <w:rPr>
          <w:noProof/>
          <w:lang w:val="en-US"/>
        </w:rPr>
      </w:pPr>
      <w:r w:rsidRPr="002B4B83">
        <w:rPr>
          <w:noProof/>
          <w:lang w:val="en-US"/>
        </w:rPr>
        <w:separator/>
      </w:r>
    </w:p>
  </w:endnote>
  <w:endnote w:type="continuationSeparator" w:id="0">
    <w:p w14:paraId="6E3141DA" w14:textId="77777777" w:rsidR="00767875" w:rsidRPr="002B4B83" w:rsidRDefault="00767875" w:rsidP="0015187F">
      <w:pPr>
        <w:rPr>
          <w:noProof/>
          <w:lang w:val="en-US"/>
        </w:rPr>
      </w:pPr>
      <w:r w:rsidRPr="002B4B8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6B31" w14:textId="77777777" w:rsidR="002B4B83" w:rsidRDefault="002B4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E7E8" w14:textId="77777777" w:rsidR="00A70410" w:rsidRPr="002B4B83" w:rsidRDefault="00A70410" w:rsidP="00A70410">
    <w:pPr>
      <w:pStyle w:val="Footer"/>
      <w:tabs>
        <w:tab w:val="clear" w:pos="4153"/>
        <w:tab w:val="clear" w:pos="8306"/>
        <w:tab w:val="right" w:pos="9072"/>
      </w:tabs>
      <w:rPr>
        <w:noProof/>
        <w:sz w:val="20"/>
        <w:lang w:val="en-US"/>
      </w:rPr>
    </w:pPr>
  </w:p>
  <w:p w14:paraId="13EDDECD" w14:textId="1F4CE723" w:rsidR="003A092E" w:rsidRPr="002B4B83" w:rsidRDefault="00A70410" w:rsidP="00A70410">
    <w:pPr>
      <w:pStyle w:val="Footer"/>
      <w:tabs>
        <w:tab w:val="clear" w:pos="4153"/>
        <w:tab w:val="clear" w:pos="8306"/>
        <w:tab w:val="right" w:pos="9072"/>
      </w:tabs>
      <w:rPr>
        <w:noProof/>
        <w:sz w:val="20"/>
        <w:lang w:val="en-US"/>
      </w:rPr>
    </w:pPr>
    <w:r w:rsidRPr="002B4B83">
      <w:rPr>
        <w:noProof/>
        <w:sz w:val="20"/>
        <w:lang w:val="en-US"/>
      </w:rPr>
      <w:t xml:space="preserve">Translation </w:t>
    </w:r>
    <w:r w:rsidRPr="002B4B83">
      <w:rPr>
        <w:noProof/>
        <w:sz w:val="20"/>
        <w:lang w:val="en-US"/>
      </w:rPr>
      <w:fldChar w:fldCharType="begin"/>
    </w:r>
    <w:r w:rsidRPr="002B4B83">
      <w:rPr>
        <w:noProof/>
        <w:sz w:val="20"/>
        <w:lang w:val="en-US"/>
      </w:rPr>
      <w:instrText>symbol 169 \f "UnivrstyRoman TL" \s 8</w:instrText>
    </w:r>
    <w:r w:rsidRPr="002B4B83">
      <w:rPr>
        <w:noProof/>
        <w:sz w:val="20"/>
        <w:lang w:val="en-US"/>
      </w:rPr>
      <w:fldChar w:fldCharType="separate"/>
    </w:r>
    <w:r w:rsidRPr="002B4B83">
      <w:rPr>
        <w:noProof/>
        <w:sz w:val="20"/>
        <w:lang w:val="en-US"/>
      </w:rPr>
      <w:t>©</w:t>
    </w:r>
    <w:r w:rsidRPr="002B4B83">
      <w:rPr>
        <w:noProof/>
        <w:sz w:val="20"/>
        <w:lang w:val="en-US"/>
      </w:rPr>
      <w:fldChar w:fldCharType="end"/>
    </w:r>
    <w:r w:rsidRPr="002B4B83">
      <w:rPr>
        <w:noProof/>
        <w:sz w:val="20"/>
        <w:lang w:val="en-US"/>
      </w:rPr>
      <w:t xml:space="preserve"> 2023 Valsts valodas centrs (State Language Centre)</w:t>
    </w:r>
    <w:r w:rsidRPr="002B4B83">
      <w:rPr>
        <w:noProof/>
        <w:sz w:val="20"/>
        <w:lang w:val="en-US"/>
      </w:rPr>
      <w:tab/>
    </w:r>
    <w:r w:rsidRPr="002B4B83">
      <w:rPr>
        <w:rStyle w:val="PageNumber"/>
        <w:noProof/>
        <w:sz w:val="20"/>
        <w:lang w:val="en-US"/>
      </w:rPr>
      <w:fldChar w:fldCharType="begin"/>
    </w:r>
    <w:r w:rsidRPr="002B4B83">
      <w:rPr>
        <w:rStyle w:val="PageNumber"/>
        <w:noProof/>
        <w:sz w:val="20"/>
        <w:lang w:val="en-US"/>
      </w:rPr>
      <w:instrText xml:space="preserve"> PAGE </w:instrText>
    </w:r>
    <w:r w:rsidRPr="002B4B83">
      <w:rPr>
        <w:rStyle w:val="PageNumber"/>
        <w:noProof/>
        <w:sz w:val="20"/>
        <w:lang w:val="en-US"/>
      </w:rPr>
      <w:fldChar w:fldCharType="separate"/>
    </w:r>
    <w:r w:rsidRPr="002B4B83">
      <w:rPr>
        <w:rStyle w:val="PageNumber"/>
        <w:noProof/>
        <w:sz w:val="20"/>
        <w:lang w:val="en-US"/>
      </w:rPr>
      <w:t>2</w:t>
    </w:r>
    <w:r w:rsidRPr="002B4B83">
      <w:rPr>
        <w:rStyle w:val="PageNumber"/>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9F34" w14:textId="77777777" w:rsidR="003A092E" w:rsidRPr="002B4B83" w:rsidRDefault="003A092E" w:rsidP="003A092E">
    <w:pPr>
      <w:pStyle w:val="Footer"/>
      <w:rPr>
        <w:noProof/>
        <w:sz w:val="20"/>
        <w:lang w:val="en-US"/>
      </w:rPr>
    </w:pPr>
  </w:p>
  <w:p w14:paraId="0FCACF6F" w14:textId="17E06D4F" w:rsidR="003A092E" w:rsidRPr="002B4B83" w:rsidRDefault="003A092E">
    <w:pPr>
      <w:pStyle w:val="Footer"/>
      <w:rPr>
        <w:noProof/>
        <w:sz w:val="20"/>
        <w:lang w:val="en-US"/>
      </w:rPr>
    </w:pPr>
    <w:r w:rsidRPr="002B4B83">
      <w:rPr>
        <w:noProof/>
        <w:sz w:val="20"/>
        <w:lang w:val="en-US"/>
      </w:rPr>
      <w:t xml:space="preserve">Translation </w:t>
    </w:r>
    <w:r w:rsidRPr="002B4B83">
      <w:rPr>
        <w:noProof/>
        <w:sz w:val="20"/>
        <w:lang w:val="en-US"/>
      </w:rPr>
      <w:fldChar w:fldCharType="begin"/>
    </w:r>
    <w:r w:rsidRPr="002B4B83">
      <w:rPr>
        <w:noProof/>
        <w:sz w:val="20"/>
        <w:lang w:val="en-US"/>
      </w:rPr>
      <w:instrText>symbol 169 \f "UnivrstyRoman TL" \s 8</w:instrText>
    </w:r>
    <w:r w:rsidRPr="002B4B83">
      <w:rPr>
        <w:noProof/>
        <w:sz w:val="20"/>
        <w:lang w:val="en-US"/>
      </w:rPr>
      <w:fldChar w:fldCharType="separate"/>
    </w:r>
    <w:r w:rsidRPr="002B4B83">
      <w:rPr>
        <w:noProof/>
        <w:sz w:val="20"/>
        <w:lang w:val="en-US"/>
      </w:rPr>
      <w:t>©</w:t>
    </w:r>
    <w:r w:rsidRPr="002B4B83">
      <w:rPr>
        <w:noProof/>
        <w:sz w:val="20"/>
        <w:lang w:val="en-US"/>
      </w:rPr>
      <w:fldChar w:fldCharType="end"/>
    </w:r>
    <w:r w:rsidRPr="002B4B83">
      <w:rPr>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812CD" w14:textId="77777777" w:rsidR="00767875" w:rsidRPr="002B4B83" w:rsidRDefault="00767875" w:rsidP="0015187F">
      <w:pPr>
        <w:rPr>
          <w:noProof/>
          <w:lang w:val="en-US"/>
        </w:rPr>
      </w:pPr>
      <w:r w:rsidRPr="002B4B83">
        <w:rPr>
          <w:noProof/>
          <w:lang w:val="en-US"/>
        </w:rPr>
        <w:separator/>
      </w:r>
    </w:p>
  </w:footnote>
  <w:footnote w:type="continuationSeparator" w:id="0">
    <w:p w14:paraId="11715E5C" w14:textId="77777777" w:rsidR="00767875" w:rsidRPr="002B4B83" w:rsidRDefault="00767875" w:rsidP="0015187F">
      <w:pPr>
        <w:rPr>
          <w:noProof/>
          <w:lang w:val="en-US"/>
        </w:rPr>
      </w:pPr>
      <w:r w:rsidRPr="002B4B8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B987" w14:textId="77777777" w:rsidR="002B4B83" w:rsidRDefault="002B4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55F0" w14:textId="77777777" w:rsidR="002B4B83" w:rsidRDefault="002B4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F912" w14:textId="77777777" w:rsidR="002B4B83" w:rsidRDefault="002B4B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C2"/>
    <w:rsid w:val="000170B4"/>
    <w:rsid w:val="000A41A1"/>
    <w:rsid w:val="0015187F"/>
    <w:rsid w:val="001741F5"/>
    <w:rsid w:val="001D6BC0"/>
    <w:rsid w:val="00253BE0"/>
    <w:rsid w:val="002B4B83"/>
    <w:rsid w:val="00372A04"/>
    <w:rsid w:val="003A092E"/>
    <w:rsid w:val="004875F6"/>
    <w:rsid w:val="004B12B2"/>
    <w:rsid w:val="004E7436"/>
    <w:rsid w:val="00767875"/>
    <w:rsid w:val="007A68F4"/>
    <w:rsid w:val="0082792C"/>
    <w:rsid w:val="00941F2E"/>
    <w:rsid w:val="00A70410"/>
    <w:rsid w:val="00A873A8"/>
    <w:rsid w:val="00B22FCB"/>
    <w:rsid w:val="00B858C2"/>
    <w:rsid w:val="00C12642"/>
    <w:rsid w:val="00C13A38"/>
    <w:rsid w:val="00C9339E"/>
    <w:rsid w:val="00DB1731"/>
    <w:rsid w:val="00F24D82"/>
    <w:rsid w:val="00F75363"/>
    <w:rsid w:val="00F84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574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qFormat/>
    <w:rsid w:val="00B858C2"/>
    <w:pPr>
      <w:spacing w:before="100" w:beforeAutospacing="1" w:after="100" w:afterAutospacing="1"/>
      <w:outlineLvl w:val="2"/>
    </w:pPr>
    <w:rPr>
      <w:b/>
      <w:bCs/>
      <w:sz w:val="27"/>
      <w:szCs w:val="27"/>
    </w:rPr>
  </w:style>
  <w:style w:type="paragraph" w:styleId="Heading4">
    <w:name w:val="heading 4"/>
    <w:basedOn w:val="Normal"/>
    <w:qFormat/>
    <w:rsid w:val="00B858C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58C2"/>
    <w:pPr>
      <w:spacing w:before="100" w:beforeAutospacing="1" w:after="100" w:afterAutospacing="1"/>
    </w:pPr>
  </w:style>
  <w:style w:type="character" w:styleId="Hyperlink">
    <w:name w:val="Hyperlink"/>
    <w:rsid w:val="00B858C2"/>
    <w:rPr>
      <w:color w:val="0000FF"/>
      <w:u w:val="single"/>
    </w:rPr>
  </w:style>
  <w:style w:type="character" w:styleId="UnresolvedMention">
    <w:name w:val="Unresolved Mention"/>
    <w:basedOn w:val="DefaultParagraphFont"/>
    <w:uiPriority w:val="99"/>
    <w:semiHidden/>
    <w:unhideWhenUsed/>
    <w:rsid w:val="00F84F2A"/>
    <w:rPr>
      <w:color w:val="605E5C"/>
      <w:shd w:val="clear" w:color="auto" w:fill="E1DFDD"/>
    </w:rPr>
  </w:style>
  <w:style w:type="paragraph" w:styleId="Header">
    <w:name w:val="header"/>
    <w:basedOn w:val="Normal"/>
    <w:link w:val="HeaderChar"/>
    <w:uiPriority w:val="99"/>
    <w:unhideWhenUsed/>
    <w:rsid w:val="0015187F"/>
    <w:pPr>
      <w:tabs>
        <w:tab w:val="center" w:pos="4153"/>
        <w:tab w:val="right" w:pos="8306"/>
      </w:tabs>
    </w:pPr>
  </w:style>
  <w:style w:type="character" w:customStyle="1" w:styleId="HeaderChar">
    <w:name w:val="Header Char"/>
    <w:basedOn w:val="DefaultParagraphFont"/>
    <w:link w:val="Header"/>
    <w:uiPriority w:val="99"/>
    <w:rsid w:val="0015187F"/>
    <w:rPr>
      <w:sz w:val="24"/>
      <w:szCs w:val="24"/>
    </w:rPr>
  </w:style>
  <w:style w:type="paragraph" w:styleId="Footer">
    <w:name w:val="footer"/>
    <w:basedOn w:val="Normal"/>
    <w:link w:val="FooterChar"/>
    <w:unhideWhenUsed/>
    <w:rsid w:val="0015187F"/>
    <w:pPr>
      <w:tabs>
        <w:tab w:val="center" w:pos="4153"/>
        <w:tab w:val="right" w:pos="8306"/>
      </w:tabs>
    </w:pPr>
  </w:style>
  <w:style w:type="character" w:customStyle="1" w:styleId="FooterChar">
    <w:name w:val="Footer Char"/>
    <w:basedOn w:val="DefaultParagraphFont"/>
    <w:link w:val="Footer"/>
    <w:uiPriority w:val="99"/>
    <w:rsid w:val="0015187F"/>
    <w:rPr>
      <w:sz w:val="24"/>
      <w:szCs w:val="24"/>
    </w:rPr>
  </w:style>
  <w:style w:type="character" w:styleId="PageNumber">
    <w:name w:val="page number"/>
    <w:rsid w:val="00A70410"/>
  </w:style>
  <w:style w:type="paragraph" w:styleId="BlockText">
    <w:name w:val="Block Text"/>
    <w:basedOn w:val="Normal"/>
    <w:rsid w:val="00941F2E"/>
    <w:pPr>
      <w:widowControl w:val="0"/>
      <w:ind w:left="540" w:right="2546"/>
      <w:jc w:val="both"/>
    </w:pPr>
    <w:rPr>
      <w:snapToGrid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654863">
      <w:bodyDiv w:val="1"/>
      <w:marLeft w:val="0"/>
      <w:marRight w:val="0"/>
      <w:marTop w:val="0"/>
      <w:marBottom w:val="0"/>
      <w:divBdr>
        <w:top w:val="none" w:sz="0" w:space="0" w:color="auto"/>
        <w:left w:val="none" w:sz="0" w:space="0" w:color="auto"/>
        <w:bottom w:val="none" w:sz="0" w:space="0" w:color="auto"/>
        <w:right w:val="none" w:sz="0" w:space="0" w:color="auto"/>
      </w:divBdr>
      <w:divsChild>
        <w:div w:id="1098911396">
          <w:marLeft w:val="0"/>
          <w:marRight w:val="0"/>
          <w:marTop w:val="0"/>
          <w:marBottom w:val="0"/>
          <w:divBdr>
            <w:top w:val="none" w:sz="0" w:space="0" w:color="auto"/>
            <w:left w:val="none" w:sz="0" w:space="0" w:color="auto"/>
            <w:bottom w:val="none" w:sz="0" w:space="0" w:color="auto"/>
            <w:right w:val="none" w:sz="0" w:space="0" w:color="auto"/>
          </w:divBdr>
        </w:div>
      </w:divsChild>
    </w:div>
    <w:div w:id="1230267872">
      <w:bodyDiv w:val="1"/>
      <w:marLeft w:val="0"/>
      <w:marRight w:val="0"/>
      <w:marTop w:val="0"/>
      <w:marBottom w:val="0"/>
      <w:divBdr>
        <w:top w:val="none" w:sz="0" w:space="0" w:color="auto"/>
        <w:left w:val="none" w:sz="0" w:space="0" w:color="auto"/>
        <w:bottom w:val="none" w:sz="0" w:space="0" w:color="auto"/>
        <w:right w:val="none" w:sz="0" w:space="0" w:color="auto"/>
      </w:divBdr>
      <w:divsChild>
        <w:div w:id="977224621">
          <w:marLeft w:val="0"/>
          <w:marRight w:val="0"/>
          <w:marTop w:val="480"/>
          <w:marBottom w:val="240"/>
          <w:divBdr>
            <w:top w:val="none" w:sz="0" w:space="0" w:color="auto"/>
            <w:left w:val="none" w:sz="0" w:space="0" w:color="auto"/>
            <w:bottom w:val="none" w:sz="0" w:space="0" w:color="auto"/>
            <w:right w:val="none" w:sz="0" w:space="0" w:color="auto"/>
          </w:divBdr>
        </w:div>
        <w:div w:id="1880046195">
          <w:marLeft w:val="0"/>
          <w:marRight w:val="0"/>
          <w:marTop w:val="0"/>
          <w:marBottom w:val="567"/>
          <w:divBdr>
            <w:top w:val="none" w:sz="0" w:space="0" w:color="auto"/>
            <w:left w:val="none" w:sz="0" w:space="0" w:color="auto"/>
            <w:bottom w:val="none" w:sz="0" w:space="0" w:color="auto"/>
            <w:right w:val="none" w:sz="0" w:space="0" w:color="auto"/>
          </w:divBdr>
        </w:div>
        <w:div w:id="1780023576">
          <w:marLeft w:val="0"/>
          <w:marRight w:val="0"/>
          <w:marTop w:val="0"/>
          <w:marBottom w:val="567"/>
          <w:divBdr>
            <w:top w:val="none" w:sz="0" w:space="0" w:color="auto"/>
            <w:left w:val="none" w:sz="0" w:space="0" w:color="auto"/>
            <w:bottom w:val="none" w:sz="0" w:space="0" w:color="auto"/>
            <w:right w:val="none" w:sz="0" w:space="0" w:color="auto"/>
          </w:divBdr>
        </w:div>
        <w:div w:id="2107993394">
          <w:marLeft w:val="0"/>
          <w:marRight w:val="0"/>
          <w:marTop w:val="0"/>
          <w:marBottom w:val="0"/>
          <w:divBdr>
            <w:top w:val="none" w:sz="0" w:space="0" w:color="auto"/>
            <w:left w:val="none" w:sz="0" w:space="0" w:color="auto"/>
            <w:bottom w:val="none" w:sz="0" w:space="0" w:color="auto"/>
            <w:right w:val="none" w:sz="0" w:space="0" w:color="auto"/>
          </w:divBdr>
        </w:div>
        <w:div w:id="978999626">
          <w:marLeft w:val="0"/>
          <w:marRight w:val="0"/>
          <w:marTop w:val="0"/>
          <w:marBottom w:val="0"/>
          <w:divBdr>
            <w:top w:val="none" w:sz="0" w:space="0" w:color="auto"/>
            <w:left w:val="none" w:sz="0" w:space="0" w:color="auto"/>
            <w:bottom w:val="none" w:sz="0" w:space="0" w:color="auto"/>
            <w:right w:val="none" w:sz="0" w:space="0" w:color="auto"/>
          </w:divBdr>
        </w:div>
        <w:div w:id="100807951">
          <w:marLeft w:val="0"/>
          <w:marRight w:val="0"/>
          <w:marTop w:val="0"/>
          <w:marBottom w:val="0"/>
          <w:divBdr>
            <w:top w:val="none" w:sz="0" w:space="0" w:color="auto"/>
            <w:left w:val="none" w:sz="0" w:space="0" w:color="auto"/>
            <w:bottom w:val="none" w:sz="0" w:space="0" w:color="auto"/>
            <w:right w:val="none" w:sz="0" w:space="0" w:color="auto"/>
          </w:divBdr>
        </w:div>
        <w:div w:id="552349630">
          <w:marLeft w:val="0"/>
          <w:marRight w:val="0"/>
          <w:marTop w:val="0"/>
          <w:marBottom w:val="0"/>
          <w:divBdr>
            <w:top w:val="none" w:sz="0" w:space="0" w:color="auto"/>
            <w:left w:val="none" w:sz="0" w:space="0" w:color="auto"/>
            <w:bottom w:val="none" w:sz="0" w:space="0" w:color="auto"/>
            <w:right w:val="none" w:sz="0" w:space="0" w:color="auto"/>
          </w:divBdr>
        </w:div>
        <w:div w:id="348914881">
          <w:marLeft w:val="0"/>
          <w:marRight w:val="0"/>
          <w:marTop w:val="0"/>
          <w:marBottom w:val="0"/>
          <w:divBdr>
            <w:top w:val="none" w:sz="0" w:space="0" w:color="auto"/>
            <w:left w:val="none" w:sz="0" w:space="0" w:color="auto"/>
            <w:bottom w:val="none" w:sz="0" w:space="0" w:color="auto"/>
            <w:right w:val="none" w:sz="0" w:space="0" w:color="auto"/>
          </w:divBdr>
        </w:div>
        <w:div w:id="1447504410">
          <w:marLeft w:val="0"/>
          <w:marRight w:val="0"/>
          <w:marTop w:val="0"/>
          <w:marBottom w:val="0"/>
          <w:divBdr>
            <w:top w:val="none" w:sz="0" w:space="0" w:color="auto"/>
            <w:left w:val="none" w:sz="0" w:space="0" w:color="auto"/>
            <w:bottom w:val="none" w:sz="0" w:space="0" w:color="auto"/>
            <w:right w:val="none" w:sz="0" w:space="0" w:color="auto"/>
          </w:divBdr>
        </w:div>
        <w:div w:id="1292859925">
          <w:marLeft w:val="0"/>
          <w:marRight w:val="0"/>
          <w:marTop w:val="0"/>
          <w:marBottom w:val="0"/>
          <w:divBdr>
            <w:top w:val="none" w:sz="0" w:space="0" w:color="auto"/>
            <w:left w:val="none" w:sz="0" w:space="0" w:color="auto"/>
            <w:bottom w:val="none" w:sz="0" w:space="0" w:color="auto"/>
            <w:right w:val="none" w:sz="0" w:space="0" w:color="auto"/>
          </w:divBdr>
        </w:div>
        <w:div w:id="738555445">
          <w:marLeft w:val="0"/>
          <w:marRight w:val="0"/>
          <w:marTop w:val="0"/>
          <w:marBottom w:val="0"/>
          <w:divBdr>
            <w:top w:val="none" w:sz="0" w:space="0" w:color="auto"/>
            <w:left w:val="none" w:sz="0" w:space="0" w:color="auto"/>
            <w:bottom w:val="none" w:sz="0" w:space="0" w:color="auto"/>
            <w:right w:val="none" w:sz="0" w:space="0" w:color="auto"/>
          </w:divBdr>
        </w:div>
        <w:div w:id="1974476815">
          <w:marLeft w:val="0"/>
          <w:marRight w:val="0"/>
          <w:marTop w:val="0"/>
          <w:marBottom w:val="0"/>
          <w:divBdr>
            <w:top w:val="none" w:sz="0" w:space="0" w:color="auto"/>
            <w:left w:val="none" w:sz="0" w:space="0" w:color="auto"/>
            <w:bottom w:val="none" w:sz="0" w:space="0" w:color="auto"/>
            <w:right w:val="none" w:sz="0" w:space="0" w:color="auto"/>
          </w:divBdr>
        </w:div>
        <w:div w:id="1775399616">
          <w:marLeft w:val="0"/>
          <w:marRight w:val="0"/>
          <w:marTop w:val="0"/>
          <w:marBottom w:val="0"/>
          <w:divBdr>
            <w:top w:val="none" w:sz="0" w:space="0" w:color="auto"/>
            <w:left w:val="none" w:sz="0" w:space="0" w:color="auto"/>
            <w:bottom w:val="none" w:sz="0" w:space="0" w:color="auto"/>
            <w:right w:val="none" w:sz="0" w:space="0" w:color="auto"/>
          </w:divBdr>
        </w:div>
        <w:div w:id="1566988041">
          <w:marLeft w:val="0"/>
          <w:marRight w:val="0"/>
          <w:marTop w:val="0"/>
          <w:marBottom w:val="0"/>
          <w:divBdr>
            <w:top w:val="none" w:sz="0" w:space="0" w:color="auto"/>
            <w:left w:val="none" w:sz="0" w:space="0" w:color="auto"/>
            <w:bottom w:val="none" w:sz="0" w:space="0" w:color="auto"/>
            <w:right w:val="none" w:sz="0" w:space="0" w:color="auto"/>
          </w:divBdr>
        </w:div>
        <w:div w:id="587154531">
          <w:marLeft w:val="0"/>
          <w:marRight w:val="0"/>
          <w:marTop w:val="0"/>
          <w:marBottom w:val="0"/>
          <w:divBdr>
            <w:top w:val="none" w:sz="0" w:space="0" w:color="auto"/>
            <w:left w:val="none" w:sz="0" w:space="0" w:color="auto"/>
            <w:bottom w:val="none" w:sz="0" w:space="0" w:color="auto"/>
            <w:right w:val="none" w:sz="0" w:space="0" w:color="auto"/>
          </w:divBdr>
        </w:div>
        <w:div w:id="645623277">
          <w:marLeft w:val="0"/>
          <w:marRight w:val="0"/>
          <w:marTop w:val="0"/>
          <w:marBottom w:val="0"/>
          <w:divBdr>
            <w:top w:val="none" w:sz="0" w:space="0" w:color="auto"/>
            <w:left w:val="none" w:sz="0" w:space="0" w:color="auto"/>
            <w:bottom w:val="none" w:sz="0" w:space="0" w:color="auto"/>
            <w:right w:val="none" w:sz="0" w:space="0" w:color="auto"/>
          </w:divBdr>
        </w:div>
        <w:div w:id="1258127193">
          <w:marLeft w:val="0"/>
          <w:marRight w:val="0"/>
          <w:marTop w:val="0"/>
          <w:marBottom w:val="0"/>
          <w:divBdr>
            <w:top w:val="none" w:sz="0" w:space="0" w:color="auto"/>
            <w:left w:val="none" w:sz="0" w:space="0" w:color="auto"/>
            <w:bottom w:val="none" w:sz="0" w:space="0" w:color="auto"/>
            <w:right w:val="none" w:sz="0" w:space="0" w:color="auto"/>
          </w:divBdr>
        </w:div>
        <w:div w:id="930966064">
          <w:marLeft w:val="0"/>
          <w:marRight w:val="0"/>
          <w:marTop w:val="0"/>
          <w:marBottom w:val="0"/>
          <w:divBdr>
            <w:top w:val="none" w:sz="0" w:space="0" w:color="auto"/>
            <w:left w:val="none" w:sz="0" w:space="0" w:color="auto"/>
            <w:bottom w:val="none" w:sz="0" w:space="0" w:color="auto"/>
            <w:right w:val="none" w:sz="0" w:space="0" w:color="auto"/>
          </w:divBdr>
        </w:div>
        <w:div w:id="1706757163">
          <w:marLeft w:val="0"/>
          <w:marRight w:val="0"/>
          <w:marTop w:val="0"/>
          <w:marBottom w:val="0"/>
          <w:divBdr>
            <w:top w:val="none" w:sz="0" w:space="0" w:color="auto"/>
            <w:left w:val="none" w:sz="0" w:space="0" w:color="auto"/>
            <w:bottom w:val="none" w:sz="0" w:space="0" w:color="auto"/>
            <w:right w:val="none" w:sz="0" w:space="0" w:color="auto"/>
          </w:divBdr>
        </w:div>
        <w:div w:id="1400861944">
          <w:marLeft w:val="0"/>
          <w:marRight w:val="0"/>
          <w:marTop w:val="0"/>
          <w:marBottom w:val="0"/>
          <w:divBdr>
            <w:top w:val="none" w:sz="0" w:space="0" w:color="auto"/>
            <w:left w:val="none" w:sz="0" w:space="0" w:color="auto"/>
            <w:bottom w:val="none" w:sz="0" w:space="0" w:color="auto"/>
            <w:right w:val="none" w:sz="0" w:space="0" w:color="auto"/>
          </w:divBdr>
        </w:div>
        <w:div w:id="1882204758">
          <w:marLeft w:val="0"/>
          <w:marRight w:val="0"/>
          <w:marTop w:val="0"/>
          <w:marBottom w:val="0"/>
          <w:divBdr>
            <w:top w:val="none" w:sz="0" w:space="0" w:color="auto"/>
            <w:left w:val="none" w:sz="0" w:space="0" w:color="auto"/>
            <w:bottom w:val="none" w:sz="0" w:space="0" w:color="auto"/>
            <w:right w:val="none" w:sz="0" w:space="0" w:color="auto"/>
          </w:divBdr>
        </w:div>
        <w:div w:id="1211303005">
          <w:marLeft w:val="0"/>
          <w:marRight w:val="0"/>
          <w:marTop w:val="0"/>
          <w:marBottom w:val="0"/>
          <w:divBdr>
            <w:top w:val="none" w:sz="0" w:space="0" w:color="auto"/>
            <w:left w:val="none" w:sz="0" w:space="0" w:color="auto"/>
            <w:bottom w:val="none" w:sz="0" w:space="0" w:color="auto"/>
            <w:right w:val="none" w:sz="0" w:space="0" w:color="auto"/>
          </w:divBdr>
        </w:div>
        <w:div w:id="2065640088">
          <w:marLeft w:val="0"/>
          <w:marRight w:val="0"/>
          <w:marTop w:val="0"/>
          <w:marBottom w:val="0"/>
          <w:divBdr>
            <w:top w:val="none" w:sz="0" w:space="0" w:color="auto"/>
            <w:left w:val="none" w:sz="0" w:space="0" w:color="auto"/>
            <w:bottom w:val="none" w:sz="0" w:space="0" w:color="auto"/>
            <w:right w:val="none" w:sz="0" w:space="0" w:color="auto"/>
          </w:divBdr>
        </w:div>
        <w:div w:id="683944885">
          <w:marLeft w:val="0"/>
          <w:marRight w:val="0"/>
          <w:marTop w:val="0"/>
          <w:marBottom w:val="0"/>
          <w:divBdr>
            <w:top w:val="none" w:sz="0" w:space="0" w:color="auto"/>
            <w:left w:val="none" w:sz="0" w:space="0" w:color="auto"/>
            <w:bottom w:val="none" w:sz="0" w:space="0" w:color="auto"/>
            <w:right w:val="none" w:sz="0" w:space="0" w:color="auto"/>
          </w:divBdr>
        </w:div>
        <w:div w:id="1266768342">
          <w:marLeft w:val="0"/>
          <w:marRight w:val="0"/>
          <w:marTop w:val="0"/>
          <w:marBottom w:val="0"/>
          <w:divBdr>
            <w:top w:val="none" w:sz="0" w:space="0" w:color="auto"/>
            <w:left w:val="none" w:sz="0" w:space="0" w:color="auto"/>
            <w:bottom w:val="none" w:sz="0" w:space="0" w:color="auto"/>
            <w:right w:val="none" w:sz="0" w:space="0" w:color="auto"/>
          </w:divBdr>
        </w:div>
        <w:div w:id="2049183573">
          <w:marLeft w:val="0"/>
          <w:marRight w:val="0"/>
          <w:marTop w:val="0"/>
          <w:marBottom w:val="0"/>
          <w:divBdr>
            <w:top w:val="none" w:sz="0" w:space="0" w:color="auto"/>
            <w:left w:val="none" w:sz="0" w:space="0" w:color="auto"/>
            <w:bottom w:val="none" w:sz="0" w:space="0" w:color="auto"/>
            <w:right w:val="none" w:sz="0" w:space="0" w:color="auto"/>
          </w:divBdr>
        </w:div>
        <w:div w:id="1311209268">
          <w:marLeft w:val="0"/>
          <w:marRight w:val="0"/>
          <w:marTop w:val="0"/>
          <w:marBottom w:val="0"/>
          <w:divBdr>
            <w:top w:val="none" w:sz="0" w:space="0" w:color="auto"/>
            <w:left w:val="none" w:sz="0" w:space="0" w:color="auto"/>
            <w:bottom w:val="none" w:sz="0" w:space="0" w:color="auto"/>
            <w:right w:val="none" w:sz="0" w:space="0" w:color="auto"/>
          </w:divBdr>
        </w:div>
        <w:div w:id="615604621">
          <w:marLeft w:val="0"/>
          <w:marRight w:val="0"/>
          <w:marTop w:val="0"/>
          <w:marBottom w:val="0"/>
          <w:divBdr>
            <w:top w:val="none" w:sz="0" w:space="0" w:color="auto"/>
            <w:left w:val="none" w:sz="0" w:space="0" w:color="auto"/>
            <w:bottom w:val="none" w:sz="0" w:space="0" w:color="auto"/>
            <w:right w:val="none" w:sz="0" w:space="0" w:color="auto"/>
          </w:divBdr>
        </w:div>
        <w:div w:id="1982467040">
          <w:marLeft w:val="0"/>
          <w:marRight w:val="0"/>
          <w:marTop w:val="0"/>
          <w:marBottom w:val="0"/>
          <w:divBdr>
            <w:top w:val="none" w:sz="0" w:space="0" w:color="auto"/>
            <w:left w:val="none" w:sz="0" w:space="0" w:color="auto"/>
            <w:bottom w:val="none" w:sz="0" w:space="0" w:color="auto"/>
            <w:right w:val="none" w:sz="0" w:space="0" w:color="auto"/>
          </w:divBdr>
        </w:div>
        <w:div w:id="509952025">
          <w:marLeft w:val="0"/>
          <w:marRight w:val="0"/>
          <w:marTop w:val="0"/>
          <w:marBottom w:val="0"/>
          <w:divBdr>
            <w:top w:val="none" w:sz="0" w:space="0" w:color="auto"/>
            <w:left w:val="none" w:sz="0" w:space="0" w:color="auto"/>
            <w:bottom w:val="none" w:sz="0" w:space="0" w:color="auto"/>
            <w:right w:val="none" w:sz="0" w:space="0" w:color="auto"/>
          </w:divBdr>
        </w:div>
        <w:div w:id="604117560">
          <w:marLeft w:val="0"/>
          <w:marRight w:val="0"/>
          <w:marTop w:val="0"/>
          <w:marBottom w:val="0"/>
          <w:divBdr>
            <w:top w:val="none" w:sz="0" w:space="0" w:color="auto"/>
            <w:left w:val="none" w:sz="0" w:space="0" w:color="auto"/>
            <w:bottom w:val="none" w:sz="0" w:space="0" w:color="auto"/>
            <w:right w:val="none" w:sz="0" w:space="0" w:color="auto"/>
          </w:divBdr>
        </w:div>
        <w:div w:id="1694644712">
          <w:marLeft w:val="0"/>
          <w:marRight w:val="0"/>
          <w:marTop w:val="0"/>
          <w:marBottom w:val="0"/>
          <w:divBdr>
            <w:top w:val="none" w:sz="0" w:space="0" w:color="auto"/>
            <w:left w:val="none" w:sz="0" w:space="0" w:color="auto"/>
            <w:bottom w:val="none" w:sz="0" w:space="0" w:color="auto"/>
            <w:right w:val="none" w:sz="0" w:space="0" w:color="auto"/>
          </w:divBdr>
        </w:div>
        <w:div w:id="182482091">
          <w:marLeft w:val="0"/>
          <w:marRight w:val="0"/>
          <w:marTop w:val="0"/>
          <w:marBottom w:val="0"/>
          <w:divBdr>
            <w:top w:val="none" w:sz="0" w:space="0" w:color="auto"/>
            <w:left w:val="none" w:sz="0" w:space="0" w:color="auto"/>
            <w:bottom w:val="none" w:sz="0" w:space="0" w:color="auto"/>
            <w:right w:val="none" w:sz="0" w:space="0" w:color="auto"/>
          </w:divBdr>
        </w:div>
        <w:div w:id="2096631950">
          <w:marLeft w:val="0"/>
          <w:marRight w:val="0"/>
          <w:marTop w:val="0"/>
          <w:marBottom w:val="0"/>
          <w:divBdr>
            <w:top w:val="none" w:sz="0" w:space="0" w:color="auto"/>
            <w:left w:val="none" w:sz="0" w:space="0" w:color="auto"/>
            <w:bottom w:val="none" w:sz="0" w:space="0" w:color="auto"/>
            <w:right w:val="none" w:sz="0" w:space="0" w:color="auto"/>
          </w:divBdr>
        </w:div>
        <w:div w:id="764544356">
          <w:marLeft w:val="0"/>
          <w:marRight w:val="0"/>
          <w:marTop w:val="0"/>
          <w:marBottom w:val="0"/>
          <w:divBdr>
            <w:top w:val="none" w:sz="0" w:space="0" w:color="auto"/>
            <w:left w:val="none" w:sz="0" w:space="0" w:color="auto"/>
            <w:bottom w:val="none" w:sz="0" w:space="0" w:color="auto"/>
            <w:right w:val="none" w:sz="0" w:space="0" w:color="auto"/>
          </w:divBdr>
        </w:div>
        <w:div w:id="1143501175">
          <w:marLeft w:val="0"/>
          <w:marRight w:val="0"/>
          <w:marTop w:val="0"/>
          <w:marBottom w:val="0"/>
          <w:divBdr>
            <w:top w:val="none" w:sz="0" w:space="0" w:color="auto"/>
            <w:left w:val="none" w:sz="0" w:space="0" w:color="auto"/>
            <w:bottom w:val="none" w:sz="0" w:space="0" w:color="auto"/>
            <w:right w:val="none" w:sz="0" w:space="0" w:color="auto"/>
          </w:divBdr>
        </w:div>
        <w:div w:id="2039425686">
          <w:marLeft w:val="0"/>
          <w:marRight w:val="0"/>
          <w:marTop w:val="0"/>
          <w:marBottom w:val="0"/>
          <w:divBdr>
            <w:top w:val="none" w:sz="0" w:space="0" w:color="auto"/>
            <w:left w:val="none" w:sz="0" w:space="0" w:color="auto"/>
            <w:bottom w:val="none" w:sz="0" w:space="0" w:color="auto"/>
            <w:right w:val="none" w:sz="0" w:space="0" w:color="auto"/>
          </w:divBdr>
        </w:div>
        <w:div w:id="1456291097">
          <w:marLeft w:val="0"/>
          <w:marRight w:val="0"/>
          <w:marTop w:val="0"/>
          <w:marBottom w:val="0"/>
          <w:divBdr>
            <w:top w:val="none" w:sz="0" w:space="0" w:color="auto"/>
            <w:left w:val="none" w:sz="0" w:space="0" w:color="auto"/>
            <w:bottom w:val="none" w:sz="0" w:space="0" w:color="auto"/>
            <w:right w:val="none" w:sz="0" w:space="0" w:color="auto"/>
          </w:divBdr>
        </w:div>
        <w:div w:id="111478505">
          <w:marLeft w:val="0"/>
          <w:marRight w:val="0"/>
          <w:marTop w:val="0"/>
          <w:marBottom w:val="0"/>
          <w:divBdr>
            <w:top w:val="none" w:sz="0" w:space="0" w:color="auto"/>
            <w:left w:val="none" w:sz="0" w:space="0" w:color="auto"/>
            <w:bottom w:val="none" w:sz="0" w:space="0" w:color="auto"/>
            <w:right w:val="none" w:sz="0" w:space="0" w:color="auto"/>
          </w:divBdr>
        </w:div>
        <w:div w:id="878056349">
          <w:marLeft w:val="0"/>
          <w:marRight w:val="0"/>
          <w:marTop w:val="0"/>
          <w:marBottom w:val="0"/>
          <w:divBdr>
            <w:top w:val="none" w:sz="0" w:space="0" w:color="auto"/>
            <w:left w:val="none" w:sz="0" w:space="0" w:color="auto"/>
            <w:bottom w:val="none" w:sz="0" w:space="0" w:color="auto"/>
            <w:right w:val="none" w:sz="0" w:space="0" w:color="auto"/>
          </w:divBdr>
        </w:div>
        <w:div w:id="1869172644">
          <w:marLeft w:val="0"/>
          <w:marRight w:val="0"/>
          <w:marTop w:val="0"/>
          <w:marBottom w:val="0"/>
          <w:divBdr>
            <w:top w:val="none" w:sz="0" w:space="0" w:color="auto"/>
            <w:left w:val="none" w:sz="0" w:space="0" w:color="auto"/>
            <w:bottom w:val="none" w:sz="0" w:space="0" w:color="auto"/>
            <w:right w:val="none" w:sz="0" w:space="0" w:color="auto"/>
          </w:divBdr>
        </w:div>
        <w:div w:id="1409692570">
          <w:marLeft w:val="0"/>
          <w:marRight w:val="0"/>
          <w:marTop w:val="0"/>
          <w:marBottom w:val="0"/>
          <w:divBdr>
            <w:top w:val="none" w:sz="0" w:space="0" w:color="auto"/>
            <w:left w:val="none" w:sz="0" w:space="0" w:color="auto"/>
            <w:bottom w:val="none" w:sz="0" w:space="0" w:color="auto"/>
            <w:right w:val="none" w:sz="0" w:space="0" w:color="auto"/>
          </w:divBdr>
        </w:div>
        <w:div w:id="692420158">
          <w:marLeft w:val="0"/>
          <w:marRight w:val="0"/>
          <w:marTop w:val="0"/>
          <w:marBottom w:val="0"/>
          <w:divBdr>
            <w:top w:val="none" w:sz="0" w:space="0" w:color="auto"/>
            <w:left w:val="none" w:sz="0" w:space="0" w:color="auto"/>
            <w:bottom w:val="none" w:sz="0" w:space="0" w:color="auto"/>
            <w:right w:val="none" w:sz="0" w:space="0" w:color="auto"/>
          </w:divBdr>
        </w:div>
        <w:div w:id="985401545">
          <w:marLeft w:val="0"/>
          <w:marRight w:val="0"/>
          <w:marTop w:val="240"/>
          <w:marBottom w:val="0"/>
          <w:divBdr>
            <w:top w:val="none" w:sz="0" w:space="0" w:color="auto"/>
            <w:left w:val="none" w:sz="0" w:space="0" w:color="auto"/>
            <w:bottom w:val="none" w:sz="0" w:space="0" w:color="auto"/>
            <w:right w:val="none" w:sz="0" w:space="0" w:color="auto"/>
          </w:divBdr>
        </w:div>
        <w:div w:id="501509656">
          <w:marLeft w:val="150"/>
          <w:marRight w:val="150"/>
          <w:marTop w:val="480"/>
          <w:marBottom w:val="0"/>
          <w:divBdr>
            <w:top w:val="none" w:sz="0" w:space="0" w:color="auto"/>
            <w:left w:val="none" w:sz="0" w:space="0" w:color="auto"/>
            <w:bottom w:val="none" w:sz="0" w:space="0" w:color="auto"/>
            <w:right w:val="none" w:sz="0" w:space="0" w:color="auto"/>
          </w:divBdr>
        </w:div>
        <w:div w:id="498813059">
          <w:marLeft w:val="0"/>
          <w:marRight w:val="0"/>
          <w:marTop w:val="240"/>
          <w:marBottom w:val="0"/>
          <w:divBdr>
            <w:top w:val="none" w:sz="0" w:space="0" w:color="auto"/>
            <w:left w:val="none" w:sz="0" w:space="0" w:color="auto"/>
            <w:bottom w:val="none" w:sz="0" w:space="0" w:color="auto"/>
            <w:right w:val="none" w:sz="0" w:space="0" w:color="auto"/>
          </w:divBdr>
        </w:div>
        <w:div w:id="1803112906">
          <w:marLeft w:val="0"/>
          <w:marRight w:val="0"/>
          <w:marTop w:val="240"/>
          <w:marBottom w:val="0"/>
          <w:divBdr>
            <w:top w:val="none" w:sz="0" w:space="0" w:color="auto"/>
            <w:left w:val="none" w:sz="0" w:space="0" w:color="auto"/>
            <w:bottom w:val="none" w:sz="0" w:space="0" w:color="auto"/>
            <w:right w:val="none" w:sz="0" w:space="0" w:color="auto"/>
          </w:divBdr>
        </w:div>
        <w:div w:id="1171946423">
          <w:marLeft w:val="150"/>
          <w:marRight w:val="150"/>
          <w:marTop w:val="480"/>
          <w:marBottom w:val="0"/>
          <w:divBdr>
            <w:top w:val="none" w:sz="0" w:space="0" w:color="auto"/>
            <w:left w:val="none" w:sz="0" w:space="0" w:color="auto"/>
            <w:bottom w:val="none" w:sz="0" w:space="0" w:color="auto"/>
            <w:right w:val="none" w:sz="0" w:space="0" w:color="auto"/>
          </w:divBdr>
        </w:div>
        <w:div w:id="257376206">
          <w:marLeft w:val="0"/>
          <w:marRight w:val="0"/>
          <w:marTop w:val="240"/>
          <w:marBottom w:val="0"/>
          <w:divBdr>
            <w:top w:val="none" w:sz="0" w:space="0" w:color="auto"/>
            <w:left w:val="none" w:sz="0" w:space="0" w:color="auto"/>
            <w:bottom w:val="none" w:sz="0" w:space="0" w:color="auto"/>
            <w:right w:val="none" w:sz="0" w:space="0" w:color="auto"/>
          </w:divBdr>
        </w:div>
        <w:div w:id="149410807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38B56-9BEA-4D38-BE46-D5196DD47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34A3B-160D-4C7E-9A85-AAB7EC981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15821</Words>
  <Characters>9018</Characters>
  <Application>Microsoft Office Word</Application>
  <DocSecurity>0</DocSecurity>
  <Lines>75</Lines>
  <Paragraphs>49</Paragraphs>
  <ScaleCrop>false</ScaleCrop>
  <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2023-03-21T12:03:00Z</dcterms:created>
  <dcterms:modified xsi:type="dcterms:W3CDTF">2023-09-06T06:04:00Z</dcterms:modified>
</cp:coreProperties>
</file>