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6664A1" w14:textId="77777777" w:rsidR="00355F36" w:rsidRPr="00355F36" w:rsidRDefault="00355F36" w:rsidP="00355F36">
      <w:pPr>
        <w:widowControl w:val="0"/>
        <w:spacing w:after="0" w:line="240" w:lineRule="auto"/>
        <w:jc w:val="both"/>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Text consolidated by Valsts valodas centrs (State Language Centre) with amending laws of:</w:t>
      </w:r>
    </w:p>
    <w:p w14:paraId="4B2F38F9" w14:textId="77777777" w:rsidR="00355F36" w:rsidRPr="00355F36" w:rsidRDefault="00355F36" w:rsidP="00355F36">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15 December 2011 [shall come into force on 1 January 2012];</w:t>
      </w:r>
    </w:p>
    <w:p w14:paraId="6DA9830B" w14:textId="77777777" w:rsidR="00355F36" w:rsidRPr="00355F36" w:rsidRDefault="00355F36" w:rsidP="00355F36">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24 May 2012 [shall come into force on 7 June 2012];</w:t>
      </w:r>
    </w:p>
    <w:p w14:paraId="1B152DFE" w14:textId="77777777" w:rsidR="00355F36" w:rsidRPr="00355F36" w:rsidRDefault="00355F36" w:rsidP="00355F36">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13 February 2014 [shall come into force on 12 March 2014];</w:t>
      </w:r>
    </w:p>
    <w:p w14:paraId="16921975" w14:textId="77777777" w:rsidR="00355F36" w:rsidRPr="00355F36" w:rsidRDefault="00355F36" w:rsidP="00355F36">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18 February 2021 [shall come into force on 16 March 2021];</w:t>
      </w:r>
    </w:p>
    <w:p w14:paraId="7DE7491C" w14:textId="77777777" w:rsidR="00355F36" w:rsidRPr="00355F36" w:rsidRDefault="00355F36" w:rsidP="00355F36">
      <w:pPr>
        <w:spacing w:after="0" w:line="240" w:lineRule="auto"/>
        <w:jc w:val="center"/>
        <w:rPr>
          <w:rFonts w:ascii="Times New Roman" w:eastAsia="Times New Roman" w:hAnsi="Times New Roman" w:cs="Times New Roman"/>
          <w:noProof/>
          <w:kern w:val="0"/>
          <w:sz w:val="20"/>
          <w:szCs w:val="20"/>
          <w:lang w:val="en-US" w:eastAsia="lv-LV"/>
        </w:rPr>
      </w:pPr>
      <w:r w:rsidRPr="00355F36">
        <w:rPr>
          <w:rFonts w:ascii="Times New Roman" w:eastAsia="Times New Roman" w:hAnsi="Times New Roman" w:cs="Times New Roman"/>
          <w:noProof/>
          <w:kern w:val="0"/>
          <w:sz w:val="20"/>
          <w:szCs w:val="20"/>
          <w:lang w:val="en-US" w:eastAsia="lv-LV"/>
        </w:rPr>
        <w:t>11 May 2023 [shall come into force on 18 May 2023].</w:t>
      </w:r>
    </w:p>
    <w:p w14:paraId="2CECAC70" w14:textId="77777777" w:rsidR="00355F36" w:rsidRPr="00355F36" w:rsidRDefault="00355F36" w:rsidP="00355F36">
      <w:pPr>
        <w:widowControl w:val="0"/>
        <w:spacing w:after="0" w:line="240" w:lineRule="auto"/>
        <w:jc w:val="both"/>
        <w:rPr>
          <w:rFonts w:ascii="Times New Roman" w:eastAsia="Times New Roman" w:hAnsi="Times New Roman" w:cs="Times New Roman"/>
          <w:noProof/>
          <w:kern w:val="0"/>
          <w:sz w:val="20"/>
          <w:szCs w:val="20"/>
          <w:lang w:val="en-US"/>
        </w:rPr>
      </w:pPr>
      <w:r w:rsidRPr="00355F36">
        <w:rPr>
          <w:rFonts w:ascii="Times New Roman" w:eastAsia="Times New Roman" w:hAnsi="Times New Roman" w:cs="Times New Roman"/>
          <w:noProof/>
          <w:kern w:val="0"/>
          <w:sz w:val="20"/>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0EA00282" w14:textId="77777777" w:rsidR="00355F36" w:rsidRPr="00355F36" w:rsidRDefault="00355F36" w:rsidP="00355F36">
      <w:pPr>
        <w:spacing w:after="0" w:line="240" w:lineRule="auto"/>
        <w:rPr>
          <w:rFonts w:ascii="Times New Roman" w:eastAsia="Times New Roman" w:hAnsi="Times New Roman" w:cs="Times New Roman"/>
          <w:noProof/>
          <w:kern w:val="0"/>
          <w:sz w:val="24"/>
          <w:szCs w:val="24"/>
          <w:lang w:val="en-US" w:eastAsia="lv-LV"/>
        </w:rPr>
      </w:pPr>
    </w:p>
    <w:p w14:paraId="2B8CE316" w14:textId="77777777" w:rsidR="00355F36" w:rsidRPr="00355F36" w:rsidRDefault="00355F36" w:rsidP="00355F36">
      <w:pPr>
        <w:spacing w:after="0" w:line="240" w:lineRule="auto"/>
        <w:rPr>
          <w:rFonts w:ascii="Times New Roman" w:eastAsia="Times New Roman" w:hAnsi="Times New Roman" w:cs="Times New Roman"/>
          <w:noProof/>
          <w:kern w:val="0"/>
          <w:sz w:val="24"/>
          <w:szCs w:val="24"/>
          <w:lang w:val="en-US" w:eastAsia="lv-LV"/>
        </w:rPr>
      </w:pPr>
    </w:p>
    <w:p w14:paraId="56F07CC3" w14:textId="77777777" w:rsidR="00355F36" w:rsidRPr="00355F36" w:rsidRDefault="00355F36" w:rsidP="00355F36">
      <w:pPr>
        <w:spacing w:after="0" w:line="240" w:lineRule="auto"/>
        <w:jc w:val="right"/>
        <w:rPr>
          <w:rFonts w:ascii="Times New Roman" w:eastAsia="Times New Roman" w:hAnsi="Times New Roman" w:cs="Times New Roman"/>
          <w:noProof/>
          <w:kern w:val="0"/>
          <w:sz w:val="24"/>
          <w:szCs w:val="24"/>
          <w:lang w:val="en-US" w:eastAsia="lv-LV"/>
        </w:rPr>
      </w:pPr>
      <w:r w:rsidRPr="00355F36">
        <w:rPr>
          <w:rFonts w:ascii="Times New Roman" w:eastAsia="Times New Roman" w:hAnsi="Times New Roman" w:cs="Times New Roman"/>
          <w:noProof/>
          <w:kern w:val="0"/>
          <w:sz w:val="24"/>
          <w:szCs w:val="24"/>
          <w:lang w:val="en-US" w:eastAsia="lv-LV"/>
        </w:rPr>
        <w:t xml:space="preserve">The </w:t>
      </w:r>
      <w:r w:rsidRPr="00355F36">
        <w:rPr>
          <w:rFonts w:ascii="Times New Roman" w:eastAsia="Times New Roman" w:hAnsi="Times New Roman" w:cs="Times New Roman"/>
          <w:i/>
          <w:iCs/>
          <w:noProof/>
          <w:kern w:val="0"/>
          <w:sz w:val="24"/>
          <w:szCs w:val="24"/>
          <w:lang w:val="en-US" w:eastAsia="lv-LV"/>
        </w:rPr>
        <w:t>Saeima</w:t>
      </w:r>
      <w:r w:rsidRPr="00355F36">
        <w:rPr>
          <w:rFonts w:ascii="Times New Roman" w:eastAsia="Times New Roman" w:hAnsi="Times New Roman" w:cs="Times New Roman"/>
          <w:noProof/>
          <w:kern w:val="0"/>
          <w:sz w:val="24"/>
          <w:szCs w:val="24"/>
          <w:vertAlign w:val="superscript"/>
          <w:lang w:val="en-US" w:eastAsia="lv-LV"/>
        </w:rPr>
        <w:t>1</w:t>
      </w:r>
      <w:r w:rsidRPr="00355F36">
        <w:rPr>
          <w:rFonts w:ascii="Times New Roman" w:eastAsia="Times New Roman" w:hAnsi="Times New Roman" w:cs="Times New Roman"/>
          <w:noProof/>
          <w:kern w:val="0"/>
          <w:sz w:val="24"/>
          <w:szCs w:val="24"/>
          <w:lang w:val="en-US" w:eastAsia="lv-LV"/>
        </w:rPr>
        <w:t xml:space="preserve"> has adopted and</w:t>
      </w:r>
    </w:p>
    <w:p w14:paraId="62EF2067" w14:textId="77777777" w:rsidR="00355F36" w:rsidRPr="00355F36" w:rsidRDefault="00355F36" w:rsidP="00355F36">
      <w:pPr>
        <w:shd w:val="clear" w:color="auto" w:fill="FFFFFF"/>
        <w:spacing w:after="0" w:line="240" w:lineRule="auto"/>
        <w:jc w:val="right"/>
        <w:rPr>
          <w:rFonts w:ascii="Times New Roman" w:hAnsi="Times New Roman"/>
          <w:noProof/>
          <w:kern w:val="0"/>
          <w:sz w:val="24"/>
          <w:lang w:val="en-US"/>
        </w:rPr>
      </w:pPr>
      <w:r w:rsidRPr="00355F36">
        <w:rPr>
          <w:rFonts w:ascii="Times New Roman" w:hAnsi="Times New Roman"/>
          <w:noProof/>
          <w:kern w:val="0"/>
          <w:sz w:val="24"/>
          <w:lang w:val="en-US"/>
        </w:rPr>
        <w:t>the President has proclaimed the following law:</w:t>
      </w:r>
    </w:p>
    <w:p w14:paraId="0ABAE7E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F5F9CF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215F9A9" w14:textId="77777777" w:rsidR="00355F36" w:rsidRPr="00355F36" w:rsidRDefault="00355F36" w:rsidP="00355F36">
      <w:pPr>
        <w:shd w:val="clear" w:color="auto" w:fill="FFFFFF"/>
        <w:spacing w:after="0" w:line="240" w:lineRule="auto"/>
        <w:jc w:val="center"/>
        <w:rPr>
          <w:rFonts w:ascii="Times New Roman" w:hAnsi="Times New Roman"/>
          <w:b/>
          <w:noProof/>
          <w:kern w:val="0"/>
          <w:sz w:val="28"/>
          <w:lang w:val="en-US"/>
        </w:rPr>
      </w:pPr>
      <w:r w:rsidRPr="00355F36">
        <w:rPr>
          <w:rFonts w:ascii="Times New Roman" w:hAnsi="Times New Roman"/>
          <w:b/>
          <w:noProof/>
          <w:kern w:val="0"/>
          <w:sz w:val="28"/>
          <w:lang w:val="en-US"/>
        </w:rPr>
        <w:t>Spatial Development Planning Law</w:t>
      </w:r>
    </w:p>
    <w:p w14:paraId="3017B63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412339"/>
      <w:bookmarkEnd w:id="0"/>
      <w:bookmarkEnd w:id="1"/>
    </w:p>
    <w:p w14:paraId="18B726F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55DAACA"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Chapter I</w:t>
      </w:r>
    </w:p>
    <w:p w14:paraId="356DECE9"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General Provisions</w:t>
      </w:r>
    </w:p>
    <w:p w14:paraId="5526853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774319"/>
      <w:bookmarkStart w:id="3" w:name="p1"/>
      <w:bookmarkEnd w:id="2"/>
    </w:p>
    <w:p w14:paraId="41D0FE92"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 Terms Used in the Law</w:t>
      </w:r>
    </w:p>
    <w:p w14:paraId="09C3095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4A5ACD"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The following terms are used in the Law:</w:t>
      </w:r>
    </w:p>
    <w:p w14:paraId="318A182E"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1) </w:t>
      </w:r>
      <w:r w:rsidRPr="00355F36">
        <w:rPr>
          <w:rFonts w:ascii="Times New Roman" w:hAnsi="Times New Roman"/>
          <w:b/>
          <w:bCs/>
          <w:noProof/>
          <w:kern w:val="0"/>
          <w:sz w:val="24"/>
          <w:lang w:val="en-US"/>
        </w:rPr>
        <w:t>development programme </w:t>
      </w:r>
      <w:r w:rsidRPr="00355F36">
        <w:rPr>
          <w:rFonts w:ascii="Times New Roman" w:hAnsi="Times New Roman"/>
          <w:noProof/>
          <w:kern w:val="0"/>
          <w:sz w:val="24"/>
          <w:lang w:val="en-US"/>
        </w:rPr>
        <w:t>– a mid-term spatial development planning document laying down mid-term priorities and the set of measures for the implementation of the long-term strategic goals set out in the planning region or local government development strategy;</w:t>
      </w:r>
    </w:p>
    <w:p w14:paraId="19CE6EE9"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2) </w:t>
      </w:r>
      <w:r w:rsidRPr="00355F36">
        <w:rPr>
          <w:rFonts w:ascii="Times New Roman" w:hAnsi="Times New Roman"/>
          <w:b/>
          <w:bCs/>
          <w:noProof/>
          <w:kern w:val="0"/>
          <w:sz w:val="24"/>
          <w:lang w:val="en-US"/>
        </w:rPr>
        <w:t>sustainable development strategy </w:t>
      </w:r>
      <w:r w:rsidRPr="00355F36">
        <w:rPr>
          <w:rFonts w:ascii="Times New Roman" w:hAnsi="Times New Roman"/>
          <w:noProof/>
          <w:kern w:val="0"/>
          <w:sz w:val="24"/>
          <w:lang w:val="en-US"/>
        </w:rPr>
        <w:t>– a long-term spatial development planning document laying down the vision, objectives, and priorities for the long-term development of a planning region or local government and its spatial development perspective;</w:t>
      </w:r>
    </w:p>
    <w:p w14:paraId="1F819E17"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3) </w:t>
      </w:r>
      <w:r w:rsidRPr="00355F36">
        <w:rPr>
          <w:rFonts w:ascii="Times New Roman" w:hAnsi="Times New Roman"/>
          <w:b/>
          <w:bCs/>
          <w:noProof/>
          <w:kern w:val="0"/>
          <w:sz w:val="24"/>
          <w:lang w:val="en-US"/>
        </w:rPr>
        <w:t>functional zoning </w:t>
      </w:r>
      <w:r w:rsidRPr="00355F36">
        <w:rPr>
          <w:rFonts w:ascii="Times New Roman" w:hAnsi="Times New Roman"/>
          <w:noProof/>
          <w:kern w:val="0"/>
          <w:sz w:val="24"/>
          <w:lang w:val="en-US"/>
        </w:rPr>
        <w:t>– division of a territory into zones having different requirements for the permitted land use and building;</w:t>
      </w:r>
    </w:p>
    <w:p w14:paraId="4A9A89BC"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4) </w:t>
      </w:r>
      <w:r w:rsidRPr="00355F36">
        <w:rPr>
          <w:rFonts w:ascii="Times New Roman" w:hAnsi="Times New Roman"/>
          <w:b/>
          <w:bCs/>
          <w:noProof/>
          <w:kern w:val="0"/>
          <w:sz w:val="24"/>
          <w:lang w:val="en-US"/>
        </w:rPr>
        <w:t>public infrastructure </w:t>
      </w:r>
      <w:r w:rsidRPr="00355F36">
        <w:rPr>
          <w:rFonts w:ascii="Times New Roman" w:hAnsi="Times New Roman"/>
          <w:noProof/>
          <w:kern w:val="0"/>
          <w:sz w:val="24"/>
          <w:lang w:val="en-US"/>
        </w:rPr>
        <w:t>– a component of the national economy spatial structure formed by the technical (transport, communications, power industry, water supply and environmental objects) and social (education, science, health and social care, State administration, public services, culture and recreation objects) infrastructure;</w:t>
      </w:r>
    </w:p>
    <w:p w14:paraId="25A2BFAC"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5) </w:t>
      </w:r>
      <w:r w:rsidRPr="00355F36">
        <w:rPr>
          <w:rFonts w:ascii="Times New Roman" w:hAnsi="Times New Roman"/>
          <w:b/>
          <w:bCs/>
          <w:noProof/>
          <w:kern w:val="0"/>
          <w:sz w:val="24"/>
          <w:lang w:val="en-US"/>
        </w:rPr>
        <w:t>thematic plan </w:t>
      </w:r>
      <w:r w:rsidRPr="00355F36">
        <w:rPr>
          <w:rFonts w:ascii="Times New Roman" w:hAnsi="Times New Roman"/>
          <w:noProof/>
          <w:kern w:val="0"/>
          <w:sz w:val="24"/>
          <w:lang w:val="en-US"/>
        </w:rPr>
        <w:t>– a spatial development planning document addressing specific issues related to the development of separate sectors (for example, transport infrastructure, layout of health care institutions and educational institutions) or specific themes (for example, layout of engineering networks, valuable landscape areas and risk territories) according to the planning level;</w:t>
      </w:r>
    </w:p>
    <w:p w14:paraId="6FA0032C"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6) </w:t>
      </w:r>
      <w:r w:rsidRPr="00355F36">
        <w:rPr>
          <w:rFonts w:ascii="Times New Roman" w:hAnsi="Times New Roman"/>
          <w:b/>
          <w:bCs/>
          <w:noProof/>
          <w:kern w:val="0"/>
          <w:sz w:val="24"/>
          <w:lang w:val="en-US"/>
        </w:rPr>
        <w:t>spatial development planning information system </w:t>
      </w:r>
      <w:r w:rsidRPr="00355F36">
        <w:rPr>
          <w:rFonts w:ascii="Times New Roman" w:hAnsi="Times New Roman"/>
          <w:noProof/>
          <w:kern w:val="0"/>
          <w:sz w:val="24"/>
          <w:lang w:val="en-US"/>
        </w:rPr>
        <w:t>– a structured set of information technologies and data bases the use of which ensures the creation, compilation, accumulation, processing, use and destruction of information required for the development and implementation of spatial development planning documents;</w:t>
      </w:r>
    </w:p>
    <w:p w14:paraId="68A69915"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7) </w:t>
      </w:r>
      <w:r w:rsidRPr="00355F36">
        <w:rPr>
          <w:rFonts w:ascii="Times New Roman" w:hAnsi="Times New Roman"/>
          <w:b/>
          <w:bCs/>
          <w:noProof/>
          <w:kern w:val="0"/>
          <w:sz w:val="24"/>
          <w:lang w:val="en-US"/>
        </w:rPr>
        <w:t>objects of national interest </w:t>
      </w:r>
      <w:r w:rsidRPr="00355F36">
        <w:rPr>
          <w:rFonts w:ascii="Times New Roman" w:hAnsi="Times New Roman"/>
          <w:noProof/>
          <w:kern w:val="0"/>
          <w:sz w:val="24"/>
          <w:lang w:val="en-US"/>
        </w:rPr>
        <w:t>– territories and objects necessary to ensure essential public interests, protection and sustainable use of natural resources;</w:t>
      </w:r>
    </w:p>
    <w:p w14:paraId="5A4B9C42"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8) </w:t>
      </w:r>
      <w:r w:rsidRPr="00355F36">
        <w:rPr>
          <w:rFonts w:ascii="Times New Roman" w:hAnsi="Times New Roman"/>
          <w:b/>
          <w:bCs/>
          <w:noProof/>
          <w:kern w:val="0"/>
          <w:sz w:val="24"/>
          <w:lang w:val="en-US"/>
        </w:rPr>
        <w:t>local government spatial plan </w:t>
      </w:r>
      <w:r w:rsidRPr="00355F36">
        <w:rPr>
          <w:rFonts w:ascii="Times New Roman" w:hAnsi="Times New Roman"/>
          <w:noProof/>
          <w:kern w:val="0"/>
          <w:sz w:val="24"/>
          <w:lang w:val="en-US"/>
        </w:rPr>
        <w:t>– a local government long-term spatial development planning document laying down the requirements for land use and building, including functional zoning, public infrastructure, regulations regarding land use and building, as well as other conditions for land use, and which is developed for an administrative territory or a part thereof;</w:t>
      </w:r>
    </w:p>
    <w:p w14:paraId="21B683D1"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9) </w:t>
      </w:r>
      <w:r w:rsidRPr="00355F36">
        <w:rPr>
          <w:rFonts w:ascii="Times New Roman" w:hAnsi="Times New Roman"/>
          <w:b/>
          <w:bCs/>
          <w:noProof/>
          <w:kern w:val="0"/>
          <w:sz w:val="24"/>
          <w:lang w:val="en-US"/>
        </w:rPr>
        <w:t>local plan </w:t>
      </w:r>
      <w:r w:rsidRPr="00355F36">
        <w:rPr>
          <w:rFonts w:ascii="Times New Roman" w:hAnsi="Times New Roman"/>
          <w:noProof/>
          <w:kern w:val="0"/>
          <w:sz w:val="24"/>
          <w:lang w:val="en-US"/>
        </w:rPr>
        <w:t>– a local government long-term spatial development planning document developed for a part of a State city, a municipality town or a part thereof, a village or a part thereof, or a part of a rural territory for addressing a specific planning task or detailing or amending a spatial plan;</w:t>
      </w:r>
    </w:p>
    <w:p w14:paraId="71EBBBB8"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10) </w:t>
      </w:r>
      <w:r w:rsidRPr="00355F36">
        <w:rPr>
          <w:rFonts w:ascii="Times New Roman" w:hAnsi="Times New Roman"/>
          <w:b/>
          <w:bCs/>
          <w:noProof/>
          <w:kern w:val="0"/>
          <w:sz w:val="24"/>
          <w:lang w:val="en-US"/>
        </w:rPr>
        <w:t>detailed plan </w:t>
      </w:r>
      <w:r w:rsidRPr="00355F36">
        <w:rPr>
          <w:rFonts w:ascii="Times New Roman" w:hAnsi="Times New Roman"/>
          <w:noProof/>
          <w:kern w:val="0"/>
          <w:sz w:val="24"/>
          <w:lang w:val="en-US"/>
        </w:rPr>
        <w:t>– detailed plan of a part of local government territory developed in order to lay down the requirements for the use and building parameters of specific land units, as well as to adjust the borders of land units and restrictions;</w:t>
      </w:r>
    </w:p>
    <w:p w14:paraId="7B8D7707"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11) </w:t>
      </w:r>
      <w:r w:rsidRPr="00355F36">
        <w:rPr>
          <w:rFonts w:ascii="Times New Roman" w:hAnsi="Times New Roman"/>
          <w:b/>
          <w:bCs/>
          <w:noProof/>
          <w:kern w:val="0"/>
          <w:sz w:val="24"/>
          <w:lang w:val="en-US"/>
        </w:rPr>
        <w:t>maritime spatial plan </w:t>
      </w:r>
      <w:r w:rsidRPr="00355F36">
        <w:rPr>
          <w:rFonts w:ascii="Times New Roman" w:hAnsi="Times New Roman"/>
          <w:noProof/>
          <w:kern w:val="0"/>
          <w:sz w:val="24"/>
          <w:lang w:val="en-US"/>
        </w:rPr>
        <w:t>– a national level long-term spatial development planning document laying down use of the sea, considering the terrestrial part that is functionally interlinked with the sea.</w:t>
      </w:r>
    </w:p>
    <w:p w14:paraId="7D1C4B0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 18 February 2021</w:t>
      </w:r>
      <w:r w:rsidRPr="00355F36">
        <w:rPr>
          <w:rFonts w:ascii="Times New Roman" w:hAnsi="Times New Roman"/>
          <w:noProof/>
          <w:kern w:val="0"/>
          <w:sz w:val="24"/>
          <w:lang w:val="en-US"/>
        </w:rPr>
        <w:t>]</w:t>
      </w:r>
    </w:p>
    <w:p w14:paraId="4177B672"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412341"/>
      <w:bookmarkStart w:id="5" w:name="p2"/>
      <w:bookmarkEnd w:id="4"/>
    </w:p>
    <w:p w14:paraId="289EF7FA"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 Purpose of the Law</w:t>
      </w:r>
    </w:p>
    <w:p w14:paraId="759BED0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E078F5"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The purpose of this Law is to ensure that the development of a territory is planned in a manner which would raise the quality of the living environment, ensure sustainable, effective and rational use of territories and other resources, as well as targeted and balanced development of economy.</w:t>
      </w:r>
    </w:p>
    <w:p w14:paraId="338D4C5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12342"/>
      <w:bookmarkStart w:id="7" w:name="p3"/>
      <w:bookmarkEnd w:id="6"/>
    </w:p>
    <w:p w14:paraId="4EB73AEA"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3. Principles for Planning Development of a Territory Development Planning</w:t>
      </w:r>
    </w:p>
    <w:p w14:paraId="665C068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372B1D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In planning development of a territory, the principles set out in the Development Planning System Law, as well as the following principles shall be complied with:</w:t>
      </w:r>
    </w:p>
    <w:p w14:paraId="121CA427"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principle of sustainability – development of a territory is planned in order to preserve and form a good environmental quality, balanced economic development, rational use of natural, human and material resources, development of the natural and cultural heritage for the present and next generations;</w:t>
      </w:r>
    </w:p>
    <w:p w14:paraId="6FD21E24"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principle of succession – new spatial development planning documents are developed by evaluating the existing spatial development planning documents and practical implementation thereof;</w:t>
      </w:r>
    </w:p>
    <w:p w14:paraId="6ADB5133"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principle of equal opportunities – sectoral and territorial interests, as well as interests of private individuals and public interests are assessed in interconnection to promote sustainable development of the relevant territory;</w:t>
      </w:r>
    </w:p>
    <w:p w14:paraId="7AC6F0C2"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4) principle of continuity – development of a territory is planned continuously, flexibly and in cycles by supervising this process and evaluating the latest information, knowledge, needs and possible solutions;</w:t>
      </w:r>
    </w:p>
    <w:p w14:paraId="3D0F3D9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5) principle of transparency – the public involvement and transparency of information and decision-making in planning development of a territory and drawing up documents is ensured;</w:t>
      </w:r>
    </w:p>
    <w:p w14:paraId="0CBA67C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6) principle of integrated approach – economic, cultural, social and environmental aspects are harmonised, sectoral interests are co-ordinated, territorial development priorities are agreed upon at all planning levels, co-operation is purposeful, and the impact of the planned solutions on the surrounding territories and the environment is assessed;</w:t>
      </w:r>
    </w:p>
    <w:p w14:paraId="662B1CCB"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7) principle of diversity – development of a territory is planned by taking into account the diversity of natural, cultural environment, human and material resources and economic activities;</w:t>
      </w:r>
    </w:p>
    <w:p w14:paraId="1EFC951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8) principle of coherence – spatial development planning documents are drawn up by coherently agreeing upon them and evaluating provisions of other spatial development planning documents.</w:t>
      </w:r>
    </w:p>
    <w:p w14:paraId="5AF0DBD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07924"/>
      <w:bookmarkStart w:id="9" w:name="p4"/>
      <w:bookmarkEnd w:id="8"/>
    </w:p>
    <w:p w14:paraId="652F89D2" w14:textId="77777777" w:rsidR="00355F36" w:rsidRPr="00355F36" w:rsidRDefault="00355F36" w:rsidP="00355F36">
      <w:pPr>
        <w:keepNext/>
        <w:keepLines/>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4. Public Participation in Planning Development of a Territory</w:t>
      </w:r>
    </w:p>
    <w:p w14:paraId="6BC723A4" w14:textId="77777777" w:rsidR="00355F36" w:rsidRPr="00355F36" w:rsidRDefault="00355F36" w:rsidP="00355F3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AF2910" w14:textId="77777777" w:rsidR="00355F36" w:rsidRPr="00355F36" w:rsidRDefault="00355F36" w:rsidP="00355F36">
      <w:pPr>
        <w:keepNext/>
        <w:keepLines/>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Development of a territory shall be planned through public participation. The authority conforming to the planning level has a duty to ensure openness of information and decision-making, as well as ascertain the public opinion and organise public participation in planning the development of a territory, providing as detailed and comprehensible information as possible.</w:t>
      </w:r>
    </w:p>
    <w:p w14:paraId="47C7269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Public participation in planning the development of a territory shall be ensured by the relevant State authority, planning region or local government according to the planning level in conformity with laws and regulations laying down the requirements for public participation.</w:t>
      </w:r>
    </w:p>
    <w:p w14:paraId="3E20A8F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In order to ensure public discussion of spatial plan, the relevant authority shall consult with the public before taking a decision. The authority shall, on its website, publish information on commencing the development of spatial plan and amendments thereto, the procedures, location and time limits for the public discussion, the place and time for getting acquainted with the particular spatial plan and amendments thereto, and the procedures for submitting written proposals and opinions.</w:t>
      </w:r>
    </w:p>
    <w:p w14:paraId="05FF602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During the public participation, the interests of private individuals and public interests shall be balanced with opportunities for the sustainable development of the territory.</w:t>
      </w:r>
    </w:p>
    <w:p w14:paraId="3118902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(5) Everyone has the right to become acquainted with the spatial development planning documents which are in force and have been handed over for public discussion, to participate in the public discussion, to express and defend his or her opinion and submit written proposals within the specified time limit.</w:t>
      </w:r>
    </w:p>
    <w:p w14:paraId="165E4BA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(6) The authorities referred to in Paragraph two of this Section have a duty, during the development of spatial development planning documents, to evaluate, in a balanced way, the proposals expressed and substantiate their decisions, as well as to notify these decisions to the public and submitters of proposals.</w:t>
      </w:r>
    </w:p>
    <w:p w14:paraId="3A88532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1AEBD09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12344"/>
      <w:bookmarkStart w:id="11" w:name="p5"/>
      <w:bookmarkEnd w:id="10"/>
    </w:p>
    <w:p w14:paraId="63AD481B"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5. Spatial Development Planning Levels and Documents</w:t>
      </w:r>
    </w:p>
    <w:p w14:paraId="09B4103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DE269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Development of a territory shall be planned by drawing up the following coherently harmonised spatial development planning documents:</w:t>
      </w:r>
    </w:p>
    <w:p w14:paraId="747AE27D"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at the national level – the Sustainable Development Strategy of Latvia and the National Development Plan;</w:t>
      </w:r>
    </w:p>
    <w:p w14:paraId="294FD6BD"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at the regional level – the sustainable development strategy and the development programme of a planning region;</w:t>
      </w:r>
    </w:p>
    <w:p w14:paraId="76EDD7E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at the local level – the sustainable development strategy, the development programme, the spatial plan, a local plan and a detailed plan of a local government.</w:t>
      </w:r>
    </w:p>
    <w:p w14:paraId="1D81223F"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At all levels, when developing spatial development planning documents, a strategic environmental impact assessment shall be ensured, if it is necessary in accordance with laws and regulations.</w:t>
      </w:r>
    </w:p>
    <w:p w14:paraId="7E0B96A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07907"/>
      <w:bookmarkStart w:id="13" w:name="p6"/>
      <w:bookmarkEnd w:id="12"/>
    </w:p>
    <w:p w14:paraId="1D9EDD8F"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6. Spatial Development Planning Information System</w:t>
      </w:r>
    </w:p>
    <w:p w14:paraId="72A6719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619CD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 purpose of the spatial development planning information system is to ensure accumulation, processing and public accessibility of spatial development planning documents of all levels and of information related to spatial planning. The spatial development planning information system shall ensure access to data of other State information systems used for the development of spatial development planning documents.</w:t>
      </w:r>
    </w:p>
    <w:p w14:paraId="19CB4B1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ministry responsible for planning the development of a territory shall be the administrator of the spatial development planning information system.</w:t>
      </w:r>
    </w:p>
    <w:p w14:paraId="270D4B0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Spatial development planning documents and data entered into the spatial development planning information system shall be publicly accessible free of charge, except for the data accessibility of which is restricted in accordance with laws and regulations.</w:t>
      </w:r>
    </w:p>
    <w:p w14:paraId="440383C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Geospatial data sets downloaded from the spatial development planning information system or such geospatial data sets to which a direct access is ensured from other information systems shall be used according to regulatory provisions of the holder of the geospatial data set.</w:t>
      </w:r>
    </w:p>
    <w:p w14:paraId="55E2A93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73830AA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n2"/>
      <w:bookmarkStart w:id="15" w:name="n-412346"/>
      <w:bookmarkEnd w:id="14"/>
      <w:bookmarkEnd w:id="15"/>
    </w:p>
    <w:p w14:paraId="053CC127"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Chapter II</w:t>
      </w:r>
    </w:p>
    <w:p w14:paraId="06CA9ADC"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Competence of Public Authorities in Planning Development of a Territory</w:t>
      </w:r>
    </w:p>
    <w:p w14:paraId="25A3AB6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74320"/>
      <w:bookmarkStart w:id="17" w:name="p7"/>
      <w:bookmarkEnd w:id="16"/>
    </w:p>
    <w:p w14:paraId="12F3AB8C"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7. Competence of the Cabinet</w:t>
      </w:r>
    </w:p>
    <w:p w14:paraId="2908C98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127948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 Cabinet shall:</w:t>
      </w:r>
    </w:p>
    <w:p w14:paraId="76792AF8"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[13 February 2014];</w:t>
      </w:r>
    </w:p>
    <w:p w14:paraId="217273F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approve national level thematic plans;</w:t>
      </w:r>
    </w:p>
    <w:p w14:paraId="3ED6A42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define the content of regional level spatial development planning documents, and the procedures for their development, implementation and monitoring;</w:t>
      </w:r>
    </w:p>
    <w:p w14:paraId="4B64C143"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4) define the content of spatial development planning documents of the local level, the procedures for its developing and public discussion, the procedures for financing a local plan and detailed plan and the requirements to be included in a contract for the development and financing of a local plan or detailed plan;</w:t>
      </w:r>
    </w:p>
    <w:p w14:paraId="735717A8"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4</w:t>
      </w:r>
      <w:r w:rsidRPr="00355F36">
        <w:rPr>
          <w:rFonts w:ascii="Times New Roman" w:hAnsi="Times New Roman"/>
          <w:noProof/>
          <w:kern w:val="0"/>
          <w:sz w:val="24"/>
          <w:vertAlign w:val="superscript"/>
          <w:lang w:val="en-US"/>
        </w:rPr>
        <w:t>1</w:t>
      </w:r>
      <w:r w:rsidRPr="00355F36">
        <w:rPr>
          <w:rFonts w:ascii="Times New Roman" w:hAnsi="Times New Roman"/>
          <w:noProof/>
          <w:kern w:val="0"/>
          <w:sz w:val="24"/>
          <w:lang w:val="en-US"/>
        </w:rPr>
        <w:t>) define the criteria and procedures for the review of detailed plans;</w:t>
      </w:r>
    </w:p>
    <w:p w14:paraId="6F336C95"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5) define the requirements for the persons developing spatial development planning documents;</w:t>
      </w:r>
    </w:p>
    <w:p w14:paraId="22D98758"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6) define general requirements for local level spatial development planning, land use and building;</w:t>
      </w:r>
    </w:p>
    <w:p w14:paraId="0E29EE2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7) define classification of land use types;</w:t>
      </w:r>
    </w:p>
    <w:p w14:paraId="79A1DD9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8) prescribe the procedures for establishing and operating the spatial development planning information system, collecting, processing and disseminating information required for it, and the content of the data of the spatial development planning information system, as well as the procedures for data exchange with other State information systems;</w:t>
      </w:r>
    </w:p>
    <w:p w14:paraId="51BF46D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9) define the ministry responsible for planning the development of a territory;</w:t>
      </w:r>
    </w:p>
    <w:p w14:paraId="320CB317"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10) lay down the procedures for developing, implementation and monitoring of maritime spatial plan, and approve the maritime spatial plan;</w:t>
      </w:r>
    </w:p>
    <w:p w14:paraId="2C3F5A2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11) define, establish and approve objects of national interest and the requirements for the use thereof, unless prescribed otherwise by other laws.</w:t>
      </w:r>
    </w:p>
    <w:p w14:paraId="1572CAD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Cabinet shall provide funding for the development and updating of national and regional level spatial development planning documents in the State budget for the current year.</w:t>
      </w:r>
    </w:p>
    <w:p w14:paraId="6FDB40F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 18 February 2021</w:t>
      </w:r>
      <w:r w:rsidRPr="00355F36">
        <w:rPr>
          <w:rFonts w:ascii="Times New Roman" w:hAnsi="Times New Roman"/>
          <w:noProof/>
          <w:kern w:val="0"/>
          <w:sz w:val="24"/>
          <w:lang w:val="en-US"/>
        </w:rPr>
        <w:t>]</w:t>
      </w:r>
    </w:p>
    <w:p w14:paraId="49580E6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507909"/>
      <w:bookmarkStart w:id="19" w:name="p8"/>
      <w:bookmarkEnd w:id="18"/>
    </w:p>
    <w:p w14:paraId="522E95E9"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8. Competence of the National Development Council</w:t>
      </w:r>
    </w:p>
    <w:p w14:paraId="6039E076"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[13 February 2014]</w:t>
      </w:r>
    </w:p>
    <w:p w14:paraId="2765006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774321"/>
      <w:bookmarkStart w:id="21" w:name="p9"/>
      <w:bookmarkEnd w:id="20"/>
    </w:p>
    <w:p w14:paraId="68CC908E" w14:textId="77777777" w:rsidR="00355F36" w:rsidRPr="00355F36" w:rsidRDefault="00355F36" w:rsidP="00355F36">
      <w:pPr>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9. Competence of the Ministry Responsible for Planning Development of a Territory</w:t>
      </w:r>
    </w:p>
    <w:p w14:paraId="0AD2997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C552F3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The ministry responsible for planning the development of the territory shall:</w:t>
      </w:r>
    </w:p>
    <w:p w14:paraId="7B00F61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develop the maritime spatial plan and national thematic plans according to the competence thereof;</w:t>
      </w:r>
    </w:p>
    <w:p w14:paraId="6EECE70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methodically manage planning the development of the territory at regional and local levels;</w:t>
      </w:r>
    </w:p>
    <w:p w14:paraId="116702E2"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provide opinions on the conformity of draft development strategies and development programmes of planning regions with national level spatial development planning documents and the requirements of laws and regulations;</w:t>
      </w:r>
    </w:p>
    <w:p w14:paraId="37E652C5"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4) evaluate the conformity of local government spatial plans and local plans with laws and regulations, if it is necessary for the performance of the activities referred to in Sections 26 and 27 of this Law;</w:t>
      </w:r>
    </w:p>
    <w:p w14:paraId="1A02320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5) ensure maintenance of the spatial development planning information system.</w:t>
      </w:r>
    </w:p>
    <w:p w14:paraId="6145DD9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 18 February 2021</w:t>
      </w:r>
      <w:r w:rsidRPr="00355F36">
        <w:rPr>
          <w:rFonts w:ascii="Times New Roman" w:hAnsi="Times New Roman"/>
          <w:noProof/>
          <w:kern w:val="0"/>
          <w:sz w:val="24"/>
          <w:lang w:val="en-US"/>
        </w:rPr>
        <w:t>]</w:t>
      </w:r>
    </w:p>
    <w:p w14:paraId="505268F5"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507910"/>
      <w:bookmarkStart w:id="23" w:name="p10"/>
      <w:bookmarkEnd w:id="22"/>
    </w:p>
    <w:p w14:paraId="049151F4"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10. Competence of Sectoral Ministries</w:t>
      </w:r>
    </w:p>
    <w:p w14:paraId="5601B40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64B88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Sectoral ministries shall prepare proposals and, in accordance with the procedures laid down in laws and regulations, advance them for defining objects of national interest and, if necessary, develop thematic plans.</w:t>
      </w:r>
    </w:p>
    <w:p w14:paraId="2507E52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Sectoral ministries shall co-operate with State and local government authorities and ensure provision of information or advance requirements for the development of spatial development planning documents of all levels.</w:t>
      </w:r>
    </w:p>
    <w:p w14:paraId="3AEF591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0B39C99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412351"/>
      <w:bookmarkStart w:id="25" w:name="p11"/>
      <w:bookmarkEnd w:id="24"/>
    </w:p>
    <w:p w14:paraId="42F72721"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11. Competence of a Planning Region</w:t>
      </w:r>
    </w:p>
    <w:p w14:paraId="1EA4FA3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1F4EDE"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A planning region shall:</w:t>
      </w:r>
    </w:p>
    <w:p w14:paraId="5E217A68"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develop and approve the sustainable development strategy and the development programme of planning region, as well as co-ordinate and monitor its implementation;</w:t>
      </w:r>
    </w:p>
    <w:p w14:paraId="4561C6DE"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provide proposals for the development of national and local level development planning documents;</w:t>
      </w:r>
    </w:p>
    <w:p w14:paraId="5316F96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provide opinions on the conformity of the draft local government development strategies and development programmes with spatial development planning documents of the planning region and the requirements of laws and regulations;</w:t>
      </w:r>
    </w:p>
    <w:p w14:paraId="3369EA10"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4) co-ordinate and monitor the development of sustainable development strategies, development programmes, spatial plans and local plans of local governments.</w:t>
      </w:r>
    </w:p>
    <w:p w14:paraId="014529E7"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774359"/>
      <w:bookmarkStart w:id="27" w:name="p12"/>
      <w:bookmarkEnd w:id="26"/>
    </w:p>
    <w:p w14:paraId="55653E56"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12. Competence of a Local Government</w:t>
      </w:r>
    </w:p>
    <w:p w14:paraId="281544A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2F7B70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local government shall develop and approve the local government development strategy, development programme, spatial plan, local plans, detailed plans and thematic plans.</w:t>
      </w:r>
    </w:p>
    <w:p w14:paraId="0436354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local government shall provide proposals for the development of national and regional level development planning documents.</w:t>
      </w:r>
    </w:p>
    <w:p w14:paraId="2EA6D08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 local government shall co-ordinate and monitor the implementation of the local government development strategy, development programme, spatial plan, local plans, detailed plans and thematic plans.</w:t>
      </w:r>
    </w:p>
    <w:p w14:paraId="509B1F9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Daugavpils local government and Augšdaugava municipality, Liepāja local government and Dienvidkurzeme municipality, Rēzekne local government and Rēzekne municipality, Jelgava local government and Jelgava municipality, Ventspils local government and Ventspils municipality shall establish a joint liaison authority in order to ensure the development of integrated sustainable development strategies and development programmes for the entire territory in accordance with the procedures laid down in this Law.</w:t>
      </w:r>
    </w:p>
    <w:p w14:paraId="6A18AFE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18 February 2021 / Paragraph four shall come into force on 1 July 2021. See Paragraph 18 of Transitional Provisions</w:t>
      </w:r>
      <w:r w:rsidRPr="00355F36">
        <w:rPr>
          <w:rFonts w:ascii="Times New Roman" w:hAnsi="Times New Roman"/>
          <w:noProof/>
          <w:kern w:val="0"/>
          <w:sz w:val="24"/>
          <w:lang w:val="en-US"/>
        </w:rPr>
        <w:t>]</w:t>
      </w:r>
    </w:p>
    <w:p w14:paraId="5022653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412353"/>
      <w:bookmarkStart w:id="29" w:name="p13"/>
      <w:bookmarkEnd w:id="28"/>
    </w:p>
    <w:p w14:paraId="52923025" w14:textId="77777777" w:rsidR="00355F36" w:rsidRPr="00355F36" w:rsidRDefault="00355F36" w:rsidP="00355F36">
      <w:pPr>
        <w:keepNext/>
        <w:keepLines/>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13. Financing the Development of Spatial Development Planning Documents of a Planning Region and Local Government</w:t>
      </w:r>
    </w:p>
    <w:p w14:paraId="4D4DDF9F" w14:textId="77777777" w:rsidR="00355F36" w:rsidRPr="00355F36" w:rsidRDefault="00355F36" w:rsidP="00355F36">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F88AAF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Performance of the functions of a planning region shall be ensured with financing from  the State budget funds provided for the current year for the support of a planning region and from other funds.</w:t>
      </w:r>
    </w:p>
    <w:p w14:paraId="79143F5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local government shall provide funds for the development of spatial development planning documents in its budget thereof.</w:t>
      </w:r>
    </w:p>
    <w:p w14:paraId="18CDE1FE"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If an initiator of a local plan or detailed plan is not the relevant local government, the development and implementation thereof shall be financed by the initiator, concluding a contract for it with the local government. In such case the local government may participate in co-financing of the local plan or detailed plan in accordance with the procedures laid down in laws and regulations.</w:t>
      </w:r>
    </w:p>
    <w:p w14:paraId="2D637F8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412354"/>
      <w:bookmarkStart w:id="31" w:name="p14"/>
      <w:bookmarkEnd w:id="30"/>
    </w:p>
    <w:p w14:paraId="5D21197D" w14:textId="77777777" w:rsidR="00355F36" w:rsidRPr="00355F36" w:rsidRDefault="00355F36" w:rsidP="00355F36">
      <w:pPr>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14. Provision of Data and Information Necessary for the Development of Spatial Development Planning Documents</w:t>
      </w:r>
    </w:p>
    <w:p w14:paraId="59DBC55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F2FBC1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State and local government authorities shall provide the information necessary for the development of all types of spatial development planning documents free of charge, and such information shall be prepared and maintained by the abovementioned authorities from the budget funds.</w:t>
      </w:r>
    </w:p>
    <w:p w14:paraId="4550358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If the financing necessary for creating and maintaining a geospatial data set is not ensured from the State or  local government budget, such geospatial data set shall be used (including provision of direct access) for a charge according to the price list of paid services of the geospatial data set holder.</w:t>
      </w:r>
    </w:p>
    <w:p w14:paraId="3122F84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n3"/>
      <w:bookmarkStart w:id="33" w:name="n-412355"/>
      <w:bookmarkEnd w:id="32"/>
      <w:bookmarkEnd w:id="33"/>
    </w:p>
    <w:p w14:paraId="259A9887"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Chapter III</w:t>
      </w:r>
    </w:p>
    <w:p w14:paraId="36DA2E63"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Planning Development of a Territory at the National Level</w:t>
      </w:r>
    </w:p>
    <w:p w14:paraId="6B32606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412356"/>
      <w:bookmarkStart w:id="35" w:name="p15"/>
      <w:bookmarkEnd w:id="34"/>
    </w:p>
    <w:p w14:paraId="06A96AD3"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15. Sustainable Development Strategy of Latvia and National Development Plan</w:t>
      </w:r>
    </w:p>
    <w:p w14:paraId="2C73C9A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B59C3"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The Sustainable Development Strategy of Latvia and the National Development Plan shall be developed in accordance with the procedures laid down in laws and regulations.</w:t>
      </w:r>
    </w:p>
    <w:p w14:paraId="5B7F8F17"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p-507911"/>
      <w:bookmarkStart w:id="37" w:name="p16"/>
      <w:bookmarkEnd w:id="36"/>
    </w:p>
    <w:p w14:paraId="47A14BEF"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16. Maritime Spatial Plan</w:t>
      </w:r>
    </w:p>
    <w:p w14:paraId="11EADCD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A27668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maritime spatial plan shall define the use of the sea, considering the terrestrial part that is functionally interlinked with the sea and harmonising interests of various sectors and local governments in use of the sea.</w:t>
      </w:r>
    </w:p>
    <w:p w14:paraId="5495CA0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Development of a maritime spatial plan shall be organised by the ministry responsible for spatial development planning in co-operation with sectoral ministries, planning regions and local governments the administrative territory of which borders upon the sea.</w:t>
      </w:r>
    </w:p>
    <w:p w14:paraId="11750967"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51F65C2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507912"/>
      <w:bookmarkStart w:id="39" w:name="p17"/>
      <w:bookmarkEnd w:id="38"/>
    </w:p>
    <w:p w14:paraId="7339422A"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17. Defining Objects of National Interest</w:t>
      </w:r>
    </w:p>
    <w:p w14:paraId="76AC3FD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919FB3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Proposals for defining objects of national interest shall be prepared and, in accordance with the procedures laid down in laws and regulations, advanced for approval to the Cabinet by the relevant sectoral ministry in co-operation with local governments the territory of which will be affected by the object of national interest. The proposal shall contain justification for the choice of a location and results of the environmental impact assessment, if such is necessary in accordance with the requirements of laws and regulations.</w:t>
      </w:r>
    </w:p>
    <w:p w14:paraId="04C82EC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territory necessary for the functioning of the object of national interest and protection zone, if such is provided for in laws and regulations, as well as the requirements for the use of such object, shall be determined for the object of national interest.</w:t>
      </w:r>
    </w:p>
    <w:p w14:paraId="0EB8279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If an environmental impact assessment is not applied, the relevant sectoral ministry shall organise provision of information to the public on the proposal in accordance with the procedures stipulated by the Cabinet.</w:t>
      </w:r>
    </w:p>
    <w:p w14:paraId="49D2CF40"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3765A17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n4"/>
      <w:bookmarkStart w:id="41" w:name="n-412359"/>
      <w:bookmarkEnd w:id="40"/>
      <w:bookmarkEnd w:id="41"/>
    </w:p>
    <w:p w14:paraId="50F03C8E"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Chapter IV</w:t>
      </w:r>
    </w:p>
    <w:p w14:paraId="2B4FE3C3"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Planning Development of a Territory at the Regional Level</w:t>
      </w:r>
    </w:p>
    <w:p w14:paraId="32E170F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507913"/>
      <w:bookmarkStart w:id="43" w:name="p18"/>
      <w:bookmarkEnd w:id="42"/>
    </w:p>
    <w:p w14:paraId="0DB71490"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18. Sustainable Development Strategy of a Planning Region</w:t>
      </w:r>
    </w:p>
    <w:p w14:paraId="439C9C9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2F7915"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 sustainable development strategy of a planning region is a long-term spatial development planning document, specifying the vision of the long-term development, strategic objectives, priorities of the planning region and the spatial development perspective in written and graphic form.</w:t>
      </w:r>
    </w:p>
    <w:p w14:paraId="3A4517F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sustainable development strategy of a planning region shall be developed according to the State long-term strategic objectives laid down in the Sustainable Development Strategy of Latvia, taking into account the long-term development objectives laid down in long-term development strategies of adjacent planning regions and evaluating spatial development planning documents of the local governments contained in the relevant planning region.</w:t>
      </w:r>
    </w:p>
    <w:p w14:paraId="07B5F3F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The sustainable development strategy of a planning region shall be approved by a decision of the Planning Region Development Council.</w:t>
      </w:r>
    </w:p>
    <w:p w14:paraId="6A5D274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12B8420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p-412361"/>
      <w:bookmarkEnd w:id="44"/>
    </w:p>
    <w:p w14:paraId="41CAF192"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19. Planning Region Development Programme</w:t>
      </w:r>
      <w:bookmarkStart w:id="45" w:name="p19"/>
      <w:bookmarkEnd w:id="45"/>
    </w:p>
    <w:p w14:paraId="21A249C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9F4312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planning region development programme shall be developed according to the National Development Plan and the sustainable development strategy of a planning region, based on development programmes of local governments located within the relevant planning region, as well as taking into account the development programmes of adjacent planning regions.</w:t>
      </w:r>
    </w:p>
    <w:p w14:paraId="580F70C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planning region development programme shall contain the current situation analysis, tendencies and forecasts, as well as information on the process of developing the development programme, and shall define mid-term priorities, the set of measures for the implementation thereof and the procedures for monitoring thereof.</w:t>
      </w:r>
    </w:p>
    <w:p w14:paraId="6367401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 planning region development programme shall be approved by a decision of the Planning Region Development Council.</w:t>
      </w:r>
    </w:p>
    <w:p w14:paraId="0B118C9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n5"/>
      <w:bookmarkStart w:id="47" w:name="n-412362"/>
      <w:bookmarkEnd w:id="46"/>
      <w:bookmarkEnd w:id="47"/>
    </w:p>
    <w:p w14:paraId="3B4C44F8"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Chapter V</w:t>
      </w:r>
    </w:p>
    <w:p w14:paraId="77FEA114"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Planning Development of a Territory at the Local Level</w:t>
      </w:r>
    </w:p>
    <w:p w14:paraId="7E7664F0"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412363"/>
      <w:bookmarkEnd w:id="48"/>
    </w:p>
    <w:p w14:paraId="1F0B41F4"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20. Local Government Spatial Development Planning Documents</w:t>
      </w:r>
      <w:bookmarkStart w:id="49" w:name="p20"/>
      <w:bookmarkEnd w:id="49"/>
    </w:p>
    <w:p w14:paraId="0DEDDD60"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9525409"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A local government shall have the following coherently harmonised spatial planning documents:</w:t>
      </w:r>
    </w:p>
    <w:p w14:paraId="666EC4E5"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sustainable development strategy of the local government;</w:t>
      </w:r>
    </w:p>
    <w:p w14:paraId="4284671F"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development programme of the local government;</w:t>
      </w:r>
    </w:p>
    <w:p w14:paraId="6C74F99C"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spatial plan of the local government;</w:t>
      </w:r>
    </w:p>
    <w:p w14:paraId="5E98BE58"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4) local plans;</w:t>
      </w:r>
    </w:p>
    <w:p w14:paraId="24CB2CBB"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5) detailed plans;</w:t>
      </w:r>
    </w:p>
    <w:p w14:paraId="217FD7F4"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6) thematic plans.</w:t>
      </w:r>
    </w:p>
    <w:p w14:paraId="408C733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507914"/>
      <w:bookmarkEnd w:id="50"/>
    </w:p>
    <w:p w14:paraId="672C30E9"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21. Sustainable Development Strategy of a Local Government</w:t>
      </w:r>
      <w:bookmarkStart w:id="51" w:name="p21"/>
      <w:bookmarkEnd w:id="51"/>
    </w:p>
    <w:p w14:paraId="255D3C2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D87D8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 sustainable development strategy of a local government is a long-term spatial development planning document, laying down the vision of the local government long-term development, strategic objectives, development priorities and the spatial development perspective in written and graphic form, and this strategy shall be developed according to the sustainable development strategy of the planning region, evaluating spatial development planning documents of adjacent local governments.</w:t>
      </w:r>
    </w:p>
    <w:p w14:paraId="00547F16"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In spatial development perspective the guidelines for spatial development shall be specified, as well as the most significant spatial structures, development priorities and preferable long-term changes of the local government shall be specified and displayed schematically.</w:t>
      </w:r>
    </w:p>
    <w:p w14:paraId="449C16B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The development strategy of local government shall be approved by a decision of the local government council.</w:t>
      </w:r>
    </w:p>
    <w:p w14:paraId="331FDB93"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683752A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774360"/>
      <w:bookmarkEnd w:id="52"/>
    </w:p>
    <w:p w14:paraId="2D6A5F48"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22. Local Government Development Programme</w:t>
      </w:r>
      <w:bookmarkStart w:id="53" w:name="p22"/>
      <w:bookmarkEnd w:id="53"/>
    </w:p>
    <w:p w14:paraId="64D610B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34D1CB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local government development programme shall be developed according to the sustainable development strategy of a local government, evaluating spatial development planning documents of the national and regional level, as well as spatial development planning documents of adjacent local governments.</w:t>
      </w:r>
    </w:p>
    <w:p w14:paraId="4053949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local government development programme shall include the analysis of the current situation, tendencies and forecasts, as well as information regarding the developing process of the development programme, and shall define mid-term priorities, the action and investment plan, the amount of resources necessary for the implementation of the development programme and the procedures for monitoring of the development programme.</w:t>
      </w:r>
    </w:p>
    <w:p w14:paraId="61772A5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w:t>
      </w:r>
      <w:r w:rsidRPr="00355F36">
        <w:rPr>
          <w:rFonts w:ascii="Times New Roman" w:hAnsi="Times New Roman"/>
          <w:noProof/>
          <w:kern w:val="0"/>
          <w:sz w:val="24"/>
          <w:vertAlign w:val="superscript"/>
          <w:lang w:val="en-US"/>
        </w:rPr>
        <w:t>1</w:t>
      </w:r>
      <w:r w:rsidRPr="00355F36">
        <w:rPr>
          <w:rFonts w:ascii="Times New Roman" w:hAnsi="Times New Roman"/>
          <w:noProof/>
          <w:kern w:val="0"/>
          <w:sz w:val="24"/>
          <w:lang w:val="en-US"/>
        </w:rPr>
        <w:t>) The investment plan of the development programme of the local government shall include the development projects the implementation costs of which are 50 000 euros and more. The investment plan shall also include such development projects which are planned to be implemented jointly by several local governments if the total project costs are 50 000 euros or more.</w:t>
      </w:r>
    </w:p>
    <w:p w14:paraId="33A0F84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(2</w:t>
      </w:r>
      <w:r w:rsidRPr="00355F36">
        <w:rPr>
          <w:rFonts w:ascii="Times New Roman" w:hAnsi="Times New Roman"/>
          <w:noProof/>
          <w:kern w:val="0"/>
          <w:sz w:val="24"/>
          <w:vertAlign w:val="superscript"/>
          <w:lang w:val="en-US"/>
        </w:rPr>
        <w:t>2</w:t>
      </w:r>
      <w:r w:rsidRPr="00355F36">
        <w:rPr>
          <w:rFonts w:ascii="Times New Roman" w:hAnsi="Times New Roman"/>
          <w:noProof/>
          <w:kern w:val="0"/>
          <w:sz w:val="24"/>
          <w:lang w:val="en-US"/>
        </w:rPr>
        <w:t>) The local government shall include in its annual report the information on its investments in the implementation of the development projects referred to in Paragraph 2.</w:t>
      </w:r>
      <w:r w:rsidRPr="00355F36">
        <w:rPr>
          <w:rFonts w:ascii="Times New Roman" w:hAnsi="Times New Roman"/>
          <w:noProof/>
          <w:kern w:val="0"/>
          <w:sz w:val="24"/>
          <w:vertAlign w:val="superscript"/>
          <w:lang w:val="en-US"/>
        </w:rPr>
        <w:t xml:space="preserve">1 </w:t>
      </w:r>
      <w:r w:rsidRPr="00355F36">
        <w:rPr>
          <w:rFonts w:ascii="Times New Roman" w:hAnsi="Times New Roman"/>
          <w:noProof/>
          <w:kern w:val="0"/>
          <w:sz w:val="24"/>
          <w:lang w:val="en-US"/>
        </w:rPr>
        <w:t>of this Section.</w:t>
      </w:r>
    </w:p>
    <w:p w14:paraId="41622C2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 local government development programme shall be approved by a decision of the local government council.</w:t>
      </w:r>
    </w:p>
    <w:p w14:paraId="6E4515B5"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 18 February 2021</w:t>
      </w:r>
      <w:r w:rsidRPr="00355F36">
        <w:rPr>
          <w:rFonts w:ascii="Times New Roman" w:hAnsi="Times New Roman"/>
          <w:noProof/>
          <w:kern w:val="0"/>
          <w:sz w:val="24"/>
          <w:lang w:val="en-US"/>
        </w:rPr>
        <w:t>]</w:t>
      </w:r>
    </w:p>
    <w:p w14:paraId="6B5EA16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p-507916"/>
      <w:bookmarkEnd w:id="54"/>
    </w:p>
    <w:p w14:paraId="28631F46"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23. Local Government Spatial Plan</w:t>
      </w:r>
      <w:bookmarkStart w:id="55" w:name="p23"/>
      <w:bookmarkEnd w:id="55"/>
    </w:p>
    <w:p w14:paraId="7DB38A15"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BC536A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local government spatial plan shall be developed according to the sustainable development strategy of a local government and taking into consideration other national, regional and local level spatial development planning documents.</w:t>
      </w:r>
    </w:p>
    <w:p w14:paraId="07CF45D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In a local government spatial plan, the functional zoning and public infrastructure shall be specified, the regulations for land use and building, as well as other conditions for and restrictions on the land use shall be stipulated.</w:t>
      </w:r>
    </w:p>
    <w:p w14:paraId="35B63AF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In accordance with laws and regulations laying down general requirements for planning and building of the territory of a local government, land use of a rural territory of the local government may be specified on the basis of the sustainable development strategy of a local government and information of the updated topographic map.</w:t>
      </w:r>
    </w:p>
    <w:p w14:paraId="2B00FFFB" w14:textId="77777777" w:rsidR="00355F36" w:rsidRPr="00355F36" w:rsidRDefault="00355F36" w:rsidP="00355F36">
      <w:pPr>
        <w:keepNext/>
        <w:keepLines/>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Changes in the functional zoning specified in a local government spatial plan or in the regulations regarding land use and building shall be developed as amendments to the local government spatial plan or as a local plan in accordance with Section 24, Paragraph three of this Law.</w:t>
      </w:r>
    </w:p>
    <w:p w14:paraId="6069096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(5) If new laws and regulations with a higher legal force, related to information to be included in a local government spatial plan, come into force, the local government shall evaluate the necessity of amending its spatial plan. If the local government does not amend its spatial plan, in case of contradictions the requirements of the legal act with a higher legal force shall be applied.</w:t>
      </w:r>
    </w:p>
    <w:p w14:paraId="389A069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(6) It shall be permitted to install engineering communication networks and objects in any functional zone specified in a spatial plan, in compliance with the requirements of the Cabinet regulations referred to in Section 7, Clause 6 of this Law and other laws and regulations.</w:t>
      </w:r>
    </w:p>
    <w:p w14:paraId="07FA95D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(7) If a new spatial development planning document of a higher level comes into force, the local government shall evaluate the spatial plan thereof and take a decision on the necessity of amending it.</w:t>
      </w:r>
    </w:p>
    <w:p w14:paraId="3353E0B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33E033A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774361"/>
      <w:bookmarkEnd w:id="56"/>
    </w:p>
    <w:p w14:paraId="3B2B6F55"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24. Local Plan</w:t>
      </w:r>
      <w:bookmarkStart w:id="57" w:name="p24"/>
      <w:bookmarkEnd w:id="57"/>
    </w:p>
    <w:p w14:paraId="0C5AD08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F34F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local government shall develop a local plan upon its own initiative and use it as the basis for further planning, as well as for building design.</w:t>
      </w:r>
    </w:p>
    <w:p w14:paraId="639FEB1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local government spatial plan may be detailed in a local plan. After coming into force of the sustainable development strategy of a local government, the local government spatial plan may be amended in the local plan, insofar as the local plan is not in contradiction with the sustainable development strategy of the local government, except when the local plan is developed only for national defence needs.</w:t>
      </w:r>
    </w:p>
    <w:p w14:paraId="090A4811"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Changes in the functional zoning specified in a local plan or in the regulations regarding land use and building shall be developed as amendments to the local plan in accordance with the procedures laid down in laws and regulations.</w:t>
      </w:r>
    </w:p>
    <w:p w14:paraId="6A7B79EF"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The functional zoning specified in a local plan and the regulations regarding land use and building shall be in force in the territory of the local plan. If new laws and regulations with a higher legal force, related to the functional zoning specified in a local plan and regulations regarding land use and building, come into force, the local government shall evaluate the necessity of amending the local plan.</w:t>
      </w:r>
    </w:p>
    <w:p w14:paraId="1E01A3C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18 February 2021</w:t>
      </w:r>
      <w:r w:rsidRPr="00355F36">
        <w:rPr>
          <w:rFonts w:ascii="Times New Roman" w:hAnsi="Times New Roman"/>
          <w:noProof/>
          <w:kern w:val="0"/>
          <w:sz w:val="24"/>
          <w:lang w:val="en-US"/>
        </w:rPr>
        <w:t>]</w:t>
      </w:r>
    </w:p>
    <w:p w14:paraId="3FF52751"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774368"/>
      <w:bookmarkEnd w:id="58"/>
    </w:p>
    <w:p w14:paraId="3AF22B56" w14:textId="77777777" w:rsidR="00355F36" w:rsidRPr="00355F36" w:rsidRDefault="00355F36" w:rsidP="00355F36">
      <w:pPr>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25. Adopting and Coming into Force of a Local Government Spatial Plan and Local Plan</w:t>
      </w:r>
      <w:bookmarkStart w:id="59" w:name="p25"/>
      <w:bookmarkEnd w:id="59"/>
    </w:p>
    <w:p w14:paraId="77756512"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DB353C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local government spatial plan and a local plan shall be approved by the binding regulations of the local government.</w:t>
      </w:r>
    </w:p>
    <w:p w14:paraId="13A1FD65"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binding regulations shall include a hyperlink with a unique identifier to the interactive graphic part of the approved plan available on the State Unified Geospatial Information Portal (hereinafter – the Geoportal). The interactive graphic part of the spatial plan or local plan available on the Geoportal shall be an integral part of the binding regulations of the local government.</w:t>
      </w:r>
    </w:p>
    <w:p w14:paraId="4882C82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w:t>
      </w:r>
      <w:r w:rsidRPr="00355F36">
        <w:rPr>
          <w:rFonts w:ascii="Times New Roman" w:hAnsi="Times New Roman"/>
          <w:noProof/>
          <w:kern w:val="0"/>
          <w:sz w:val="24"/>
          <w:vertAlign w:val="superscript"/>
          <w:lang w:val="en-US"/>
        </w:rPr>
        <w:t>1</w:t>
      </w:r>
      <w:r w:rsidRPr="00355F36">
        <w:rPr>
          <w:rFonts w:ascii="Times New Roman" w:hAnsi="Times New Roman"/>
          <w:noProof/>
          <w:kern w:val="0"/>
          <w:sz w:val="24"/>
          <w:lang w:val="en-US"/>
        </w:rPr>
        <w:t xml:space="preserve">) Within two weeks after the adoption of the binding regulations referred to in Paragraph one of this Section, the local government shall send them for publishing in the official gazette </w:t>
      </w:r>
      <w:r w:rsidRPr="00355F36">
        <w:rPr>
          <w:rFonts w:ascii="Times New Roman" w:hAnsi="Times New Roman"/>
          <w:i/>
          <w:iCs/>
          <w:noProof/>
          <w:kern w:val="0"/>
          <w:sz w:val="24"/>
          <w:lang w:val="en-US"/>
        </w:rPr>
        <w:t>Latvijas Vēstnesis</w:t>
      </w:r>
      <w:r w:rsidRPr="00355F36">
        <w:rPr>
          <w:rFonts w:ascii="Times New Roman" w:hAnsi="Times New Roman"/>
          <w:noProof/>
          <w:kern w:val="0"/>
          <w:sz w:val="24"/>
          <w:lang w:val="en-US"/>
        </w:rPr>
        <w:t>, using the Spatial Development Planning Information System. The binding regulations shall come into force on the day following their proclamation.</w:t>
      </w:r>
    </w:p>
    <w:p w14:paraId="5C4596C6"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[18 February 2021]</w:t>
      </w:r>
    </w:p>
    <w:p w14:paraId="74B6078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The binding regulations referred to in this Section shall not be implementable as long as the activities referred to in Section 27, Paragraph three of this Law are not finished.</w:t>
      </w:r>
    </w:p>
    <w:p w14:paraId="064B27C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(5) Until commencing the implementation of the binding regulations referred to in this Section, the local government shall apply the binding regulations by which the previous spatial plan, local plan or amendments thereto were approved.</w:t>
      </w:r>
    </w:p>
    <w:p w14:paraId="0C41A21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 xml:space="preserve">24 May 2012; 13 February 2014; 18 February 2021 </w:t>
      </w:r>
      <w:r w:rsidRPr="00355F36">
        <w:rPr>
          <w:rFonts w:ascii="Times New Roman" w:hAnsi="Times New Roman"/>
          <w:noProof/>
          <w:kern w:val="0"/>
          <w:sz w:val="24"/>
          <w:lang w:val="en-US"/>
        </w:rPr>
        <w:t>/ </w:t>
      </w:r>
      <w:r w:rsidRPr="00355F36">
        <w:rPr>
          <w:rFonts w:ascii="Times New Roman" w:hAnsi="Times New Roman"/>
          <w:i/>
          <w:iCs/>
          <w:noProof/>
          <w:kern w:val="0"/>
          <w:sz w:val="24"/>
          <w:lang w:val="en-US"/>
        </w:rPr>
        <w:t>Amendment regarding the deletion of the second sentence in Paragraph one, the new wording of Paragraph two and Paragraph 2.</w:t>
      </w:r>
      <w:r w:rsidRPr="00355F36">
        <w:rPr>
          <w:rFonts w:ascii="Times New Roman" w:hAnsi="Times New Roman"/>
          <w:i/>
          <w:iCs/>
          <w:noProof/>
          <w:kern w:val="0"/>
          <w:sz w:val="24"/>
          <w:vertAlign w:val="superscript"/>
          <w:lang w:val="en-US"/>
        </w:rPr>
        <w:t xml:space="preserve">1 </w:t>
      </w:r>
      <w:r w:rsidRPr="00355F36">
        <w:rPr>
          <w:rFonts w:ascii="Times New Roman" w:hAnsi="Times New Roman"/>
          <w:i/>
          <w:iCs/>
          <w:noProof/>
          <w:kern w:val="0"/>
          <w:sz w:val="24"/>
          <w:lang w:val="en-US"/>
        </w:rPr>
        <w:t>shall come into force on 1 January 2022. See Paragraph 17 of Transitional Provisions</w:t>
      </w:r>
      <w:r w:rsidRPr="00355F36">
        <w:rPr>
          <w:rFonts w:ascii="Times New Roman" w:hAnsi="Times New Roman"/>
          <w:noProof/>
          <w:kern w:val="0"/>
          <w:sz w:val="24"/>
          <w:lang w:val="en-US"/>
        </w:rPr>
        <w:t>]</w:t>
      </w:r>
    </w:p>
    <w:p w14:paraId="4CF3E09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60" w:name="p-507919"/>
      <w:bookmarkEnd w:id="60"/>
    </w:p>
    <w:p w14:paraId="42FBB5FB" w14:textId="77777777" w:rsidR="00355F36" w:rsidRPr="00355F36" w:rsidRDefault="00355F36" w:rsidP="00355F36">
      <w:pPr>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26. Suspension of Operation of a Local Government Spatial Plan and Local Plan upon the Initiative of a Minister</w:t>
      </w:r>
      <w:bookmarkStart w:id="61" w:name="p26"/>
      <w:bookmarkEnd w:id="61"/>
    </w:p>
    <w:p w14:paraId="4D812FB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0FFE3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If violations of the procedure for the developing of local government spatial plan or local plan or a non-conformity with the requirements of laws and regulations are established, the minister responsible for planning the development of a territory (hereinafter – the minister) shall, not later than within six months after the local government spatial plan or local plan has come into force, issue an order to suspend the binding regulations which approved the spatial plan or local plan, or a part of such binding regulations.</w:t>
      </w:r>
    </w:p>
    <w:p w14:paraId="30980DB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If the minister has issued the order referred to in Paragraph one of this Section and Section 27, Paragraph three of this Law, the chairperson of the local government council shall, within two weeks after the order has come into force, convene an extraordinary meeting of the local government council, at which the council shall take the decision to cancel the binding regulations or a part thereof or to submit an application to the Constitutional Court.</w:t>
      </w:r>
    </w:p>
    <w:p w14:paraId="54533D5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The order referred to in Paragraph one of this Section shall suspend the operation of the local government spatial plan or local plan in the part specified in the order until the day when the decision of the local government council to cancel the binding regulations or a part thereof or the judgment of the Constitutional Court comes into effect.</w:t>
      </w:r>
    </w:p>
    <w:p w14:paraId="1865D362"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156B0BB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507920"/>
      <w:bookmarkEnd w:id="62"/>
    </w:p>
    <w:p w14:paraId="46ADB018"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27. Appealing of a Local Government Spatial Plan and Local Plan</w:t>
      </w:r>
      <w:bookmarkStart w:id="63" w:name="p27"/>
      <w:bookmarkEnd w:id="63"/>
    </w:p>
    <w:p w14:paraId="1049542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82EF27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Within two months after coming into force of the binding regulations which approve the local government spatial plan or local plan, a person may submit a submission for the local government spatial plan or local plan to the ministry responsible for spatial development planning.</w:t>
      </w:r>
    </w:p>
    <w:p w14:paraId="6C18172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Within 10 days after the end of the time limit for submitting submissions laid down in Paragraph one of this Section, the ministry responsible for planning the development of the territory shall inform the local government of the submissions received and, if possible, indicate the extent to which the local government spatial plan or local plan may be implemented until the day when the order of the minister will be issued or, if no submission has been received, inform the local government thereof, indicating the day when the local government may commence implementation of the relevant binding regulations.</w:t>
      </w:r>
    </w:p>
    <w:p w14:paraId="733CB976"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Within one month from the day when the time limit for submitting submissions has expired, the ministry responsible for planning the development of the territory shall evaluate the submissions submitted in accordance with the procedures laid down in Paragraph one of this Section. If, when examining a submission, violations of the procedures for developing the spatial plan, local plan or a part thereof or a non-conformity with the requirements of laws and regulations have been established, the minister shall issue an order to suspend the binding regulations, informing the submitter of the submission thereof. If no violation has been established, the ministry responsible for planning the development of the territory shall provide a reply to the submission. The reply to the submission provided shall not be examined in accordance with the procedures of administrative proceedings. The ministry responsible for planning the development of the territory shall also inform the local government that violations have not been established and concurrently specify the day when implementation of the relevant binding regulations may be commenced.</w:t>
      </w:r>
    </w:p>
    <w:p w14:paraId="7BA3C79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A person is entitled, in accordance with the procedures laid down by law, to submit to the Constitutional Court a constitutional complaint regarding the conformity of the local government binding regulations with the norms of higher legal force, if before that the person has submitted a submission in accordance with Paragraph one of this Section.</w:t>
      </w:r>
    </w:p>
    <w:p w14:paraId="552D096E"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(5) If a submission is not submitted within the time limit referred to in Paragraph one of this Section, it shall be examined in accordance with the Law on Submissions, and all that is prescribed in Paragraphs one, two, three and four of this Section shall not apply thereto. An overdue time period shall not be renewed.</w:t>
      </w:r>
    </w:p>
    <w:p w14:paraId="3BCF9A80"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(6) In addition to that laid down in this Section, if the time limits indicated therein are not met, the Constitutional Court may, in accordance with the procedures laid down by the Constitutional Court Law, evaluate a local government spatial plan and local plan also in the case if a general jurisdiction court or an administrative court addresses the Constitutional Court, including also after hearing of opinions of participants to the proceedings.</w:t>
      </w:r>
    </w:p>
    <w:p w14:paraId="2666FCA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57F7C94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507926"/>
      <w:bookmarkEnd w:id="64"/>
    </w:p>
    <w:p w14:paraId="57F128CB"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28. Detailed Plan</w:t>
      </w:r>
      <w:bookmarkStart w:id="65" w:name="p28"/>
      <w:bookmarkEnd w:id="65"/>
    </w:p>
    <w:p w14:paraId="59B6CD95"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F9C52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 types for and restrictions on land use provided for in the functional zoning specified in a spatial plan or local plan shall be detailed and specified in a detailed plan according to the scale precision, laying down the requirements for land use and building of each land unit.</w:t>
      </w:r>
    </w:p>
    <w:p w14:paraId="0D0DB5A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For a part of a rural territory of a local government for which the functional zoning has not been developed a detailed plan shall be developed in compliance with the sustainable development strategy of the local government. In the work task of a detailed plan, the requirements and provisions shall be stipulated, taking into account that laid down in laws and regulations and spatial development planning documents of a higher level, as well as the specificity of the particular situation.</w:t>
      </w:r>
    </w:p>
    <w:p w14:paraId="61FE6F8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 detailed plan shall be developed before commencing new construction or subdivision of land units, if it creates a necessity for complex solutions and unless laid down otherwise in laws and regulations.</w:t>
      </w:r>
    </w:p>
    <w:p w14:paraId="7909802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A local government shall define in the work task the necessity for the development of a detailed plan and the level of detail, taking into account the justification for the development. The development of detailed plan may be combined, to a certain extent, with building design, ensuring public discussion in accordance with laws and regulations.</w:t>
      </w:r>
    </w:p>
    <w:p w14:paraId="7C8670D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4CA4FC0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774373"/>
      <w:bookmarkEnd w:id="66"/>
    </w:p>
    <w:p w14:paraId="70661486"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29. Approval of a Detailed Plan</w:t>
      </w:r>
      <w:bookmarkStart w:id="67" w:name="p29"/>
      <w:bookmarkEnd w:id="67"/>
    </w:p>
    <w:p w14:paraId="172E536A"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742D15D" w14:textId="77777777" w:rsidR="00355F36" w:rsidRPr="00355F36" w:rsidRDefault="00355F36" w:rsidP="00355F36">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A local government shall approve a detailed plan with a general administrative act, relating it to the land unit, and it shall come into force after announcement thereof. A detailed plan shall be in force until it is cancelled or repealed. A detailed plan shall lose validity also in the case if the time limit for commencing its implementation has expired and it has not been extended within a year after the end of such time limit. The local government shall send the general administrative act approving the detailed plan for publication in the official gazette </w:t>
      </w:r>
      <w:r w:rsidRPr="00355F36">
        <w:rPr>
          <w:rFonts w:ascii="Times New Roman" w:hAnsi="Times New Roman"/>
          <w:i/>
          <w:iCs/>
          <w:noProof/>
          <w:kern w:val="0"/>
          <w:sz w:val="24"/>
          <w:lang w:val="en-US"/>
        </w:rPr>
        <w:t>Latvijas Vēstnesis</w:t>
      </w:r>
      <w:r w:rsidRPr="00355F36">
        <w:rPr>
          <w:rFonts w:ascii="Times New Roman" w:hAnsi="Times New Roman"/>
          <w:noProof/>
          <w:kern w:val="0"/>
          <w:sz w:val="24"/>
          <w:lang w:val="en-US"/>
        </w:rPr>
        <w:t>, using the Spatial Development Planning Information System and including in this administrative act a hyperlink with a unique identifier to the interactive graphic part of the approved detailed plan available on the Geoportal which shall be an integral part of this administrative act.</w:t>
      </w:r>
    </w:p>
    <w:p w14:paraId="0966BE0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18 February 2021 / Amendment regarding the new wording of the fourth sentence shall come into force on 1 January 2022. See Paragraph 17 of Transitional Provisions</w:t>
      </w:r>
      <w:r w:rsidRPr="00355F36">
        <w:rPr>
          <w:rFonts w:ascii="Times New Roman" w:hAnsi="Times New Roman"/>
          <w:noProof/>
          <w:kern w:val="0"/>
          <w:sz w:val="24"/>
          <w:lang w:val="en-US"/>
        </w:rPr>
        <w:t>]</w:t>
      </w:r>
    </w:p>
    <w:p w14:paraId="45957CF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412373"/>
      <w:bookmarkEnd w:id="68"/>
    </w:p>
    <w:p w14:paraId="12E903AD"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30. Appealing of a Detailed Plan</w:t>
      </w:r>
      <w:bookmarkStart w:id="69" w:name="p30"/>
      <w:bookmarkEnd w:id="69"/>
    </w:p>
    <w:p w14:paraId="103ED0C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4DD10D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detailed plan may be appealed to the administrative court in accordance with the procedures laid down in the Administrative Procedure Law within a month after publishing the notification on the approval of the detailed plan, and regardless of whether the procedures and time limit for appealing are indicated in the detailed plan.</w:t>
      </w:r>
    </w:p>
    <w:p w14:paraId="3FDC66DE"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Until the end of the time limit for appealing, as well as in the case of suspension of operation of a detailed plan, a local government is not entitled to take decisions related to the implementation of the detailed plan.</w:t>
      </w:r>
    </w:p>
    <w:p w14:paraId="05632D2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Appealing of a detailed plan shall suspend operation of the detailed plan until the day when a court judgment comes into effect. In the cases laid down in the Administrative Procedure Law, renewal of the operation of a suspended detailed plan may be requested.</w:t>
      </w:r>
    </w:p>
    <w:p w14:paraId="48C867E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p-412374"/>
      <w:bookmarkEnd w:id="70"/>
    </w:p>
    <w:p w14:paraId="4B477D09"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31. Procedures for Implementation of a Detailed Plan</w:t>
      </w:r>
      <w:bookmarkStart w:id="71" w:name="p31"/>
      <w:bookmarkEnd w:id="71"/>
    </w:p>
    <w:p w14:paraId="109493D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EF97E1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A detailed plan shall be implemented according to an administrative contract concluded between the local government and the implementer of the development of detailed plan.</w:t>
      </w:r>
    </w:p>
    <w:p w14:paraId="34664AE3"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A contract shall, in accordance with the provisions of the Administrative Procedure Law, contain various conditions, time limits and disclaimers regarding cancellation, as well as requirements concerning the time limit for commencement of construction work of objects, management of the detailed plan territory and public infrastructure, construction stages and consequence thereof.</w:t>
      </w:r>
    </w:p>
    <w:p w14:paraId="5353B1D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A local government may specify the time limit within which the implementation of the detailed plan is to be commenced – building (use) of the detailed plan territory in compliance with the detailed plan solution and the requirements specified. Subdivision or merging of land units according to the detailed plan shall not be considered to be the implementation of the detailed plan.</w:t>
      </w:r>
    </w:p>
    <w:p w14:paraId="4CDA7AF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If a local government, having evaluated the relevant request, rejects it, does not extend the time limit for the implementation of the detailed plan and substantiates the decision thereof, it may be contested or appealed.</w:t>
      </w:r>
    </w:p>
    <w:p w14:paraId="74AC4B37"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2" w:name="p-412375"/>
      <w:bookmarkEnd w:id="72"/>
    </w:p>
    <w:p w14:paraId="10CE75FE" w14:textId="77777777" w:rsidR="00355F36" w:rsidRPr="00355F36" w:rsidRDefault="00355F36" w:rsidP="00355F36">
      <w:pPr>
        <w:shd w:val="clear" w:color="auto" w:fill="FFFFFF"/>
        <w:spacing w:after="0" w:line="240" w:lineRule="auto"/>
        <w:jc w:val="both"/>
        <w:rPr>
          <w:rFonts w:ascii="Times New Roman" w:hAnsi="Times New Roman"/>
          <w:b/>
          <w:noProof/>
          <w:kern w:val="0"/>
          <w:sz w:val="24"/>
          <w:lang w:val="en-US"/>
        </w:rPr>
      </w:pPr>
      <w:r w:rsidRPr="00355F36">
        <w:rPr>
          <w:rFonts w:ascii="Times New Roman" w:hAnsi="Times New Roman"/>
          <w:b/>
          <w:noProof/>
          <w:kern w:val="0"/>
          <w:sz w:val="24"/>
          <w:lang w:val="en-US"/>
        </w:rPr>
        <w:t>Section 32. Thematic Plans</w:t>
      </w:r>
      <w:bookmarkStart w:id="73" w:name="p32"/>
      <w:bookmarkEnd w:id="73"/>
    </w:p>
    <w:p w14:paraId="5B91523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0CB42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Thematic plans may be developed at all spatial development planning levels and the term of operation of thematic plans shall be determined by an authority approving the relevant thematic plan.</w:t>
      </w:r>
    </w:p>
    <w:p w14:paraId="0F67BBF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Thematic plans shall be taken into consideration when developing other spatial development planning documents.</w:t>
      </w:r>
    </w:p>
    <w:p w14:paraId="19A1F7E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4" w:name="p-412376"/>
      <w:bookmarkEnd w:id="74"/>
    </w:p>
    <w:p w14:paraId="75B0FDBC" w14:textId="77777777" w:rsidR="00355F36" w:rsidRPr="00355F36" w:rsidRDefault="00355F36" w:rsidP="00355F36">
      <w:pPr>
        <w:shd w:val="clear" w:color="auto" w:fill="FFFFFF"/>
        <w:spacing w:after="0" w:line="240" w:lineRule="auto"/>
        <w:ind w:left="1418" w:hanging="1418"/>
        <w:jc w:val="both"/>
        <w:rPr>
          <w:rFonts w:ascii="Times New Roman" w:hAnsi="Times New Roman"/>
          <w:b/>
          <w:noProof/>
          <w:kern w:val="0"/>
          <w:sz w:val="24"/>
          <w:lang w:val="en-US"/>
        </w:rPr>
      </w:pPr>
      <w:r w:rsidRPr="00355F36">
        <w:rPr>
          <w:rFonts w:ascii="Times New Roman" w:hAnsi="Times New Roman"/>
          <w:b/>
          <w:noProof/>
          <w:kern w:val="0"/>
          <w:sz w:val="24"/>
          <w:lang w:val="en-US"/>
        </w:rPr>
        <w:t>Section 33. Display of Encumbered Territories, Objects and Protection Zones Specified for Them</w:t>
      </w:r>
      <w:bookmarkStart w:id="75" w:name="p33"/>
      <w:bookmarkEnd w:id="75"/>
    </w:p>
    <w:p w14:paraId="22030FC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A822B13"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Encumbered territories, as well as objects and protection zones specified for them, shall be displayed in spatial development planning documents in accordance with the procedures laid down in the Law on the Information System of Encumbered Territories.</w:t>
      </w:r>
    </w:p>
    <w:p w14:paraId="1EBB5E8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6" w:name="412377"/>
      <w:bookmarkStart w:id="77" w:name="n-412377"/>
      <w:bookmarkEnd w:id="76"/>
      <w:bookmarkEnd w:id="77"/>
    </w:p>
    <w:p w14:paraId="15274195" w14:textId="77777777" w:rsidR="00355F36" w:rsidRPr="00355F36" w:rsidRDefault="00355F36" w:rsidP="00355F36">
      <w:pPr>
        <w:shd w:val="clear" w:color="auto" w:fill="FFFFFF"/>
        <w:spacing w:after="0" w:line="240" w:lineRule="auto"/>
        <w:jc w:val="center"/>
        <w:rPr>
          <w:rFonts w:ascii="Times New Roman" w:hAnsi="Times New Roman"/>
          <w:b/>
          <w:noProof/>
          <w:kern w:val="0"/>
          <w:sz w:val="24"/>
          <w:lang w:val="en-US"/>
        </w:rPr>
      </w:pPr>
      <w:r w:rsidRPr="00355F36">
        <w:rPr>
          <w:rFonts w:ascii="Times New Roman" w:hAnsi="Times New Roman"/>
          <w:b/>
          <w:noProof/>
          <w:kern w:val="0"/>
          <w:sz w:val="24"/>
          <w:lang w:val="en-US"/>
        </w:rPr>
        <w:t>Transitional Provisions</w:t>
      </w:r>
    </w:p>
    <w:p w14:paraId="1E0BBC5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412378"/>
      <w:bookmarkEnd w:id="3"/>
      <w:bookmarkEnd w:id="78"/>
    </w:p>
    <w:p w14:paraId="4345D6F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 With the coming into force of this Law, the Spatial Planning Law (</w:t>
      </w:r>
      <w:r w:rsidRPr="00355F36">
        <w:rPr>
          <w:rFonts w:ascii="Times New Roman" w:hAnsi="Times New Roman"/>
          <w:i/>
          <w:iCs/>
          <w:noProof/>
          <w:kern w:val="0"/>
          <w:sz w:val="24"/>
          <w:lang w:val="en-US"/>
        </w:rPr>
        <w:t>Latvijas Republikas Saeimas un Ministru Kabineta Ziņotājs</w:t>
      </w:r>
      <w:r w:rsidRPr="00355F36">
        <w:rPr>
          <w:rFonts w:ascii="Times New Roman" w:hAnsi="Times New Roman"/>
          <w:noProof/>
          <w:kern w:val="0"/>
          <w:sz w:val="24"/>
          <w:lang w:val="en-US"/>
        </w:rPr>
        <w:t>, 2002, No. 13; 2003, No. 10; 2005, No. 5; 2007, No. 10, 24; 2008, No. 24; 2010, No. 40) is repealed.</w:t>
      </w:r>
    </w:p>
    <w:p w14:paraId="695558E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bookmarkStart w:id="79" w:name="p-507921"/>
      <w:bookmarkEnd w:id="5"/>
      <w:bookmarkEnd w:id="79"/>
    </w:p>
    <w:p w14:paraId="0A40DAE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2. The Cabinet shall:</w:t>
      </w:r>
    </w:p>
    <w:p w14:paraId="751ABE3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by 31 May 2012 issue the Cabinet regulations referred to in Section 7, Paragraph one, Clauses 3, 4, 5, 6 and 7 of this Law;</w:t>
      </w:r>
    </w:p>
    <w:p w14:paraId="1E0005D8"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by 31 December 2012 issue the Cabinet regulations referred to in Section 7, Paragraph one, Clause 10 of this Law;</w:t>
      </w:r>
    </w:p>
    <w:p w14:paraId="01ECFC6D"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3) by 1 September 2014 issue the Cabinet regulations referred to in Section 7, Paragraph one, Clause 8 of this Law.</w:t>
      </w:r>
    </w:p>
    <w:p w14:paraId="7B9C839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3E7209B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412380"/>
      <w:bookmarkEnd w:id="7"/>
      <w:bookmarkEnd w:id="80"/>
    </w:p>
    <w:p w14:paraId="37EB5645"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3. Development of a maritime spatial plan shall be commenced not later than by 1 January 2014. Until the day maritime spatial plan comes into force, decisions on use of the territorial sea, continental shelf and exclusive economic zone of Latvia shall be taken by the Cabinet, unless laid down otherwise in laws and regulations.</w:t>
      </w:r>
    </w:p>
    <w:p w14:paraId="5A59760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1" w:name="p-412381"/>
      <w:bookmarkEnd w:id="9"/>
      <w:bookmarkEnd w:id="81"/>
    </w:p>
    <w:p w14:paraId="35119FA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4. Until the approval of a local government spatial development plan which has been developed in accordance with the procedures laid down in this Law, the spatial plan of the local government approved until the coming into force of this Law shall be in force in the territory of the relevant local government or a part thereof.</w:t>
      </w:r>
    </w:p>
    <w:p w14:paraId="002734A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412382"/>
      <w:bookmarkEnd w:id="11"/>
      <w:bookmarkEnd w:id="82"/>
    </w:p>
    <w:p w14:paraId="7B1B6964"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5. Requirements stipulated by this Law for determining the national interest objects shall not apply to the national interest objects established until the day of coming into force of this Law.</w:t>
      </w:r>
    </w:p>
    <w:p w14:paraId="65A71E2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3" w:name="p-412383"/>
      <w:bookmarkEnd w:id="13"/>
      <w:bookmarkEnd w:id="83"/>
    </w:p>
    <w:p w14:paraId="573CE448"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6. Development of planning region and local government development programmes which has been commenced prior to the coming into force of this Law shall be completed in accordance with the requirements of laws and regulations which were in force when the development of the relevant development programmes was commenced.</w:t>
      </w:r>
    </w:p>
    <w:p w14:paraId="560E92B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507922"/>
      <w:bookmarkEnd w:id="17"/>
      <w:bookmarkEnd w:id="84"/>
    </w:p>
    <w:p w14:paraId="08207525"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7. Local governments and planning regions shall ensure the development or updating of sustainable development strategies and development programmes in accordance with this Law by 31 December 2014.</w:t>
      </w:r>
    </w:p>
    <w:p w14:paraId="603AB20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46CDA3F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5" w:name="p-412385"/>
      <w:bookmarkEnd w:id="19"/>
      <w:bookmarkEnd w:id="85"/>
    </w:p>
    <w:p w14:paraId="5A18359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8. If until the day of coming into force of this Law a local government spatial plan or amendments to a spatial plan are in the process of being developed, the local government shall take a decision in which it shall indicate the laws and regulations in accordance with which the development of the spatial plan or amendments to the spatial plan shall be completed.</w:t>
      </w:r>
    </w:p>
    <w:p w14:paraId="6DCD9DA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412386"/>
      <w:bookmarkEnd w:id="21"/>
      <w:bookmarkEnd w:id="86"/>
    </w:p>
    <w:p w14:paraId="0426E74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9. Detailed plans the development of which has been commenced prior to coming into force of this Law shall be completed in accordance with the requirements of such laws and regulations which were in force on the day of commencing the development of the detailed plans, but no later than by 31 December 2012.</w:t>
      </w:r>
    </w:p>
    <w:p w14:paraId="6383DC05"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7" w:name="p-412387"/>
      <w:bookmarkEnd w:id="23"/>
      <w:bookmarkEnd w:id="87"/>
    </w:p>
    <w:p w14:paraId="549C995C"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10. After coming into force of this Law, the following detailed plans shall be in force:</w:t>
      </w:r>
    </w:p>
    <w:p w14:paraId="16B44DB1"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those which have been approved by the local government binding regulations;</w:t>
      </w:r>
    </w:p>
    <w:p w14:paraId="1E154F07"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those which have been developed in accordance with the procedures laid down in Clause 9 of these Transitional Provisions.</w:t>
      </w:r>
    </w:p>
    <w:p w14:paraId="32857D3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1199745"/>
      <w:bookmarkEnd w:id="88"/>
    </w:p>
    <w:p w14:paraId="462146E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10.</w:t>
      </w:r>
      <w:r w:rsidRPr="00355F36">
        <w:rPr>
          <w:rFonts w:ascii="Times New Roman" w:hAnsi="Times New Roman"/>
          <w:noProof/>
          <w:kern w:val="0"/>
          <w:sz w:val="24"/>
          <w:vertAlign w:val="superscript"/>
          <w:lang w:val="en-US"/>
        </w:rPr>
        <w:t xml:space="preserve">1 </w:t>
      </w:r>
      <w:r w:rsidRPr="00355F36">
        <w:rPr>
          <w:rFonts w:ascii="Times New Roman" w:hAnsi="Times New Roman"/>
          <w:noProof/>
          <w:kern w:val="0"/>
          <w:sz w:val="24"/>
          <w:lang w:val="en-US"/>
        </w:rPr>
        <w:t>[11 May 2023]</w:t>
      </w:r>
      <w:bookmarkStart w:id="89" w:name="p10_1"/>
      <w:bookmarkEnd w:id="89"/>
    </w:p>
    <w:p w14:paraId="05A9CDE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12388"/>
      <w:bookmarkEnd w:id="25"/>
      <w:bookmarkEnd w:id="90"/>
    </w:p>
    <w:p w14:paraId="5E4DFE46"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11. Until the day of coming into force of the relevant Cabinet regulations, but not later than until 31 December 2012, the following Cabinet Regulations are in force, insofar as they do not contradict this Law:</w:t>
      </w:r>
    </w:p>
    <w:p w14:paraId="7120A2F6"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1) Cabinet Regulation No. 1148 of 6 October 2009, Regulations Regarding Spatial Planning of a Local Government;</w:t>
      </w:r>
    </w:p>
    <w:p w14:paraId="0C18A7EA" w14:textId="77777777" w:rsidR="00355F36" w:rsidRPr="00355F36" w:rsidRDefault="00355F36" w:rsidP="00355F36">
      <w:pPr>
        <w:shd w:val="clear" w:color="auto" w:fill="FFFFFF"/>
        <w:spacing w:after="0" w:line="240" w:lineRule="auto"/>
        <w:ind w:firstLine="709"/>
        <w:jc w:val="both"/>
        <w:rPr>
          <w:rFonts w:ascii="Times New Roman" w:hAnsi="Times New Roman"/>
          <w:noProof/>
          <w:kern w:val="0"/>
          <w:sz w:val="24"/>
          <w:lang w:val="en-US"/>
        </w:rPr>
      </w:pPr>
      <w:r w:rsidRPr="00355F36">
        <w:rPr>
          <w:rFonts w:ascii="Times New Roman" w:hAnsi="Times New Roman"/>
          <w:noProof/>
          <w:kern w:val="0"/>
          <w:sz w:val="24"/>
          <w:lang w:val="en-US"/>
        </w:rPr>
        <w:t>2) Cabinet Regulation No. 236 of 5 April 2005, Regulations Regarding Spatial Planning of a Planning Region.</w:t>
      </w:r>
    </w:p>
    <w:p w14:paraId="28EE68E4"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1" w:name="p-416320"/>
      <w:bookmarkEnd w:id="27"/>
      <w:bookmarkEnd w:id="91"/>
    </w:p>
    <w:p w14:paraId="5D3AC519"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12. The Cabinet Regulation No. 121 of 14 February 2006, Procedures for the Allocation of an Earmarked Subsidy for Drawing up of Spatial Plans of Planning Regions and Local Governments and the Amendments Thereto, shall be applicable until the end of the time period specified for acquisition of an earmarked subsidy in the referred Regulation, but not longer than until 31 December 2014.</w:t>
      </w:r>
    </w:p>
    <w:p w14:paraId="32A83ADB"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15 December 2011</w:t>
      </w:r>
      <w:r w:rsidRPr="00355F36">
        <w:rPr>
          <w:rFonts w:ascii="Times New Roman" w:hAnsi="Times New Roman"/>
          <w:noProof/>
          <w:kern w:val="0"/>
          <w:sz w:val="24"/>
          <w:lang w:val="en-US"/>
        </w:rPr>
        <w:t>]</w:t>
      </w:r>
    </w:p>
    <w:p w14:paraId="7AE6B72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412390"/>
      <w:bookmarkEnd w:id="29"/>
      <w:bookmarkEnd w:id="92"/>
    </w:p>
    <w:p w14:paraId="000E2E7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13. Until the day of coming into force of new Cabinet regulations, the Cabinet Regulation No. 977 of 12 October 2010, Regulations Regarding Agricultural Territories of National Significance, shall be applicable, insofar as it is not in contradiction with this Law, but not longer than until 31 May 2013.</w:t>
      </w:r>
    </w:p>
    <w:p w14:paraId="3B193B1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3" w:name="p-507923"/>
      <w:bookmarkEnd w:id="31"/>
      <w:bookmarkEnd w:id="93"/>
    </w:p>
    <w:p w14:paraId="51FD7DA2"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14. Local governments shall, by 31 December 2015, enter the existing spatial development planning documents into the spatial development planning system.</w:t>
      </w:r>
    </w:p>
    <w:p w14:paraId="04C99CE0"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13 February 2014</w:t>
      </w:r>
      <w:r w:rsidRPr="00355F36">
        <w:rPr>
          <w:rFonts w:ascii="Times New Roman" w:hAnsi="Times New Roman"/>
          <w:noProof/>
          <w:kern w:val="0"/>
          <w:sz w:val="24"/>
          <w:lang w:val="en-US"/>
        </w:rPr>
        <w:t>]</w:t>
      </w:r>
    </w:p>
    <w:p w14:paraId="4593FBD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412392"/>
      <w:bookmarkEnd w:id="35"/>
      <w:bookmarkEnd w:id="94"/>
    </w:p>
    <w:p w14:paraId="593239D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15. Until the day of coming into force of amendments to Section 12, Paragraphs one, two and three of the Development Planning System Law, as well as the amendment regarding deletion of Paragraph five of the referred Section, development of the Sustainable Development Strategy of Latvia and the National Development Plan shall be co-ordinated by the ministry responsible for planning the development of the territory.</w:t>
      </w:r>
    </w:p>
    <w:p w14:paraId="76E267F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5" w:name="p-412393"/>
      <w:bookmarkEnd w:id="37"/>
      <w:bookmarkEnd w:id="95"/>
    </w:p>
    <w:p w14:paraId="66BB4DAA"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16. Section 27 of this Law shall come into force concurrently with the amendments to the Constitutional Court Law.</w:t>
      </w:r>
    </w:p>
    <w:p w14:paraId="3A9F51FE"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774380"/>
      <w:bookmarkEnd w:id="39"/>
      <w:bookmarkEnd w:id="96"/>
    </w:p>
    <w:p w14:paraId="0D1951F2"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17. Amendments to this Law regarding the deletion of the second sentence of Paragraph one, the new wording of Paragraph two of Section 25 and the supplementation of the Section with Paragraph 2.</w:t>
      </w:r>
      <w:r w:rsidRPr="00355F36">
        <w:rPr>
          <w:rFonts w:ascii="Times New Roman" w:hAnsi="Times New Roman"/>
          <w:noProof/>
          <w:kern w:val="0"/>
          <w:sz w:val="24"/>
          <w:vertAlign w:val="superscript"/>
          <w:lang w:val="en-US"/>
        </w:rPr>
        <w:t>1</w:t>
      </w:r>
      <w:r w:rsidRPr="00355F36">
        <w:rPr>
          <w:rFonts w:ascii="Times New Roman" w:hAnsi="Times New Roman"/>
          <w:noProof/>
          <w:kern w:val="0"/>
          <w:sz w:val="24"/>
          <w:lang w:val="en-US"/>
        </w:rPr>
        <w:t>, and regarding the new wording of the fourth sentence of Section 29 shall come into force on 1 January 2022.</w:t>
      </w:r>
    </w:p>
    <w:p w14:paraId="1F696E22"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18 February 2021</w:t>
      </w:r>
      <w:r w:rsidRPr="00355F36">
        <w:rPr>
          <w:rFonts w:ascii="Times New Roman" w:hAnsi="Times New Roman"/>
          <w:noProof/>
          <w:kern w:val="0"/>
          <w:sz w:val="24"/>
          <w:lang w:val="en-US"/>
        </w:rPr>
        <w:t>]</w:t>
      </w:r>
    </w:p>
    <w:p w14:paraId="2AB2D130"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7" w:name="p-774382"/>
      <w:bookmarkEnd w:id="43"/>
      <w:bookmarkEnd w:id="97"/>
    </w:p>
    <w:p w14:paraId="290FF92D"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18. Amendment to this Law regarding the supplementation of Section 12 with Paragraph four shall come into force on 1 July 2021.</w:t>
      </w:r>
    </w:p>
    <w:p w14:paraId="64D70BE9"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w:t>
      </w:r>
      <w:r w:rsidRPr="00355F36">
        <w:rPr>
          <w:rFonts w:ascii="Times New Roman" w:hAnsi="Times New Roman"/>
          <w:i/>
          <w:iCs/>
          <w:noProof/>
          <w:kern w:val="0"/>
          <w:sz w:val="24"/>
          <w:lang w:val="en-US"/>
        </w:rPr>
        <w:t>18 February 2021</w:t>
      </w:r>
      <w:r w:rsidRPr="00355F36">
        <w:rPr>
          <w:rFonts w:ascii="Times New Roman" w:hAnsi="Times New Roman"/>
          <w:noProof/>
          <w:kern w:val="0"/>
          <w:sz w:val="24"/>
          <w:lang w:val="en-US"/>
        </w:rPr>
        <w:t>]</w:t>
      </w:r>
    </w:p>
    <w:p w14:paraId="28F0DE4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B8D4F6C"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72CAA17"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This Law shall come into force on 1 December 2011.</w:t>
      </w:r>
    </w:p>
    <w:p w14:paraId="4786159D"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DF7F907"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355F36">
        <w:rPr>
          <w:rFonts w:ascii="Times New Roman" w:hAnsi="Times New Roman"/>
          <w:noProof/>
          <w:kern w:val="0"/>
          <w:sz w:val="24"/>
          <w:lang w:val="en-US"/>
        </w:rPr>
        <w:t xml:space="preserve">The Law has been adopted by the </w:t>
      </w:r>
      <w:r w:rsidRPr="00355F36">
        <w:rPr>
          <w:rFonts w:ascii="Times New Roman" w:hAnsi="Times New Roman"/>
          <w:i/>
          <w:iCs/>
          <w:noProof/>
          <w:kern w:val="0"/>
          <w:sz w:val="24"/>
          <w:lang w:val="en-US"/>
        </w:rPr>
        <w:t xml:space="preserve">Saeima </w:t>
      </w:r>
      <w:r w:rsidRPr="00355F36">
        <w:rPr>
          <w:rFonts w:ascii="Times New Roman" w:hAnsi="Times New Roman"/>
          <w:noProof/>
          <w:kern w:val="0"/>
          <w:sz w:val="24"/>
          <w:lang w:val="en-US"/>
        </w:rPr>
        <w:t>on 13 October 2011.</w:t>
      </w:r>
    </w:p>
    <w:p w14:paraId="2D198F4F"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89B96A6"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3EF4D0D" w14:textId="77777777" w:rsidR="00355F36" w:rsidRPr="00355F36" w:rsidRDefault="00355F36" w:rsidP="00355F36">
      <w:pPr>
        <w:shd w:val="clear" w:color="auto" w:fill="FFFFFF"/>
        <w:tabs>
          <w:tab w:val="left" w:pos="7938"/>
        </w:tabs>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President</w:t>
      </w:r>
      <w:r w:rsidRPr="00355F36">
        <w:rPr>
          <w:rFonts w:ascii="Times New Roman" w:hAnsi="Times New Roman"/>
          <w:noProof/>
          <w:kern w:val="0"/>
          <w:sz w:val="24"/>
          <w:lang w:val="en-US"/>
        </w:rPr>
        <w:tab/>
        <w:t>A. Bērziņš</w:t>
      </w:r>
    </w:p>
    <w:p w14:paraId="5E6BB108" w14:textId="77777777" w:rsidR="00355F36" w:rsidRPr="00355F36" w:rsidRDefault="00355F36" w:rsidP="00355F36">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4735A6B" w14:textId="77777777" w:rsidR="00355F36" w:rsidRPr="00355F36" w:rsidRDefault="00355F36" w:rsidP="00355F36">
      <w:pPr>
        <w:shd w:val="clear" w:color="auto" w:fill="FFFFFF"/>
        <w:spacing w:after="0" w:line="240" w:lineRule="auto"/>
        <w:jc w:val="both"/>
        <w:rPr>
          <w:rFonts w:ascii="Times New Roman" w:hAnsi="Times New Roman"/>
          <w:noProof/>
          <w:kern w:val="0"/>
          <w:sz w:val="24"/>
          <w:lang w:val="en-US"/>
        </w:rPr>
      </w:pPr>
      <w:r w:rsidRPr="00355F36">
        <w:rPr>
          <w:rFonts w:ascii="Times New Roman" w:hAnsi="Times New Roman"/>
          <w:noProof/>
          <w:kern w:val="0"/>
          <w:sz w:val="24"/>
          <w:lang w:val="en-US"/>
        </w:rPr>
        <w:t>Riga, 2 November 2011</w:t>
      </w:r>
    </w:p>
    <w:sectPr w:rsidR="00355F36" w:rsidRPr="00355F36" w:rsidSect="002B1D7A">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1CDAA" w14:textId="77777777" w:rsidR="00D814A1" w:rsidRPr="00355F36" w:rsidRDefault="00D814A1" w:rsidP="00D814A1">
      <w:pPr>
        <w:spacing w:after="0" w:line="240" w:lineRule="auto"/>
        <w:rPr>
          <w:noProof/>
          <w:kern w:val="0"/>
          <w:lang w:val="en-US"/>
        </w:rPr>
      </w:pPr>
      <w:r w:rsidRPr="00355F36">
        <w:rPr>
          <w:noProof/>
          <w:kern w:val="0"/>
          <w:lang w:val="en-US"/>
        </w:rPr>
        <w:separator/>
      </w:r>
    </w:p>
  </w:endnote>
  <w:endnote w:type="continuationSeparator" w:id="0">
    <w:p w14:paraId="2BDD0960" w14:textId="77777777" w:rsidR="00D814A1" w:rsidRPr="00355F36" w:rsidRDefault="00D814A1" w:rsidP="00D814A1">
      <w:pPr>
        <w:spacing w:after="0" w:line="240" w:lineRule="auto"/>
        <w:rPr>
          <w:noProof/>
          <w:kern w:val="0"/>
          <w:lang w:val="en-US"/>
        </w:rPr>
      </w:pPr>
      <w:r w:rsidRPr="00355F36">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3ADB2" w14:textId="77777777" w:rsidR="00355F36" w:rsidRDefault="00355F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FEAC82" w14:textId="77777777" w:rsidR="008558D9" w:rsidRPr="00355F36" w:rsidRDefault="008558D9" w:rsidP="008558D9">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p>
  <w:p w14:paraId="6F2CCAD8" w14:textId="77777777" w:rsidR="008558D9" w:rsidRPr="00355F36" w:rsidRDefault="008558D9" w:rsidP="008558D9">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 xml:space="preserve"> PAGE </w:instrText>
    </w:r>
    <w:r w:rsidRPr="00355F36">
      <w:rPr>
        <w:rFonts w:ascii="Times New Roman" w:eastAsia="Times New Roman" w:hAnsi="Times New Roman" w:cs="Times New Roman"/>
        <w:noProof/>
        <w:kern w:val="0"/>
        <w:sz w:val="20"/>
        <w:szCs w:val="20"/>
        <w:lang w:val="en-US" w:eastAsia="x-none"/>
      </w:rPr>
      <w:fldChar w:fldCharType="separate"/>
    </w:r>
    <w:r w:rsidRPr="00355F36">
      <w:rPr>
        <w:rFonts w:ascii="Times New Roman" w:eastAsia="Times New Roman" w:hAnsi="Times New Roman" w:cs="Times New Roman"/>
        <w:noProof/>
        <w:kern w:val="0"/>
        <w:sz w:val="20"/>
        <w:szCs w:val="20"/>
        <w:lang w:val="en-US" w:eastAsia="x-none"/>
      </w:rPr>
      <w:t>2</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w:t>
    </w:r>
  </w:p>
  <w:p w14:paraId="25461D68" w14:textId="7C7FD70C" w:rsidR="007947B2" w:rsidRPr="00355F36" w:rsidRDefault="008558D9" w:rsidP="008558D9">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t xml:space="preserve">Translation </w:t>
    </w: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symbol 169 \f "UnivrstyRoman TL" \s 8</w:instrText>
    </w:r>
    <w:r w:rsidRPr="00355F36">
      <w:rPr>
        <w:rFonts w:ascii="Times New Roman" w:eastAsia="Times New Roman" w:hAnsi="Times New Roman" w:cs="Times New Roman"/>
        <w:noProof/>
        <w:kern w:val="0"/>
        <w:sz w:val="20"/>
        <w:szCs w:val="20"/>
        <w:lang w:val="en-US" w:eastAsia="x-none"/>
      </w:rPr>
      <w:fldChar w:fldCharType="separate"/>
    </w:r>
    <w:r w:rsidRPr="00355F36">
      <w:rPr>
        <w:rFonts w:ascii="Times New Roman" w:eastAsia="Times New Roman" w:hAnsi="Times New Roman" w:cs="Times New Roman"/>
        <w:noProof/>
        <w:kern w:val="0"/>
        <w:sz w:val="20"/>
        <w:szCs w:val="20"/>
        <w:lang w:val="en-US" w:eastAsia="x-none"/>
      </w:rPr>
      <w:t>©</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2024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F91EB" w14:textId="77777777" w:rsidR="00F8351A" w:rsidRPr="00355F36" w:rsidRDefault="00F8351A" w:rsidP="00F8351A">
    <w:pPr>
      <w:tabs>
        <w:tab w:val="center" w:pos="4153"/>
        <w:tab w:val="right" w:pos="8306"/>
      </w:tabs>
      <w:spacing w:after="0" w:line="240" w:lineRule="auto"/>
      <w:rPr>
        <w:rFonts w:ascii="Times New Roman" w:eastAsia="Times New Roman" w:hAnsi="Times New Roman" w:cs="Times New Roman"/>
        <w:noProof/>
        <w:kern w:val="0"/>
        <w:sz w:val="20"/>
        <w:szCs w:val="20"/>
        <w:vertAlign w:val="superscript"/>
        <w:lang w:val="en-US" w:eastAsia="x-none"/>
      </w:rPr>
    </w:pPr>
  </w:p>
  <w:p w14:paraId="543DEB9E" w14:textId="77777777" w:rsidR="00F8351A" w:rsidRPr="00355F36" w:rsidRDefault="00F8351A" w:rsidP="00F8351A">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vertAlign w:val="superscript"/>
        <w:lang w:val="en-US" w:eastAsia="x-none"/>
      </w:rPr>
      <w:t xml:space="preserve">1 </w:t>
    </w:r>
    <w:r w:rsidRPr="00355F36">
      <w:rPr>
        <w:rFonts w:ascii="Times New Roman" w:eastAsia="Times New Roman" w:hAnsi="Times New Roman" w:cs="Times New Roman"/>
        <w:noProof/>
        <w:kern w:val="0"/>
        <w:sz w:val="20"/>
        <w:szCs w:val="20"/>
        <w:lang w:val="en-US" w:eastAsia="x-none"/>
      </w:rPr>
      <w:t xml:space="preserve">The Parliament of the </w:t>
    </w:r>
    <w:smartTag w:uri="urn:schemas-microsoft-com:office:smarttags" w:element="PlaceType">
      <w:smartTag w:uri="urn:schemas-microsoft-com:office:smarttags" w:element="place">
        <w:r w:rsidRPr="00355F36">
          <w:rPr>
            <w:rFonts w:ascii="Times New Roman" w:eastAsia="Times New Roman" w:hAnsi="Times New Roman" w:cs="Times New Roman"/>
            <w:noProof/>
            <w:kern w:val="0"/>
            <w:sz w:val="20"/>
            <w:szCs w:val="20"/>
            <w:lang w:val="en-US" w:eastAsia="x-none"/>
          </w:rPr>
          <w:t>Republic</w:t>
        </w:r>
      </w:smartTag>
      <w:r w:rsidRPr="00355F36">
        <w:rPr>
          <w:rFonts w:ascii="Times New Roman" w:eastAsia="Times New Roman" w:hAnsi="Times New Roman" w:cs="Times New Roman"/>
          <w:noProof/>
          <w:kern w:val="0"/>
          <w:sz w:val="20"/>
          <w:szCs w:val="20"/>
          <w:lang w:val="en-US" w:eastAsia="x-none"/>
        </w:rPr>
        <w:t xml:space="preserve"> of </w:t>
      </w:r>
      <w:smartTag w:uri="urn:schemas-microsoft-com:office:smarttags" w:element="PlaceName">
        <w:r w:rsidRPr="00355F36">
          <w:rPr>
            <w:rFonts w:ascii="Times New Roman" w:eastAsia="Times New Roman" w:hAnsi="Times New Roman" w:cs="Times New Roman"/>
            <w:noProof/>
            <w:kern w:val="0"/>
            <w:sz w:val="20"/>
            <w:szCs w:val="20"/>
            <w:lang w:val="en-US" w:eastAsia="x-none"/>
          </w:rPr>
          <w:t>Latvia</w:t>
        </w:r>
      </w:smartTag>
    </w:smartTag>
  </w:p>
  <w:p w14:paraId="6684E0FE" w14:textId="77777777" w:rsidR="00F8351A" w:rsidRPr="00355F36" w:rsidRDefault="00F8351A" w:rsidP="00F8351A">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p>
  <w:p w14:paraId="4FBC9FAA" w14:textId="4EB132F0" w:rsidR="007947B2" w:rsidRPr="00355F36" w:rsidRDefault="00F8351A" w:rsidP="00F8351A">
    <w:pPr>
      <w:tabs>
        <w:tab w:val="center" w:pos="4153"/>
        <w:tab w:val="right" w:pos="8306"/>
      </w:tabs>
      <w:spacing w:after="0" w:line="240" w:lineRule="auto"/>
      <w:rPr>
        <w:rFonts w:ascii="Times New Roman" w:eastAsia="Times New Roman" w:hAnsi="Times New Roman" w:cs="Times New Roman"/>
        <w:noProof/>
        <w:kern w:val="0"/>
        <w:sz w:val="20"/>
        <w:szCs w:val="20"/>
        <w:lang w:val="en-US" w:eastAsia="x-none"/>
      </w:rPr>
    </w:pPr>
    <w:r w:rsidRPr="00355F36">
      <w:rPr>
        <w:rFonts w:ascii="Times New Roman" w:eastAsia="Times New Roman" w:hAnsi="Times New Roman" w:cs="Times New Roman"/>
        <w:noProof/>
        <w:kern w:val="0"/>
        <w:sz w:val="20"/>
        <w:szCs w:val="20"/>
        <w:lang w:val="en-US" w:eastAsia="x-none"/>
      </w:rPr>
      <w:t xml:space="preserve">Translation </w:t>
    </w:r>
    <w:r w:rsidRPr="00355F36">
      <w:rPr>
        <w:rFonts w:ascii="Times New Roman" w:eastAsia="Times New Roman" w:hAnsi="Times New Roman" w:cs="Times New Roman"/>
        <w:noProof/>
        <w:kern w:val="0"/>
        <w:sz w:val="20"/>
        <w:szCs w:val="20"/>
        <w:lang w:val="en-US" w:eastAsia="x-none"/>
      </w:rPr>
      <w:fldChar w:fldCharType="begin"/>
    </w:r>
    <w:r w:rsidRPr="00355F36">
      <w:rPr>
        <w:rFonts w:ascii="Times New Roman" w:eastAsia="Times New Roman" w:hAnsi="Times New Roman" w:cs="Times New Roman"/>
        <w:noProof/>
        <w:kern w:val="0"/>
        <w:sz w:val="20"/>
        <w:szCs w:val="20"/>
        <w:lang w:val="en-US" w:eastAsia="x-none"/>
      </w:rPr>
      <w:instrText>symbol 169 \f "UnivrstyRoman TL" \s 8</w:instrText>
    </w:r>
    <w:r w:rsidRPr="00355F36">
      <w:rPr>
        <w:rFonts w:ascii="Times New Roman" w:eastAsia="Times New Roman" w:hAnsi="Times New Roman" w:cs="Times New Roman"/>
        <w:noProof/>
        <w:kern w:val="0"/>
        <w:sz w:val="20"/>
        <w:szCs w:val="20"/>
        <w:lang w:val="en-US" w:eastAsia="x-none"/>
      </w:rPr>
      <w:fldChar w:fldCharType="separate"/>
    </w:r>
    <w:r w:rsidRPr="00355F36">
      <w:rPr>
        <w:rFonts w:ascii="Times New Roman" w:eastAsia="Times New Roman" w:hAnsi="Times New Roman" w:cs="Times New Roman"/>
        <w:noProof/>
        <w:kern w:val="0"/>
        <w:sz w:val="20"/>
        <w:szCs w:val="20"/>
        <w:lang w:val="en-US" w:eastAsia="x-none"/>
      </w:rPr>
      <w:t>©</w:t>
    </w:r>
    <w:r w:rsidRPr="00355F36">
      <w:rPr>
        <w:rFonts w:ascii="Times New Roman" w:eastAsia="Times New Roman" w:hAnsi="Times New Roman" w:cs="Times New Roman"/>
        <w:noProof/>
        <w:kern w:val="0"/>
        <w:sz w:val="20"/>
        <w:szCs w:val="20"/>
        <w:lang w:val="en-US" w:eastAsia="x-none"/>
      </w:rPr>
      <w:fldChar w:fldCharType="end"/>
    </w:r>
    <w:r w:rsidRPr="00355F36">
      <w:rPr>
        <w:rFonts w:ascii="Times New Roman" w:eastAsia="Times New Roman" w:hAnsi="Times New Roman" w:cs="Times New Roman"/>
        <w:noProof/>
        <w:kern w:val="0"/>
        <w:sz w:val="20"/>
        <w:szCs w:val="20"/>
        <w:lang w:val="en-US" w:eastAsia="x-none"/>
      </w:rPr>
      <w:t xml:space="preserve"> 2024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CF21E" w14:textId="77777777" w:rsidR="00D814A1" w:rsidRPr="00355F36" w:rsidRDefault="00D814A1" w:rsidP="00D814A1">
      <w:pPr>
        <w:spacing w:after="0" w:line="240" w:lineRule="auto"/>
        <w:rPr>
          <w:noProof/>
          <w:kern w:val="0"/>
          <w:lang w:val="en-US"/>
        </w:rPr>
      </w:pPr>
      <w:r w:rsidRPr="00355F36">
        <w:rPr>
          <w:noProof/>
          <w:kern w:val="0"/>
          <w:lang w:val="en-US"/>
        </w:rPr>
        <w:separator/>
      </w:r>
    </w:p>
  </w:footnote>
  <w:footnote w:type="continuationSeparator" w:id="0">
    <w:p w14:paraId="7E6980A9" w14:textId="77777777" w:rsidR="00D814A1" w:rsidRPr="00355F36" w:rsidRDefault="00D814A1" w:rsidP="00D814A1">
      <w:pPr>
        <w:spacing w:after="0" w:line="240" w:lineRule="auto"/>
        <w:rPr>
          <w:noProof/>
          <w:kern w:val="0"/>
          <w:lang w:val="en-US"/>
        </w:rPr>
      </w:pPr>
      <w:r w:rsidRPr="00355F36">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120BC" w14:textId="77777777" w:rsidR="00355F36" w:rsidRDefault="00355F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5DAF9" w14:textId="77777777" w:rsidR="00355F36" w:rsidRDefault="00355F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16559F" w14:textId="77777777" w:rsidR="00355F36" w:rsidRDefault="00355F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78D"/>
    <w:rsid w:val="00052489"/>
    <w:rsid w:val="001629DD"/>
    <w:rsid w:val="00170C32"/>
    <w:rsid w:val="002B1D7A"/>
    <w:rsid w:val="002F5889"/>
    <w:rsid w:val="00355F36"/>
    <w:rsid w:val="003666FE"/>
    <w:rsid w:val="003E6A15"/>
    <w:rsid w:val="004250E2"/>
    <w:rsid w:val="004454AB"/>
    <w:rsid w:val="004F61AE"/>
    <w:rsid w:val="0051478D"/>
    <w:rsid w:val="0052147E"/>
    <w:rsid w:val="00564499"/>
    <w:rsid w:val="00581328"/>
    <w:rsid w:val="005A6B52"/>
    <w:rsid w:val="005B6EA2"/>
    <w:rsid w:val="00641CE0"/>
    <w:rsid w:val="00683FF2"/>
    <w:rsid w:val="00685348"/>
    <w:rsid w:val="00772D7B"/>
    <w:rsid w:val="007947B2"/>
    <w:rsid w:val="007C397E"/>
    <w:rsid w:val="007C4F5A"/>
    <w:rsid w:val="008411C8"/>
    <w:rsid w:val="008558D9"/>
    <w:rsid w:val="008824E4"/>
    <w:rsid w:val="0089716F"/>
    <w:rsid w:val="00913D7A"/>
    <w:rsid w:val="00914D4A"/>
    <w:rsid w:val="009550CD"/>
    <w:rsid w:val="00964D47"/>
    <w:rsid w:val="00994854"/>
    <w:rsid w:val="00A65E5B"/>
    <w:rsid w:val="00BE69CA"/>
    <w:rsid w:val="00C1584D"/>
    <w:rsid w:val="00CA469E"/>
    <w:rsid w:val="00CD3815"/>
    <w:rsid w:val="00D07F48"/>
    <w:rsid w:val="00D226C8"/>
    <w:rsid w:val="00D61025"/>
    <w:rsid w:val="00D814A1"/>
    <w:rsid w:val="00DC2BE4"/>
    <w:rsid w:val="00E12FC3"/>
    <w:rsid w:val="00E41EAC"/>
    <w:rsid w:val="00E651C5"/>
    <w:rsid w:val="00EA6A94"/>
    <w:rsid w:val="00F22D59"/>
    <w:rsid w:val="00F340C5"/>
    <w:rsid w:val="00F3535C"/>
    <w:rsid w:val="00F81202"/>
    <w:rsid w:val="00F8351A"/>
    <w:rsid w:val="00FF0BDD"/>
    <w:rsid w:val="00FF49C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14:docId w14:val="0E9FAB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147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147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147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147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147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147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147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147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147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7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147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147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147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147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147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47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47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478D"/>
    <w:rPr>
      <w:rFonts w:eastAsiaTheme="majorEastAsia" w:cstheme="majorBidi"/>
      <w:color w:val="272727" w:themeColor="text1" w:themeTint="D8"/>
    </w:rPr>
  </w:style>
  <w:style w:type="paragraph" w:styleId="Title">
    <w:name w:val="Title"/>
    <w:basedOn w:val="Normal"/>
    <w:next w:val="Normal"/>
    <w:link w:val="TitleChar"/>
    <w:uiPriority w:val="10"/>
    <w:qFormat/>
    <w:rsid w:val="005147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147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47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147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478D"/>
    <w:pPr>
      <w:spacing w:before="160"/>
      <w:jc w:val="center"/>
    </w:pPr>
    <w:rPr>
      <w:i/>
      <w:iCs/>
      <w:color w:val="404040" w:themeColor="text1" w:themeTint="BF"/>
    </w:rPr>
  </w:style>
  <w:style w:type="character" w:customStyle="1" w:styleId="QuoteChar">
    <w:name w:val="Quote Char"/>
    <w:basedOn w:val="DefaultParagraphFont"/>
    <w:link w:val="Quote"/>
    <w:uiPriority w:val="29"/>
    <w:rsid w:val="0051478D"/>
    <w:rPr>
      <w:i/>
      <w:iCs/>
      <w:color w:val="404040" w:themeColor="text1" w:themeTint="BF"/>
    </w:rPr>
  </w:style>
  <w:style w:type="paragraph" w:styleId="ListParagraph">
    <w:name w:val="List Paragraph"/>
    <w:basedOn w:val="Normal"/>
    <w:uiPriority w:val="34"/>
    <w:qFormat/>
    <w:rsid w:val="0051478D"/>
    <w:pPr>
      <w:ind w:left="720"/>
      <w:contextualSpacing/>
    </w:pPr>
  </w:style>
  <w:style w:type="character" w:styleId="IntenseEmphasis">
    <w:name w:val="Intense Emphasis"/>
    <w:basedOn w:val="DefaultParagraphFont"/>
    <w:uiPriority w:val="21"/>
    <w:qFormat/>
    <w:rsid w:val="0051478D"/>
    <w:rPr>
      <w:i/>
      <w:iCs/>
      <w:color w:val="0F4761" w:themeColor="accent1" w:themeShade="BF"/>
    </w:rPr>
  </w:style>
  <w:style w:type="paragraph" w:styleId="IntenseQuote">
    <w:name w:val="Intense Quote"/>
    <w:basedOn w:val="Normal"/>
    <w:next w:val="Normal"/>
    <w:link w:val="IntenseQuoteChar"/>
    <w:uiPriority w:val="30"/>
    <w:qFormat/>
    <w:rsid w:val="005147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1478D"/>
    <w:rPr>
      <w:i/>
      <w:iCs/>
      <w:color w:val="0F4761" w:themeColor="accent1" w:themeShade="BF"/>
    </w:rPr>
  </w:style>
  <w:style w:type="character" w:styleId="IntenseReference">
    <w:name w:val="Intense Reference"/>
    <w:basedOn w:val="DefaultParagraphFont"/>
    <w:uiPriority w:val="32"/>
    <w:qFormat/>
    <w:rsid w:val="0051478D"/>
    <w:rPr>
      <w:b/>
      <w:bCs/>
      <w:smallCaps/>
      <w:color w:val="0F4761" w:themeColor="accent1" w:themeShade="BF"/>
      <w:spacing w:val="5"/>
    </w:rPr>
  </w:style>
  <w:style w:type="paragraph" w:customStyle="1" w:styleId="likc">
    <w:name w:val="lik_c"/>
    <w:basedOn w:val="Normal"/>
    <w:rsid w:val="00D814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D814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D814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D814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814A1"/>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D814A1"/>
    <w:rPr>
      <w:color w:val="0000FF"/>
      <w:u w:val="single"/>
    </w:rPr>
  </w:style>
  <w:style w:type="character" w:customStyle="1" w:styleId="fontsize2">
    <w:name w:val="fontsize2"/>
    <w:basedOn w:val="DefaultParagraphFont"/>
    <w:rsid w:val="00D814A1"/>
  </w:style>
  <w:style w:type="paragraph" w:styleId="Header">
    <w:name w:val="header"/>
    <w:basedOn w:val="Normal"/>
    <w:link w:val="HeaderChar"/>
    <w:uiPriority w:val="99"/>
    <w:unhideWhenUsed/>
    <w:rsid w:val="00D814A1"/>
    <w:pPr>
      <w:tabs>
        <w:tab w:val="center" w:pos="4153"/>
        <w:tab w:val="right" w:pos="8306"/>
      </w:tabs>
      <w:spacing w:after="0" w:line="240" w:lineRule="auto"/>
    </w:pPr>
  </w:style>
  <w:style w:type="character" w:customStyle="1" w:styleId="HeaderChar">
    <w:name w:val="Header Char"/>
    <w:basedOn w:val="DefaultParagraphFont"/>
    <w:link w:val="Header"/>
    <w:uiPriority w:val="99"/>
    <w:rsid w:val="00D814A1"/>
  </w:style>
  <w:style w:type="paragraph" w:styleId="Footer">
    <w:name w:val="footer"/>
    <w:basedOn w:val="Normal"/>
    <w:link w:val="FooterChar"/>
    <w:uiPriority w:val="99"/>
    <w:unhideWhenUsed/>
    <w:rsid w:val="00D814A1"/>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14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0876610">
      <w:bodyDiv w:val="1"/>
      <w:marLeft w:val="0"/>
      <w:marRight w:val="0"/>
      <w:marTop w:val="0"/>
      <w:marBottom w:val="0"/>
      <w:divBdr>
        <w:top w:val="none" w:sz="0" w:space="0" w:color="auto"/>
        <w:left w:val="none" w:sz="0" w:space="0" w:color="auto"/>
        <w:bottom w:val="none" w:sz="0" w:space="0" w:color="auto"/>
        <w:right w:val="none" w:sz="0" w:space="0" w:color="auto"/>
      </w:divBdr>
    </w:div>
    <w:div w:id="1870876871">
      <w:bodyDiv w:val="1"/>
      <w:marLeft w:val="0"/>
      <w:marRight w:val="0"/>
      <w:marTop w:val="0"/>
      <w:marBottom w:val="0"/>
      <w:divBdr>
        <w:top w:val="none" w:sz="0" w:space="0" w:color="auto"/>
        <w:left w:val="none" w:sz="0" w:space="0" w:color="auto"/>
        <w:bottom w:val="none" w:sz="0" w:space="0" w:color="auto"/>
        <w:right w:val="none" w:sz="0" w:space="0" w:color="auto"/>
      </w:divBdr>
      <w:divsChild>
        <w:div w:id="548734044">
          <w:marLeft w:val="0"/>
          <w:marRight w:val="0"/>
          <w:marTop w:val="480"/>
          <w:marBottom w:val="240"/>
          <w:divBdr>
            <w:top w:val="none" w:sz="0" w:space="0" w:color="auto"/>
            <w:left w:val="none" w:sz="0" w:space="0" w:color="auto"/>
            <w:bottom w:val="none" w:sz="0" w:space="0" w:color="auto"/>
            <w:right w:val="none" w:sz="0" w:space="0" w:color="auto"/>
          </w:divBdr>
        </w:div>
        <w:div w:id="1227372555">
          <w:marLeft w:val="0"/>
          <w:marRight w:val="0"/>
          <w:marTop w:val="0"/>
          <w:marBottom w:val="567"/>
          <w:divBdr>
            <w:top w:val="none" w:sz="0" w:space="0" w:color="auto"/>
            <w:left w:val="none" w:sz="0" w:space="0" w:color="auto"/>
            <w:bottom w:val="none" w:sz="0" w:space="0" w:color="auto"/>
            <w:right w:val="none" w:sz="0" w:space="0" w:color="auto"/>
          </w:divBdr>
        </w:div>
        <w:div w:id="561790515">
          <w:marLeft w:val="0"/>
          <w:marRight w:val="0"/>
          <w:marTop w:val="0"/>
          <w:marBottom w:val="0"/>
          <w:divBdr>
            <w:top w:val="none" w:sz="0" w:space="0" w:color="auto"/>
            <w:left w:val="none" w:sz="0" w:space="0" w:color="auto"/>
            <w:bottom w:val="none" w:sz="0" w:space="0" w:color="auto"/>
            <w:right w:val="none" w:sz="0" w:space="0" w:color="auto"/>
          </w:divBdr>
        </w:div>
        <w:div w:id="889654537">
          <w:marLeft w:val="0"/>
          <w:marRight w:val="0"/>
          <w:marTop w:val="0"/>
          <w:marBottom w:val="0"/>
          <w:divBdr>
            <w:top w:val="none" w:sz="0" w:space="0" w:color="auto"/>
            <w:left w:val="none" w:sz="0" w:space="0" w:color="auto"/>
            <w:bottom w:val="none" w:sz="0" w:space="0" w:color="auto"/>
            <w:right w:val="none" w:sz="0" w:space="0" w:color="auto"/>
          </w:divBdr>
        </w:div>
        <w:div w:id="528958999">
          <w:marLeft w:val="0"/>
          <w:marRight w:val="0"/>
          <w:marTop w:val="0"/>
          <w:marBottom w:val="0"/>
          <w:divBdr>
            <w:top w:val="none" w:sz="0" w:space="0" w:color="auto"/>
            <w:left w:val="none" w:sz="0" w:space="0" w:color="auto"/>
            <w:bottom w:val="none" w:sz="0" w:space="0" w:color="auto"/>
            <w:right w:val="none" w:sz="0" w:space="0" w:color="auto"/>
          </w:divBdr>
        </w:div>
        <w:div w:id="214392838">
          <w:marLeft w:val="0"/>
          <w:marRight w:val="0"/>
          <w:marTop w:val="0"/>
          <w:marBottom w:val="0"/>
          <w:divBdr>
            <w:top w:val="none" w:sz="0" w:space="0" w:color="auto"/>
            <w:left w:val="none" w:sz="0" w:space="0" w:color="auto"/>
            <w:bottom w:val="none" w:sz="0" w:space="0" w:color="auto"/>
            <w:right w:val="none" w:sz="0" w:space="0" w:color="auto"/>
          </w:divBdr>
        </w:div>
        <w:div w:id="1770391791">
          <w:marLeft w:val="0"/>
          <w:marRight w:val="0"/>
          <w:marTop w:val="0"/>
          <w:marBottom w:val="0"/>
          <w:divBdr>
            <w:top w:val="none" w:sz="0" w:space="0" w:color="auto"/>
            <w:left w:val="none" w:sz="0" w:space="0" w:color="auto"/>
            <w:bottom w:val="none" w:sz="0" w:space="0" w:color="auto"/>
            <w:right w:val="none" w:sz="0" w:space="0" w:color="auto"/>
          </w:divBdr>
        </w:div>
        <w:div w:id="1311397362">
          <w:marLeft w:val="0"/>
          <w:marRight w:val="0"/>
          <w:marTop w:val="0"/>
          <w:marBottom w:val="0"/>
          <w:divBdr>
            <w:top w:val="none" w:sz="0" w:space="0" w:color="auto"/>
            <w:left w:val="none" w:sz="0" w:space="0" w:color="auto"/>
            <w:bottom w:val="none" w:sz="0" w:space="0" w:color="auto"/>
            <w:right w:val="none" w:sz="0" w:space="0" w:color="auto"/>
          </w:divBdr>
        </w:div>
        <w:div w:id="1388215596">
          <w:marLeft w:val="0"/>
          <w:marRight w:val="0"/>
          <w:marTop w:val="0"/>
          <w:marBottom w:val="0"/>
          <w:divBdr>
            <w:top w:val="none" w:sz="0" w:space="0" w:color="auto"/>
            <w:left w:val="none" w:sz="0" w:space="0" w:color="auto"/>
            <w:bottom w:val="none" w:sz="0" w:space="0" w:color="auto"/>
            <w:right w:val="none" w:sz="0" w:space="0" w:color="auto"/>
          </w:divBdr>
        </w:div>
        <w:div w:id="939607978">
          <w:marLeft w:val="0"/>
          <w:marRight w:val="0"/>
          <w:marTop w:val="0"/>
          <w:marBottom w:val="0"/>
          <w:divBdr>
            <w:top w:val="none" w:sz="0" w:space="0" w:color="auto"/>
            <w:left w:val="none" w:sz="0" w:space="0" w:color="auto"/>
            <w:bottom w:val="none" w:sz="0" w:space="0" w:color="auto"/>
            <w:right w:val="none" w:sz="0" w:space="0" w:color="auto"/>
          </w:divBdr>
        </w:div>
        <w:div w:id="1949189821">
          <w:marLeft w:val="0"/>
          <w:marRight w:val="0"/>
          <w:marTop w:val="0"/>
          <w:marBottom w:val="0"/>
          <w:divBdr>
            <w:top w:val="none" w:sz="0" w:space="0" w:color="auto"/>
            <w:left w:val="none" w:sz="0" w:space="0" w:color="auto"/>
            <w:bottom w:val="none" w:sz="0" w:space="0" w:color="auto"/>
            <w:right w:val="none" w:sz="0" w:space="0" w:color="auto"/>
          </w:divBdr>
        </w:div>
        <w:div w:id="1280339306">
          <w:marLeft w:val="0"/>
          <w:marRight w:val="0"/>
          <w:marTop w:val="0"/>
          <w:marBottom w:val="0"/>
          <w:divBdr>
            <w:top w:val="none" w:sz="0" w:space="0" w:color="auto"/>
            <w:left w:val="none" w:sz="0" w:space="0" w:color="auto"/>
            <w:bottom w:val="none" w:sz="0" w:space="0" w:color="auto"/>
            <w:right w:val="none" w:sz="0" w:space="0" w:color="auto"/>
          </w:divBdr>
        </w:div>
        <w:div w:id="480388226">
          <w:marLeft w:val="0"/>
          <w:marRight w:val="0"/>
          <w:marTop w:val="0"/>
          <w:marBottom w:val="0"/>
          <w:divBdr>
            <w:top w:val="none" w:sz="0" w:space="0" w:color="auto"/>
            <w:left w:val="none" w:sz="0" w:space="0" w:color="auto"/>
            <w:bottom w:val="none" w:sz="0" w:space="0" w:color="auto"/>
            <w:right w:val="none" w:sz="0" w:space="0" w:color="auto"/>
          </w:divBdr>
        </w:div>
        <w:div w:id="499152615">
          <w:marLeft w:val="0"/>
          <w:marRight w:val="0"/>
          <w:marTop w:val="0"/>
          <w:marBottom w:val="0"/>
          <w:divBdr>
            <w:top w:val="none" w:sz="0" w:space="0" w:color="auto"/>
            <w:left w:val="none" w:sz="0" w:space="0" w:color="auto"/>
            <w:bottom w:val="none" w:sz="0" w:space="0" w:color="auto"/>
            <w:right w:val="none" w:sz="0" w:space="0" w:color="auto"/>
          </w:divBdr>
        </w:div>
        <w:div w:id="652610821">
          <w:marLeft w:val="0"/>
          <w:marRight w:val="0"/>
          <w:marTop w:val="0"/>
          <w:marBottom w:val="0"/>
          <w:divBdr>
            <w:top w:val="none" w:sz="0" w:space="0" w:color="auto"/>
            <w:left w:val="none" w:sz="0" w:space="0" w:color="auto"/>
            <w:bottom w:val="none" w:sz="0" w:space="0" w:color="auto"/>
            <w:right w:val="none" w:sz="0" w:space="0" w:color="auto"/>
          </w:divBdr>
        </w:div>
        <w:div w:id="256595190">
          <w:marLeft w:val="0"/>
          <w:marRight w:val="0"/>
          <w:marTop w:val="0"/>
          <w:marBottom w:val="0"/>
          <w:divBdr>
            <w:top w:val="none" w:sz="0" w:space="0" w:color="auto"/>
            <w:left w:val="none" w:sz="0" w:space="0" w:color="auto"/>
            <w:bottom w:val="none" w:sz="0" w:space="0" w:color="auto"/>
            <w:right w:val="none" w:sz="0" w:space="0" w:color="auto"/>
          </w:divBdr>
        </w:div>
        <w:div w:id="2051028994">
          <w:marLeft w:val="0"/>
          <w:marRight w:val="0"/>
          <w:marTop w:val="0"/>
          <w:marBottom w:val="0"/>
          <w:divBdr>
            <w:top w:val="none" w:sz="0" w:space="0" w:color="auto"/>
            <w:left w:val="none" w:sz="0" w:space="0" w:color="auto"/>
            <w:bottom w:val="none" w:sz="0" w:space="0" w:color="auto"/>
            <w:right w:val="none" w:sz="0" w:space="0" w:color="auto"/>
          </w:divBdr>
        </w:div>
        <w:div w:id="805467989">
          <w:marLeft w:val="0"/>
          <w:marRight w:val="0"/>
          <w:marTop w:val="0"/>
          <w:marBottom w:val="0"/>
          <w:divBdr>
            <w:top w:val="none" w:sz="0" w:space="0" w:color="auto"/>
            <w:left w:val="none" w:sz="0" w:space="0" w:color="auto"/>
            <w:bottom w:val="none" w:sz="0" w:space="0" w:color="auto"/>
            <w:right w:val="none" w:sz="0" w:space="0" w:color="auto"/>
          </w:divBdr>
        </w:div>
        <w:div w:id="340934473">
          <w:marLeft w:val="0"/>
          <w:marRight w:val="0"/>
          <w:marTop w:val="0"/>
          <w:marBottom w:val="0"/>
          <w:divBdr>
            <w:top w:val="none" w:sz="0" w:space="0" w:color="auto"/>
            <w:left w:val="none" w:sz="0" w:space="0" w:color="auto"/>
            <w:bottom w:val="none" w:sz="0" w:space="0" w:color="auto"/>
            <w:right w:val="none" w:sz="0" w:space="0" w:color="auto"/>
          </w:divBdr>
        </w:div>
        <w:div w:id="1790008236">
          <w:marLeft w:val="0"/>
          <w:marRight w:val="0"/>
          <w:marTop w:val="0"/>
          <w:marBottom w:val="0"/>
          <w:divBdr>
            <w:top w:val="none" w:sz="0" w:space="0" w:color="auto"/>
            <w:left w:val="none" w:sz="0" w:space="0" w:color="auto"/>
            <w:bottom w:val="none" w:sz="0" w:space="0" w:color="auto"/>
            <w:right w:val="none" w:sz="0" w:space="0" w:color="auto"/>
          </w:divBdr>
        </w:div>
        <w:div w:id="1802575974">
          <w:marLeft w:val="0"/>
          <w:marRight w:val="0"/>
          <w:marTop w:val="0"/>
          <w:marBottom w:val="0"/>
          <w:divBdr>
            <w:top w:val="none" w:sz="0" w:space="0" w:color="auto"/>
            <w:left w:val="none" w:sz="0" w:space="0" w:color="auto"/>
            <w:bottom w:val="none" w:sz="0" w:space="0" w:color="auto"/>
            <w:right w:val="none" w:sz="0" w:space="0" w:color="auto"/>
          </w:divBdr>
        </w:div>
        <w:div w:id="1861042266">
          <w:marLeft w:val="0"/>
          <w:marRight w:val="0"/>
          <w:marTop w:val="0"/>
          <w:marBottom w:val="0"/>
          <w:divBdr>
            <w:top w:val="none" w:sz="0" w:space="0" w:color="auto"/>
            <w:left w:val="none" w:sz="0" w:space="0" w:color="auto"/>
            <w:bottom w:val="none" w:sz="0" w:space="0" w:color="auto"/>
            <w:right w:val="none" w:sz="0" w:space="0" w:color="auto"/>
          </w:divBdr>
        </w:div>
        <w:div w:id="1643078458">
          <w:marLeft w:val="0"/>
          <w:marRight w:val="0"/>
          <w:marTop w:val="0"/>
          <w:marBottom w:val="0"/>
          <w:divBdr>
            <w:top w:val="none" w:sz="0" w:space="0" w:color="auto"/>
            <w:left w:val="none" w:sz="0" w:space="0" w:color="auto"/>
            <w:bottom w:val="none" w:sz="0" w:space="0" w:color="auto"/>
            <w:right w:val="none" w:sz="0" w:space="0" w:color="auto"/>
          </w:divBdr>
        </w:div>
        <w:div w:id="1506898891">
          <w:marLeft w:val="0"/>
          <w:marRight w:val="0"/>
          <w:marTop w:val="0"/>
          <w:marBottom w:val="0"/>
          <w:divBdr>
            <w:top w:val="none" w:sz="0" w:space="0" w:color="auto"/>
            <w:left w:val="none" w:sz="0" w:space="0" w:color="auto"/>
            <w:bottom w:val="none" w:sz="0" w:space="0" w:color="auto"/>
            <w:right w:val="none" w:sz="0" w:space="0" w:color="auto"/>
          </w:divBdr>
        </w:div>
        <w:div w:id="1362320189">
          <w:marLeft w:val="0"/>
          <w:marRight w:val="0"/>
          <w:marTop w:val="0"/>
          <w:marBottom w:val="0"/>
          <w:divBdr>
            <w:top w:val="none" w:sz="0" w:space="0" w:color="auto"/>
            <w:left w:val="none" w:sz="0" w:space="0" w:color="auto"/>
            <w:bottom w:val="none" w:sz="0" w:space="0" w:color="auto"/>
            <w:right w:val="none" w:sz="0" w:space="0" w:color="auto"/>
          </w:divBdr>
        </w:div>
        <w:div w:id="1744525938">
          <w:marLeft w:val="0"/>
          <w:marRight w:val="0"/>
          <w:marTop w:val="0"/>
          <w:marBottom w:val="0"/>
          <w:divBdr>
            <w:top w:val="none" w:sz="0" w:space="0" w:color="auto"/>
            <w:left w:val="none" w:sz="0" w:space="0" w:color="auto"/>
            <w:bottom w:val="none" w:sz="0" w:space="0" w:color="auto"/>
            <w:right w:val="none" w:sz="0" w:space="0" w:color="auto"/>
          </w:divBdr>
        </w:div>
        <w:div w:id="1885366323">
          <w:marLeft w:val="0"/>
          <w:marRight w:val="0"/>
          <w:marTop w:val="0"/>
          <w:marBottom w:val="0"/>
          <w:divBdr>
            <w:top w:val="none" w:sz="0" w:space="0" w:color="auto"/>
            <w:left w:val="none" w:sz="0" w:space="0" w:color="auto"/>
            <w:bottom w:val="none" w:sz="0" w:space="0" w:color="auto"/>
            <w:right w:val="none" w:sz="0" w:space="0" w:color="auto"/>
          </w:divBdr>
        </w:div>
        <w:div w:id="189416949">
          <w:marLeft w:val="0"/>
          <w:marRight w:val="0"/>
          <w:marTop w:val="0"/>
          <w:marBottom w:val="0"/>
          <w:divBdr>
            <w:top w:val="none" w:sz="0" w:space="0" w:color="auto"/>
            <w:left w:val="none" w:sz="0" w:space="0" w:color="auto"/>
            <w:bottom w:val="none" w:sz="0" w:space="0" w:color="auto"/>
            <w:right w:val="none" w:sz="0" w:space="0" w:color="auto"/>
          </w:divBdr>
        </w:div>
        <w:div w:id="1643459754">
          <w:marLeft w:val="0"/>
          <w:marRight w:val="0"/>
          <w:marTop w:val="0"/>
          <w:marBottom w:val="0"/>
          <w:divBdr>
            <w:top w:val="none" w:sz="0" w:space="0" w:color="auto"/>
            <w:left w:val="none" w:sz="0" w:space="0" w:color="auto"/>
            <w:bottom w:val="none" w:sz="0" w:space="0" w:color="auto"/>
            <w:right w:val="none" w:sz="0" w:space="0" w:color="auto"/>
          </w:divBdr>
        </w:div>
        <w:div w:id="1817917948">
          <w:marLeft w:val="0"/>
          <w:marRight w:val="0"/>
          <w:marTop w:val="0"/>
          <w:marBottom w:val="0"/>
          <w:divBdr>
            <w:top w:val="none" w:sz="0" w:space="0" w:color="auto"/>
            <w:left w:val="none" w:sz="0" w:space="0" w:color="auto"/>
            <w:bottom w:val="none" w:sz="0" w:space="0" w:color="auto"/>
            <w:right w:val="none" w:sz="0" w:space="0" w:color="auto"/>
          </w:divBdr>
        </w:div>
        <w:div w:id="143550408">
          <w:marLeft w:val="0"/>
          <w:marRight w:val="0"/>
          <w:marTop w:val="0"/>
          <w:marBottom w:val="0"/>
          <w:divBdr>
            <w:top w:val="none" w:sz="0" w:space="0" w:color="auto"/>
            <w:left w:val="none" w:sz="0" w:space="0" w:color="auto"/>
            <w:bottom w:val="none" w:sz="0" w:space="0" w:color="auto"/>
            <w:right w:val="none" w:sz="0" w:space="0" w:color="auto"/>
          </w:divBdr>
        </w:div>
        <w:div w:id="422604968">
          <w:marLeft w:val="0"/>
          <w:marRight w:val="0"/>
          <w:marTop w:val="0"/>
          <w:marBottom w:val="0"/>
          <w:divBdr>
            <w:top w:val="none" w:sz="0" w:space="0" w:color="auto"/>
            <w:left w:val="none" w:sz="0" w:space="0" w:color="auto"/>
            <w:bottom w:val="none" w:sz="0" w:space="0" w:color="auto"/>
            <w:right w:val="none" w:sz="0" w:space="0" w:color="auto"/>
          </w:divBdr>
        </w:div>
        <w:div w:id="2116365505">
          <w:marLeft w:val="0"/>
          <w:marRight w:val="0"/>
          <w:marTop w:val="0"/>
          <w:marBottom w:val="0"/>
          <w:divBdr>
            <w:top w:val="none" w:sz="0" w:space="0" w:color="auto"/>
            <w:left w:val="none" w:sz="0" w:space="0" w:color="auto"/>
            <w:bottom w:val="none" w:sz="0" w:space="0" w:color="auto"/>
            <w:right w:val="none" w:sz="0" w:space="0" w:color="auto"/>
          </w:divBdr>
        </w:div>
        <w:div w:id="1864125687">
          <w:marLeft w:val="0"/>
          <w:marRight w:val="0"/>
          <w:marTop w:val="0"/>
          <w:marBottom w:val="0"/>
          <w:divBdr>
            <w:top w:val="none" w:sz="0" w:space="0" w:color="auto"/>
            <w:left w:val="none" w:sz="0" w:space="0" w:color="auto"/>
            <w:bottom w:val="none" w:sz="0" w:space="0" w:color="auto"/>
            <w:right w:val="none" w:sz="0" w:space="0" w:color="auto"/>
          </w:divBdr>
        </w:div>
        <w:div w:id="1217735920">
          <w:marLeft w:val="0"/>
          <w:marRight w:val="0"/>
          <w:marTop w:val="0"/>
          <w:marBottom w:val="0"/>
          <w:divBdr>
            <w:top w:val="none" w:sz="0" w:space="0" w:color="auto"/>
            <w:left w:val="none" w:sz="0" w:space="0" w:color="auto"/>
            <w:bottom w:val="none" w:sz="0" w:space="0" w:color="auto"/>
            <w:right w:val="none" w:sz="0" w:space="0" w:color="auto"/>
          </w:divBdr>
        </w:div>
        <w:div w:id="40987005">
          <w:marLeft w:val="0"/>
          <w:marRight w:val="0"/>
          <w:marTop w:val="0"/>
          <w:marBottom w:val="0"/>
          <w:divBdr>
            <w:top w:val="none" w:sz="0" w:space="0" w:color="auto"/>
            <w:left w:val="none" w:sz="0" w:space="0" w:color="auto"/>
            <w:bottom w:val="none" w:sz="0" w:space="0" w:color="auto"/>
            <w:right w:val="none" w:sz="0" w:space="0" w:color="auto"/>
          </w:divBdr>
        </w:div>
        <w:div w:id="43986720">
          <w:marLeft w:val="0"/>
          <w:marRight w:val="0"/>
          <w:marTop w:val="0"/>
          <w:marBottom w:val="0"/>
          <w:divBdr>
            <w:top w:val="none" w:sz="0" w:space="0" w:color="auto"/>
            <w:left w:val="none" w:sz="0" w:space="0" w:color="auto"/>
            <w:bottom w:val="none" w:sz="0" w:space="0" w:color="auto"/>
            <w:right w:val="none" w:sz="0" w:space="0" w:color="auto"/>
          </w:divBdr>
        </w:div>
        <w:div w:id="2829760">
          <w:marLeft w:val="0"/>
          <w:marRight w:val="0"/>
          <w:marTop w:val="0"/>
          <w:marBottom w:val="0"/>
          <w:divBdr>
            <w:top w:val="none" w:sz="0" w:space="0" w:color="auto"/>
            <w:left w:val="none" w:sz="0" w:space="0" w:color="auto"/>
            <w:bottom w:val="none" w:sz="0" w:space="0" w:color="auto"/>
            <w:right w:val="none" w:sz="0" w:space="0" w:color="auto"/>
          </w:divBdr>
        </w:div>
        <w:div w:id="960263564">
          <w:marLeft w:val="0"/>
          <w:marRight w:val="0"/>
          <w:marTop w:val="0"/>
          <w:marBottom w:val="0"/>
          <w:divBdr>
            <w:top w:val="none" w:sz="0" w:space="0" w:color="auto"/>
            <w:left w:val="none" w:sz="0" w:space="0" w:color="auto"/>
            <w:bottom w:val="none" w:sz="0" w:space="0" w:color="auto"/>
            <w:right w:val="none" w:sz="0" w:space="0" w:color="auto"/>
          </w:divBdr>
        </w:div>
        <w:div w:id="643237367">
          <w:marLeft w:val="0"/>
          <w:marRight w:val="0"/>
          <w:marTop w:val="0"/>
          <w:marBottom w:val="0"/>
          <w:divBdr>
            <w:top w:val="none" w:sz="0" w:space="0" w:color="auto"/>
            <w:left w:val="none" w:sz="0" w:space="0" w:color="auto"/>
            <w:bottom w:val="none" w:sz="0" w:space="0" w:color="auto"/>
            <w:right w:val="none" w:sz="0" w:space="0" w:color="auto"/>
          </w:divBdr>
        </w:div>
        <w:div w:id="1272321879">
          <w:marLeft w:val="0"/>
          <w:marRight w:val="0"/>
          <w:marTop w:val="0"/>
          <w:marBottom w:val="0"/>
          <w:divBdr>
            <w:top w:val="none" w:sz="0" w:space="0" w:color="auto"/>
            <w:left w:val="none" w:sz="0" w:space="0" w:color="auto"/>
            <w:bottom w:val="none" w:sz="0" w:space="0" w:color="auto"/>
            <w:right w:val="none" w:sz="0" w:space="0" w:color="auto"/>
          </w:divBdr>
        </w:div>
        <w:div w:id="1747534441">
          <w:marLeft w:val="0"/>
          <w:marRight w:val="0"/>
          <w:marTop w:val="0"/>
          <w:marBottom w:val="0"/>
          <w:divBdr>
            <w:top w:val="none" w:sz="0" w:space="0" w:color="auto"/>
            <w:left w:val="none" w:sz="0" w:space="0" w:color="auto"/>
            <w:bottom w:val="none" w:sz="0" w:space="0" w:color="auto"/>
            <w:right w:val="none" w:sz="0" w:space="0" w:color="auto"/>
          </w:divBdr>
        </w:div>
        <w:div w:id="1181551058">
          <w:marLeft w:val="0"/>
          <w:marRight w:val="0"/>
          <w:marTop w:val="0"/>
          <w:marBottom w:val="0"/>
          <w:divBdr>
            <w:top w:val="none" w:sz="0" w:space="0" w:color="auto"/>
            <w:left w:val="none" w:sz="0" w:space="0" w:color="auto"/>
            <w:bottom w:val="none" w:sz="0" w:space="0" w:color="auto"/>
            <w:right w:val="none" w:sz="0" w:space="0" w:color="auto"/>
          </w:divBdr>
        </w:div>
        <w:div w:id="1394962400">
          <w:marLeft w:val="0"/>
          <w:marRight w:val="0"/>
          <w:marTop w:val="0"/>
          <w:marBottom w:val="0"/>
          <w:divBdr>
            <w:top w:val="none" w:sz="0" w:space="0" w:color="auto"/>
            <w:left w:val="none" w:sz="0" w:space="0" w:color="auto"/>
            <w:bottom w:val="none" w:sz="0" w:space="0" w:color="auto"/>
            <w:right w:val="none" w:sz="0" w:space="0" w:color="auto"/>
          </w:divBdr>
        </w:div>
        <w:div w:id="2147240344">
          <w:marLeft w:val="0"/>
          <w:marRight w:val="0"/>
          <w:marTop w:val="0"/>
          <w:marBottom w:val="0"/>
          <w:divBdr>
            <w:top w:val="none" w:sz="0" w:space="0" w:color="auto"/>
            <w:left w:val="none" w:sz="0" w:space="0" w:color="auto"/>
            <w:bottom w:val="none" w:sz="0" w:space="0" w:color="auto"/>
            <w:right w:val="none" w:sz="0" w:space="0" w:color="auto"/>
          </w:divBdr>
        </w:div>
        <w:div w:id="1527867832">
          <w:marLeft w:val="0"/>
          <w:marRight w:val="0"/>
          <w:marTop w:val="0"/>
          <w:marBottom w:val="0"/>
          <w:divBdr>
            <w:top w:val="none" w:sz="0" w:space="0" w:color="auto"/>
            <w:left w:val="none" w:sz="0" w:space="0" w:color="auto"/>
            <w:bottom w:val="none" w:sz="0" w:space="0" w:color="auto"/>
            <w:right w:val="none" w:sz="0" w:space="0" w:color="auto"/>
          </w:divBdr>
        </w:div>
        <w:div w:id="1909071473">
          <w:marLeft w:val="0"/>
          <w:marRight w:val="0"/>
          <w:marTop w:val="0"/>
          <w:marBottom w:val="0"/>
          <w:divBdr>
            <w:top w:val="none" w:sz="0" w:space="0" w:color="auto"/>
            <w:left w:val="none" w:sz="0" w:space="0" w:color="auto"/>
            <w:bottom w:val="none" w:sz="0" w:space="0" w:color="auto"/>
            <w:right w:val="none" w:sz="0" w:space="0" w:color="auto"/>
          </w:divBdr>
        </w:div>
        <w:div w:id="1726877562">
          <w:marLeft w:val="0"/>
          <w:marRight w:val="0"/>
          <w:marTop w:val="0"/>
          <w:marBottom w:val="0"/>
          <w:divBdr>
            <w:top w:val="none" w:sz="0" w:space="0" w:color="auto"/>
            <w:left w:val="none" w:sz="0" w:space="0" w:color="auto"/>
            <w:bottom w:val="none" w:sz="0" w:space="0" w:color="auto"/>
            <w:right w:val="none" w:sz="0" w:space="0" w:color="auto"/>
          </w:divBdr>
        </w:div>
        <w:div w:id="1160734551">
          <w:marLeft w:val="0"/>
          <w:marRight w:val="0"/>
          <w:marTop w:val="0"/>
          <w:marBottom w:val="0"/>
          <w:divBdr>
            <w:top w:val="none" w:sz="0" w:space="0" w:color="auto"/>
            <w:left w:val="none" w:sz="0" w:space="0" w:color="auto"/>
            <w:bottom w:val="none" w:sz="0" w:space="0" w:color="auto"/>
            <w:right w:val="none" w:sz="0" w:space="0" w:color="auto"/>
          </w:divBdr>
        </w:div>
        <w:div w:id="631405248">
          <w:marLeft w:val="0"/>
          <w:marRight w:val="0"/>
          <w:marTop w:val="0"/>
          <w:marBottom w:val="0"/>
          <w:divBdr>
            <w:top w:val="none" w:sz="0" w:space="0" w:color="auto"/>
            <w:left w:val="none" w:sz="0" w:space="0" w:color="auto"/>
            <w:bottom w:val="none" w:sz="0" w:space="0" w:color="auto"/>
            <w:right w:val="none" w:sz="0" w:space="0" w:color="auto"/>
          </w:divBdr>
        </w:div>
        <w:div w:id="1412390452">
          <w:marLeft w:val="0"/>
          <w:marRight w:val="0"/>
          <w:marTop w:val="0"/>
          <w:marBottom w:val="0"/>
          <w:divBdr>
            <w:top w:val="none" w:sz="0" w:space="0" w:color="auto"/>
            <w:left w:val="none" w:sz="0" w:space="0" w:color="auto"/>
            <w:bottom w:val="none" w:sz="0" w:space="0" w:color="auto"/>
            <w:right w:val="none" w:sz="0" w:space="0" w:color="auto"/>
          </w:divBdr>
        </w:div>
        <w:div w:id="305941870">
          <w:marLeft w:val="0"/>
          <w:marRight w:val="0"/>
          <w:marTop w:val="0"/>
          <w:marBottom w:val="0"/>
          <w:divBdr>
            <w:top w:val="none" w:sz="0" w:space="0" w:color="auto"/>
            <w:left w:val="none" w:sz="0" w:space="0" w:color="auto"/>
            <w:bottom w:val="none" w:sz="0" w:space="0" w:color="auto"/>
            <w:right w:val="none" w:sz="0" w:space="0" w:color="auto"/>
          </w:divBdr>
        </w:div>
        <w:div w:id="586235931">
          <w:marLeft w:val="0"/>
          <w:marRight w:val="0"/>
          <w:marTop w:val="0"/>
          <w:marBottom w:val="0"/>
          <w:divBdr>
            <w:top w:val="none" w:sz="0" w:space="0" w:color="auto"/>
            <w:left w:val="none" w:sz="0" w:space="0" w:color="auto"/>
            <w:bottom w:val="none" w:sz="0" w:space="0" w:color="auto"/>
            <w:right w:val="none" w:sz="0" w:space="0" w:color="auto"/>
          </w:divBdr>
        </w:div>
        <w:div w:id="1415013665">
          <w:marLeft w:val="0"/>
          <w:marRight w:val="0"/>
          <w:marTop w:val="0"/>
          <w:marBottom w:val="0"/>
          <w:divBdr>
            <w:top w:val="none" w:sz="0" w:space="0" w:color="auto"/>
            <w:left w:val="none" w:sz="0" w:space="0" w:color="auto"/>
            <w:bottom w:val="none" w:sz="0" w:space="0" w:color="auto"/>
            <w:right w:val="none" w:sz="0" w:space="0" w:color="auto"/>
          </w:divBdr>
        </w:div>
        <w:div w:id="1498304624">
          <w:marLeft w:val="0"/>
          <w:marRight w:val="0"/>
          <w:marTop w:val="567"/>
          <w:marBottom w:val="0"/>
          <w:divBdr>
            <w:top w:val="none" w:sz="0" w:space="0" w:color="auto"/>
            <w:left w:val="none" w:sz="0" w:space="0" w:color="auto"/>
            <w:bottom w:val="none" w:sz="0" w:space="0" w:color="auto"/>
            <w:right w:val="none" w:sz="0" w:space="0" w:color="auto"/>
          </w:divBdr>
        </w:div>
        <w:div w:id="1702783160">
          <w:marLeft w:val="0"/>
          <w:marRight w:val="0"/>
          <w:marTop w:val="240"/>
          <w:marBottom w:val="0"/>
          <w:divBdr>
            <w:top w:val="none" w:sz="0" w:space="0" w:color="auto"/>
            <w:left w:val="none" w:sz="0" w:space="0" w:color="auto"/>
            <w:bottom w:val="none" w:sz="0" w:space="0" w:color="auto"/>
            <w:right w:val="none" w:sz="0" w:space="0" w:color="auto"/>
          </w:divBdr>
        </w:div>
        <w:div w:id="2005620955">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5fc81c9-325d-42ab-a312-d2989bc4c6c1" xsi:nil="true"/>
    <lcf76f155ced4ddcb4097134ff3c332f xmlns="6cc2d0a5-6e69-4156-a8eb-1c0292fca1c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4" ma:contentTypeDescription="Create a new document." ma:contentTypeScope="" ma:versionID="cdb663d30a05544671ab08cf1e25a082">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ac2a317766b6791cf5bb7382cf17907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BE84D13-A369-4EEC-BE12-6E578A39163A}">
  <ds:schemaRefs>
    <ds:schemaRef ds:uri="http://schemas.microsoft.com/office/2006/metadata/properties"/>
    <ds:schemaRef ds:uri="http://schemas.microsoft.com/office/infopath/2007/PartnerControls"/>
    <ds:schemaRef ds:uri="05fc81c9-325d-42ab-a312-d2989bc4c6c1"/>
    <ds:schemaRef ds:uri="1d57a815-79e8-498e-8f04-9c2e9221b678"/>
  </ds:schemaRefs>
</ds:datastoreItem>
</file>

<file path=customXml/itemProps2.xml><?xml version="1.0" encoding="utf-8"?>
<ds:datastoreItem xmlns:ds="http://schemas.openxmlformats.org/officeDocument/2006/customXml" ds:itemID="{96C51E2E-7D3A-4C23-9F07-091FC8B6BBE0}">
  <ds:schemaRefs>
    <ds:schemaRef ds:uri="http://schemas.microsoft.com/sharepoint/v3/contenttype/forms"/>
  </ds:schemaRefs>
</ds:datastoreItem>
</file>

<file path=customXml/itemProps3.xml><?xml version="1.0" encoding="utf-8"?>
<ds:datastoreItem xmlns:ds="http://schemas.openxmlformats.org/officeDocument/2006/customXml" ds:itemID="{1BEC4D6C-4047-4052-81FB-79827A912364}"/>
</file>

<file path=docProps/app.xml><?xml version="1.0" encoding="utf-8"?>
<Properties xmlns="http://schemas.openxmlformats.org/officeDocument/2006/extended-properties" xmlns:vt="http://schemas.openxmlformats.org/officeDocument/2006/docPropsVTypes">
  <Template>Normal</Template>
  <TotalTime>0</TotalTime>
  <Pages>14</Pages>
  <Words>28350</Words>
  <Characters>16160</Characters>
  <Application>Microsoft Office Word</Application>
  <DocSecurity>0</DocSecurity>
  <Lines>134</Lines>
  <Paragraphs>88</Paragraphs>
  <ScaleCrop>false</ScaleCrop>
  <Company/>
  <LinksUpToDate>false</LinksUpToDate>
  <CharactersWithSpaces>44422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2024-05-21T06:50:00Z</dcterms:created>
  <dcterms:modified xsi:type="dcterms:W3CDTF">2024-05-21T07:38:00Z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