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3AE3" w14:textId="5AA2FF7B" w:rsidR="00D9389E" w:rsidRDefault="00D9389E" w:rsidP="00D938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i/>
          <w:iCs/>
          <w:sz w:val="24"/>
        </w:rPr>
        <w:t>Saeima</w:t>
      </w:r>
      <w:r w:rsidR="009A146A">
        <w:rPr>
          <w:rFonts w:ascii="Times New Roman" w:hAnsi="Times New Roman"/>
          <w:i/>
          <w:iCs/>
          <w:sz w:val="24"/>
        </w:rPr>
        <w:t> </w:t>
      </w:r>
      <w:r w:rsidR="009A146A" w:rsidRPr="009A146A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has adopted and</w:t>
      </w:r>
    </w:p>
    <w:p w14:paraId="1CCB8391" w14:textId="2D253161" w:rsidR="00D9389E" w:rsidRDefault="00D9389E" w:rsidP="00D9389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President has proclaimed the following law:</w:t>
      </w:r>
    </w:p>
    <w:p w14:paraId="06E41B8D" w14:textId="7801A45F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20BBA88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6831C28" w14:textId="46FFF482" w:rsidR="00D9389E" w:rsidRPr="00D9389E" w:rsidRDefault="00D9389E" w:rsidP="00D93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Law on the Assistance to be Provided to the European Anti-Fraud Office</w:t>
      </w:r>
    </w:p>
    <w:p w14:paraId="6453F7DD" w14:textId="0458D4EC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EED09F8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EDBF323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0" w:name="p-771116"/>
      <w:bookmarkEnd w:id="0"/>
      <w:r>
        <w:rPr>
          <w:rFonts w:ascii="Times New Roman" w:hAnsi="Times New Roman"/>
          <w:b/>
          <w:sz w:val="24"/>
        </w:rPr>
        <w:t>Section 1. Terms Used in the Law</w:t>
      </w:r>
      <w:bookmarkStart w:id="1" w:name="p1"/>
      <w:bookmarkEnd w:id="1"/>
    </w:p>
    <w:p w14:paraId="2AAB06AD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70B5FEE" w14:textId="46A45DB0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terms used in Regulation (EU, Euratom) No 883/2013 of the European Parliament and of the Council of 11 September 2013 concerning investigations conducted by the European Anti-Fraud Office (OLAF) and repealing Regulation (EC) No 1073/1999 of the European Parliament and of the Council and Council Regulation (Euratom) No 1074/1999 (hereinafter – Regulation No 883/2013) are used in the Law.</w:t>
      </w:r>
    </w:p>
    <w:p w14:paraId="72ED286E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2" w:name="p-771117"/>
      <w:bookmarkEnd w:id="2"/>
    </w:p>
    <w:p w14:paraId="1A6BFB9D" w14:textId="7E2BD73D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Section 2. Purpose of the Law</w:t>
      </w:r>
      <w:bookmarkStart w:id="3" w:name="p2"/>
      <w:bookmarkEnd w:id="3"/>
    </w:p>
    <w:p w14:paraId="011E434D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BA07AD2" w14:textId="0F350C1C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purpose of the Law is to ensure effective assistance to the European Anti-Fraud Office (hereinafter – the Office) in administrative investigations conducted thereby in accordance with Regulation No 883/2013 and Council Regulation (Euratom, EC) No 2185/96 of 11 November 1996 concerning on-the-spot checks and inspections carried out by the Commission in order to protect the European Communities’ financial interests against fraud and other irregularities (hereinafter – Regulation No 2185/96).</w:t>
      </w:r>
    </w:p>
    <w:p w14:paraId="3FF4BFCE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4" w:name="p-771118"/>
      <w:bookmarkEnd w:id="4"/>
    </w:p>
    <w:p w14:paraId="16949A64" w14:textId="01088C23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Section 3. Competent Authority in Assisting to the Office</w:t>
      </w:r>
      <w:bookmarkStart w:id="5" w:name="p3"/>
      <w:bookmarkEnd w:id="5"/>
    </w:p>
    <w:p w14:paraId="61BD5885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DF3A879" w14:textId="2B6F23CE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Ministry of Finance shall provide assistance to the Office in the capacity of the competent authority within the meaning of Regulation No 883/2013 (hereinafter – the competent authority).</w:t>
      </w:r>
    </w:p>
    <w:p w14:paraId="0719247F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6" w:name="p-771119"/>
      <w:bookmarkEnd w:id="6"/>
    </w:p>
    <w:p w14:paraId="679301FF" w14:textId="37F9D97B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Section 4. Rights and Obligations of the Competent Authority</w:t>
      </w:r>
      <w:bookmarkStart w:id="7" w:name="p4"/>
      <w:bookmarkEnd w:id="7"/>
    </w:p>
    <w:p w14:paraId="27E720EB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DC07DE3" w14:textId="6A99C352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(1) Upon request of the Office, the competent authority shall provide assistance thereto in administrative investigations in the Republic of Latvia, including the following:</w:t>
      </w:r>
    </w:p>
    <w:p w14:paraId="2CAA36AC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1) participate and provide assistance in on-the-spot checks carried out by the Office;</w:t>
      </w:r>
    </w:p>
    <w:p w14:paraId="190029B9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2) participate and provide assistance in the meetings of the Office with State and local government authorities, including law enforcement institutions;</w:t>
      </w:r>
    </w:p>
    <w:p w14:paraId="364D4B64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3) request information or documents at the disposal of private persons, State or local government authorities within the scope of the administrative investigation case;</w:t>
      </w:r>
    </w:p>
    <w:p w14:paraId="4E52031C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4) request and receive information included in the account register in accordance with the Account Register Law within the scope of the administrative investigation case;</w:t>
      </w:r>
    </w:p>
    <w:p w14:paraId="3B4E2376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5) request non-disclosable information at the disposal of a credit institution in accordance with the Credit Institution Law on the basis of a decision of a judge within the scope of the administrative investigation case.</w:t>
      </w:r>
    </w:p>
    <w:p w14:paraId="3FB33AFC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(2) During participation and assisting in on-the-spot checks carried out by the Office in the Republic of Latvia, the competent authority, if necessary, is entitled to invite the State Police or municipal police.</w:t>
      </w:r>
    </w:p>
    <w:p w14:paraId="59EABC92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(3) If during administrative investigations a private person does not fulfil the obligation laid down in Regulation No 883/2013 or Regulation No 2185/96, the competent authority may take a decision on imposing a legal obligation on the private person:</w:t>
      </w:r>
    </w:p>
    <w:p w14:paraId="1D5123E1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1) to ensure access to premises or movable property in the ownership, possession or use of the private person;</w:t>
      </w:r>
    </w:p>
    <w:p w14:paraId="4CDA255C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2) to provide information or documents or to ensure access to them, irrespective of the type of storage of such information or documents;</w:t>
      </w:r>
    </w:p>
    <w:p w14:paraId="67D82438" w14:textId="77777777" w:rsidR="00D9389E" w:rsidRPr="00D9389E" w:rsidRDefault="00D9389E" w:rsidP="00D93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3) to take other certain actions or to refrain from taking such actions in order to ensure the fulfilment of the obligation imposed on the private person.</w:t>
      </w:r>
    </w:p>
    <w:p w14:paraId="69F26477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(4) The decision to impose a legal obligation may be appealed in accordance with the procedures laid down in the Administrative Procedure Law. The appeal of the decision shall not suspend the operation thereof.</w:t>
      </w:r>
    </w:p>
    <w:p w14:paraId="533D3957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8" w:name="p-771120"/>
      <w:bookmarkEnd w:id="8"/>
    </w:p>
    <w:p w14:paraId="13050732" w14:textId="01B9E2C4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Section 5. Authorisation to Request Non-disclosable Information</w:t>
      </w:r>
      <w:bookmarkStart w:id="9" w:name="p5"/>
      <w:bookmarkEnd w:id="9"/>
    </w:p>
    <w:p w14:paraId="63271604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2F1B419" w14:textId="6ECDAB0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(1) The decision to grant authorisation to request non-disclosable information at the disposal of a credit institution in accordance with the Credit Institution Law shall be taken by the judge of the district (city) court in conformity with the address of the competent authority.</w:t>
      </w:r>
    </w:p>
    <w:p w14:paraId="4D96FFFE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(2) The judge shall, within five working days from the day of submitting the submission by the competent authority, examine the submission which provides grounds for the necessity to request non-disclosable information and which is accompanied by the request for information of the Office and take a decision on authorisation to request non-disclosable information or refusal thereof.</w:t>
      </w:r>
    </w:p>
    <w:p w14:paraId="34E7961B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(3) A true copy of the decision of the judge shall be sent to the competent authority within two working days after taking the decision.</w:t>
      </w:r>
    </w:p>
    <w:p w14:paraId="337653B0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(4) The decision of the judge shall not be subject to appeal.</w:t>
      </w:r>
    </w:p>
    <w:p w14:paraId="0DA1D46C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10" w:name="p-771121"/>
      <w:bookmarkEnd w:id="10"/>
    </w:p>
    <w:p w14:paraId="5D756485" w14:textId="6D8475A3" w:rsidR="00D9389E" w:rsidRPr="00D9389E" w:rsidRDefault="00D9389E" w:rsidP="00C04434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Section 6. Requesting and Receipt of Non-disclosable Information at the Disposal of a Credit Institution</w:t>
      </w:r>
      <w:bookmarkStart w:id="11" w:name="p6"/>
      <w:bookmarkEnd w:id="11"/>
    </w:p>
    <w:p w14:paraId="166135D4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B9E3D7F" w14:textId="145EDD6C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(1) The competent authority shall request non-disclosable information at the disposal of a credit institution in writing from the credit institution by indicating specific information in the request and the scope thereof, and also the grounds for requesting such information – a reference to the relevant decision of the judge, the administrative investigation case of the Office and the law.</w:t>
      </w:r>
    </w:p>
    <w:p w14:paraId="00AA22A8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(2) A credit institution shall, not later than within 14 days, provide the requested non-disclosable information at the disposal of the credit institution electronically to the competent authority.</w:t>
      </w:r>
    </w:p>
    <w:p w14:paraId="77511402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ED0CB2C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A0041B4" w14:textId="7C799186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Law has been adopted by the </w:t>
      </w:r>
      <w:r>
        <w:rPr>
          <w:rFonts w:ascii="Times New Roman" w:hAnsi="Times New Roman"/>
          <w:i/>
          <w:iCs/>
          <w:sz w:val="24"/>
        </w:rPr>
        <w:t>Saeima</w:t>
      </w:r>
      <w:r>
        <w:rPr>
          <w:rFonts w:ascii="Times New Roman" w:hAnsi="Times New Roman"/>
          <w:sz w:val="24"/>
        </w:rPr>
        <w:t xml:space="preserve"> on 21 January 2021.</w:t>
      </w:r>
    </w:p>
    <w:p w14:paraId="629CCBA1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D39282B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6E5527D" w14:textId="75895E65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Presiden</w:t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 w:rsidR="0037726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E. Levits</w:t>
      </w:r>
    </w:p>
    <w:p w14:paraId="449AED60" w14:textId="77777777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69A37F2" w14:textId="35373FC5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Rīga, 2 February 2021</w:t>
      </w:r>
    </w:p>
    <w:p w14:paraId="108C5F6A" w14:textId="23963B84" w:rsid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575ED5A" w14:textId="77777777" w:rsidR="00D9389E" w:rsidRPr="00D9389E" w:rsidRDefault="00D9389E" w:rsidP="00D938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sectPr w:rsidR="00D9389E" w:rsidRPr="00D9389E" w:rsidSect="00D9389E">
      <w:footerReference w:type="default" r:id="rId9"/>
      <w:footerReference w:type="first" r:id="rId10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C065" w14:textId="77777777" w:rsidR="00D9389E" w:rsidRPr="00D9389E" w:rsidRDefault="00D9389E" w:rsidP="00D9389E">
      <w:pPr>
        <w:spacing w:after="0" w:line="240" w:lineRule="auto"/>
        <w:rPr>
          <w:noProof/>
          <w:lang w:val="en-US"/>
        </w:rPr>
      </w:pPr>
      <w:r w:rsidRPr="00D9389E">
        <w:rPr>
          <w:noProof/>
          <w:lang w:val="en-US"/>
        </w:rPr>
        <w:separator/>
      </w:r>
    </w:p>
  </w:endnote>
  <w:endnote w:type="continuationSeparator" w:id="0">
    <w:p w14:paraId="0D662FFE" w14:textId="77777777" w:rsidR="00D9389E" w:rsidRPr="00D9389E" w:rsidRDefault="00D9389E" w:rsidP="00D9389E">
      <w:pPr>
        <w:spacing w:after="0" w:line="240" w:lineRule="auto"/>
        <w:rPr>
          <w:noProof/>
          <w:lang w:val="en-US"/>
        </w:rPr>
      </w:pPr>
      <w:r w:rsidRPr="00D9389E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6897" w14:textId="77777777" w:rsidR="00A2703E" w:rsidRPr="00E04E12" w:rsidRDefault="00A2703E" w:rsidP="00A2703E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298551C2" w14:textId="77777777" w:rsidR="00A2703E" w:rsidRPr="00E04E12" w:rsidRDefault="00A2703E" w:rsidP="00A2703E">
    <w:pPr>
      <w:framePr w:wrap="around" w:vAnchor="text" w:hAnchor="margin" w:xAlign="right" w:y="1"/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PAGE </w:instrText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napToGrid w:val="0"/>
        <w:sz w:val="20"/>
        <w:szCs w:val="20"/>
      </w:rPr>
      <w:t>2</w:t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t xml:space="preserve"> </w:t>
    </w:r>
  </w:p>
  <w:p w14:paraId="7A9E3E57" w14:textId="77777777" w:rsidR="00A2703E" w:rsidRPr="00E04E12" w:rsidRDefault="00A2703E" w:rsidP="00A2703E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E04E12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2021 Valsts valodas centrs (State Language Centre)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8AD2" w14:textId="77777777" w:rsidR="005741DB" w:rsidRPr="00157F01" w:rsidRDefault="005741DB" w:rsidP="005741D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</w:pPr>
    <w:bookmarkStart w:id="12" w:name="_Hlk32478718"/>
    <w:bookmarkStart w:id="13" w:name="_Hlk32478719"/>
    <w:bookmarkStart w:id="14" w:name="_Hlk60650487"/>
    <w:bookmarkStart w:id="15" w:name="_Hlk60650488"/>
    <w:bookmarkStart w:id="16" w:name="_Hlk60650489"/>
    <w:bookmarkStart w:id="17" w:name="_Hlk60650490"/>
  </w:p>
  <w:p w14:paraId="30F352A3" w14:textId="77777777" w:rsidR="005741DB" w:rsidRPr="00157F01" w:rsidRDefault="005741DB" w:rsidP="005741D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bookmarkStart w:id="18" w:name="_Hlk32310318"/>
    <w:bookmarkStart w:id="19" w:name="_Hlk32310319"/>
    <w:r w:rsidRPr="00157F01"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  <w:t>1</w:t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t xml:space="preserve"> The Parliament of the Republic of Latvia</w:t>
    </w:r>
  </w:p>
  <w:p w14:paraId="01B60179" w14:textId="77777777" w:rsidR="005741DB" w:rsidRPr="00157F01" w:rsidRDefault="005741DB" w:rsidP="005741D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3E6332A8" w14:textId="77777777" w:rsidR="005741DB" w:rsidRPr="00157F01" w:rsidRDefault="005741DB" w:rsidP="005741D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157F01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2021 Valsts valodas centrs (State Language Centre)</w:t>
    </w:r>
    <w:bookmarkEnd w:id="12"/>
    <w:bookmarkEnd w:id="13"/>
    <w:bookmarkEnd w:id="14"/>
    <w:bookmarkEnd w:id="15"/>
    <w:bookmarkEnd w:id="16"/>
    <w:bookmarkEnd w:id="17"/>
  </w:p>
  <w:bookmarkEnd w:id="18"/>
  <w:bookmarkEnd w:id="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C315" w14:textId="77777777" w:rsidR="00D9389E" w:rsidRPr="00D9389E" w:rsidRDefault="00D9389E" w:rsidP="00D9389E">
      <w:pPr>
        <w:spacing w:after="0" w:line="240" w:lineRule="auto"/>
        <w:rPr>
          <w:noProof/>
          <w:lang w:val="en-US"/>
        </w:rPr>
      </w:pPr>
      <w:r w:rsidRPr="00D9389E">
        <w:rPr>
          <w:noProof/>
          <w:lang w:val="en-US"/>
        </w:rPr>
        <w:separator/>
      </w:r>
    </w:p>
  </w:footnote>
  <w:footnote w:type="continuationSeparator" w:id="0">
    <w:p w14:paraId="61728FEC" w14:textId="77777777" w:rsidR="00D9389E" w:rsidRPr="00D9389E" w:rsidRDefault="00D9389E" w:rsidP="00D9389E">
      <w:pPr>
        <w:spacing w:after="0" w:line="240" w:lineRule="auto"/>
        <w:rPr>
          <w:noProof/>
          <w:lang w:val="en-US"/>
        </w:rPr>
      </w:pPr>
      <w:r w:rsidRPr="00D9389E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25"/>
    <w:rsid w:val="001575C2"/>
    <w:rsid w:val="00251425"/>
    <w:rsid w:val="002C638A"/>
    <w:rsid w:val="0037726D"/>
    <w:rsid w:val="005741DB"/>
    <w:rsid w:val="009A146A"/>
    <w:rsid w:val="00A2703E"/>
    <w:rsid w:val="00C04434"/>
    <w:rsid w:val="00D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96B9"/>
  <w15:chartTrackingRefBased/>
  <w15:docId w15:val="{17E30B87-08BE-44ED-974D-0165D85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D9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D9389E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9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9389E"/>
  </w:style>
  <w:style w:type="paragraph" w:styleId="Kjene">
    <w:name w:val="footer"/>
    <w:basedOn w:val="Parasts"/>
    <w:link w:val="KjeneRakstz"/>
    <w:uiPriority w:val="99"/>
    <w:unhideWhenUsed/>
    <w:rsid w:val="00D9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9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9B6BB-ECD6-4C0E-AA4B-A2178D027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94666-1B4A-46DD-A48A-20EAA229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3D594-6369-414B-8FDB-CFB28F071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3329</Words>
  <Characters>1899</Characters>
  <Application>Microsoft Office Word</Application>
  <DocSecurity>0</DocSecurity>
  <Lines>15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Dombrovska</dc:creator>
  <cp:keywords/>
  <dc:description/>
  <cp:lastModifiedBy>Beāte Paula</cp:lastModifiedBy>
  <cp:revision>7</cp:revision>
  <dcterms:created xsi:type="dcterms:W3CDTF">2021-05-31T06:45:00Z</dcterms:created>
  <dcterms:modified xsi:type="dcterms:W3CDTF">2021-11-29T08:07:00Z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