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CE500" w14:textId="77777777" w:rsidR="003D1F94" w:rsidRPr="00C515BC" w:rsidRDefault="003D1F94" w:rsidP="003D1F94">
      <w:pPr>
        <w:spacing w:after="0" w:line="240" w:lineRule="auto"/>
        <w:jc w:val="both"/>
        <w:rPr>
          <w:rFonts w:ascii="Times New Roman" w:eastAsia="Times New Roman" w:hAnsi="Times New Roman" w:cs="Times New Roman"/>
          <w:snapToGrid w:val="0"/>
          <w:sz w:val="24"/>
          <w:szCs w:val="20"/>
        </w:rPr>
      </w:pPr>
    </w:p>
    <w:p w14:paraId="1EAA1329" w14:textId="77777777" w:rsidR="003D1F94" w:rsidRPr="00C515BC" w:rsidRDefault="003D1F94" w:rsidP="003D1F94">
      <w:pPr>
        <w:widowControl w:val="0"/>
        <w:spacing w:after="0" w:line="240" w:lineRule="auto"/>
        <w:jc w:val="both"/>
        <w:rPr>
          <w:rFonts w:ascii="Times New Roman" w:eastAsia="Times New Roman" w:hAnsi="Times New Roman" w:cs="Times New Roman"/>
          <w:snapToGrid w:val="0"/>
          <w:sz w:val="20"/>
          <w:szCs w:val="20"/>
        </w:rPr>
      </w:pPr>
      <w:r w:rsidRPr="00C515BC">
        <w:rPr>
          <w:rFonts w:ascii="Times New Roman" w:eastAsia="Times New Roman" w:hAnsi="Times New Roman" w:cs="Times New Roman"/>
          <w:snapToGrid w:val="0"/>
          <w:sz w:val="20"/>
          <w:szCs w:val="20"/>
        </w:rPr>
        <w:t xml:space="preserve">Text consolidated by </w:t>
      </w:r>
      <w:proofErr w:type="spellStart"/>
      <w:r w:rsidRPr="00C515BC">
        <w:rPr>
          <w:rFonts w:ascii="Times New Roman" w:eastAsia="Times New Roman" w:hAnsi="Times New Roman" w:cs="Times New Roman"/>
          <w:snapToGrid w:val="0"/>
          <w:sz w:val="20"/>
          <w:szCs w:val="20"/>
        </w:rPr>
        <w:t>Valsts</w:t>
      </w:r>
      <w:proofErr w:type="spellEnd"/>
      <w:r w:rsidRPr="00C515BC">
        <w:rPr>
          <w:rFonts w:ascii="Times New Roman" w:eastAsia="Times New Roman" w:hAnsi="Times New Roman" w:cs="Times New Roman"/>
          <w:snapToGrid w:val="0"/>
          <w:sz w:val="20"/>
          <w:szCs w:val="20"/>
        </w:rPr>
        <w:t xml:space="preserve"> </w:t>
      </w:r>
      <w:proofErr w:type="spellStart"/>
      <w:r w:rsidRPr="00C515BC">
        <w:rPr>
          <w:rFonts w:ascii="Times New Roman" w:eastAsia="Times New Roman" w:hAnsi="Times New Roman" w:cs="Times New Roman"/>
          <w:snapToGrid w:val="0"/>
          <w:sz w:val="20"/>
          <w:szCs w:val="20"/>
        </w:rPr>
        <w:t>valodas</w:t>
      </w:r>
      <w:proofErr w:type="spellEnd"/>
      <w:r w:rsidRPr="00C515BC">
        <w:rPr>
          <w:rFonts w:ascii="Times New Roman" w:eastAsia="Times New Roman" w:hAnsi="Times New Roman" w:cs="Times New Roman"/>
          <w:snapToGrid w:val="0"/>
          <w:sz w:val="20"/>
          <w:szCs w:val="20"/>
        </w:rPr>
        <w:t xml:space="preserve"> </w:t>
      </w:r>
      <w:proofErr w:type="spellStart"/>
      <w:r w:rsidRPr="00C515BC">
        <w:rPr>
          <w:rFonts w:ascii="Times New Roman" w:eastAsia="Times New Roman" w:hAnsi="Times New Roman" w:cs="Times New Roman"/>
          <w:snapToGrid w:val="0"/>
          <w:sz w:val="20"/>
          <w:szCs w:val="20"/>
        </w:rPr>
        <w:t>centrs</w:t>
      </w:r>
      <w:proofErr w:type="spellEnd"/>
      <w:r w:rsidRPr="00C515BC">
        <w:rPr>
          <w:rFonts w:ascii="Times New Roman" w:eastAsia="Times New Roman" w:hAnsi="Times New Roman" w:cs="Times New Roman"/>
          <w:snapToGrid w:val="0"/>
          <w:sz w:val="20"/>
          <w:szCs w:val="20"/>
        </w:rPr>
        <w:t xml:space="preserve"> (State Language Centre) with amending laws of:</w:t>
      </w:r>
    </w:p>
    <w:p w14:paraId="7DADBD6B" w14:textId="77777777" w:rsidR="003D1F94" w:rsidRPr="00C515BC" w:rsidRDefault="003D1F94" w:rsidP="003D1F9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December 2020</w:t>
      </w:r>
      <w:r w:rsidRPr="00C515BC">
        <w:rPr>
          <w:rFonts w:ascii="Times New Roman" w:eastAsia="Times New Roman" w:hAnsi="Times New Roman" w:cs="Times New Roman"/>
          <w:sz w:val="20"/>
          <w:szCs w:val="24"/>
        </w:rPr>
        <w:t xml:space="preserve"> [shall come into force </w:t>
      </w:r>
      <w:r>
        <w:rPr>
          <w:rFonts w:ascii="Times New Roman" w:eastAsia="Times New Roman" w:hAnsi="Times New Roman" w:cs="Times New Roman"/>
          <w:sz w:val="20"/>
          <w:szCs w:val="24"/>
        </w:rPr>
        <w:t>on 12 January 2021</w:t>
      </w:r>
      <w:r w:rsidRPr="00C515BC">
        <w:rPr>
          <w:rFonts w:ascii="Times New Roman" w:eastAsia="Times New Roman" w:hAnsi="Times New Roman" w:cs="Times New Roman"/>
          <w:sz w:val="20"/>
          <w:szCs w:val="24"/>
        </w:rPr>
        <w:t>].</w:t>
      </w:r>
    </w:p>
    <w:p w14:paraId="0D48B48D" w14:textId="77777777" w:rsidR="003D1F94" w:rsidRPr="00C515BC" w:rsidRDefault="003D1F94" w:rsidP="003D1F94">
      <w:pPr>
        <w:widowControl w:val="0"/>
        <w:spacing w:after="0" w:line="240" w:lineRule="auto"/>
        <w:ind w:right="26"/>
        <w:jc w:val="both"/>
        <w:rPr>
          <w:rFonts w:ascii="Times New Roman" w:eastAsia="Times New Roman" w:hAnsi="Times New Roman" w:cs="Times New Roman"/>
          <w:snapToGrid w:val="0"/>
          <w:sz w:val="20"/>
          <w:szCs w:val="24"/>
        </w:rPr>
      </w:pPr>
      <w:r w:rsidRPr="00C515B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C515BC">
        <w:rPr>
          <w:rFonts w:ascii="Times New Roman" w:eastAsia="Times New Roman" w:hAnsi="Times New Roman" w:cs="Times New Roman"/>
          <w:snapToGrid w:val="0"/>
          <w:sz w:val="20"/>
          <w:szCs w:val="24"/>
        </w:rPr>
        <w:t xml:space="preserve"> If a whole section, </w:t>
      </w:r>
      <w:proofErr w:type="gramStart"/>
      <w:r w:rsidRPr="00C515BC">
        <w:rPr>
          <w:rFonts w:ascii="Times New Roman" w:eastAsia="Times New Roman" w:hAnsi="Times New Roman" w:cs="Times New Roman"/>
          <w:snapToGrid w:val="0"/>
          <w:sz w:val="20"/>
          <w:szCs w:val="24"/>
        </w:rPr>
        <w:t>paragraph</w:t>
      </w:r>
      <w:proofErr w:type="gramEnd"/>
      <w:r w:rsidRPr="00C515BC">
        <w:rPr>
          <w:rFonts w:ascii="Times New Roman" w:eastAsia="Times New Roman" w:hAnsi="Times New Roman" w:cs="Times New Roman"/>
          <w:snapToGrid w:val="0"/>
          <w:sz w:val="20"/>
          <w:szCs w:val="24"/>
        </w:rPr>
        <w:t xml:space="preserve"> or clause has been deleted, the date of the deletion appears in square brackets beside the deleted section, paragraph or clause.</w:t>
      </w:r>
    </w:p>
    <w:p w14:paraId="3943304F" w14:textId="77777777" w:rsidR="003D1F94" w:rsidRDefault="003D1F94" w:rsidP="003D1F94">
      <w:pPr>
        <w:spacing w:after="0" w:line="240" w:lineRule="auto"/>
        <w:jc w:val="right"/>
        <w:rPr>
          <w:rFonts w:ascii="Times New Roman" w:hAnsi="Times New Roman"/>
          <w:sz w:val="24"/>
          <w:szCs w:val="24"/>
        </w:rPr>
      </w:pPr>
    </w:p>
    <w:p w14:paraId="61A10B2F" w14:textId="77777777" w:rsidR="003D1F94" w:rsidRDefault="003D1F94" w:rsidP="003D1F94">
      <w:pPr>
        <w:spacing w:after="0" w:line="240" w:lineRule="auto"/>
        <w:jc w:val="right"/>
        <w:rPr>
          <w:rFonts w:ascii="Times New Roman" w:hAnsi="Times New Roman"/>
          <w:sz w:val="24"/>
          <w:szCs w:val="24"/>
        </w:rPr>
      </w:pPr>
    </w:p>
    <w:p w14:paraId="7A36E4A9" w14:textId="77777777" w:rsidR="003D1F94" w:rsidRDefault="003D1F94" w:rsidP="003D1F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sz w:val="24"/>
          <w:szCs w:val="24"/>
        </w:rPr>
        <w:t>Saeima</w:t>
      </w:r>
      <w:proofErr w:type="spellEnd"/>
      <w:r>
        <w:rPr>
          <w:rFonts w:ascii="Times New Roman" w:hAnsi="Times New Roman"/>
          <w:i/>
          <w:sz w:val="24"/>
          <w:szCs w:val="24"/>
        </w:rPr>
        <w:t> </w:t>
      </w:r>
      <w:r w:rsidRPr="00152CA8">
        <w:rPr>
          <w:rFonts w:ascii="Times New Roman" w:hAnsi="Times New Roman"/>
          <w:iCs/>
          <w:sz w:val="24"/>
          <w:szCs w:val="24"/>
          <w:vertAlign w:val="superscript"/>
        </w:rPr>
        <w:t>1</w:t>
      </w:r>
      <w:r>
        <w:rPr>
          <w:rFonts w:ascii="Times New Roman" w:hAnsi="Times New Roman"/>
          <w:sz w:val="24"/>
          <w:szCs w:val="24"/>
        </w:rPr>
        <w:t xml:space="preserve"> has adopted and</w:t>
      </w:r>
    </w:p>
    <w:p w14:paraId="26EF1863" w14:textId="77777777" w:rsidR="003D1F94" w:rsidRDefault="003D1F94" w:rsidP="003D1F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3B3348D" w14:textId="4CF3D3D2" w:rsidR="0081309D" w:rsidRDefault="0081309D" w:rsidP="0081309D">
      <w:pPr>
        <w:spacing w:after="0" w:line="240" w:lineRule="auto"/>
        <w:jc w:val="both"/>
        <w:rPr>
          <w:rFonts w:ascii="Times New Roman" w:eastAsia="Times New Roman" w:hAnsi="Times New Roman" w:cs="Times New Roman"/>
          <w:noProof/>
          <w:sz w:val="24"/>
          <w:szCs w:val="24"/>
          <w:lang w:eastAsia="lv-LV"/>
        </w:rPr>
      </w:pPr>
    </w:p>
    <w:p w14:paraId="41120DE2" w14:textId="77777777" w:rsidR="0081309D" w:rsidRPr="0044451E" w:rsidRDefault="0081309D" w:rsidP="0081309D">
      <w:pPr>
        <w:spacing w:after="0" w:line="240" w:lineRule="auto"/>
        <w:jc w:val="both"/>
        <w:rPr>
          <w:rFonts w:ascii="Times New Roman" w:eastAsia="Times New Roman" w:hAnsi="Times New Roman" w:cs="Times New Roman"/>
          <w:noProof/>
          <w:sz w:val="24"/>
          <w:szCs w:val="24"/>
          <w:lang w:eastAsia="lv-LV"/>
        </w:rPr>
      </w:pPr>
    </w:p>
    <w:p w14:paraId="7399F2F2" w14:textId="6CAB74D6" w:rsidR="00E31657" w:rsidRPr="0081309D" w:rsidRDefault="00E31657" w:rsidP="0081309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the Convention on International Interests in Mobile Equipment and the Protocol to the Convention on International Interests in Mobile Equipment on Matters Specific to Aircraft Equipment</w:t>
      </w:r>
    </w:p>
    <w:p w14:paraId="08AE1880" w14:textId="19EEA990" w:rsidR="0081309D" w:rsidRDefault="0081309D" w:rsidP="0081309D">
      <w:pPr>
        <w:spacing w:after="0" w:line="240" w:lineRule="auto"/>
        <w:jc w:val="both"/>
        <w:rPr>
          <w:rFonts w:ascii="Times New Roman" w:eastAsia="Times New Roman" w:hAnsi="Times New Roman" w:cs="Times New Roman"/>
          <w:noProof/>
          <w:sz w:val="24"/>
          <w:szCs w:val="24"/>
          <w:lang w:eastAsia="lv-LV"/>
        </w:rPr>
      </w:pPr>
    </w:p>
    <w:p w14:paraId="73EBC297" w14:textId="77777777" w:rsidR="0081309D" w:rsidRPr="0044451E" w:rsidRDefault="0081309D" w:rsidP="0081309D">
      <w:pPr>
        <w:spacing w:after="0" w:line="240" w:lineRule="auto"/>
        <w:jc w:val="both"/>
        <w:rPr>
          <w:rFonts w:ascii="Times New Roman" w:eastAsia="Times New Roman" w:hAnsi="Times New Roman" w:cs="Times New Roman"/>
          <w:noProof/>
          <w:sz w:val="24"/>
          <w:szCs w:val="24"/>
          <w:lang w:eastAsia="lv-LV"/>
        </w:rPr>
      </w:pPr>
    </w:p>
    <w:p w14:paraId="740A18AF" w14:textId="77777777" w:rsidR="00E31657" w:rsidRPr="0044451E" w:rsidRDefault="00E31657" w:rsidP="0081309D">
      <w:pPr>
        <w:spacing w:after="0" w:line="240" w:lineRule="auto"/>
        <w:jc w:val="both"/>
        <w:rPr>
          <w:rFonts w:ascii="Times New Roman" w:eastAsia="Times New Roman" w:hAnsi="Times New Roman" w:cs="Times New Roman"/>
          <w:noProof/>
          <w:sz w:val="24"/>
          <w:szCs w:val="24"/>
        </w:rPr>
      </w:pPr>
      <w:bookmarkStart w:id="0" w:name="p1"/>
      <w:bookmarkStart w:id="1" w:name="p-766537"/>
      <w:bookmarkEnd w:id="0"/>
      <w:bookmarkEnd w:id="1"/>
      <w:r>
        <w:rPr>
          <w:rFonts w:ascii="Times New Roman" w:hAnsi="Times New Roman"/>
          <w:b/>
          <w:bCs/>
          <w:sz w:val="24"/>
          <w:szCs w:val="24"/>
        </w:rPr>
        <w:t xml:space="preserve">Section 1. </w:t>
      </w:r>
      <w:r>
        <w:rPr>
          <w:rFonts w:ascii="Times New Roman" w:hAnsi="Times New Roman"/>
          <w:sz w:val="24"/>
          <w:szCs w:val="24"/>
        </w:rPr>
        <w:t>The Convention on International Interests in Mobile Equipment of 16 November 2001 (hereinafter – the Convention) and the Protocol to the Convention on Matters Specific to Aircraft Equipment of 16 November 2001 (hereinafter – the Protocol) are accepted and approved by this Law.</w:t>
      </w:r>
    </w:p>
    <w:p w14:paraId="35A066EA" w14:textId="77777777" w:rsidR="0081309D" w:rsidRDefault="0081309D" w:rsidP="0081309D">
      <w:pPr>
        <w:spacing w:after="0" w:line="240" w:lineRule="auto"/>
        <w:jc w:val="both"/>
        <w:rPr>
          <w:rFonts w:ascii="Times New Roman" w:eastAsia="Times New Roman" w:hAnsi="Times New Roman" w:cs="Times New Roman"/>
          <w:b/>
          <w:bCs/>
          <w:noProof/>
          <w:sz w:val="24"/>
          <w:szCs w:val="24"/>
        </w:rPr>
      </w:pPr>
      <w:bookmarkStart w:id="2" w:name="p2"/>
      <w:bookmarkStart w:id="3" w:name="p-766538"/>
      <w:bookmarkEnd w:id="2"/>
      <w:bookmarkEnd w:id="3"/>
    </w:p>
    <w:p w14:paraId="4261EBA2" w14:textId="4F8ED579"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Fulfilment of the obligations provided for in the Convention and the Protocol shall be coordinated by the Ministry for Transport and the Ministry for Justice.</w:t>
      </w:r>
    </w:p>
    <w:p w14:paraId="3495DC49" w14:textId="77777777" w:rsidR="0081309D" w:rsidRDefault="0081309D" w:rsidP="0081309D">
      <w:pPr>
        <w:spacing w:after="0" w:line="240" w:lineRule="auto"/>
        <w:jc w:val="both"/>
        <w:rPr>
          <w:rFonts w:ascii="Times New Roman" w:eastAsia="Times New Roman" w:hAnsi="Times New Roman" w:cs="Times New Roman"/>
          <w:b/>
          <w:bCs/>
          <w:noProof/>
          <w:sz w:val="24"/>
          <w:szCs w:val="24"/>
        </w:rPr>
      </w:pPr>
      <w:bookmarkStart w:id="4" w:name="p3"/>
      <w:bookmarkStart w:id="5" w:name="p-766539"/>
      <w:bookmarkEnd w:id="4"/>
      <w:bookmarkEnd w:id="5"/>
    </w:p>
    <w:p w14:paraId="41997BA5" w14:textId="6598DE52"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 xml:space="preserve">The Convention shall enter into force within the time period and according to the procedures laid down in Article 49 thereof, the Protocol shall enter into force within the time period and according to the procedures laid down in Article XXVIII thereof, and the Ministry of Foreign Affairs shall notify about it in the official newspaper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Vēstnesis</w:t>
      </w:r>
      <w:proofErr w:type="spellEnd"/>
      <w:r>
        <w:rPr>
          <w:rFonts w:ascii="Times New Roman" w:hAnsi="Times New Roman"/>
          <w:sz w:val="24"/>
          <w:szCs w:val="24"/>
        </w:rPr>
        <w:t>.</w:t>
      </w:r>
    </w:p>
    <w:p w14:paraId="0C734735" w14:textId="77777777" w:rsidR="0081309D" w:rsidRDefault="0081309D" w:rsidP="0081309D">
      <w:pPr>
        <w:spacing w:after="0" w:line="240" w:lineRule="auto"/>
        <w:jc w:val="both"/>
        <w:rPr>
          <w:rFonts w:ascii="Times New Roman" w:eastAsia="Times New Roman" w:hAnsi="Times New Roman" w:cs="Times New Roman"/>
          <w:b/>
          <w:bCs/>
          <w:noProof/>
          <w:sz w:val="24"/>
          <w:szCs w:val="24"/>
        </w:rPr>
      </w:pPr>
      <w:bookmarkStart w:id="6" w:name="p4"/>
      <w:bookmarkStart w:id="7" w:name="p-766540"/>
      <w:bookmarkEnd w:id="6"/>
      <w:bookmarkEnd w:id="7"/>
    </w:p>
    <w:p w14:paraId="382941F5" w14:textId="4CB30FD5"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In accordance with Article 54(2) of the Convention any remedy available to the creditor under any provision of the Convention which is not there expressed to require application to the court may be exercised without court order and without leave of the court.</w:t>
      </w:r>
    </w:p>
    <w:p w14:paraId="5D97C2F9" w14:textId="77777777" w:rsidR="0081309D" w:rsidRDefault="0081309D" w:rsidP="0081309D">
      <w:pPr>
        <w:spacing w:after="0" w:line="240" w:lineRule="auto"/>
        <w:jc w:val="both"/>
        <w:rPr>
          <w:rFonts w:ascii="Times New Roman" w:eastAsia="Times New Roman" w:hAnsi="Times New Roman" w:cs="Times New Roman"/>
          <w:b/>
          <w:bCs/>
          <w:noProof/>
          <w:sz w:val="24"/>
          <w:szCs w:val="24"/>
        </w:rPr>
      </w:pPr>
      <w:bookmarkStart w:id="8" w:name="p4.1"/>
      <w:bookmarkStart w:id="9" w:name="p-766606"/>
      <w:bookmarkEnd w:id="8"/>
      <w:bookmarkEnd w:id="9"/>
    </w:p>
    <w:p w14:paraId="21D425C1" w14:textId="3D7F742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In accordance with Article 39(1)(a) of the Convention, priority is given to the following non-consensual right or interest that are covered before registered international interest:</w:t>
      </w:r>
    </w:p>
    <w:p w14:paraId="62B9171B" w14:textId="77777777" w:rsidR="00E31657" w:rsidRPr="0044451E" w:rsidRDefault="00E31657" w:rsidP="008130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unpaid regulated fees that are directly applicable to the use of an aircraft object, including airport charges and charges for air navigation </w:t>
      </w:r>
      <w:proofErr w:type="gramStart"/>
      <w:r>
        <w:rPr>
          <w:rFonts w:ascii="Times New Roman" w:hAnsi="Times New Roman"/>
          <w:sz w:val="24"/>
          <w:szCs w:val="24"/>
        </w:rPr>
        <w:t>services;</w:t>
      </w:r>
      <w:proofErr w:type="gramEnd"/>
    </w:p>
    <w:p w14:paraId="71B85746" w14:textId="77777777" w:rsidR="00E31657" w:rsidRPr="0044451E" w:rsidRDefault="00E31657" w:rsidP="008130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unpaid fees for services and their added value provided within the scope of repair of aircraft.</w:t>
      </w:r>
    </w:p>
    <w:p w14:paraId="47F90AEC" w14:textId="7777777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36ABFE37" w14:textId="77777777" w:rsidR="0081309D" w:rsidRDefault="0081309D" w:rsidP="0081309D">
      <w:pPr>
        <w:spacing w:after="0" w:line="240" w:lineRule="auto"/>
        <w:jc w:val="both"/>
        <w:rPr>
          <w:rFonts w:ascii="Times New Roman" w:eastAsia="Times New Roman" w:hAnsi="Times New Roman" w:cs="Times New Roman"/>
          <w:b/>
          <w:bCs/>
          <w:noProof/>
          <w:sz w:val="24"/>
          <w:szCs w:val="24"/>
        </w:rPr>
      </w:pPr>
      <w:bookmarkStart w:id="10" w:name="p4.2"/>
      <w:bookmarkStart w:id="11" w:name="p-766607"/>
      <w:bookmarkEnd w:id="10"/>
      <w:bookmarkEnd w:id="11"/>
    </w:p>
    <w:p w14:paraId="3824C831" w14:textId="526DE598"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In accordance with Article 40 of the Convention, the rights of the person for whose benefit a prohibition or pledge endorsement has been registered, according to the decision of the court or institution, in the aircraft register in respect of the specific aircraft shall be respectively regulated and registered according to the Convention in respect of aircraft objects.</w:t>
      </w:r>
    </w:p>
    <w:p w14:paraId="7620CC13" w14:textId="7777777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26B17037" w14:textId="77777777" w:rsidR="00A73118" w:rsidRDefault="00A73118" w:rsidP="0081309D">
      <w:pPr>
        <w:spacing w:after="0" w:line="240" w:lineRule="auto"/>
        <w:jc w:val="both"/>
        <w:rPr>
          <w:rFonts w:ascii="Times New Roman" w:eastAsia="Times New Roman" w:hAnsi="Times New Roman" w:cs="Times New Roman"/>
          <w:b/>
          <w:bCs/>
          <w:noProof/>
          <w:sz w:val="24"/>
          <w:szCs w:val="24"/>
        </w:rPr>
      </w:pPr>
      <w:bookmarkStart w:id="12" w:name="p4.3"/>
      <w:bookmarkStart w:id="13" w:name="p-766608"/>
      <w:bookmarkEnd w:id="12"/>
      <w:bookmarkEnd w:id="13"/>
    </w:p>
    <w:p w14:paraId="6341F1A8" w14:textId="12B78D39"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Section 4.</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In accordance with Article 56(1) and Article 57 of the Convention as well as Articles XXXII and XXXIII of the Protocol, the Republic of Latvia shall apply Articles 39 and 40 of the Conventions as well as Article XIII of the Protocol.</w:t>
      </w:r>
    </w:p>
    <w:p w14:paraId="73E0A480" w14:textId="7777777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03A55BF3" w14:textId="77777777" w:rsidR="00A73118" w:rsidRDefault="00A73118" w:rsidP="0081309D">
      <w:pPr>
        <w:spacing w:after="0" w:line="240" w:lineRule="auto"/>
        <w:jc w:val="both"/>
        <w:rPr>
          <w:rFonts w:ascii="Times New Roman" w:eastAsia="Times New Roman" w:hAnsi="Times New Roman" w:cs="Times New Roman"/>
          <w:b/>
          <w:bCs/>
          <w:noProof/>
          <w:sz w:val="24"/>
          <w:szCs w:val="24"/>
        </w:rPr>
      </w:pPr>
      <w:bookmarkStart w:id="14" w:name="p-766541"/>
      <w:bookmarkEnd w:id="14"/>
    </w:p>
    <w:p w14:paraId="0C13C6FA" w14:textId="002AC3C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Law shall come into force on the day following its proclamation. The Convention and the Protocol in English and their translation into Latvian shall be proclaimed concurrently with the Law.</w:t>
      </w:r>
      <w:bookmarkStart w:id="15" w:name="p5"/>
      <w:bookmarkEnd w:id="15"/>
    </w:p>
    <w:p w14:paraId="1B1C5621" w14:textId="77777777" w:rsidR="00A73118" w:rsidRDefault="00A73118" w:rsidP="0081309D">
      <w:pPr>
        <w:spacing w:after="0" w:line="240" w:lineRule="auto"/>
        <w:jc w:val="both"/>
        <w:rPr>
          <w:rFonts w:ascii="Times New Roman" w:eastAsia="Times New Roman" w:hAnsi="Times New Roman" w:cs="Times New Roman"/>
          <w:b/>
          <w:bCs/>
          <w:noProof/>
          <w:sz w:val="24"/>
          <w:szCs w:val="24"/>
        </w:rPr>
      </w:pPr>
      <w:bookmarkStart w:id="16" w:name="p-766609"/>
      <w:bookmarkEnd w:id="16"/>
    </w:p>
    <w:p w14:paraId="6DC51DB0" w14:textId="79C524A9"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The declarations referred to in Sections 4.</w:t>
      </w:r>
      <w:r>
        <w:rPr>
          <w:rFonts w:ascii="Times New Roman" w:hAnsi="Times New Roman"/>
          <w:sz w:val="24"/>
          <w:szCs w:val="24"/>
          <w:vertAlign w:val="superscript"/>
        </w:rPr>
        <w:t>1</w:t>
      </w:r>
      <w:r>
        <w:rPr>
          <w:rFonts w:ascii="Times New Roman" w:hAnsi="Times New Roman"/>
          <w:sz w:val="24"/>
          <w:szCs w:val="24"/>
        </w:rPr>
        <w:t>, 4.</w:t>
      </w:r>
      <w:r>
        <w:rPr>
          <w:rFonts w:ascii="Times New Roman" w:hAnsi="Times New Roman"/>
          <w:sz w:val="24"/>
          <w:szCs w:val="24"/>
          <w:vertAlign w:val="superscript"/>
        </w:rPr>
        <w:t>2</w:t>
      </w:r>
      <w:r>
        <w:rPr>
          <w:rFonts w:ascii="Times New Roman" w:hAnsi="Times New Roman"/>
          <w:sz w:val="24"/>
          <w:szCs w:val="24"/>
        </w:rPr>
        <w:t>, and 4.</w:t>
      </w:r>
      <w:r>
        <w:rPr>
          <w:rFonts w:ascii="Times New Roman" w:hAnsi="Times New Roman"/>
          <w:sz w:val="24"/>
          <w:szCs w:val="24"/>
          <w:vertAlign w:val="superscript"/>
        </w:rPr>
        <w:t>3</w:t>
      </w:r>
      <w:r>
        <w:rPr>
          <w:rFonts w:ascii="Times New Roman" w:hAnsi="Times New Roman"/>
          <w:sz w:val="24"/>
          <w:szCs w:val="24"/>
        </w:rPr>
        <w:t xml:space="preserve"> of the Law shall come into force within the time period and according to the procedures laid down in Article 57 of the Convention and Article XXXIII of the Protocol, and the Ministry of Foreign Affairs shall notify about it in the official gazette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Vēstnesis</w:t>
      </w:r>
      <w:proofErr w:type="spellEnd"/>
      <w:r>
        <w:rPr>
          <w:rFonts w:ascii="Times New Roman" w:hAnsi="Times New Roman"/>
          <w:sz w:val="24"/>
          <w:szCs w:val="24"/>
        </w:rPr>
        <w:t>.</w:t>
      </w:r>
      <w:bookmarkStart w:id="17" w:name="p6"/>
      <w:bookmarkEnd w:id="17"/>
    </w:p>
    <w:p w14:paraId="3E10E3F8" w14:textId="7777777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6D05666F" w14:textId="77777777" w:rsidR="00A73118" w:rsidRDefault="00A73118" w:rsidP="0081309D">
      <w:pPr>
        <w:spacing w:after="0" w:line="240" w:lineRule="auto"/>
        <w:jc w:val="both"/>
        <w:rPr>
          <w:rFonts w:ascii="Times New Roman" w:eastAsia="Times New Roman" w:hAnsi="Times New Roman" w:cs="Times New Roman"/>
          <w:noProof/>
          <w:sz w:val="24"/>
          <w:szCs w:val="24"/>
          <w:lang w:eastAsia="lv-LV"/>
        </w:rPr>
      </w:pPr>
    </w:p>
    <w:p w14:paraId="0AEEF79F" w14:textId="77777777" w:rsidR="00A73118" w:rsidRDefault="00A73118" w:rsidP="0081309D">
      <w:pPr>
        <w:spacing w:after="0" w:line="240" w:lineRule="auto"/>
        <w:jc w:val="both"/>
        <w:rPr>
          <w:rFonts w:ascii="Times New Roman" w:eastAsia="Times New Roman" w:hAnsi="Times New Roman" w:cs="Times New Roman"/>
          <w:noProof/>
          <w:sz w:val="24"/>
          <w:szCs w:val="24"/>
          <w:lang w:eastAsia="lv-LV"/>
        </w:rPr>
      </w:pPr>
    </w:p>
    <w:p w14:paraId="290684D3" w14:textId="0337B387"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has been adopted by the</w:t>
      </w:r>
      <w:r>
        <w:rPr>
          <w:rFonts w:ascii="Times New Roman" w:hAnsi="Times New Roman"/>
          <w:i/>
          <w:sz w:val="24"/>
          <w:szCs w:val="24"/>
        </w:rPr>
        <w:t xml:space="preserve"> </w:t>
      </w:r>
      <w:proofErr w:type="spellStart"/>
      <w:r>
        <w:rPr>
          <w:rFonts w:ascii="Times New Roman" w:hAnsi="Times New Roman"/>
          <w:i/>
          <w:sz w:val="24"/>
          <w:szCs w:val="24"/>
        </w:rPr>
        <w:t>Saeima</w:t>
      </w:r>
      <w:proofErr w:type="spellEnd"/>
      <w:r>
        <w:rPr>
          <w:rFonts w:ascii="Times New Roman" w:hAnsi="Times New Roman"/>
          <w:sz w:val="24"/>
          <w:szCs w:val="24"/>
        </w:rPr>
        <w:t xml:space="preserve"> on 23 December 2010.</w:t>
      </w:r>
    </w:p>
    <w:p w14:paraId="2DA52F3C" w14:textId="77777777" w:rsidR="00A73118" w:rsidRDefault="00A73118" w:rsidP="0081309D">
      <w:pPr>
        <w:spacing w:after="0" w:line="240" w:lineRule="auto"/>
        <w:jc w:val="both"/>
        <w:rPr>
          <w:rFonts w:ascii="Times New Roman" w:eastAsia="Times New Roman" w:hAnsi="Times New Roman" w:cs="Times New Roman"/>
          <w:noProof/>
          <w:sz w:val="24"/>
          <w:szCs w:val="24"/>
          <w:lang w:eastAsia="lv-LV"/>
        </w:rPr>
      </w:pPr>
    </w:p>
    <w:p w14:paraId="079300D2" w14:textId="77777777" w:rsidR="00A73118" w:rsidRDefault="00A73118" w:rsidP="0081309D">
      <w:pPr>
        <w:spacing w:after="0" w:line="240" w:lineRule="auto"/>
        <w:jc w:val="both"/>
        <w:rPr>
          <w:rFonts w:ascii="Times New Roman" w:eastAsia="Times New Roman" w:hAnsi="Times New Roman" w:cs="Times New Roman"/>
          <w:noProof/>
          <w:sz w:val="24"/>
          <w:szCs w:val="24"/>
          <w:lang w:eastAsia="lv-LV"/>
        </w:rPr>
      </w:pPr>
    </w:p>
    <w:p w14:paraId="7A22636C" w14:textId="667FF095" w:rsidR="00E31657" w:rsidRPr="0044451E" w:rsidRDefault="00E31657" w:rsidP="00813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sidR="00350EBA">
        <w:rPr>
          <w:rFonts w:ascii="Times New Roman" w:hAnsi="Times New Roman"/>
          <w:sz w:val="24"/>
          <w:szCs w:val="24"/>
        </w:rPr>
        <w:tab/>
      </w:r>
      <w:r>
        <w:rPr>
          <w:rFonts w:ascii="Times New Roman" w:hAnsi="Times New Roman"/>
          <w:sz w:val="24"/>
          <w:szCs w:val="24"/>
        </w:rPr>
        <w:t>V. </w:t>
      </w:r>
      <w:proofErr w:type="spellStart"/>
      <w:r>
        <w:rPr>
          <w:rFonts w:ascii="Times New Roman" w:hAnsi="Times New Roman"/>
          <w:sz w:val="24"/>
          <w:szCs w:val="24"/>
        </w:rPr>
        <w:t>Zatlers</w:t>
      </w:r>
      <w:proofErr w:type="spellEnd"/>
    </w:p>
    <w:p w14:paraId="04DA0F29" w14:textId="77777777" w:rsidR="00A73118" w:rsidRDefault="00A73118" w:rsidP="0081309D">
      <w:pPr>
        <w:spacing w:after="0" w:line="240" w:lineRule="auto"/>
        <w:jc w:val="both"/>
        <w:rPr>
          <w:rFonts w:ascii="Times New Roman" w:eastAsia="Times New Roman" w:hAnsi="Times New Roman" w:cs="Times New Roman"/>
          <w:noProof/>
          <w:sz w:val="24"/>
          <w:szCs w:val="24"/>
          <w:lang w:eastAsia="lv-LV"/>
        </w:rPr>
      </w:pPr>
    </w:p>
    <w:p w14:paraId="144D1F19" w14:textId="2D933EB9" w:rsidR="00E31657" w:rsidRPr="0044451E" w:rsidRDefault="00E31657" w:rsidP="0081309D">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sz w:val="24"/>
          <w:szCs w:val="24"/>
        </w:rPr>
        <w:t>Rīga</w:t>
      </w:r>
      <w:proofErr w:type="spellEnd"/>
      <w:r>
        <w:rPr>
          <w:rFonts w:ascii="Times New Roman" w:hAnsi="Times New Roman"/>
          <w:sz w:val="24"/>
          <w:szCs w:val="24"/>
        </w:rPr>
        <w:t>, 7 January 2011</w:t>
      </w:r>
    </w:p>
    <w:p w14:paraId="6DAEB51B" w14:textId="77777777" w:rsidR="00E31657" w:rsidRPr="00A73118" w:rsidRDefault="00E31657" w:rsidP="0081309D">
      <w:pPr>
        <w:spacing w:after="0" w:line="240" w:lineRule="auto"/>
        <w:jc w:val="both"/>
        <w:rPr>
          <w:rFonts w:ascii="Times New Roman" w:hAnsi="Times New Roman" w:cs="Times New Roman"/>
          <w:noProof/>
          <w:sz w:val="24"/>
          <w:szCs w:val="24"/>
        </w:rPr>
      </w:pPr>
    </w:p>
    <w:p w14:paraId="70AF617A" w14:textId="77777777" w:rsidR="0081309D" w:rsidRPr="00A73118" w:rsidRDefault="0081309D">
      <w:pPr>
        <w:spacing w:after="0" w:line="240" w:lineRule="auto"/>
        <w:jc w:val="both"/>
        <w:rPr>
          <w:rFonts w:ascii="Times New Roman" w:hAnsi="Times New Roman" w:cs="Times New Roman"/>
          <w:noProof/>
          <w:sz w:val="24"/>
          <w:szCs w:val="24"/>
        </w:rPr>
      </w:pPr>
    </w:p>
    <w:sectPr w:rsidR="0081309D" w:rsidRPr="00A73118" w:rsidSect="0081309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8838E" w14:textId="77777777" w:rsidR="00ED64BC" w:rsidRPr="00E31657" w:rsidRDefault="00ED64BC" w:rsidP="00E31657">
      <w:pPr>
        <w:spacing w:after="0" w:line="240" w:lineRule="auto"/>
        <w:rPr>
          <w:noProof/>
          <w:lang w:val="en-US"/>
        </w:rPr>
      </w:pPr>
      <w:r w:rsidRPr="00E31657">
        <w:rPr>
          <w:noProof/>
          <w:lang w:val="en-US"/>
        </w:rPr>
        <w:separator/>
      </w:r>
    </w:p>
  </w:endnote>
  <w:endnote w:type="continuationSeparator" w:id="0">
    <w:p w14:paraId="3B830DD0" w14:textId="77777777" w:rsidR="00ED64BC" w:rsidRPr="00E31657" w:rsidRDefault="00ED64BC" w:rsidP="00E31657">
      <w:pPr>
        <w:spacing w:after="0" w:line="240" w:lineRule="auto"/>
        <w:rPr>
          <w:noProof/>
          <w:lang w:val="en-US"/>
        </w:rPr>
      </w:pPr>
      <w:r w:rsidRPr="00E3165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6C8FC" w14:textId="77777777" w:rsidR="00A12F60" w:rsidRPr="00C515BC" w:rsidRDefault="00A12F60" w:rsidP="00A12F60">
    <w:pPr>
      <w:tabs>
        <w:tab w:val="center" w:pos="4153"/>
        <w:tab w:val="right" w:pos="8306"/>
      </w:tabs>
      <w:spacing w:after="0" w:line="240" w:lineRule="auto"/>
      <w:rPr>
        <w:rFonts w:ascii="Times New Roman" w:eastAsia="Times New Roman" w:hAnsi="Times New Roman" w:cs="Times New Roman"/>
        <w:snapToGrid w:val="0"/>
        <w:sz w:val="20"/>
        <w:szCs w:val="20"/>
      </w:rPr>
    </w:pPr>
  </w:p>
  <w:p w14:paraId="0B393162" w14:textId="77777777" w:rsidR="00A12F60" w:rsidRPr="00C515BC" w:rsidRDefault="00A12F60" w:rsidP="00A12F6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515BC">
      <w:rPr>
        <w:rFonts w:ascii="Times New Roman" w:eastAsia="Times New Roman" w:hAnsi="Times New Roman" w:cs="Times New Roman"/>
        <w:snapToGrid w:val="0"/>
        <w:sz w:val="20"/>
        <w:szCs w:val="20"/>
      </w:rPr>
      <w:fldChar w:fldCharType="begin"/>
    </w:r>
    <w:r w:rsidRPr="00C515BC">
      <w:rPr>
        <w:rFonts w:ascii="Times New Roman" w:eastAsia="Times New Roman" w:hAnsi="Times New Roman" w:cs="Times New Roman"/>
        <w:snapToGrid w:val="0"/>
        <w:sz w:val="20"/>
        <w:szCs w:val="20"/>
      </w:rPr>
      <w:instrText xml:space="preserve"> PAGE </w:instrText>
    </w:r>
    <w:r w:rsidRPr="00C515BC">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C515BC">
      <w:rPr>
        <w:rFonts w:ascii="Times New Roman" w:eastAsia="Times New Roman" w:hAnsi="Times New Roman" w:cs="Times New Roman"/>
        <w:snapToGrid w:val="0"/>
        <w:sz w:val="20"/>
        <w:szCs w:val="20"/>
      </w:rPr>
      <w:fldChar w:fldCharType="end"/>
    </w:r>
    <w:r w:rsidRPr="00C515BC">
      <w:rPr>
        <w:rFonts w:ascii="Times New Roman" w:eastAsia="Times New Roman" w:hAnsi="Times New Roman" w:cs="Times New Roman"/>
        <w:snapToGrid w:val="0"/>
        <w:sz w:val="20"/>
        <w:szCs w:val="20"/>
      </w:rPr>
      <w:t xml:space="preserve"> </w:t>
    </w:r>
  </w:p>
  <w:p w14:paraId="2C283B2B" w14:textId="77777777" w:rsidR="00A12F60" w:rsidRPr="00C515BC" w:rsidRDefault="00A12F60" w:rsidP="00A12F60">
    <w:pPr>
      <w:tabs>
        <w:tab w:val="center" w:pos="4153"/>
        <w:tab w:val="right" w:pos="8306"/>
      </w:tabs>
      <w:spacing w:after="0" w:line="240" w:lineRule="auto"/>
      <w:rPr>
        <w:rFonts w:ascii="Times New Roman" w:eastAsia="Times New Roman" w:hAnsi="Times New Roman" w:cs="Times New Roman"/>
        <w:snapToGrid w:val="0"/>
        <w:sz w:val="20"/>
        <w:szCs w:val="20"/>
      </w:rPr>
    </w:pPr>
    <w:r w:rsidRPr="00C515BC">
      <w:rPr>
        <w:rFonts w:ascii="Times New Roman" w:eastAsia="Times New Roman" w:hAnsi="Times New Roman" w:cs="Times New Roman"/>
        <w:snapToGrid w:val="0"/>
        <w:sz w:val="20"/>
        <w:szCs w:val="20"/>
      </w:rPr>
      <w:t xml:space="preserve">Translation </w:t>
    </w:r>
    <w:r w:rsidRPr="00C515BC">
      <w:rPr>
        <w:rFonts w:ascii="Times New Roman" w:eastAsia="Times New Roman" w:hAnsi="Times New Roman" w:cs="Times New Roman"/>
        <w:snapToGrid w:val="0"/>
        <w:sz w:val="20"/>
        <w:szCs w:val="20"/>
      </w:rPr>
      <w:fldChar w:fldCharType="begin"/>
    </w:r>
    <w:r w:rsidRPr="00C515BC">
      <w:rPr>
        <w:rFonts w:ascii="Times New Roman" w:eastAsia="Times New Roman" w:hAnsi="Times New Roman" w:cs="Times New Roman"/>
        <w:snapToGrid w:val="0"/>
        <w:sz w:val="20"/>
        <w:szCs w:val="20"/>
      </w:rPr>
      <w:instrText>symbol 169 \f "UnivrstyRoman TL" \s 8</w:instrText>
    </w:r>
    <w:r w:rsidRPr="00C515BC">
      <w:rPr>
        <w:rFonts w:ascii="Times New Roman" w:eastAsia="Times New Roman" w:hAnsi="Times New Roman" w:cs="Times New Roman"/>
        <w:snapToGrid w:val="0"/>
        <w:sz w:val="20"/>
        <w:szCs w:val="20"/>
      </w:rPr>
      <w:fldChar w:fldCharType="separate"/>
    </w:r>
    <w:r w:rsidRPr="00C515BC">
      <w:rPr>
        <w:rFonts w:ascii="Times New Roman" w:eastAsia="Times New Roman" w:hAnsi="Times New Roman" w:cs="Times New Roman"/>
        <w:snapToGrid w:val="0"/>
        <w:sz w:val="20"/>
        <w:szCs w:val="20"/>
      </w:rPr>
      <w:t>©</w:t>
    </w:r>
    <w:r w:rsidRPr="00C515BC">
      <w:rPr>
        <w:rFonts w:ascii="Times New Roman" w:eastAsia="Times New Roman" w:hAnsi="Times New Roman" w:cs="Times New Roman"/>
        <w:snapToGrid w:val="0"/>
        <w:sz w:val="20"/>
        <w:szCs w:val="20"/>
      </w:rPr>
      <w:fldChar w:fldCharType="end"/>
    </w:r>
    <w:r w:rsidRPr="00C515BC">
      <w:rPr>
        <w:rFonts w:ascii="Times New Roman" w:eastAsia="Times New Roman" w:hAnsi="Times New Roman" w:cs="Times New Roman"/>
        <w:snapToGrid w:val="0"/>
        <w:sz w:val="20"/>
        <w:szCs w:val="20"/>
      </w:rPr>
      <w:t xml:space="preserve"> 2021 </w:t>
    </w:r>
    <w:proofErr w:type="spellStart"/>
    <w:r w:rsidRPr="00C515BC">
      <w:rPr>
        <w:rFonts w:ascii="Times New Roman" w:eastAsia="Times New Roman" w:hAnsi="Times New Roman" w:cs="Times New Roman"/>
        <w:snapToGrid w:val="0"/>
        <w:sz w:val="20"/>
        <w:szCs w:val="20"/>
      </w:rPr>
      <w:t>Valsts</w:t>
    </w:r>
    <w:proofErr w:type="spellEnd"/>
    <w:r w:rsidRPr="00C515BC">
      <w:rPr>
        <w:rFonts w:ascii="Times New Roman" w:eastAsia="Times New Roman" w:hAnsi="Times New Roman" w:cs="Times New Roman"/>
        <w:snapToGrid w:val="0"/>
        <w:sz w:val="20"/>
        <w:szCs w:val="20"/>
      </w:rPr>
      <w:t xml:space="preserve"> </w:t>
    </w:r>
    <w:proofErr w:type="spellStart"/>
    <w:r w:rsidRPr="00C515BC">
      <w:rPr>
        <w:rFonts w:ascii="Times New Roman" w:eastAsia="Times New Roman" w:hAnsi="Times New Roman" w:cs="Times New Roman"/>
        <w:snapToGrid w:val="0"/>
        <w:sz w:val="20"/>
        <w:szCs w:val="20"/>
      </w:rPr>
      <w:t>valodas</w:t>
    </w:r>
    <w:proofErr w:type="spellEnd"/>
    <w:r w:rsidRPr="00C515BC">
      <w:rPr>
        <w:rFonts w:ascii="Times New Roman" w:eastAsia="Times New Roman" w:hAnsi="Times New Roman" w:cs="Times New Roman"/>
        <w:snapToGrid w:val="0"/>
        <w:sz w:val="20"/>
        <w:szCs w:val="20"/>
      </w:rPr>
      <w:t xml:space="preserve"> </w:t>
    </w:r>
    <w:proofErr w:type="spellStart"/>
    <w:r w:rsidRPr="00C515BC">
      <w:rPr>
        <w:rFonts w:ascii="Times New Roman" w:eastAsia="Times New Roman" w:hAnsi="Times New Roman" w:cs="Times New Roman"/>
        <w:snapToGrid w:val="0"/>
        <w:sz w:val="20"/>
        <w:szCs w:val="20"/>
      </w:rPr>
      <w:t>centrs</w:t>
    </w:r>
    <w:proofErr w:type="spellEnd"/>
    <w:r w:rsidRPr="00C515BC">
      <w:rPr>
        <w:rFonts w:ascii="Times New Roman" w:eastAsia="Times New Roman" w:hAnsi="Times New Roman" w:cs="Times New Roman"/>
        <w:snapToGrid w:val="0"/>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FB9D" w14:textId="77777777" w:rsidR="001F35C6" w:rsidRPr="00507B1C" w:rsidRDefault="001F35C6" w:rsidP="001F35C6">
    <w:pPr>
      <w:pStyle w:val="Kjene"/>
      <w:rPr>
        <w:rFonts w:ascii="Times New Roman" w:hAnsi="Times New Roman" w:cs="Times New Roman"/>
        <w:sz w:val="20"/>
        <w:szCs w:val="20"/>
        <w:vertAlign w:val="superscript"/>
      </w:rPr>
    </w:pPr>
    <w:bookmarkStart w:id="18" w:name="_Hlk32478718"/>
    <w:bookmarkStart w:id="19" w:name="_Hlk32478719"/>
  </w:p>
  <w:p w14:paraId="1D41762D" w14:textId="77777777" w:rsidR="001F35C6" w:rsidRPr="00507B1C" w:rsidRDefault="001F35C6" w:rsidP="001F35C6">
    <w:pPr>
      <w:pStyle w:val="Kjene"/>
      <w:rPr>
        <w:rFonts w:ascii="Times New Roman" w:hAnsi="Times New Roman" w:cs="Times New Roman"/>
        <w:sz w:val="20"/>
        <w:szCs w:val="20"/>
      </w:rPr>
    </w:pPr>
    <w:bookmarkStart w:id="20" w:name="_Hlk32310318"/>
    <w:bookmarkStart w:id="21" w:name="_Hlk32310319"/>
    <w:r w:rsidRPr="00507B1C">
      <w:rPr>
        <w:rFonts w:ascii="Times New Roman" w:hAnsi="Times New Roman" w:cs="Times New Roman"/>
        <w:sz w:val="20"/>
        <w:szCs w:val="20"/>
        <w:vertAlign w:val="superscript"/>
      </w:rPr>
      <w:t>1</w:t>
    </w:r>
    <w:r w:rsidRPr="00507B1C">
      <w:rPr>
        <w:rFonts w:ascii="Times New Roman" w:hAnsi="Times New Roman" w:cs="Times New Roman"/>
        <w:sz w:val="20"/>
        <w:szCs w:val="20"/>
      </w:rPr>
      <w:t xml:space="preserve"> The Parliament of the Republic of Latvia</w:t>
    </w:r>
  </w:p>
  <w:p w14:paraId="735F6267" w14:textId="77777777" w:rsidR="001F35C6" w:rsidRPr="00507B1C" w:rsidRDefault="001F35C6" w:rsidP="001F35C6">
    <w:pPr>
      <w:pStyle w:val="Kjene"/>
      <w:rPr>
        <w:rFonts w:ascii="Times New Roman" w:hAnsi="Times New Roman" w:cs="Times New Roman"/>
        <w:sz w:val="20"/>
        <w:szCs w:val="20"/>
      </w:rPr>
    </w:pPr>
  </w:p>
  <w:p w14:paraId="2D4F0341" w14:textId="77777777" w:rsidR="001F35C6" w:rsidRPr="00507B1C" w:rsidRDefault="001F35C6" w:rsidP="001F35C6">
    <w:pPr>
      <w:pStyle w:val="Kjene"/>
      <w:rPr>
        <w:rFonts w:ascii="Times New Roman" w:hAnsi="Times New Roman" w:cs="Times New Roman"/>
        <w:sz w:val="20"/>
        <w:szCs w:val="20"/>
      </w:rPr>
    </w:pPr>
    <w:r w:rsidRPr="00507B1C">
      <w:rPr>
        <w:rFonts w:ascii="Times New Roman" w:hAnsi="Times New Roman" w:cs="Times New Roman"/>
        <w:sz w:val="20"/>
        <w:szCs w:val="20"/>
      </w:rPr>
      <w:t xml:space="preserve">Translation </w:t>
    </w:r>
    <w:r w:rsidRPr="00507B1C">
      <w:rPr>
        <w:rFonts w:ascii="Times New Roman" w:hAnsi="Times New Roman" w:cs="Times New Roman"/>
        <w:sz w:val="20"/>
        <w:szCs w:val="20"/>
      </w:rPr>
      <w:fldChar w:fldCharType="begin"/>
    </w:r>
    <w:r w:rsidRPr="00507B1C">
      <w:rPr>
        <w:rFonts w:ascii="Times New Roman" w:hAnsi="Times New Roman" w:cs="Times New Roman"/>
        <w:sz w:val="20"/>
        <w:szCs w:val="20"/>
      </w:rPr>
      <w:instrText>symbol 169 \f "UnivrstyRoman TL" \s 8</w:instrText>
    </w:r>
    <w:r w:rsidRPr="00507B1C">
      <w:rPr>
        <w:rFonts w:ascii="Times New Roman" w:hAnsi="Times New Roman" w:cs="Times New Roman"/>
        <w:sz w:val="20"/>
        <w:szCs w:val="20"/>
      </w:rPr>
      <w:fldChar w:fldCharType="separate"/>
    </w:r>
    <w:r w:rsidRPr="00507B1C">
      <w:rPr>
        <w:rFonts w:ascii="Times New Roman" w:hAnsi="Times New Roman" w:cs="Times New Roman"/>
        <w:sz w:val="20"/>
        <w:szCs w:val="20"/>
      </w:rPr>
      <w:t>©</w:t>
    </w:r>
    <w:r w:rsidRPr="00507B1C">
      <w:rPr>
        <w:rFonts w:ascii="Times New Roman" w:hAnsi="Times New Roman" w:cs="Times New Roman"/>
        <w:sz w:val="20"/>
        <w:szCs w:val="20"/>
      </w:rPr>
      <w:fldChar w:fldCharType="end"/>
    </w:r>
    <w:r w:rsidRPr="00507B1C">
      <w:rPr>
        <w:rFonts w:ascii="Times New Roman" w:hAnsi="Times New Roman" w:cs="Times New Roman"/>
        <w:sz w:val="20"/>
        <w:szCs w:val="20"/>
      </w:rPr>
      <w:t xml:space="preserve"> 202</w:t>
    </w:r>
    <w:r>
      <w:rPr>
        <w:rFonts w:ascii="Times New Roman" w:hAnsi="Times New Roman" w:cs="Times New Roman"/>
        <w:sz w:val="20"/>
        <w:szCs w:val="20"/>
      </w:rPr>
      <w:t>1</w:t>
    </w:r>
    <w:r w:rsidRPr="00507B1C">
      <w:rPr>
        <w:rFonts w:ascii="Times New Roman" w:hAnsi="Times New Roman" w:cs="Times New Roman"/>
        <w:sz w:val="20"/>
        <w:szCs w:val="20"/>
      </w:rPr>
      <w:t xml:space="preserve"> </w:t>
    </w:r>
    <w:proofErr w:type="spellStart"/>
    <w:r w:rsidRPr="00507B1C">
      <w:rPr>
        <w:rFonts w:ascii="Times New Roman" w:hAnsi="Times New Roman" w:cs="Times New Roman"/>
        <w:sz w:val="20"/>
        <w:szCs w:val="20"/>
      </w:rPr>
      <w:t>Valsts</w:t>
    </w:r>
    <w:proofErr w:type="spellEnd"/>
    <w:r w:rsidRPr="00507B1C">
      <w:rPr>
        <w:rFonts w:ascii="Times New Roman" w:hAnsi="Times New Roman" w:cs="Times New Roman"/>
        <w:sz w:val="20"/>
        <w:szCs w:val="20"/>
      </w:rPr>
      <w:t xml:space="preserve"> </w:t>
    </w:r>
    <w:proofErr w:type="spellStart"/>
    <w:r w:rsidRPr="00507B1C">
      <w:rPr>
        <w:rFonts w:ascii="Times New Roman" w:hAnsi="Times New Roman" w:cs="Times New Roman"/>
        <w:sz w:val="20"/>
        <w:szCs w:val="20"/>
      </w:rPr>
      <w:t>valodas</w:t>
    </w:r>
    <w:proofErr w:type="spellEnd"/>
    <w:r w:rsidRPr="00507B1C">
      <w:rPr>
        <w:rFonts w:ascii="Times New Roman" w:hAnsi="Times New Roman" w:cs="Times New Roman"/>
        <w:sz w:val="20"/>
        <w:szCs w:val="20"/>
      </w:rPr>
      <w:t xml:space="preserve"> </w:t>
    </w:r>
    <w:proofErr w:type="spellStart"/>
    <w:r w:rsidRPr="00507B1C">
      <w:rPr>
        <w:rFonts w:ascii="Times New Roman" w:hAnsi="Times New Roman" w:cs="Times New Roman"/>
        <w:sz w:val="20"/>
        <w:szCs w:val="20"/>
      </w:rPr>
      <w:t>centrs</w:t>
    </w:r>
    <w:proofErr w:type="spellEnd"/>
    <w:r w:rsidRPr="00507B1C">
      <w:rPr>
        <w:rFonts w:ascii="Times New Roman" w:hAnsi="Times New Roman" w:cs="Times New Roman"/>
        <w:sz w:val="20"/>
        <w:szCs w:val="20"/>
      </w:rPr>
      <w:t xml:space="preserve"> (State Language Centre)</w:t>
    </w:r>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A7BA9" w14:textId="77777777" w:rsidR="00ED64BC" w:rsidRPr="00E31657" w:rsidRDefault="00ED64BC" w:rsidP="00E31657">
      <w:pPr>
        <w:spacing w:after="0" w:line="240" w:lineRule="auto"/>
        <w:rPr>
          <w:noProof/>
          <w:lang w:val="en-US"/>
        </w:rPr>
      </w:pPr>
      <w:r w:rsidRPr="00E31657">
        <w:rPr>
          <w:noProof/>
          <w:lang w:val="en-US"/>
        </w:rPr>
        <w:separator/>
      </w:r>
    </w:p>
  </w:footnote>
  <w:footnote w:type="continuationSeparator" w:id="0">
    <w:p w14:paraId="499A402E" w14:textId="77777777" w:rsidR="00ED64BC" w:rsidRPr="00E31657" w:rsidRDefault="00ED64BC" w:rsidP="00E31657">
      <w:pPr>
        <w:spacing w:after="0" w:line="240" w:lineRule="auto"/>
        <w:rPr>
          <w:noProof/>
          <w:lang w:val="en-US"/>
        </w:rPr>
      </w:pPr>
      <w:r w:rsidRPr="00E3165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70"/>
    <w:rsid w:val="001F35C6"/>
    <w:rsid w:val="00350EBA"/>
    <w:rsid w:val="003B4F15"/>
    <w:rsid w:val="003D1F94"/>
    <w:rsid w:val="0044451E"/>
    <w:rsid w:val="00650852"/>
    <w:rsid w:val="007428A6"/>
    <w:rsid w:val="0081309D"/>
    <w:rsid w:val="00890470"/>
    <w:rsid w:val="00960BD4"/>
    <w:rsid w:val="00A12F60"/>
    <w:rsid w:val="00A73118"/>
    <w:rsid w:val="00B81F0D"/>
    <w:rsid w:val="00E31657"/>
    <w:rsid w:val="00ED6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D01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445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445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4451E"/>
    <w:rPr>
      <w:color w:val="0000FF"/>
      <w:u w:val="single"/>
    </w:rPr>
  </w:style>
  <w:style w:type="paragraph" w:styleId="Galvene">
    <w:name w:val="header"/>
    <w:basedOn w:val="Parasts"/>
    <w:link w:val="GalveneRakstz"/>
    <w:uiPriority w:val="99"/>
    <w:unhideWhenUsed/>
    <w:rsid w:val="00E316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31657"/>
  </w:style>
  <w:style w:type="paragraph" w:styleId="Kjene">
    <w:name w:val="footer"/>
    <w:basedOn w:val="Parasts"/>
    <w:link w:val="KjeneRakstz"/>
    <w:uiPriority w:val="99"/>
    <w:unhideWhenUsed/>
    <w:rsid w:val="00E316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3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125371">
      <w:bodyDiv w:val="1"/>
      <w:marLeft w:val="0"/>
      <w:marRight w:val="0"/>
      <w:marTop w:val="0"/>
      <w:marBottom w:val="0"/>
      <w:divBdr>
        <w:top w:val="none" w:sz="0" w:space="0" w:color="auto"/>
        <w:left w:val="none" w:sz="0" w:space="0" w:color="auto"/>
        <w:bottom w:val="none" w:sz="0" w:space="0" w:color="auto"/>
        <w:right w:val="none" w:sz="0" w:space="0" w:color="auto"/>
      </w:divBdr>
      <w:divsChild>
        <w:div w:id="478692976">
          <w:marLeft w:val="0"/>
          <w:marRight w:val="0"/>
          <w:marTop w:val="0"/>
          <w:marBottom w:val="0"/>
          <w:divBdr>
            <w:top w:val="none" w:sz="0" w:space="0" w:color="auto"/>
            <w:left w:val="none" w:sz="0" w:space="0" w:color="auto"/>
            <w:bottom w:val="none" w:sz="0" w:space="0" w:color="auto"/>
            <w:right w:val="none" w:sz="0" w:space="0" w:color="auto"/>
          </w:divBdr>
        </w:div>
        <w:div w:id="1686663717">
          <w:marLeft w:val="0"/>
          <w:marRight w:val="0"/>
          <w:marTop w:val="0"/>
          <w:marBottom w:val="0"/>
          <w:divBdr>
            <w:top w:val="none" w:sz="0" w:space="0" w:color="auto"/>
            <w:left w:val="none" w:sz="0" w:space="0" w:color="auto"/>
            <w:bottom w:val="none" w:sz="0" w:space="0" w:color="auto"/>
            <w:right w:val="none" w:sz="0" w:space="0" w:color="auto"/>
          </w:divBdr>
        </w:div>
        <w:div w:id="652368438">
          <w:marLeft w:val="0"/>
          <w:marRight w:val="0"/>
          <w:marTop w:val="0"/>
          <w:marBottom w:val="0"/>
          <w:divBdr>
            <w:top w:val="none" w:sz="0" w:space="0" w:color="auto"/>
            <w:left w:val="none" w:sz="0" w:space="0" w:color="auto"/>
            <w:bottom w:val="none" w:sz="0" w:space="0" w:color="auto"/>
            <w:right w:val="none" w:sz="0" w:space="0" w:color="auto"/>
          </w:divBdr>
        </w:div>
        <w:div w:id="1914465290">
          <w:marLeft w:val="0"/>
          <w:marRight w:val="0"/>
          <w:marTop w:val="0"/>
          <w:marBottom w:val="0"/>
          <w:divBdr>
            <w:top w:val="none" w:sz="0" w:space="0" w:color="auto"/>
            <w:left w:val="none" w:sz="0" w:space="0" w:color="auto"/>
            <w:bottom w:val="none" w:sz="0" w:space="0" w:color="auto"/>
            <w:right w:val="none" w:sz="0" w:space="0" w:color="auto"/>
          </w:divBdr>
        </w:div>
        <w:div w:id="1590504442">
          <w:marLeft w:val="0"/>
          <w:marRight w:val="0"/>
          <w:marTop w:val="0"/>
          <w:marBottom w:val="0"/>
          <w:divBdr>
            <w:top w:val="none" w:sz="0" w:space="0" w:color="auto"/>
            <w:left w:val="none" w:sz="0" w:space="0" w:color="auto"/>
            <w:bottom w:val="none" w:sz="0" w:space="0" w:color="auto"/>
            <w:right w:val="none" w:sz="0" w:space="0" w:color="auto"/>
          </w:divBdr>
        </w:div>
        <w:div w:id="482044976">
          <w:marLeft w:val="0"/>
          <w:marRight w:val="0"/>
          <w:marTop w:val="0"/>
          <w:marBottom w:val="0"/>
          <w:divBdr>
            <w:top w:val="none" w:sz="0" w:space="0" w:color="auto"/>
            <w:left w:val="none" w:sz="0" w:space="0" w:color="auto"/>
            <w:bottom w:val="none" w:sz="0" w:space="0" w:color="auto"/>
            <w:right w:val="none" w:sz="0" w:space="0" w:color="auto"/>
          </w:divBdr>
        </w:div>
        <w:div w:id="345641561">
          <w:marLeft w:val="0"/>
          <w:marRight w:val="0"/>
          <w:marTop w:val="0"/>
          <w:marBottom w:val="0"/>
          <w:divBdr>
            <w:top w:val="none" w:sz="0" w:space="0" w:color="auto"/>
            <w:left w:val="none" w:sz="0" w:space="0" w:color="auto"/>
            <w:bottom w:val="none" w:sz="0" w:space="0" w:color="auto"/>
            <w:right w:val="none" w:sz="0" w:space="0" w:color="auto"/>
          </w:divBdr>
        </w:div>
        <w:div w:id="1758820600">
          <w:marLeft w:val="0"/>
          <w:marRight w:val="0"/>
          <w:marTop w:val="0"/>
          <w:marBottom w:val="0"/>
          <w:divBdr>
            <w:top w:val="none" w:sz="0" w:space="0" w:color="auto"/>
            <w:left w:val="none" w:sz="0" w:space="0" w:color="auto"/>
            <w:bottom w:val="none" w:sz="0" w:space="0" w:color="auto"/>
            <w:right w:val="none" w:sz="0" w:space="0" w:color="auto"/>
          </w:divBdr>
        </w:div>
        <w:div w:id="1933127950">
          <w:marLeft w:val="0"/>
          <w:marRight w:val="0"/>
          <w:marTop w:val="0"/>
          <w:marBottom w:val="0"/>
          <w:divBdr>
            <w:top w:val="none" w:sz="0" w:space="0" w:color="auto"/>
            <w:left w:val="none" w:sz="0" w:space="0" w:color="auto"/>
            <w:bottom w:val="none" w:sz="0" w:space="0" w:color="auto"/>
            <w:right w:val="none" w:sz="0" w:space="0" w:color="auto"/>
          </w:divBdr>
        </w:div>
        <w:div w:id="76749940">
          <w:marLeft w:val="0"/>
          <w:marRight w:val="0"/>
          <w:marTop w:val="0"/>
          <w:marBottom w:val="0"/>
          <w:divBdr>
            <w:top w:val="none" w:sz="0" w:space="0" w:color="auto"/>
            <w:left w:val="none" w:sz="0" w:space="0" w:color="auto"/>
            <w:bottom w:val="none" w:sz="0" w:space="0" w:color="auto"/>
            <w:right w:val="none" w:sz="0" w:space="0" w:color="auto"/>
          </w:divBdr>
        </w:div>
        <w:div w:id="669868978">
          <w:marLeft w:val="0"/>
          <w:marRight w:val="0"/>
          <w:marTop w:val="0"/>
          <w:marBottom w:val="0"/>
          <w:divBdr>
            <w:top w:val="none" w:sz="0" w:space="0" w:color="auto"/>
            <w:left w:val="none" w:sz="0" w:space="0" w:color="auto"/>
            <w:bottom w:val="none" w:sz="0" w:space="0" w:color="auto"/>
            <w:right w:val="none" w:sz="0" w:space="0" w:color="auto"/>
          </w:divBdr>
        </w:div>
        <w:div w:id="1010983327">
          <w:marLeft w:val="0"/>
          <w:marRight w:val="0"/>
          <w:marTop w:val="0"/>
          <w:marBottom w:val="0"/>
          <w:divBdr>
            <w:top w:val="none" w:sz="0" w:space="0" w:color="auto"/>
            <w:left w:val="none" w:sz="0" w:space="0" w:color="auto"/>
            <w:bottom w:val="none" w:sz="0" w:space="0" w:color="auto"/>
            <w:right w:val="none" w:sz="0" w:space="0" w:color="auto"/>
          </w:divBdr>
        </w:div>
        <w:div w:id="894271260">
          <w:marLeft w:val="0"/>
          <w:marRight w:val="0"/>
          <w:marTop w:val="0"/>
          <w:marBottom w:val="0"/>
          <w:divBdr>
            <w:top w:val="none" w:sz="0" w:space="0" w:color="auto"/>
            <w:left w:val="none" w:sz="0" w:space="0" w:color="auto"/>
            <w:bottom w:val="none" w:sz="0" w:space="0" w:color="auto"/>
            <w:right w:val="none" w:sz="0" w:space="0" w:color="auto"/>
          </w:divBdr>
        </w:div>
        <w:div w:id="2447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119DE-A1F1-4877-9AA1-6C9B614BCC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09CA86-C7A4-45D4-94E5-637F42FF1ACC}">
  <ds:schemaRefs>
    <ds:schemaRef ds:uri="http://schemas.microsoft.com/sharepoint/v3/contenttype/forms"/>
  </ds:schemaRefs>
</ds:datastoreItem>
</file>

<file path=customXml/itemProps3.xml><?xml version="1.0" encoding="utf-8"?>
<ds:datastoreItem xmlns:ds="http://schemas.openxmlformats.org/officeDocument/2006/customXml" ds:itemID="{2420B627-B886-45E3-A57E-3BF8336A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2317</Words>
  <Characters>1321</Characters>
  <Application>Microsoft Office Word</Application>
  <DocSecurity>0</DocSecurity>
  <Lines>11</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2021-01-04T08:02:00Z</dcterms:created>
  <dcterms:modified xsi:type="dcterms:W3CDTF">2021-04-01T08:29:00Z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1493800</vt:r8>
  </property>
  <property fmtid="{D5CDD505-2E9C-101B-9397-08002B2CF9AE}" pid="3" name="ContentTypeId">
    <vt:lpwstr>0x0101007C1742F60F5DC847ADA3134B77337160</vt:lpwstr>
  </property>
</Properties>
</file>