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258A2D" w14:textId="0334249C" w:rsidR="000C4D30" w:rsidRDefault="000C4D30" w:rsidP="000C4D3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iCs/>
          <w:sz w:val="24"/>
          <w:szCs w:val="24"/>
        </w:rPr>
        <w:t>Saeima</w:t>
      </w:r>
      <w:r w:rsidR="00354C5A">
        <w:rPr>
          <w:rFonts w:ascii="Times New Roman" w:hAnsi="Times New Roman"/>
          <w:sz w:val="24"/>
          <w:szCs w:val="24"/>
        </w:rPr>
        <w:t> </w:t>
      </w:r>
      <w:r w:rsidR="00354C5A" w:rsidRPr="00354C5A">
        <w:rPr>
          <w:rFonts w:ascii="Times New Roman" w:hAnsi="Times New Roman"/>
          <w:sz w:val="24"/>
          <w:szCs w:val="24"/>
          <w:vertAlign w:val="superscript"/>
        </w:rPr>
        <w:t>1</w:t>
      </w:r>
      <w:r>
        <w:rPr>
          <w:rFonts w:ascii="Times New Roman" w:hAnsi="Times New Roman"/>
          <w:sz w:val="24"/>
          <w:szCs w:val="24"/>
        </w:rPr>
        <w:t xml:space="preserve"> has adopted and</w:t>
      </w:r>
    </w:p>
    <w:p w14:paraId="379BC1DE" w14:textId="46435435" w:rsidR="000C4D30" w:rsidRDefault="000C4D30" w:rsidP="000C4D3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0023C70" w14:textId="10D55D99"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64745FF1"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6D6940F4" w14:textId="2C995B35" w:rsidR="000C4D30" w:rsidRPr="000C4D30" w:rsidRDefault="000C4D30" w:rsidP="000C4D30">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On the State Budget for 2020</w:t>
      </w:r>
    </w:p>
    <w:p w14:paraId="6C980E69" w14:textId="124CC065"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257DA8C0"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79EDD2A3" w14:textId="60BFA138" w:rsidR="000C4D30" w:rsidRDefault="000C4D30" w:rsidP="000C4D30">
      <w:pPr>
        <w:spacing w:after="0" w:line="240" w:lineRule="auto"/>
        <w:jc w:val="both"/>
        <w:rPr>
          <w:rFonts w:ascii="Times New Roman" w:eastAsia="Times New Roman" w:hAnsi="Times New Roman" w:cs="Times New Roman"/>
          <w:noProof/>
          <w:sz w:val="24"/>
          <w:szCs w:val="24"/>
        </w:rPr>
      </w:pPr>
      <w:bookmarkStart w:id="0" w:name="p-710357"/>
      <w:bookmarkEnd w:id="0"/>
      <w:r>
        <w:rPr>
          <w:rFonts w:ascii="Times New Roman" w:hAnsi="Times New Roman"/>
          <w:b/>
          <w:bCs/>
          <w:sz w:val="24"/>
          <w:szCs w:val="24"/>
        </w:rPr>
        <w:t xml:space="preserve">Section 1. </w:t>
      </w:r>
      <w:r>
        <w:rPr>
          <w:rFonts w:ascii="Times New Roman" w:hAnsi="Times New Roman"/>
          <w:sz w:val="24"/>
          <w:szCs w:val="24"/>
        </w:rPr>
        <w:t>The State budget for 2020 shall be approved in the revenues in the amount of EUR 9 907 335 199 in accordance with Annexes 1 and 2.</w:t>
      </w:r>
      <w:bookmarkStart w:id="1" w:name="p1"/>
      <w:bookmarkEnd w:id="1"/>
    </w:p>
    <w:p w14:paraId="3298C885"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33B6BD1D"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bookmarkStart w:id="2" w:name="p-710359"/>
      <w:bookmarkEnd w:id="2"/>
      <w:r>
        <w:rPr>
          <w:rFonts w:ascii="Times New Roman" w:hAnsi="Times New Roman"/>
          <w:b/>
          <w:bCs/>
          <w:sz w:val="24"/>
          <w:szCs w:val="24"/>
        </w:rPr>
        <w:t xml:space="preserve">Section 2. </w:t>
      </w:r>
      <w:r>
        <w:rPr>
          <w:rFonts w:ascii="Times New Roman" w:hAnsi="Times New Roman"/>
          <w:sz w:val="24"/>
          <w:szCs w:val="24"/>
        </w:rPr>
        <w:t>The State budget for 2020 shall be approved in the expenditures in the amount of EUR 10 014 842 838 in accordance with Annexes 1, 3, 4, and 5.</w:t>
      </w:r>
      <w:bookmarkStart w:id="3" w:name="p2"/>
      <w:bookmarkEnd w:id="3"/>
    </w:p>
    <w:p w14:paraId="11F7D851"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 w:name="p-710360"/>
      <w:bookmarkEnd w:id="4"/>
    </w:p>
    <w:p w14:paraId="0481CBCB" w14:textId="2A5174BA"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 </w:t>
      </w:r>
      <w:r>
        <w:rPr>
          <w:rFonts w:ascii="Times New Roman" w:hAnsi="Times New Roman"/>
          <w:sz w:val="24"/>
          <w:szCs w:val="24"/>
        </w:rPr>
        <w:t>(1) The amount of earmarked grants shall be approved for local governments in the amount of EUR 381 854 199, including:</w:t>
      </w:r>
      <w:bookmarkStart w:id="5" w:name="p3"/>
      <w:bookmarkEnd w:id="5"/>
    </w:p>
    <w:p w14:paraId="0273DE73"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work remuneration of the teachers of local government basic and general secondary education institutions, local government special education institutions, local government vocational education institutions and for partial work remuneration of interest education programmes and for State social insurance mandatory contributions in the amount of EUR 282 477 570 in accordance with Annexes 6 and 7;</w:t>
      </w:r>
    </w:p>
    <w:p w14:paraId="3229A1FE"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work remuneration of the teachers of local government special preschool education institutions and for State social insurance mandatory contributions, for the development and rehabilitation centres registered in the Register of Educational Institutions, and for special education institutions which ensure the services of a boarding school in the amount of EUR 63 986 395 in accordance with Annex 8;</w:t>
      </w:r>
    </w:p>
    <w:p w14:paraId="02385A4E"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work remuneration of the teachers in local government educational institutions for educating children from five years of age and for State social insurance mandatory contributions in the amount of EUR 34 406 865 in accordance with Annex 9;</w:t>
      </w:r>
    </w:p>
    <w:p w14:paraId="46ED2253"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work remuneration of the leaders of artistic amateur collectives and for State social insurance mandatory contributions in the amount of EUR 983 369 in accordance with Annex 10.</w:t>
      </w:r>
    </w:p>
    <w:p w14:paraId="124AA8A4"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Based on the information provided by the Ministry of Education and Science, the Cabinet has the right to change the division of the financing among local governments specified in the annexes referred to in Paragraph one, Clauses 1, 2, and 3 of this Section.</w:t>
      </w:r>
    </w:p>
    <w:p w14:paraId="553467EE"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Based on the information provided by the Ministry of Culture, the Cabinet has the right to change the division of the financing among local governments specified in the annex referred to in Paragraph one, Clause 4 of this Section.</w:t>
      </w:r>
    </w:p>
    <w:p w14:paraId="5683F2D2"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determined that local governments are entitled to use the earmarked grants for work remuneration of teachers and for State social insurance mandatory contributions for the disbursement of a severance pay to teachers who lose employment due to the liquidation or reorganisation of educational institutions, if such reorganisation or liquidation has been completed not later than by 31 August 2020.</w:t>
      </w:r>
    </w:p>
    <w:p w14:paraId="638AC8C0"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 w:name="p-710362"/>
      <w:bookmarkEnd w:id="6"/>
    </w:p>
    <w:p w14:paraId="1F074892" w14:textId="6C325F9C"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 </w:t>
      </w:r>
      <w:r>
        <w:rPr>
          <w:rFonts w:ascii="Times New Roman" w:hAnsi="Times New Roman"/>
          <w:sz w:val="24"/>
          <w:szCs w:val="24"/>
        </w:rPr>
        <w:t>The State budget grant shall be approved for local governments in the amount of EUR 184 539 752, including:</w:t>
      </w:r>
      <w:bookmarkStart w:id="7" w:name="p4"/>
      <w:bookmarkEnd w:id="7"/>
    </w:p>
    <w:p w14:paraId="7577BA30"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fund for the equalisation of local government finances in the amount of EUR 183 882 344, including special grant in the amount of EUR 148 060 368;</w:t>
      </w:r>
    </w:p>
    <w:p w14:paraId="0D2EC9A3"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local governments for the children in orphanages (EUR 8544 per child) and for the residents in retirement homes and centres (EUR 5520 per resident) who have been placed therein by 1 January 1998, in the amount of EUR 657 408. The Cabinet shall determine the procedures by which the State budget grant shall be allocated to local governments.</w:t>
      </w:r>
    </w:p>
    <w:p w14:paraId="19622355"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 w:name="p-710363"/>
      <w:bookmarkEnd w:id="8"/>
    </w:p>
    <w:p w14:paraId="56FA31FA" w14:textId="53EF2B6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 </w:t>
      </w:r>
      <w:r>
        <w:rPr>
          <w:rFonts w:ascii="Times New Roman" w:hAnsi="Times New Roman"/>
          <w:sz w:val="24"/>
          <w:szCs w:val="24"/>
        </w:rPr>
        <w:t>The maximum permissible amount of the State budget long-term liabilities shall be approved in accordance with Annex 11.</w:t>
      </w:r>
      <w:bookmarkStart w:id="9" w:name="p5"/>
      <w:bookmarkEnd w:id="9"/>
    </w:p>
    <w:p w14:paraId="3C3AF8EF"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 w:name="p-710364"/>
      <w:bookmarkEnd w:id="10"/>
    </w:p>
    <w:p w14:paraId="575C33C3" w14:textId="64F23DD5"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6. </w:t>
      </w:r>
      <w:r>
        <w:rPr>
          <w:rFonts w:ascii="Times New Roman" w:hAnsi="Times New Roman"/>
          <w:sz w:val="24"/>
          <w:szCs w:val="24"/>
        </w:rPr>
        <w:t>The gross domestic product projection (in current prices) for 2020 in the amount of EUR 33 154 000 000 has been used in the drafting of this Law.</w:t>
      </w:r>
      <w:bookmarkStart w:id="11" w:name="p6"/>
      <w:bookmarkEnd w:id="11"/>
    </w:p>
    <w:p w14:paraId="0F161536"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2" w:name="p-710366"/>
      <w:bookmarkEnd w:id="12"/>
    </w:p>
    <w:p w14:paraId="073AA7EB" w14:textId="3D6CB986"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7. </w:t>
      </w:r>
      <w:r>
        <w:rPr>
          <w:rFonts w:ascii="Times New Roman" w:hAnsi="Times New Roman"/>
          <w:sz w:val="24"/>
          <w:szCs w:val="24"/>
        </w:rPr>
        <w:t>It shall be determined that in 2020 the permissible general government budget deficit which arises from the objective of the structural budget balance and from which fiscal security reserve has been deducted is 0.3 per cent of the gross domestic product in accordance with the methodology of the European system of national and regional accounts in the European Union.</w:t>
      </w:r>
      <w:bookmarkStart w:id="13" w:name="p7"/>
      <w:bookmarkEnd w:id="13"/>
    </w:p>
    <w:p w14:paraId="5921A02F"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4" w:name="p-710367"/>
      <w:bookmarkEnd w:id="14"/>
    </w:p>
    <w:p w14:paraId="7048A14F" w14:textId="5D386FB0"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8. </w:t>
      </w:r>
      <w:r>
        <w:rPr>
          <w:rFonts w:ascii="Times New Roman" w:hAnsi="Times New Roman"/>
          <w:sz w:val="24"/>
          <w:szCs w:val="24"/>
        </w:rPr>
        <w:t>It shall be determined that the maximum amount of national debt at the end of 2020 in the nominal value amounts to EUR 11 750 000 000, taking into account the currency result of the derived financial instruments attached to borrowings and national debt securities administered by the Treasury.</w:t>
      </w:r>
      <w:bookmarkStart w:id="15" w:name="p8"/>
      <w:bookmarkEnd w:id="15"/>
    </w:p>
    <w:p w14:paraId="12D121CE"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6" w:name="p-710368"/>
      <w:bookmarkEnd w:id="16"/>
    </w:p>
    <w:p w14:paraId="2D6143B8" w14:textId="7A0AFE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9. </w:t>
      </w:r>
      <w:r>
        <w:rPr>
          <w:rFonts w:ascii="Times New Roman" w:hAnsi="Times New Roman"/>
          <w:sz w:val="24"/>
          <w:szCs w:val="24"/>
        </w:rPr>
        <w:t>The permissible limits of government actions to cover the State-guaranteed debt obligations attributable to the State budget of guarantees provided on behalf of the State in 2020 have been estimated in the amount of EUR 2 052 000.</w:t>
      </w:r>
      <w:bookmarkStart w:id="17" w:name="p9"/>
      <w:bookmarkEnd w:id="17"/>
    </w:p>
    <w:p w14:paraId="3D7632B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8" w:name="p-710369"/>
      <w:bookmarkEnd w:id="18"/>
    </w:p>
    <w:p w14:paraId="076FB29A" w14:textId="7C0A9800"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10. </w:t>
      </w:r>
      <w:r>
        <w:rPr>
          <w:rFonts w:ascii="Times New Roman" w:hAnsi="Times New Roman"/>
          <w:sz w:val="24"/>
          <w:szCs w:val="24"/>
        </w:rPr>
        <w:t>The Minister for Finance shall be authorised to extinguish in 2020 the debt obligations of debtors in the amount of EUR 1 207 683 in accordance with Annex 12, without applying the procedures stipulated by the Cabinet.</w:t>
      </w:r>
      <w:bookmarkStart w:id="19" w:name="p10"/>
      <w:bookmarkEnd w:id="19"/>
    </w:p>
    <w:p w14:paraId="5FE29F6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20" w:name="p-710371"/>
      <w:bookmarkEnd w:id="20"/>
    </w:p>
    <w:p w14:paraId="63237FBB" w14:textId="7A851E26"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11. </w:t>
      </w:r>
      <w:r>
        <w:rPr>
          <w:rFonts w:ascii="Times New Roman" w:hAnsi="Times New Roman"/>
          <w:sz w:val="24"/>
          <w:szCs w:val="24"/>
        </w:rPr>
        <w:t xml:space="preserve">The Minister for Finance shall be authorised to extinguish the State loan and related ancillary claims in the amount not exceeding EUR 29 370 000 after liquidation of </w:t>
      </w:r>
      <w:r>
        <w:rPr>
          <w:rFonts w:ascii="Times New Roman" w:hAnsi="Times New Roman"/>
          <w:i/>
          <w:iCs/>
          <w:sz w:val="24"/>
          <w:szCs w:val="24"/>
        </w:rPr>
        <w:t>sabiedrība ar ierobežotu atbildību “Hiponia”</w:t>
      </w:r>
      <w:r>
        <w:rPr>
          <w:rFonts w:ascii="Times New Roman" w:hAnsi="Times New Roman"/>
          <w:sz w:val="24"/>
          <w:szCs w:val="24"/>
        </w:rPr>
        <w:t xml:space="preserve"> [limited liability company </w:t>
      </w:r>
      <w:r>
        <w:rPr>
          <w:rFonts w:ascii="Times New Roman" w:hAnsi="Times New Roman"/>
          <w:i/>
          <w:iCs/>
          <w:sz w:val="24"/>
          <w:szCs w:val="24"/>
        </w:rPr>
        <w:t>Hiponia</w:t>
      </w:r>
      <w:r>
        <w:rPr>
          <w:rFonts w:ascii="Times New Roman" w:hAnsi="Times New Roman"/>
          <w:sz w:val="24"/>
          <w:szCs w:val="24"/>
        </w:rPr>
        <w:t>], without applying the procedures stipulated by the Cabinet.</w:t>
      </w:r>
      <w:bookmarkStart w:id="21" w:name="p11"/>
      <w:bookmarkEnd w:id="21"/>
    </w:p>
    <w:p w14:paraId="01B6135E"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22" w:name="p-710372"/>
      <w:bookmarkEnd w:id="22"/>
    </w:p>
    <w:p w14:paraId="63E81534" w14:textId="140AE9B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12. </w:t>
      </w:r>
      <w:r>
        <w:rPr>
          <w:rFonts w:ascii="Times New Roman" w:hAnsi="Times New Roman"/>
          <w:sz w:val="24"/>
          <w:szCs w:val="24"/>
        </w:rPr>
        <w:t>It shall be determined that the total increase in the State budget loans amounts to EUR 216 319 079 which excludes the total increase in local government borrowings specified in Section 13 of this Law, if borrowings are taken from the Treasury.</w:t>
      </w:r>
      <w:bookmarkStart w:id="23" w:name="p12"/>
      <w:bookmarkEnd w:id="23"/>
    </w:p>
    <w:p w14:paraId="5B872045"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24" w:name="p-710373"/>
      <w:bookmarkEnd w:id="24"/>
    </w:p>
    <w:p w14:paraId="598257C9" w14:textId="41119B7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13. </w:t>
      </w:r>
      <w:r>
        <w:rPr>
          <w:rFonts w:ascii="Times New Roman" w:hAnsi="Times New Roman"/>
          <w:sz w:val="24"/>
          <w:szCs w:val="24"/>
        </w:rPr>
        <w:t>(1) It shall be determined that the total increase in local government borrowings amounts to EUR 118 138 258:</w:t>
      </w:r>
      <w:bookmarkStart w:id="25" w:name="p13"/>
      <w:bookmarkEnd w:id="25"/>
    </w:p>
    <w:p w14:paraId="786EA96F"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implementation of projects co-financed from the European Union funds and other foreign financial assistance, including for increasing the fixed capital of capital companies for the purpose of ensuring the co-financing of local governments for the implementation of projects co-financed from the European Union funds and other foreign financial assistance with such borrowing amount that does not exceed the total amount of the eligible costs of the project;</w:t>
      </w:r>
    </w:p>
    <w:p w14:paraId="48670B59"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the implementation of projects co-financed from the emission allowance auctioning instrument with such borrowing amount that does not exceed the total amount of the eligible costs of the project;</w:t>
      </w:r>
    </w:p>
    <w:p w14:paraId="342B3145"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disbursement of the allocated medium-term borrowings according to the loan agreements entered into;</w:t>
      </w:r>
    </w:p>
    <w:p w14:paraId="780DF908"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implementation of the measures specified in the law On the Stabilisation of Local Government Finances and the Monitoring of the Financial Activities of Local Governments.</w:t>
      </w:r>
    </w:p>
    <w:p w14:paraId="4B17A75C"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It shall be determined that the total increase in the guarantees issued by local governments amounts to EUR 56 914 872 for such debt obligations which are undertaken by local government capital companies for the implementation of investment projects, and also for such </w:t>
      </w:r>
      <w:r>
        <w:rPr>
          <w:rFonts w:ascii="Times New Roman" w:hAnsi="Times New Roman"/>
          <w:sz w:val="24"/>
          <w:szCs w:val="24"/>
        </w:rPr>
        <w:lastRenderedPageBreak/>
        <w:t>debt obligations which are undertaken by students to receive a study loan and a student loan from a credit institution.</w:t>
      </w:r>
    </w:p>
    <w:p w14:paraId="657C4D36"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local government shall include the guarantee issued for the borrowing of its capital company for the construction, renovation, reconstruction of residential houses for rent or for the purchase of newly built, renovated, or reconstructed residential houses for rent under commitment (borrowings, guarantees, and other long-term liabilities against the planned basic budget revenues in 2020 excluding the State budget transfers for financing a specific purpose and payments into the fund for the equalisation of local government finances) in the amount of 75 per cent of the guaranteed borrowing amount.</w:t>
      </w:r>
    </w:p>
    <w:p w14:paraId="6CAAF3D2"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It shall be determined that local governments do not have the right to undertake long-term liabilities in accordance with Section 22 of the law On Local Government Budgets, except for the liabilities:</w:t>
      </w:r>
    </w:p>
    <w:p w14:paraId="7558AC02"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up to five years for services necessary for ensuring the autonomous functions of local governments, for the purchase of computer hardware, communications and other office equipment;</w:t>
      </w:r>
    </w:p>
    <w:p w14:paraId="65CBB825"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for ensuring long-term social care and social rehabilitation services;</w:t>
      </w:r>
    </w:p>
    <w:p w14:paraId="5364412D"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for the implementation of investment projects referred to in Paragraph one of this Section;</w:t>
      </w:r>
    </w:p>
    <w:p w14:paraId="48253E1A"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for the implementation of public-private partnership projects in accordance with the procedures laid down in the Law on Public-Private Partnership.</w:t>
      </w:r>
    </w:p>
    <w:p w14:paraId="57CC54B8"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Minister for Finance has the right to change the increase determined for the State budget loans and local government loans, without exceeding the total amount of such increase, concurrently ensuring that a transaction has no negative impact on the general government budget balance in accordance with the methodology of the European system of national and regional accounts in the European Union, and prioritising borrowings for projects co-financed from the European Union funds and other foreign financial assistance, including projects for the implementation of service infrastructure development deinstitutionalisation plans, with such borrowing amount that does not exceed the total amount of the eligible costs of the project.</w:t>
      </w:r>
    </w:p>
    <w:p w14:paraId="54DAF88D"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After provision of information by the Ministry of Environmental Protection and Regional Development to the Cabinet, the Minister for Finance has the right, for the purposes of implementing demographic measures, to augment the increase referred to in Paragraph one of this Section in order to ensure borrowings to local governments for the construction of a new preschool education institution or enlargement of an existing preschool education institution, thereby reducing the number of children in the waiting list of preschool education institutions, if a relevant Cabinet decision has been taken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not objected to it within five working days from the day of receipt of the relevant information. For the investment project for the construction of a new preschool education institution or enlargement of an existing preschool education institution:</w:t>
      </w:r>
    </w:p>
    <w:p w14:paraId="6F7E0DAA"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co-financing from the local government budget starting from 2020 shall not be less than 25 per cent and the amount of borrowing shall not exceed 75 per cent of the total project costs of the local government;</w:t>
      </w:r>
    </w:p>
    <w:p w14:paraId="51DF27CC"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in projects the financing of which requires a medium-term borrowing, the co-financing from the local government budget in 2020 shall not be less than 25 per cent of the total project costs of the local government in 2020;</w:t>
      </w:r>
    </w:p>
    <w:p w14:paraId="79068C75"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co-financing from the local government budget is carried out until the submission of a request for borrowing costs or concurrently with disbursement of the borrowing;</w:t>
      </w:r>
    </w:p>
    <w:p w14:paraId="0B474C0F"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positive opinion of the Ministry of Environmental Protection and Regional Development has been provided on the conformity of the project with the approved criteria. The Cabinet shall determine the procedures by which the Ministry of Environmental Protection and Regional Development shall evaluate the investment projects for the construction of a new preschool education institution or enlargement of an existing preschool education institution and the evaluation criteria.</w:t>
      </w:r>
    </w:p>
    <w:p w14:paraId="696AA383"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26" w:name="p-710374"/>
      <w:bookmarkEnd w:id="26"/>
    </w:p>
    <w:p w14:paraId="493D9020" w14:textId="1AEF4D06"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14. </w:t>
      </w:r>
      <w:r>
        <w:rPr>
          <w:rFonts w:ascii="Times New Roman" w:hAnsi="Times New Roman"/>
          <w:sz w:val="24"/>
          <w:szCs w:val="24"/>
        </w:rPr>
        <w:t>It shall be determined that the division of the revenues from the personal income tax between the State budget and local government budgets is as follows: for local government budgets – in the amount of 80 per cent and for the State budget – in the amount of 20 per cent.</w:t>
      </w:r>
      <w:bookmarkStart w:id="27" w:name="p14"/>
      <w:bookmarkEnd w:id="27"/>
    </w:p>
    <w:p w14:paraId="6802CC2D"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28" w:name="p-710375"/>
      <w:bookmarkEnd w:id="28"/>
    </w:p>
    <w:p w14:paraId="59CEE9B3" w14:textId="3B0FCB9B"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15. </w:t>
      </w:r>
      <w:r>
        <w:rPr>
          <w:rFonts w:ascii="Times New Roman" w:hAnsi="Times New Roman"/>
          <w:sz w:val="24"/>
          <w:szCs w:val="24"/>
        </w:rPr>
        <w:t>(1) It shall be determined that the projected revenues from the personal income tax in local government budgets amounts to EUR 1 406 622 400.</w:t>
      </w:r>
      <w:bookmarkStart w:id="29" w:name="p15"/>
      <w:bookmarkEnd w:id="29"/>
    </w:p>
    <w:p w14:paraId="71E85C34"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quarterly percentage breakdown of the projected revenues from the personal income tax referred to in Paragraph one of this Section is determined in the following amount: first quarter – 22 per cent, second quarter – 24 per cent, third quarter – 26 per cent, fourth quarter – 28 per cent.</w:t>
      </w:r>
    </w:p>
    <w:p w14:paraId="7A263178"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Finance shall evaluate the actual implementation of the revenues from the personal income tax referred to in Paragraph one of this Section for the previous quarter in comparison with the projected implementation in accordance with the division in percentage referred to in Paragraph two of this Section. If non-implementation of the revenues from the personal income tax (from the beginning of the year) is detected, that, on the basis of the order of the Minister for Finance, it shall be compensated from the share of the personal income tax payable into the State basic budget. If a compensation is disbursed to local governments, but the projection is exceeded in the subsequent period, the Ministry of Finance has the right to deduct the disbursed compensation from the excess amount and to transfer it into the State budget.</w:t>
      </w:r>
    </w:p>
    <w:p w14:paraId="4DB4EBE1"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30" w:name="p-710376"/>
      <w:bookmarkEnd w:id="30"/>
    </w:p>
    <w:p w14:paraId="2644CF18" w14:textId="4E5FD681"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16. </w:t>
      </w:r>
      <w:r>
        <w:rPr>
          <w:rFonts w:ascii="Times New Roman" w:hAnsi="Times New Roman"/>
          <w:sz w:val="24"/>
          <w:szCs w:val="24"/>
        </w:rPr>
        <w:t xml:space="preserve">In order to compensate the negative fiscal impact on the general government budget balance caused by the capital company </w:t>
      </w:r>
      <w:r>
        <w:rPr>
          <w:rFonts w:ascii="Times New Roman" w:hAnsi="Times New Roman"/>
          <w:i/>
          <w:iCs/>
          <w:sz w:val="24"/>
          <w:szCs w:val="24"/>
        </w:rPr>
        <w:t>Rīgas satiksme</w:t>
      </w:r>
      <w:r>
        <w:rPr>
          <w:rFonts w:ascii="Times New Roman" w:hAnsi="Times New Roman"/>
          <w:sz w:val="24"/>
          <w:szCs w:val="24"/>
        </w:rPr>
        <w:t xml:space="preserve"> controlled by the local government of Riga, it shall be determined that in 2020, by the 15</w:t>
      </w:r>
      <w:r>
        <w:rPr>
          <w:rFonts w:ascii="Times New Roman" w:hAnsi="Times New Roman"/>
          <w:sz w:val="24"/>
          <w:szCs w:val="24"/>
          <w:vertAlign w:val="superscript"/>
        </w:rPr>
        <w:t>th</w:t>
      </w:r>
      <w:r>
        <w:rPr>
          <w:rFonts w:ascii="Times New Roman" w:hAnsi="Times New Roman"/>
          <w:sz w:val="24"/>
          <w:szCs w:val="24"/>
        </w:rPr>
        <w:t xml:space="preserve"> date of each month, the Treasury shall deduct from the amount of the revenues from the personal income tax in the amount of EUR 38 000 000 (from January to November in the amount of EUR 3 166 000, in December in the amount of EUR 3 174 000) payable into the budget of the local government of Riga (after deducting the amount payable into the fund for the equalisation of local government finances) and the deducted amount is transferred into the non-tax revenue account of the State budget in the Treasury. The amount of compensation may be adjusted according to the decision taken by the Cabinet provided that no negative fiscal impact is caused on the general government budget balance in accordance with the methodology of the European system of national and regional accounts in the European Union.</w:t>
      </w:r>
      <w:bookmarkStart w:id="31" w:name="p16"/>
      <w:bookmarkEnd w:id="31"/>
    </w:p>
    <w:p w14:paraId="4CE8BD6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32" w:name="p-710378"/>
      <w:bookmarkEnd w:id="32"/>
    </w:p>
    <w:p w14:paraId="38C980FE" w14:textId="30C9E87C"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17. </w:t>
      </w:r>
      <w:r>
        <w:rPr>
          <w:rFonts w:ascii="Times New Roman" w:hAnsi="Times New Roman"/>
          <w:sz w:val="24"/>
          <w:szCs w:val="24"/>
        </w:rPr>
        <w:t>It shall be determined that the Ministry of Education and Science is the ministry implementing the programme 01.00.00 “Earmarked Grants for Educational Measures”, the programme 05.00.00 “Earmarked Grants for Local Governments – Work Remuneration of the Teachers of Local Government Educational Institutions and State Social Insurance Mandatory Contributions”, and the programme 10.00.00 “Earmarked Grants for Local Governments – Work Remuneration of the Teachers in Local Government Educational Institutions for Educating Children from Five Years of Age and State Social Insurance Mandatory Contributions” of the budget unit “62. Earmarked Grants for Local Governments”.</w:t>
      </w:r>
      <w:bookmarkStart w:id="33" w:name="p17"/>
      <w:bookmarkEnd w:id="33"/>
    </w:p>
    <w:p w14:paraId="63DCB89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34" w:name="p-710379"/>
      <w:bookmarkEnd w:id="34"/>
    </w:p>
    <w:p w14:paraId="25666FBC" w14:textId="17B708E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18. </w:t>
      </w:r>
      <w:r>
        <w:rPr>
          <w:rFonts w:ascii="Times New Roman" w:hAnsi="Times New Roman"/>
          <w:sz w:val="24"/>
          <w:szCs w:val="24"/>
        </w:rPr>
        <w:t>It shall be determined that the Ministry of Culture is the ministry implementing the programme 02.00.00 “Earmarked Grants for Work Remuneration of the Leaders of Artistic Amateur Collectives of Local Governments and State Social Insurance Mandatory Contributions” of the budget unit “62. Earmarked Grants for Local Governments”.</w:t>
      </w:r>
      <w:bookmarkStart w:id="35" w:name="p18"/>
      <w:bookmarkEnd w:id="35"/>
    </w:p>
    <w:p w14:paraId="6270241F"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36" w:name="p-710380"/>
      <w:bookmarkEnd w:id="36"/>
    </w:p>
    <w:p w14:paraId="65D94281" w14:textId="25A267AD"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19. </w:t>
      </w:r>
      <w:r>
        <w:rPr>
          <w:rFonts w:ascii="Times New Roman" w:hAnsi="Times New Roman"/>
          <w:sz w:val="24"/>
          <w:szCs w:val="24"/>
        </w:rPr>
        <w:t xml:space="preserve">It shall be determined that the Ministry of Finance is the ministry implementing the programme 01.00.00 “Grant for the Fund for the Equalisation of Local Government Finances” of the budget unit “64. Grant for Local Governments” and of the programme 01.00.00 </w:t>
      </w:r>
      <w:r>
        <w:rPr>
          <w:rFonts w:ascii="Times New Roman" w:hAnsi="Times New Roman"/>
          <w:sz w:val="24"/>
          <w:szCs w:val="24"/>
        </w:rPr>
        <w:lastRenderedPageBreak/>
        <w:t>“Appropriation Reserve”, the programme 02.00.00 “Funds for Unforeseen Events”, the programme 10.00.00 “Prevention of Money Laundering and Terrorism Financing”, the programme 11.00.00 “Demographic Measures”, and the programme 80.00.00 “Undivided Financing for the Implementation of Projects and Measures Co-financed from European Union Policy Instruments and Other Foreign Financial Assistance” of the budget unit “74. Funding to be Re-allocated in the Process of Implementation of the Annual State Budget”.</w:t>
      </w:r>
      <w:bookmarkStart w:id="37" w:name="p19"/>
      <w:bookmarkEnd w:id="37"/>
    </w:p>
    <w:p w14:paraId="7F21A1D9"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38" w:name="p-710382"/>
      <w:bookmarkEnd w:id="38"/>
    </w:p>
    <w:p w14:paraId="5AD94C71" w14:textId="0326B605"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20. </w:t>
      </w:r>
      <w:r>
        <w:rPr>
          <w:rFonts w:ascii="Times New Roman" w:hAnsi="Times New Roman"/>
          <w:sz w:val="24"/>
          <w:szCs w:val="24"/>
        </w:rPr>
        <w:t>Financing in the amount of EUR 1 889 071 shall be determined to the Ministry of Education and Science for the cancellation of study loans and student loans.</w:t>
      </w:r>
      <w:bookmarkStart w:id="39" w:name="p20"/>
      <w:bookmarkEnd w:id="39"/>
    </w:p>
    <w:p w14:paraId="0032809B"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0" w:name="p-710383"/>
      <w:bookmarkEnd w:id="40"/>
    </w:p>
    <w:p w14:paraId="5D56755F" w14:textId="484AFF5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21. </w:t>
      </w:r>
      <w:r>
        <w:rPr>
          <w:rFonts w:ascii="Times New Roman" w:hAnsi="Times New Roman"/>
          <w:sz w:val="24"/>
          <w:szCs w:val="24"/>
        </w:rPr>
        <w:t>It shall be determined that, within the scope of the programme 04.00.00 “Ensuring the Activity of the President” of the Chancellery of the President, the expenditures for work remuneration of the President per month do not exceed EUR 5960 and the representation expenditures per month do not exceed EUR 1192.</w:t>
      </w:r>
      <w:bookmarkStart w:id="41" w:name="p21"/>
      <w:bookmarkEnd w:id="41"/>
    </w:p>
    <w:p w14:paraId="3A5C02E9"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2" w:name="p-710384"/>
      <w:bookmarkEnd w:id="42"/>
    </w:p>
    <w:p w14:paraId="58E1B40C" w14:textId="2C7C5F2D"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22. </w:t>
      </w:r>
      <w:r>
        <w:rPr>
          <w:rFonts w:ascii="Times New Roman" w:hAnsi="Times New Roman"/>
          <w:sz w:val="24"/>
          <w:szCs w:val="24"/>
        </w:rPr>
        <w:t>(1) The following shall be determined in accordance with the law On State Social Insurance:</w:t>
      </w:r>
      <w:bookmarkStart w:id="43" w:name="p22"/>
      <w:bookmarkEnd w:id="43"/>
    </w:p>
    <w:p w14:paraId="65C517D5"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proportion of the social insurance special budget revenues in the amount of annual social insurance contributions is as follows: into the State pension special budget – 71.69 per cent; into the disability, maternity, and illness special budget – 19.66 per cent; into the employment special budget – 4.14 per cent; into the occupational accident special budget – 1.73 per cent;</w:t>
      </w:r>
    </w:p>
    <w:p w14:paraId="553040A9"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proportion of the health insurance State basic budget revenues in the amount of annual social security contributions is 2.78 per cent.</w:t>
      </w:r>
    </w:p>
    <w:p w14:paraId="372D7E05"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has the right to change the proportions of the social insurance special budget revenues specified in Paragraph one of this Section, if:</w:t>
      </w:r>
    </w:p>
    <w:p w14:paraId="67484B7F"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laws and regulations with financial impact on the State social insurance special budget expenditures come into force;</w:t>
      </w:r>
    </w:p>
    <w:p w14:paraId="5B85447E"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number of beneficiaries of benefits and pensions and the average amounts of benefits and pensions vary during the year, and the additionally necessary expenditures are not covered by the amount of the appropriation planned in each of special budgets, without exceeding the amount of the appropriation specified in this Law for the social insurance special budget.</w:t>
      </w:r>
    </w:p>
    <w:p w14:paraId="52123828"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4" w:name="p-710385"/>
      <w:bookmarkEnd w:id="44"/>
    </w:p>
    <w:p w14:paraId="22A16B32" w14:textId="76E88A65"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23. </w:t>
      </w:r>
      <w:r>
        <w:rPr>
          <w:rFonts w:ascii="Times New Roman" w:hAnsi="Times New Roman"/>
          <w:sz w:val="24"/>
          <w:szCs w:val="24"/>
        </w:rPr>
        <w:t xml:space="preserve">The charge which is deducted from the State pension, benefit, or remuneration for the delivery thereof to the place of residence of the beneficiary shall be EUR 2.39. The deducted charge for the delivery of the State pension, benefit, or remuneration to the place of residence of the beneficiary shall be transferred by the State Social Insurance Agency to </w:t>
      </w:r>
      <w:r>
        <w:rPr>
          <w:rFonts w:ascii="Times New Roman" w:hAnsi="Times New Roman"/>
          <w:i/>
          <w:iCs/>
          <w:sz w:val="24"/>
          <w:szCs w:val="24"/>
        </w:rPr>
        <w:t xml:space="preserve">valsts akciju sabiedrība “Latvijas Pasts” </w:t>
      </w:r>
      <w:r>
        <w:rPr>
          <w:rFonts w:ascii="Times New Roman" w:hAnsi="Times New Roman"/>
          <w:sz w:val="24"/>
          <w:szCs w:val="24"/>
        </w:rPr>
        <w:t xml:space="preserve">[State joint stock company </w:t>
      </w:r>
      <w:r>
        <w:rPr>
          <w:rFonts w:ascii="Times New Roman" w:hAnsi="Times New Roman"/>
          <w:i/>
          <w:iCs/>
          <w:sz w:val="24"/>
          <w:szCs w:val="24"/>
        </w:rPr>
        <w:t>Latvijas Pasts</w:t>
      </w:r>
      <w:r>
        <w:rPr>
          <w:rFonts w:ascii="Times New Roman" w:hAnsi="Times New Roman"/>
          <w:sz w:val="24"/>
          <w:szCs w:val="24"/>
        </w:rPr>
        <w:t>] from its budget resources from which the State pension, benefit, or remuneration is paid.</w:t>
      </w:r>
      <w:bookmarkStart w:id="45" w:name="p23"/>
      <w:bookmarkEnd w:id="45"/>
    </w:p>
    <w:p w14:paraId="68254421"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6" w:name="p-710386"/>
      <w:bookmarkEnd w:id="46"/>
    </w:p>
    <w:p w14:paraId="259A1357" w14:textId="20012CED"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24. </w:t>
      </w:r>
      <w:r>
        <w:rPr>
          <w:rFonts w:ascii="Times New Roman" w:hAnsi="Times New Roman"/>
          <w:sz w:val="24"/>
          <w:szCs w:val="24"/>
        </w:rPr>
        <w:t xml:space="preserve">If in 2020 the actual revenues from the European Union policy instruments and other foreign financial assistance exceed the amount planned in this Law, the appropriation in the programme 80.00.00 “Undivided Financing for the Implementation of Projects and Measures Co-financed from European Union Policy Instruments and Other Foreign Financial Assistance” of the budget unit “74. Funding to be Re-allocated in the Process of Implementation of the Annual State Budget” is increased by the respective amount. The Minister for Finance shall immediately inform the Cabinet and the </w:t>
      </w:r>
      <w:r>
        <w:rPr>
          <w:rFonts w:ascii="Times New Roman" w:hAnsi="Times New Roman"/>
          <w:i/>
          <w:iCs/>
          <w:sz w:val="24"/>
          <w:szCs w:val="24"/>
        </w:rPr>
        <w:t>Saeima</w:t>
      </w:r>
      <w:r>
        <w:rPr>
          <w:rFonts w:ascii="Times New Roman" w:hAnsi="Times New Roman"/>
          <w:sz w:val="24"/>
          <w:szCs w:val="24"/>
        </w:rPr>
        <w:t xml:space="preserve"> of the redirection of the abovementioned additional revenues to finance the additional expenditures of the projects and measures co-financed from the European Union policy instruments and other foreign financial assistance. The expenditures for the abovementioned purpose are authorised if the Budget and Finance </w:t>
      </w:r>
      <w:r>
        <w:rPr>
          <w:rFonts w:ascii="Times New Roman" w:hAnsi="Times New Roman"/>
          <w:sz w:val="24"/>
          <w:szCs w:val="24"/>
        </w:rPr>
        <w:lastRenderedPageBreak/>
        <w:t xml:space="preserve">(Taxation) Committee of the </w:t>
      </w:r>
      <w:r>
        <w:rPr>
          <w:rFonts w:ascii="Times New Roman" w:hAnsi="Times New Roman"/>
          <w:i/>
          <w:iCs/>
          <w:sz w:val="24"/>
          <w:szCs w:val="24"/>
        </w:rPr>
        <w:t xml:space="preserve">Saeima </w:t>
      </w:r>
      <w:r>
        <w:rPr>
          <w:rFonts w:ascii="Times New Roman" w:hAnsi="Times New Roman"/>
          <w:sz w:val="24"/>
          <w:szCs w:val="24"/>
        </w:rPr>
        <w:t>has not objected to the increase in the appropriation within five working days from the day of receipt of the relevant information.</w:t>
      </w:r>
      <w:bookmarkStart w:id="47" w:name="p24"/>
      <w:bookmarkEnd w:id="47"/>
    </w:p>
    <w:p w14:paraId="55F88C9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48" w:name="p-710388"/>
      <w:bookmarkEnd w:id="48"/>
    </w:p>
    <w:p w14:paraId="22E4B099" w14:textId="70039F06"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25. </w:t>
      </w:r>
      <w:r>
        <w:rPr>
          <w:rFonts w:ascii="Times New Roman" w:hAnsi="Times New Roman"/>
          <w:sz w:val="24"/>
          <w:szCs w:val="24"/>
        </w:rPr>
        <w:t>In cases where the contributions of Latvia into the European Union budget determined by the institutions of the European Union exceed the amounts approved in this Law, the Minister for Finance is authorised to make the necessary payments.</w:t>
      </w:r>
      <w:bookmarkStart w:id="49" w:name="p25"/>
      <w:bookmarkEnd w:id="49"/>
    </w:p>
    <w:p w14:paraId="4BA0EEAD"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50" w:name="p-710389"/>
      <w:bookmarkEnd w:id="50"/>
    </w:p>
    <w:p w14:paraId="3A5795B4" w14:textId="3B37180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26. </w:t>
      </w:r>
      <w:r>
        <w:rPr>
          <w:rFonts w:ascii="Times New Roman" w:hAnsi="Times New Roman"/>
          <w:sz w:val="24"/>
          <w:szCs w:val="24"/>
        </w:rPr>
        <w:t>If after coming into force of this Law re-allocation of appropriations is carried out in the cases provided for in laws and regulations among budget units, programmes, sub-programmes, and budget expenditure codes according to economic categories or changes are made in appropriations, the Ministry of Finance shall, each month by the 10th date of the subsequent month, adjust the State budget summary data according to the changes made and shall submit them electronically to the Treasury.</w:t>
      </w:r>
      <w:bookmarkStart w:id="51" w:name="p26"/>
      <w:bookmarkEnd w:id="51"/>
    </w:p>
    <w:p w14:paraId="7BC64836"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52" w:name="p-710390"/>
      <w:bookmarkEnd w:id="52"/>
    </w:p>
    <w:p w14:paraId="4D16F61A" w14:textId="77F1368A"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27. </w:t>
      </w:r>
      <w:r>
        <w:rPr>
          <w:rFonts w:ascii="Times New Roman" w:hAnsi="Times New Roman"/>
          <w:sz w:val="24"/>
          <w:szCs w:val="24"/>
        </w:rPr>
        <w:t xml:space="preserve">The Minister for Finance shall be authorised to increase the appropriation for the Ministry of Economics for resources from the grant from the general revenues and expenditures for the maintenance of the reserves of oil products according to the amount of the State fee for the maintenance of safety reserves of oil products and the value added tax payable into the budget, if a relevant Cabinet decision has been taken and the Budget and Finance (Taxation) Committee of the </w:t>
      </w:r>
      <w:r>
        <w:rPr>
          <w:rFonts w:ascii="Times New Roman" w:hAnsi="Times New Roman"/>
          <w:i/>
          <w:iCs/>
          <w:sz w:val="24"/>
          <w:szCs w:val="24"/>
        </w:rPr>
        <w:t xml:space="preserve">Saeima </w:t>
      </w:r>
      <w:r>
        <w:rPr>
          <w:rFonts w:ascii="Times New Roman" w:hAnsi="Times New Roman"/>
          <w:sz w:val="24"/>
          <w:szCs w:val="24"/>
        </w:rPr>
        <w:t>has not objected to the increase in the appropriation within five working days from the day of receipt of the relevant information.</w:t>
      </w:r>
      <w:bookmarkStart w:id="53" w:name="p27"/>
      <w:bookmarkEnd w:id="53"/>
    </w:p>
    <w:p w14:paraId="4467059F"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54" w:name="p-710391"/>
      <w:bookmarkEnd w:id="54"/>
    </w:p>
    <w:p w14:paraId="04EC29E0" w14:textId="0E2534CB"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28. </w:t>
      </w:r>
      <w:r>
        <w:rPr>
          <w:rFonts w:ascii="Times New Roman" w:hAnsi="Times New Roman"/>
          <w:sz w:val="24"/>
          <w:szCs w:val="24"/>
        </w:rPr>
        <w:t>(1) The funds transferred into the budget programme 33.00.00 “Economic Development Programme” of the Ministry of Economics shall be used for aid measures for Latvian entrepreneurs to capture new export markets and to increase exports to priority target markets, for developing the start-up ecosystem, for tourism development measures, for investment promotion, for financing the re-emigration support measures and housing programmes, and also other measures for creation of working places and family support measures, and for covering the system administration costs.</w:t>
      </w:r>
      <w:bookmarkStart w:id="55" w:name="p28"/>
      <w:bookmarkEnd w:id="55"/>
    </w:p>
    <w:p w14:paraId="730F3576"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re-allocation of the appropriation for the purposes referred to in Paragraph one of this Section between the Ministry of Economics and other budget units is performed as a transfer payment.</w:t>
      </w:r>
    </w:p>
    <w:p w14:paraId="656B6621"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56" w:name="p-710392"/>
      <w:bookmarkEnd w:id="56"/>
    </w:p>
    <w:p w14:paraId="2982EDD3" w14:textId="3F4F6F3E"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29. </w:t>
      </w:r>
      <w:r>
        <w:rPr>
          <w:rFonts w:ascii="Times New Roman" w:hAnsi="Times New Roman"/>
          <w:sz w:val="24"/>
          <w:szCs w:val="24"/>
        </w:rPr>
        <w:t xml:space="preserve">If in 2020 the actual revenues from fines imposed by the State Police for offences in road traffic recorded with the technical means of </w:t>
      </w:r>
      <w:r>
        <w:rPr>
          <w:rFonts w:ascii="Times New Roman" w:hAnsi="Times New Roman"/>
          <w:i/>
          <w:iCs/>
          <w:sz w:val="24"/>
          <w:szCs w:val="24"/>
        </w:rPr>
        <w:t>valsts akciju sabiedrība “Ceļu satiksmes drošības direkcija”</w:t>
      </w:r>
      <w:r>
        <w:rPr>
          <w:rFonts w:ascii="Times New Roman" w:hAnsi="Times New Roman"/>
          <w:sz w:val="24"/>
          <w:szCs w:val="24"/>
        </w:rPr>
        <w:t xml:space="preserve"> [State joint stock company Road Traffic Safety Directorate] exceed the amount planned in this Law and as a result increases the number of reports–decisions to be prepared and sent by the State joint stock company Road Traffic Safety Directorate and related expenditures of the State joint stock company Road Traffic Safety Directorate, the Minister for Finance has the right to increase the appropriation for the Ministry of the Interior for resources from the grant from the general revenues and expenditures according to the decision taken by the Cabinet after review of the proposals by the Ministry of the Interior,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57" w:name="p29"/>
      <w:bookmarkEnd w:id="57"/>
    </w:p>
    <w:p w14:paraId="1A74CB0B"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58" w:name="p-710393"/>
      <w:bookmarkEnd w:id="58"/>
    </w:p>
    <w:p w14:paraId="1EEA782B" w14:textId="6439DA3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30. </w:t>
      </w:r>
      <w:r>
        <w:rPr>
          <w:rFonts w:ascii="Times New Roman" w:hAnsi="Times New Roman"/>
          <w:sz w:val="24"/>
          <w:szCs w:val="24"/>
        </w:rPr>
        <w:t xml:space="preserve">If in 2020 the actual revenues from fines and sanctions exceed the amount planned in this Law, the Minister for Finance has the right to increase the appropriation specified in this Law for the programme 02.00.00 “Funds for Unforeseen Events” of the budget unit “74. Funding to be Re-allocated in the Process of Implementation of the Annual State Budget” according to the amount of fines transferred into the budget in relation to the violations of the Law on the Prevention of Money Laundering and Terrorism and Proliferation Financing, if a </w:t>
      </w:r>
      <w:r>
        <w:rPr>
          <w:rFonts w:ascii="Times New Roman" w:hAnsi="Times New Roman"/>
          <w:sz w:val="24"/>
          <w:szCs w:val="24"/>
        </w:rPr>
        <w:lastRenderedPageBreak/>
        <w:t xml:space="preserve">Cabinet decision has been taken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59" w:name="p30"/>
      <w:bookmarkEnd w:id="59"/>
    </w:p>
    <w:p w14:paraId="07B5ADC2"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0" w:name="p-710395"/>
      <w:bookmarkEnd w:id="60"/>
    </w:p>
    <w:p w14:paraId="2410CC29" w14:textId="0D9E29C9"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31. </w:t>
      </w:r>
      <w:r>
        <w:rPr>
          <w:rFonts w:ascii="Times New Roman" w:hAnsi="Times New Roman"/>
          <w:sz w:val="24"/>
          <w:szCs w:val="24"/>
        </w:rPr>
        <w:t>It shall be determined that the procedures by which the appropriation intended within the scope of the Ministry of Environmental Protection and Regional Development budget programme 30.00.00 “National Support Instruments for Development” in the amount of EUR 940 394 is used for the establishment, maintenance of a network of the single customer service centres of State and local governments and for the improvement of the public service system are determined by the Cabinet.</w:t>
      </w:r>
      <w:bookmarkStart w:id="61" w:name="p31"/>
      <w:bookmarkEnd w:id="61"/>
    </w:p>
    <w:p w14:paraId="6EF99CCD"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2" w:name="p-710396"/>
      <w:bookmarkEnd w:id="62"/>
    </w:p>
    <w:p w14:paraId="3374FFC3" w14:textId="5FD7A59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32. </w:t>
      </w:r>
      <w:r>
        <w:rPr>
          <w:rFonts w:ascii="Times New Roman" w:hAnsi="Times New Roman"/>
          <w:sz w:val="24"/>
          <w:szCs w:val="24"/>
        </w:rPr>
        <w:t xml:space="preserve">(1) The Minister for Finance shall be authorised to assume the liabilities of </w:t>
      </w:r>
      <w:r>
        <w:rPr>
          <w:rFonts w:ascii="Times New Roman" w:hAnsi="Times New Roman"/>
          <w:i/>
          <w:iCs/>
          <w:sz w:val="24"/>
          <w:szCs w:val="24"/>
        </w:rPr>
        <w:t xml:space="preserve">valsts sabiedrība ar ierobežotu atbildību “Bērnu klīniskā universitātes slimnīca” </w:t>
      </w:r>
      <w:r>
        <w:rPr>
          <w:rFonts w:ascii="Times New Roman" w:hAnsi="Times New Roman"/>
          <w:sz w:val="24"/>
          <w:szCs w:val="24"/>
        </w:rPr>
        <w:t xml:space="preserve">[State limited liability company Children’s Clinical University Hospital], </w:t>
      </w:r>
      <w:r>
        <w:rPr>
          <w:rFonts w:ascii="Times New Roman" w:hAnsi="Times New Roman"/>
          <w:i/>
          <w:iCs/>
          <w:sz w:val="24"/>
          <w:szCs w:val="24"/>
        </w:rPr>
        <w:t>valsts sabiedrība ar ierobežotu atbildību “Daugavpils psihoneiroloģiskā slimnīca”</w:t>
      </w:r>
      <w:r>
        <w:rPr>
          <w:rFonts w:ascii="Times New Roman" w:hAnsi="Times New Roman"/>
          <w:sz w:val="24"/>
          <w:szCs w:val="24"/>
        </w:rPr>
        <w:t xml:space="preserve"> [State limited liability company Daugavpils Psychoneurological Hospital], </w:t>
      </w:r>
      <w:r>
        <w:rPr>
          <w:rFonts w:ascii="Times New Roman" w:hAnsi="Times New Roman"/>
          <w:i/>
          <w:iCs/>
          <w:sz w:val="24"/>
          <w:szCs w:val="24"/>
        </w:rPr>
        <w:t>valsts sabiedrība ar ierobežotu atbildību “Slimnīca “Ģintermuiža””</w:t>
      </w:r>
      <w:r>
        <w:rPr>
          <w:rFonts w:ascii="Times New Roman" w:hAnsi="Times New Roman"/>
          <w:sz w:val="24"/>
          <w:szCs w:val="24"/>
        </w:rPr>
        <w:t xml:space="preserve"> [State limited liability company Hospital “Ģintermuiža”], </w:t>
      </w:r>
      <w:r>
        <w:rPr>
          <w:rFonts w:ascii="Times New Roman" w:hAnsi="Times New Roman"/>
          <w:i/>
          <w:iCs/>
          <w:sz w:val="24"/>
          <w:szCs w:val="24"/>
        </w:rPr>
        <w:t>valsts sabiedrība ar ierobežotu atbildību “Paula Stradiņa klīniskā universitātes slimnīca”</w:t>
      </w:r>
      <w:r>
        <w:rPr>
          <w:rFonts w:ascii="Times New Roman" w:hAnsi="Times New Roman"/>
          <w:sz w:val="24"/>
          <w:szCs w:val="24"/>
        </w:rPr>
        <w:t xml:space="preserve"> [State limited liability company Pauls Stradiņš Clinical University Hospital], and </w:t>
      </w:r>
      <w:r>
        <w:rPr>
          <w:rFonts w:ascii="Times New Roman" w:hAnsi="Times New Roman"/>
          <w:i/>
          <w:iCs/>
          <w:sz w:val="24"/>
          <w:szCs w:val="24"/>
        </w:rPr>
        <w:t xml:space="preserve">sabiedrība ar ierobežotu atbildību “Rīgas Austrumu klīniskā universitātes slimnīca” </w:t>
      </w:r>
      <w:r>
        <w:rPr>
          <w:rFonts w:ascii="Times New Roman" w:hAnsi="Times New Roman"/>
          <w:sz w:val="24"/>
          <w:szCs w:val="24"/>
        </w:rPr>
        <w:t>[State limited liability company Riga East Clinical University Hospital] guaranteed on behalf of the State in the amount of up to EUR 134 174 190, retaining the right to claim against the abovementioned capital companies.</w:t>
      </w:r>
      <w:bookmarkStart w:id="63" w:name="p32"/>
      <w:bookmarkEnd w:id="63"/>
    </w:p>
    <w:p w14:paraId="2A849E87"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Minister for Finance shall be authorised to increase the appropriation for the Ministry of Health in respect of the claim of the Ministry of Finance against the capital companies referred to in Paragraph one of this Section in the amount not exceeding EUR 134 174 190, providing for a grant from general revenues to increase the fixed capital of the capital companies referred to in Paragraph one of this Section through a financial investment.</w:t>
      </w:r>
    </w:p>
    <w:p w14:paraId="3CC26DD8"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financial investment, in accordance with laws and regulations, not exceeding the amount of EUR 134 174 190 shall be made by the Ministry of Health into the fixed capital of the capital companies referred to in Paragraph one of this Section for the purpose of extinguishing the liabilities towards the Ministry of Finance resulting from the assumption of loans guaranteed on behalf of the State or the fulfilment of the State guaranteed liabilities. The Ministry of Health being the holder of capital shares shall ensure that the purpose of the assumption of liabilities guaranteed on behalf of the State and increase in the fixed capital is to ensure the quality and availability of State paid health care services.</w:t>
      </w:r>
    </w:p>
    <w:p w14:paraId="0153BD04"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4" w:name="p-710397"/>
      <w:bookmarkEnd w:id="64"/>
    </w:p>
    <w:p w14:paraId="09FCD848" w14:textId="77AEA09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33. </w:t>
      </w:r>
      <w:r>
        <w:rPr>
          <w:rFonts w:ascii="Times New Roman" w:hAnsi="Times New Roman"/>
          <w:sz w:val="24"/>
          <w:szCs w:val="24"/>
        </w:rPr>
        <w:t xml:space="preserve">It shall be determined that in 2020 </w:t>
      </w:r>
      <w:r>
        <w:rPr>
          <w:rFonts w:ascii="Times New Roman" w:hAnsi="Times New Roman"/>
          <w:i/>
          <w:iCs/>
          <w:sz w:val="24"/>
          <w:szCs w:val="24"/>
        </w:rPr>
        <w:t>akciju sabiedrība “Latvenergo”</w:t>
      </w:r>
      <w:r>
        <w:rPr>
          <w:rFonts w:ascii="Times New Roman" w:hAnsi="Times New Roman"/>
          <w:sz w:val="24"/>
          <w:szCs w:val="24"/>
        </w:rPr>
        <w:t xml:space="preserve"> [joint stock company </w:t>
      </w:r>
      <w:r>
        <w:rPr>
          <w:rFonts w:ascii="Times New Roman" w:hAnsi="Times New Roman"/>
          <w:i/>
          <w:iCs/>
          <w:sz w:val="24"/>
          <w:szCs w:val="24"/>
        </w:rPr>
        <w:t>Latvenergo</w:t>
      </w:r>
      <w:r>
        <w:rPr>
          <w:rFonts w:ascii="Times New Roman" w:hAnsi="Times New Roman"/>
          <w:sz w:val="24"/>
          <w:szCs w:val="24"/>
        </w:rPr>
        <w:t>] shall transfer the payment for the use of the State capital (revenues from dividends) into the State basic budget revenues (for the reporting year 2019) in the amount of not less than EUR 127 070 731 (including the enterprise income tax).</w:t>
      </w:r>
      <w:bookmarkStart w:id="65" w:name="p33"/>
      <w:bookmarkEnd w:id="65"/>
    </w:p>
    <w:p w14:paraId="4878BE6D"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6" w:name="p-710398"/>
      <w:bookmarkEnd w:id="66"/>
    </w:p>
    <w:p w14:paraId="4401E958" w14:textId="0486F52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34. </w:t>
      </w:r>
      <w:r>
        <w:rPr>
          <w:rFonts w:ascii="Times New Roman" w:hAnsi="Times New Roman"/>
          <w:sz w:val="24"/>
          <w:szCs w:val="24"/>
        </w:rPr>
        <w:t xml:space="preserve">It shall be determined that in 2020 </w:t>
      </w:r>
      <w:r>
        <w:rPr>
          <w:rFonts w:ascii="Times New Roman" w:hAnsi="Times New Roman"/>
          <w:i/>
          <w:iCs/>
          <w:sz w:val="24"/>
          <w:szCs w:val="24"/>
        </w:rPr>
        <w:t>akciju sabiedrība “Latvijas valsts meži”</w:t>
      </w:r>
      <w:r>
        <w:rPr>
          <w:rFonts w:ascii="Times New Roman" w:hAnsi="Times New Roman"/>
          <w:sz w:val="24"/>
          <w:szCs w:val="24"/>
        </w:rPr>
        <w:t xml:space="preserve"> [joint stock company </w:t>
      </w:r>
      <w:r>
        <w:rPr>
          <w:rFonts w:ascii="Times New Roman" w:hAnsi="Times New Roman"/>
          <w:i/>
          <w:iCs/>
          <w:sz w:val="24"/>
          <w:szCs w:val="24"/>
        </w:rPr>
        <w:t>Latvijas valsts meži</w:t>
      </w:r>
      <w:r>
        <w:rPr>
          <w:rFonts w:ascii="Times New Roman" w:hAnsi="Times New Roman"/>
          <w:sz w:val="24"/>
          <w:szCs w:val="24"/>
        </w:rPr>
        <w:t>] shall transfer the payment for the use of the State capital (revenues from dividends) into the State basic budget revenues (for the reporting year 2019) in the amount of not less than EUR 76 065 500 (including the enterprise income tax).</w:t>
      </w:r>
      <w:bookmarkStart w:id="67" w:name="p34"/>
      <w:bookmarkEnd w:id="67"/>
    </w:p>
    <w:p w14:paraId="18D9E56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68" w:name="p-710399"/>
      <w:bookmarkEnd w:id="68"/>
    </w:p>
    <w:p w14:paraId="1861AEBC" w14:textId="5B2E4354"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35. </w:t>
      </w:r>
      <w:r>
        <w:rPr>
          <w:rFonts w:ascii="Times New Roman" w:hAnsi="Times New Roman"/>
          <w:sz w:val="24"/>
          <w:szCs w:val="24"/>
        </w:rPr>
        <w:t xml:space="preserve">It shall be determined that in 2020 </w:t>
      </w:r>
      <w:r>
        <w:rPr>
          <w:rFonts w:ascii="Times New Roman" w:hAnsi="Times New Roman"/>
          <w:i/>
          <w:iCs/>
          <w:sz w:val="24"/>
          <w:szCs w:val="24"/>
        </w:rPr>
        <w:t>valsts akciju sabiedrība “Latvijas Loto”</w:t>
      </w:r>
      <w:r>
        <w:rPr>
          <w:rFonts w:ascii="Times New Roman" w:hAnsi="Times New Roman"/>
          <w:sz w:val="24"/>
          <w:szCs w:val="24"/>
        </w:rPr>
        <w:t xml:space="preserve"> [joint stock company </w:t>
      </w:r>
      <w:r>
        <w:rPr>
          <w:rFonts w:ascii="Times New Roman" w:hAnsi="Times New Roman"/>
          <w:i/>
          <w:iCs/>
          <w:sz w:val="24"/>
          <w:szCs w:val="24"/>
        </w:rPr>
        <w:t>Latvijas Loto</w:t>
      </w:r>
      <w:r>
        <w:rPr>
          <w:rFonts w:ascii="Times New Roman" w:hAnsi="Times New Roman"/>
          <w:sz w:val="24"/>
          <w:szCs w:val="24"/>
        </w:rPr>
        <w:t>] shall transfer the payment for the use of the State capital (revenues from dividends) into the State basic budget revenues (for the reporting year 2019) in the amount of not less than EUR 2 241 000 (including the enterprise income tax).</w:t>
      </w:r>
      <w:bookmarkStart w:id="69" w:name="p35"/>
      <w:bookmarkEnd w:id="69"/>
    </w:p>
    <w:p w14:paraId="6131207A"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70" w:name="p-710401"/>
      <w:bookmarkEnd w:id="70"/>
    </w:p>
    <w:p w14:paraId="76792CFF" w14:textId="7A426BDE"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36. </w:t>
      </w:r>
      <w:r>
        <w:rPr>
          <w:rFonts w:ascii="Times New Roman" w:hAnsi="Times New Roman"/>
          <w:sz w:val="24"/>
          <w:szCs w:val="24"/>
        </w:rPr>
        <w:t xml:space="preserve">It shall be determined that the profit share to be disbursed in dividends by </w:t>
      </w:r>
      <w:r>
        <w:rPr>
          <w:rFonts w:ascii="Times New Roman" w:hAnsi="Times New Roman"/>
          <w:i/>
          <w:iCs/>
          <w:sz w:val="24"/>
          <w:szCs w:val="24"/>
        </w:rPr>
        <w:t>akciju sabiedrība “Augstsprieguma tīkls”</w:t>
      </w:r>
      <w:r>
        <w:rPr>
          <w:rFonts w:ascii="Times New Roman" w:hAnsi="Times New Roman"/>
          <w:sz w:val="24"/>
          <w:szCs w:val="24"/>
        </w:rPr>
        <w:t xml:space="preserve"> [joint stock company </w:t>
      </w:r>
      <w:r>
        <w:rPr>
          <w:rFonts w:ascii="Times New Roman" w:hAnsi="Times New Roman"/>
          <w:i/>
          <w:iCs/>
          <w:sz w:val="24"/>
          <w:szCs w:val="24"/>
        </w:rPr>
        <w:t>Augstsprieguma tīkls</w:t>
      </w:r>
      <w:r>
        <w:rPr>
          <w:rFonts w:ascii="Times New Roman" w:hAnsi="Times New Roman"/>
          <w:sz w:val="24"/>
          <w:szCs w:val="24"/>
        </w:rPr>
        <w:t>] for the reporting year 2019 shall not be less than EUR 1 735 958 (including the enterprise income tax).</w:t>
      </w:r>
      <w:bookmarkStart w:id="71" w:name="p36"/>
      <w:bookmarkEnd w:id="71"/>
    </w:p>
    <w:p w14:paraId="0C2CC7B4"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72" w:name="p-710403"/>
      <w:bookmarkEnd w:id="72"/>
    </w:p>
    <w:p w14:paraId="21C03683" w14:textId="34B7D9D6"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37. </w:t>
      </w:r>
      <w:r>
        <w:rPr>
          <w:rFonts w:ascii="Times New Roman" w:hAnsi="Times New Roman"/>
          <w:sz w:val="24"/>
          <w:szCs w:val="24"/>
        </w:rPr>
        <w:t xml:space="preserve">It shall be determined that, in accordance with the law On Agriculture and Rural Development and the Law on the Development Finance Institution, the State shall be liable in the amount of EUR 270 000 000 for the guarantees issued by </w:t>
      </w:r>
      <w:r>
        <w:rPr>
          <w:rFonts w:ascii="Times New Roman" w:hAnsi="Times New Roman"/>
          <w:i/>
          <w:iCs/>
          <w:sz w:val="24"/>
          <w:szCs w:val="24"/>
        </w:rPr>
        <w:t>akciju sabiedrība “Attīstības finanšu institūcija “Altum””</w:t>
      </w:r>
      <w:r>
        <w:rPr>
          <w:rFonts w:ascii="Times New Roman" w:hAnsi="Times New Roman"/>
          <w:sz w:val="24"/>
          <w:szCs w:val="24"/>
        </w:rPr>
        <w:t xml:space="preserve"> [joint stock company Development Finance Institution Altum].</w:t>
      </w:r>
      <w:bookmarkStart w:id="73" w:name="p37"/>
      <w:bookmarkEnd w:id="73"/>
    </w:p>
    <w:p w14:paraId="73720E79"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74" w:name="p-710404"/>
      <w:bookmarkEnd w:id="74"/>
    </w:p>
    <w:p w14:paraId="65F80D70" w14:textId="2CF5F984"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38. </w:t>
      </w:r>
      <w:r>
        <w:rPr>
          <w:rFonts w:ascii="Times New Roman" w:hAnsi="Times New Roman"/>
          <w:sz w:val="24"/>
          <w:szCs w:val="24"/>
        </w:rPr>
        <w:t>The Cabinet shall, within the scope of the budget of the Ministry of Defence, determine the financing necessary for collaboration with international and non-governmental organisations and the use thereof, ensuring involvement in strengthening of international and national security.</w:t>
      </w:r>
      <w:bookmarkStart w:id="75" w:name="p38"/>
      <w:bookmarkEnd w:id="75"/>
    </w:p>
    <w:p w14:paraId="5D296778"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76" w:name="p-710406"/>
      <w:bookmarkEnd w:id="76"/>
    </w:p>
    <w:p w14:paraId="78287752" w14:textId="79A229C5"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39. </w:t>
      </w:r>
      <w:r>
        <w:rPr>
          <w:rFonts w:ascii="Times New Roman" w:hAnsi="Times New Roman"/>
          <w:sz w:val="24"/>
          <w:szCs w:val="24"/>
        </w:rPr>
        <w:t>In order to ensure efficient use of resources, instead of the external experts, if necessary, the Fiscal Discipline Council is entitled, for the performance of the functions specified in laws and regulations, to employ employees within the scope of the State budget funds allocated for the current year. The Fiscal Discipline Council shall be considered equivalent to a budget institution within the meaning of the law On Budget and Financial Management.</w:t>
      </w:r>
      <w:bookmarkStart w:id="77" w:name="p39"/>
      <w:bookmarkEnd w:id="77"/>
    </w:p>
    <w:p w14:paraId="1D107F3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78" w:name="p-710407"/>
      <w:bookmarkEnd w:id="78"/>
    </w:p>
    <w:p w14:paraId="43768BBC" w14:textId="18735F02"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40. </w:t>
      </w:r>
      <w:r>
        <w:rPr>
          <w:rFonts w:ascii="Times New Roman" w:hAnsi="Times New Roman"/>
          <w:sz w:val="24"/>
          <w:szCs w:val="24"/>
        </w:rPr>
        <w:t>In addition to the competence of the Fiscal Discipline Council specified in the Fiscal Discipline Law, the Fiscal Discipline Council shall endorse the macroeconomic projections specified in Regulation (EU) No 473/2013 of the European Parliament and of the Council of 21 May 2013 on common provisions for monitoring and assessing draft budgetary plans and ensuring the correction of excessive deficit of the Member States in the euro area.</w:t>
      </w:r>
      <w:bookmarkStart w:id="79" w:name="p40"/>
      <w:bookmarkEnd w:id="79"/>
    </w:p>
    <w:p w14:paraId="6BE1087F"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0" w:name="p-710408"/>
      <w:bookmarkEnd w:id="80"/>
    </w:p>
    <w:p w14:paraId="35DB8A62" w14:textId="1CEDDA6B"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41. </w:t>
      </w:r>
      <w:r>
        <w:rPr>
          <w:rFonts w:ascii="Times New Roman" w:hAnsi="Times New Roman"/>
          <w:sz w:val="24"/>
          <w:szCs w:val="24"/>
        </w:rPr>
        <w:t>The Minister for Finance shall be authorised to settle a payment for the European Stability Mechanism from the budget programme 41.01.00 “European Union Budget Contributions” of the Ministry of Finance in order to reimburse the income obtained by Latvia in 2018 from the re-allocation of the Eurosystem’s monetary income among the national banks of the Eurosystem arising from securities purchased by the Eurosystem under the Securities Markets Programme subject to the Eurogroup statement of 25 May 2016, using the contributions of the Bank of Latvia into the State budget for this purpose.</w:t>
      </w:r>
      <w:bookmarkStart w:id="81" w:name="p41"/>
      <w:bookmarkEnd w:id="81"/>
    </w:p>
    <w:p w14:paraId="00CCC1A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2" w:name="p-710409"/>
      <w:bookmarkEnd w:id="82"/>
    </w:p>
    <w:p w14:paraId="42589856" w14:textId="330FD0DF"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42. </w:t>
      </w:r>
      <w:r>
        <w:rPr>
          <w:rFonts w:ascii="Times New Roman" w:hAnsi="Times New Roman"/>
          <w:sz w:val="24"/>
          <w:szCs w:val="24"/>
        </w:rPr>
        <w:t xml:space="preserve">The Minister for Finance, upon re-allocating appropriations for the Ministry or another central State institution within the scope of the appropriation specified in the Law among programmes, sub-programmes, and expenditure codes according to economic categories, has the right to re-allocate appropriation from the financing allocated for other purposes from priority measures for 2018–2020, priority measures for 2019, and priority measures for 2020–2022, if a Cabinet decision has been taken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not objected to the re-allocation of the appropriation within five working days from the day of receipt of the relevant information.</w:t>
      </w:r>
      <w:bookmarkStart w:id="83" w:name="p42"/>
      <w:bookmarkEnd w:id="83"/>
    </w:p>
    <w:p w14:paraId="7A08BA0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4" w:name="p-710410"/>
      <w:bookmarkEnd w:id="84"/>
    </w:p>
    <w:p w14:paraId="0A523881" w14:textId="77777777" w:rsidR="000C4D30" w:rsidRDefault="000C4D30" w:rsidP="000C4D30">
      <w:pPr>
        <w:spacing w:after="0" w:line="240" w:lineRule="auto"/>
        <w:jc w:val="both"/>
        <w:rPr>
          <w:rFonts w:ascii="Times New Roman" w:eastAsia="Times New Roman" w:hAnsi="Times New Roman" w:cs="Times New Roman"/>
          <w:b/>
          <w:bCs/>
          <w:noProof/>
          <w:sz w:val="24"/>
          <w:szCs w:val="24"/>
          <w:lang w:val="en-US" w:eastAsia="lv-LV"/>
        </w:rPr>
      </w:pPr>
    </w:p>
    <w:p w14:paraId="5BD8E0B3" w14:textId="3BD58B6A"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43. </w:t>
      </w:r>
      <w:r>
        <w:rPr>
          <w:rFonts w:ascii="Times New Roman" w:hAnsi="Times New Roman"/>
          <w:sz w:val="24"/>
          <w:szCs w:val="24"/>
        </w:rPr>
        <w:t>The Cabinet shall determine the procedures by which financing for the implementation of the programme “Latvian School Bag” is calculated and allocated from 1 January 2020 to 31 December 2020 to the founders of educational institutions implementing general and vocational education programmes, and also the eligible costs of the programme and conditions for the use of financing.</w:t>
      </w:r>
      <w:bookmarkStart w:id="85" w:name="p43"/>
      <w:bookmarkEnd w:id="85"/>
    </w:p>
    <w:p w14:paraId="4C2922E8"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6" w:name="p-710412"/>
      <w:bookmarkEnd w:id="86"/>
    </w:p>
    <w:p w14:paraId="2A311B7B" w14:textId="0F4E5BEC"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lastRenderedPageBreak/>
        <w:t xml:space="preserve">Section 44. </w:t>
      </w:r>
      <w:r>
        <w:rPr>
          <w:rFonts w:ascii="Times New Roman" w:hAnsi="Times New Roman"/>
          <w:sz w:val="24"/>
          <w:szCs w:val="24"/>
        </w:rPr>
        <w:t>(1) It shall be determined that the alienation of the State immovable property in accordance with the procedures laid down in the Law on the Alienation of the Property of a Public Person, unless it is otherwise laid down in this Section, may be arranged by such ministry or another central State institution which has the respective State immovable property in its possession. The evaluation of the State immovable property subject to alienation shall be arranged by the possessor thereof. The amount of alienation expenditures shall be determined in accordance with the procedures laid down in the Law on the Alienation of the Property of a Public Person.</w:t>
      </w:r>
      <w:bookmarkStart w:id="87" w:name="p44"/>
      <w:bookmarkEnd w:id="87"/>
    </w:p>
    <w:p w14:paraId="38F7F91A"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If alienation of the State immovable property is arranged by a ministry or another central State institution which has the respective State immovable property in its possession, the funds obtained as a result of alienation of such State immovable property after deduction of alienation expenditures shall be transferred into the State budget. The Minister for Finance has the right to increase the appropriation to the respective ministry or another central State institution for resources from the grant from the general revenues and expenditures in the amount of 50 per cent from the funds transferred into the State budget as a result of alienation of the State immovable property. The appropriation shall be increased if the Cabinet has taken the decision on the amount of financing and for what purpose the funds obtained as a result of alienation would be allocated to increase the appropriation for resources from the grant from the general revenues and expenditures,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p>
    <w:p w14:paraId="1C1C35DC"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It shall be allowed to allocate the appropriation referred to in Paragraph two of this Section for capital investments or emergency measures having a positive social and economic effect.</w:t>
      </w:r>
    </w:p>
    <w:p w14:paraId="014B037B"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 If the State immovable property which has been transferred by the Ministry of Culture into possession of the Ministry of Finance and under administration by </w:t>
      </w:r>
      <w:r>
        <w:rPr>
          <w:rFonts w:ascii="Times New Roman" w:hAnsi="Times New Roman"/>
          <w:i/>
          <w:iCs/>
          <w:sz w:val="24"/>
          <w:szCs w:val="24"/>
        </w:rPr>
        <w:t>valsts akciju sabiedrība</w:t>
      </w:r>
      <w:r>
        <w:rPr>
          <w:rFonts w:ascii="Times New Roman" w:hAnsi="Times New Roman"/>
          <w:sz w:val="24"/>
          <w:szCs w:val="24"/>
        </w:rPr>
        <w:t xml:space="preserve"> </w:t>
      </w:r>
      <w:r>
        <w:rPr>
          <w:rFonts w:ascii="Times New Roman" w:hAnsi="Times New Roman"/>
          <w:i/>
          <w:iCs/>
          <w:sz w:val="24"/>
          <w:szCs w:val="24"/>
        </w:rPr>
        <w:t>“Valsts nekustamie īpašumi”</w:t>
      </w:r>
      <w:r>
        <w:rPr>
          <w:rFonts w:ascii="Times New Roman" w:hAnsi="Times New Roman"/>
          <w:sz w:val="24"/>
          <w:szCs w:val="24"/>
        </w:rPr>
        <w:t xml:space="preserve"> [State joint stock company State Real Estate] (hereinafter – the State joint stock company State Real Estate) is alienated in accordance with the procedures laid down in the Law on the Alienation of the Property of a Public Person by the State joint stock company State Real Estate, the appropriation referred to in Paragraph two of this Section shall be allocated for capital investments for the development of State immovable properties used for ensuring the functions of the institutions of the Ministry of Culture in possession of the Ministry of Finance and under management of the State joint stock company State Real Estate.</w:t>
      </w:r>
    </w:p>
    <w:p w14:paraId="35D12EE5"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State immovable property in the possession of the Ministry of Health is alienated in accordance with the procedures laid down in the Law on the Alienation of the Property of a Public Person by the State joint stock company State Real Estate, the appropriation referred to in Paragraph two of this Section shall be allocated for capital investments for the development of State immovable properties used for ensuring the functions of the institutions of the Ministry of Health in the possession of the Ministry of Health.</w:t>
      </w:r>
    </w:p>
    <w:p w14:paraId="3500DD49"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procedures laid down in Paragraphs one, two, three, four, and five of this Section shall not be applicable to alienation of such State immovable properties the alienation of which does not require any authorisation from the Cabinet.</w:t>
      </w:r>
    </w:p>
    <w:p w14:paraId="7D361381"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(7) If a State immovable property is alienated in accordance with the procedures laid down in the Law on the Alienation of the Property of a Public Person by the State joint stock company State Real Estate or </w:t>
      </w:r>
      <w:r>
        <w:rPr>
          <w:rFonts w:ascii="Times New Roman" w:hAnsi="Times New Roman"/>
          <w:i/>
          <w:iCs/>
          <w:sz w:val="24"/>
          <w:szCs w:val="24"/>
        </w:rPr>
        <w:t>akciju sabiedrība “Publisko aktīvu pārvaldītājs Possessor”</w:t>
      </w:r>
      <w:r>
        <w:rPr>
          <w:rFonts w:ascii="Times New Roman" w:hAnsi="Times New Roman"/>
          <w:sz w:val="24"/>
          <w:szCs w:val="24"/>
        </w:rPr>
        <w:t xml:space="preserve"> [joint stock company Public Asset Manager Possessor], it shall use the funds obtained as a result of alienation of the respective State immovable property after deduction of alienation expenditures for arranging environment-degrading objects in the possession and administration of the State. The abovementioned funds which in 2020 have not been used for arranging environment-degrading objects in the possession and administration of the State shall be transferred into the State budget by 31 December 2020. The State joint stock company State Real Estate or the joint stock company Public Asset Manager Possessor has the right to use the funds obtained in </w:t>
      </w:r>
      <w:r>
        <w:rPr>
          <w:rFonts w:ascii="Times New Roman" w:hAnsi="Times New Roman"/>
          <w:sz w:val="24"/>
          <w:szCs w:val="24"/>
        </w:rPr>
        <w:lastRenderedPageBreak/>
        <w:t>alienation of the State immovable property intended for covering of alienation expenditures for arranging environment-degrading objects in the possession and administration of the State.</w:t>
      </w:r>
    </w:p>
    <w:p w14:paraId="1717995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88" w:name="p-710413"/>
      <w:bookmarkEnd w:id="88"/>
    </w:p>
    <w:p w14:paraId="1E9741D6" w14:textId="612D04A2"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45. </w:t>
      </w:r>
      <w:r>
        <w:rPr>
          <w:rFonts w:ascii="Times New Roman" w:hAnsi="Times New Roman"/>
          <w:sz w:val="24"/>
          <w:szCs w:val="24"/>
        </w:rPr>
        <w:t xml:space="preserve">After the Cabinet has taken the decision on allocating the funds obtained as a result of alienation of the immovable property of a higher education institution – derived public person – to a higher education institution – derived public person – in accordance with the provisions laid down in the Law on the Alienation of the Property of a Public Person, the Minister for Finance shall be authorised to increase the appropriation to the respective ministry for the expenditures of a higher education institution – derived public person –,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not objected to the increase in the appropriation within five working days from the day of receipt of the relevant information.</w:t>
      </w:r>
      <w:bookmarkStart w:id="89" w:name="p45"/>
      <w:bookmarkEnd w:id="89"/>
    </w:p>
    <w:p w14:paraId="7A3B9E10"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90" w:name="p-710414"/>
      <w:bookmarkEnd w:id="90"/>
    </w:p>
    <w:p w14:paraId="2BC57FE4" w14:textId="7F6253F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46. </w:t>
      </w:r>
      <w:r>
        <w:rPr>
          <w:rFonts w:ascii="Times New Roman" w:hAnsi="Times New Roman"/>
          <w:sz w:val="24"/>
          <w:szCs w:val="24"/>
        </w:rPr>
        <w:t xml:space="preserve">In addition to the provisions laid down in Section 16 of the Law on Remuneration of Officials and Employees of State and Local Government Authorities and in accordance with the procedures and criteria specified in the authority for awarding a bonus, awarding shall be allowed if, as a result of direct actions of the officials (employees) of the State Revenue Service, the Office of the Prosecutor, the Corruption Prevention and Combating Bureau, the Financial Intelligence Unit of Latvia, the Internal Security Bureau, the State Border Guard, and the State Police, large scale criminal offences have been discovered and prevented in the field of State revenues and tax administration, and also in State authority service which have caused or could have caused significant harm and which have been committed by officials holding a responsible position, and smuggled cargoes and import and export of conventionally prohibited objects have been detained, money laundering has been prevented and, therefore, the State budget revenues have increased or significant increase in such revenues is projected, the Cabinet shall take the decision on the motivation of the officials (employees) of the respective authorities and the amount of financing to be redirected for the increase in the appropriation. The Minister for Finance has the right to increase the appropriation for expenditures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91" w:name="p46"/>
      <w:bookmarkEnd w:id="91"/>
    </w:p>
    <w:p w14:paraId="18FEF30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92" w:name="p-710415"/>
      <w:bookmarkEnd w:id="92"/>
    </w:p>
    <w:p w14:paraId="52C81CCD" w14:textId="5C2BD7B4"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47. </w:t>
      </w:r>
      <w:r>
        <w:rPr>
          <w:rFonts w:ascii="Times New Roman" w:hAnsi="Times New Roman"/>
          <w:sz w:val="24"/>
          <w:szCs w:val="24"/>
        </w:rPr>
        <w:t xml:space="preserve">If within six and nine months of 2020, as a result of the actions by the authorities involved in the implementation of the measures for the prevention of hidden economy, the situation in the prevention of hidden economy and the promotion of fair competition is improved significantly and significant improvements are foreseen by the end of the year, the Cabinet shall take the decision on the motivation of the officials (employees) of the authorities involved in the implementation of the measures for the prevention of hidden economy and the amount of financing to be redirected for the increase in the appropriation not exceeding five per cent of the excess of the planned tax revenues planned in the State budget. The Minister for Finance has the right to increase the appropriation for expenditures, including redirection for remuneration in the relevant budget programme: for the Ministry of Finance (the State Revenue Service) – not more than 79.5 per cent, for the Ministry of the Interior (the State Police, the State Border Guard, the Internal Security Bureau, and the Financial Intelligence Unit of Latvia) – not more than 16.5 per cent, for the Ministry of Welfare (the State Labour Inspectorate) – not more than two per cent, for the Ministry of Agriculture (the Food and Veterinary Service, the State Forest Service, and the State Plant Protection Service) – not more than two per cent from the increase in the appropriation,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93" w:name="p47"/>
      <w:bookmarkEnd w:id="93"/>
    </w:p>
    <w:p w14:paraId="227EA134"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94" w:name="p-710417"/>
      <w:bookmarkEnd w:id="94"/>
    </w:p>
    <w:p w14:paraId="6205CF8B" w14:textId="07BE16D5"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48. </w:t>
      </w:r>
      <w:r>
        <w:rPr>
          <w:rFonts w:ascii="Times New Roman" w:hAnsi="Times New Roman"/>
          <w:sz w:val="24"/>
          <w:szCs w:val="24"/>
        </w:rPr>
        <w:t xml:space="preserve">If as a result of the measures taken by the officials (employees) of the Treasury within the scope of efficient national debt management, the State budget expenditures, in comparison with interest expenditures in the budget sub-programme 31.02.00 “National Debt </w:t>
      </w:r>
      <w:r>
        <w:rPr>
          <w:rFonts w:ascii="Times New Roman" w:hAnsi="Times New Roman"/>
          <w:sz w:val="24"/>
          <w:szCs w:val="24"/>
        </w:rPr>
        <w:lastRenderedPageBreak/>
        <w:t xml:space="preserve">Management” planned on the day of the coming into force of the law On the State Budget for 2020 decrease significantly during the 10 months of 2020 and the decrease in expenditures is ensured by the end of the year, except for expenditures without any impact on the general government budget balance in accordance with the methodology of the European system of national and regional accounts in the European Union, the Cabinet shall take the decision on the amount of financing to be redirected for the motivation of the officials (employees) of the Treasury and for the re-allocation of the appropriation which does not exceed two per cent of the total sum of the State budget interest expenditure decrease in the budget sub-programme 31.02.00 “National Debt Management” known on the day of taking the Cabinet decision and planned by the end of the year. The Minister for Finance has the right to re-allocate the appropriation from the budget sub-programme 31.02.00 “National Debt Management” to the budget sub-programme 31.01.00 “Budget Implementation” for expenditures for the remuneration intended for the motivation of the officials (employees) of the Treasury in the amount specified in the Cabinet decision,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95" w:name="p48"/>
      <w:bookmarkEnd w:id="95"/>
    </w:p>
    <w:p w14:paraId="2F64617C"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96" w:name="p-710418"/>
      <w:bookmarkEnd w:id="96"/>
    </w:p>
    <w:p w14:paraId="13F7F6FE" w14:textId="6EFB07BA"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49. </w:t>
      </w:r>
      <w:r>
        <w:rPr>
          <w:rFonts w:ascii="Times New Roman" w:hAnsi="Times New Roman"/>
          <w:sz w:val="24"/>
          <w:szCs w:val="24"/>
        </w:rPr>
        <w:t xml:space="preserve">If within six and nine months of 2020 as a result of the filming of foreign films tax revenues have increased or increase in tax revenues is projected, the Cabinet shall take the decision on the amount of the increase in the appropriation for co-financing for the filming of foreign films in Latvia. The Minister for Finance has the right to increase the appropriation for expenditures for co-financing for the filming of foreign films in Latvia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97" w:name="p49"/>
      <w:bookmarkEnd w:id="97"/>
    </w:p>
    <w:p w14:paraId="4C2225C3"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98" w:name="p-710419"/>
      <w:bookmarkEnd w:id="98"/>
    </w:p>
    <w:p w14:paraId="2ACB2C8A" w14:textId="38FC8FB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50. </w:t>
      </w:r>
      <w:r>
        <w:rPr>
          <w:rFonts w:ascii="Times New Roman" w:hAnsi="Times New Roman"/>
          <w:sz w:val="24"/>
          <w:szCs w:val="24"/>
        </w:rPr>
        <w:t xml:space="preserve">The Minister for Finance has the right to re-allocate the appropriation specified in this Law in the programme 01.00.00 “Appropriation Reserve” of the budget unit “74. Funding to be Re-allocated in the Process of Implementation of the Annual State Budget”, if the relevant Cabinet decision has been taken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not objected to the re-allocation of the appropriation within five working days from the day of receipt of the relevant information:</w:t>
      </w:r>
      <w:bookmarkStart w:id="99" w:name="p50"/>
      <w:bookmarkEnd w:id="99"/>
    </w:p>
    <w:p w14:paraId="4F7881CC"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for the prevention of the consequences related to the withdrawal of the United Kingdom from the European Union (</w:t>
      </w:r>
      <w:r>
        <w:rPr>
          <w:rFonts w:ascii="Times New Roman" w:hAnsi="Times New Roman"/>
          <w:i/>
          <w:iCs/>
          <w:sz w:val="24"/>
          <w:szCs w:val="24"/>
        </w:rPr>
        <w:t>Brexit</w:t>
      </w:r>
      <w:r>
        <w:rPr>
          <w:rFonts w:ascii="Times New Roman" w:hAnsi="Times New Roman"/>
          <w:sz w:val="24"/>
          <w:szCs w:val="24"/>
        </w:rPr>
        <w:t>);</w:t>
      </w:r>
    </w:p>
    <w:p w14:paraId="5D185CE1"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the Ministry of Culture the financing not used in the previous financial year for co-financing for the filming of foreign films;</w:t>
      </w:r>
    </w:p>
    <w:p w14:paraId="0AB0018D"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the Ministry of Economics the financing not used in the previous financial year for financing of measures related to the participation of Latvia in the international exhibition “Expo 2020 Dubai”.</w:t>
      </w:r>
    </w:p>
    <w:p w14:paraId="1DC5D527"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0" w:name="p-710420"/>
      <w:bookmarkEnd w:id="100"/>
    </w:p>
    <w:p w14:paraId="1D384196" w14:textId="00321E6C"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51. </w:t>
      </w:r>
      <w:r>
        <w:rPr>
          <w:rFonts w:ascii="Times New Roman" w:hAnsi="Times New Roman"/>
          <w:sz w:val="24"/>
          <w:szCs w:val="24"/>
        </w:rPr>
        <w:t xml:space="preserve">It shall be determined that the Minister for Finance shall re-allocate the appropriation in the amount of EUR 10 000 000 determined in the programme 10.00.00 “Prevention of Money Laundering and Terrorism Financing” of the budget unit “74. Funding to be Re-allocated in the Process of Implementation of the Annual State Budget” to the ministry or another central State institution according to the new plan of measures for the prevention of money laundering and terrorism financing approved by the Cabinet,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101" w:name="p51"/>
      <w:bookmarkEnd w:id="101"/>
    </w:p>
    <w:p w14:paraId="0C7953A8"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2" w:name="p-710422"/>
      <w:bookmarkEnd w:id="102"/>
    </w:p>
    <w:p w14:paraId="1238D649" w14:textId="498EF5D2"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52. </w:t>
      </w:r>
      <w:r>
        <w:rPr>
          <w:rFonts w:ascii="Times New Roman" w:hAnsi="Times New Roman"/>
          <w:sz w:val="24"/>
          <w:szCs w:val="24"/>
        </w:rPr>
        <w:t xml:space="preserve">(1) It shall be determined that financing in the amount of EUR 5 180 000 is reserved in the programme 11.00.00 “Demographic Measures” of the budget unit “74. Funding to be Re-allocated in the Process of Implementation of the Annual State Budget”, including the measures </w:t>
      </w:r>
      <w:r>
        <w:rPr>
          <w:rFonts w:ascii="Times New Roman" w:hAnsi="Times New Roman"/>
          <w:sz w:val="24"/>
          <w:szCs w:val="24"/>
        </w:rPr>
        <w:lastRenderedPageBreak/>
        <w:t>of access to housing for large families in the amount of EUR 3 600 000 and for the measure “Improvement of the Parenting Benefit System” in the amount of EUR 1 580 000.</w:t>
      </w:r>
      <w:bookmarkStart w:id="103" w:name="p52"/>
      <w:bookmarkEnd w:id="103"/>
    </w:p>
    <w:p w14:paraId="29816A3D"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After adoption of the respective regulatory enactment regarding the measures of access to housing for large families planned within the scope of demographic measures, the Minister for Finance has the right to re-allocate the appropriation in the amount not exceeding EUR 3 600 000 to the ministry or another central State institution in accordance with the Cabinet decision,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re-allocation in the appropriation within five working days from the day of receipt of the relevant information.</w:t>
      </w:r>
    </w:p>
    <w:p w14:paraId="64D57715" w14:textId="77777777"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After adoption of the respective regulatory enactment regarding the measure “Improvement of the Parenting Benefit System” planned within the scope of demographic measures, the Minister for Finance has the right to increase the appropriation in the State special budget in the amount not exceeding EUR 1 580 000, accordingly reducing the financing reserved in the programme 11.00.00 “Demographic Measures” of the budget unit “74. Funding to be Re-allocated in the Process of Implementation of the Annual State Budget” for the measure “Improvement of the Parenting Benefit System” in accordance with the Cabinet decision, if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it within five working days from the day of receipt of the relevant information.</w:t>
      </w:r>
    </w:p>
    <w:p w14:paraId="62021404"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4" w:name="p-710423"/>
      <w:bookmarkEnd w:id="104"/>
    </w:p>
    <w:p w14:paraId="6C46410F" w14:textId="258B09C2"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53. </w:t>
      </w:r>
      <w:r>
        <w:rPr>
          <w:rFonts w:ascii="Times New Roman" w:hAnsi="Times New Roman"/>
          <w:sz w:val="24"/>
          <w:szCs w:val="24"/>
        </w:rPr>
        <w:t>The Minister for Finance has the right to re-allocate the appropriation which has not been allocated by 31 October 2020 to ministries and other central State institutions, determined in the programmes of the budget unit “74. Funding to be Re-allocated in the Process of Implementation of the Annual State Budget” referred to in Sections 50, 51, and 52 of this Law, to the programme 02.00.00 “Funds for Unforeseen Events”.</w:t>
      </w:r>
      <w:bookmarkStart w:id="105" w:name="p53"/>
      <w:bookmarkEnd w:id="105"/>
    </w:p>
    <w:p w14:paraId="35FE3358" w14:textId="77777777" w:rsidR="000C4D30" w:rsidRDefault="000C4D30" w:rsidP="000C4D30">
      <w:pPr>
        <w:spacing w:after="0" w:line="240" w:lineRule="auto"/>
        <w:jc w:val="both"/>
        <w:rPr>
          <w:rFonts w:ascii="Times New Roman" w:eastAsia="Times New Roman" w:hAnsi="Times New Roman" w:cs="Times New Roman"/>
          <w:b/>
          <w:bCs/>
          <w:noProof/>
          <w:sz w:val="24"/>
          <w:szCs w:val="24"/>
          <w:lang w:val="en-US" w:eastAsia="lv-LV"/>
        </w:rPr>
      </w:pPr>
    </w:p>
    <w:p w14:paraId="5E3AD3E2" w14:textId="294E256B"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54. </w:t>
      </w:r>
      <w:r>
        <w:rPr>
          <w:rFonts w:ascii="Times New Roman" w:hAnsi="Times New Roman"/>
          <w:sz w:val="24"/>
          <w:szCs w:val="24"/>
        </w:rPr>
        <w:t xml:space="preserve">If in 2020 the actual revenues from the confiscation of the proceeds from crime exceed the amount planned in this Law and the European Commission has recognised that such revenues are not regarded as one-time revenue measures within the meaning of the Stability and Growth Pact, the Minister for Finance has the right to increase, by the respective amount, the appropriation in the programme 09.00.00 “Implementation of the Reform of National Importance” of the budget unit “74. Funding to be Re-allocated in the Process of Implementation of the Annual State Budget”, if the measures for the implementation of reforms in 2020 have no negative impact on subsequent years, the Cabinet has taken the respective decision,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 If in 2020 the actual revenues from the confiscation of the proceeds from crime do not reach the amount planned in this Law, the Minister for Finance has an obligation to reduce, by the respective amount, the appropriation specified in this Law for the programme 02.00.00 “Funds for Unforeseen Events” of the budget unit “74. Funding to be Re-allocated in the Process of Implementation of the Annual State Budget”, if the decision by the Cabinet has been taken and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examined it and has not objected to the increase in the appropriation within five working days from the day of receipt of the relevant information.</w:t>
      </w:r>
      <w:bookmarkStart w:id="106" w:name="p54"/>
      <w:bookmarkEnd w:id="106"/>
    </w:p>
    <w:p w14:paraId="6A48F401"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7" w:name="p-710425"/>
      <w:bookmarkEnd w:id="107"/>
    </w:p>
    <w:p w14:paraId="11DF73A0" w14:textId="740476A8"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55. </w:t>
      </w:r>
      <w:r>
        <w:rPr>
          <w:rFonts w:ascii="Times New Roman" w:hAnsi="Times New Roman"/>
          <w:sz w:val="24"/>
          <w:szCs w:val="24"/>
        </w:rPr>
        <w:t xml:space="preserve">The Cabinet shall determine the procedures for the calculation and allocation of the amount of the necessary financing of the value added tax sum not to be deducted as input tax for compensation to Estonia and Lithuania within the scope of activities carried out by </w:t>
      </w:r>
      <w:r>
        <w:rPr>
          <w:rFonts w:ascii="Times New Roman" w:hAnsi="Times New Roman"/>
          <w:i/>
          <w:iCs/>
          <w:sz w:val="24"/>
          <w:szCs w:val="24"/>
        </w:rPr>
        <w:t>AS “RB Rail”</w:t>
      </w:r>
      <w:r>
        <w:rPr>
          <w:rFonts w:ascii="Times New Roman" w:hAnsi="Times New Roman"/>
          <w:sz w:val="24"/>
          <w:szCs w:val="24"/>
        </w:rPr>
        <w:t xml:space="preserve"> [JSC RB Rail] (hereinafter – JSC RB Rail). The Minister for Finance shall be authorised to increase the appropriation to the Ministry of Transport for resources from the grant from the general revenues by the value added tax sum not to be deducted as input tax for compensation to Estonia and Lithuania within the scope of activities carried out by JSC RB Rail provided that a neutral impact is ensured on the general government budget balance and the respective </w:t>
      </w:r>
      <w:r>
        <w:rPr>
          <w:rFonts w:ascii="Times New Roman" w:hAnsi="Times New Roman"/>
          <w:sz w:val="24"/>
          <w:szCs w:val="24"/>
        </w:rPr>
        <w:lastRenderedPageBreak/>
        <w:t xml:space="preserve">Cabinet decision has been taken, and also the Budget and Finance (Taxation) Committee of the </w:t>
      </w:r>
      <w:r>
        <w:rPr>
          <w:rFonts w:ascii="Times New Roman" w:hAnsi="Times New Roman"/>
          <w:i/>
          <w:iCs/>
          <w:sz w:val="24"/>
          <w:szCs w:val="24"/>
        </w:rPr>
        <w:t>Saeima</w:t>
      </w:r>
      <w:r>
        <w:rPr>
          <w:rFonts w:ascii="Times New Roman" w:hAnsi="Times New Roman"/>
          <w:sz w:val="24"/>
          <w:szCs w:val="24"/>
        </w:rPr>
        <w:t xml:space="preserve"> has not objected to the increase in the appropriation within five working days from the day of receipt of the relevant information.</w:t>
      </w:r>
      <w:bookmarkStart w:id="108" w:name="p55"/>
      <w:bookmarkEnd w:id="108"/>
    </w:p>
    <w:p w14:paraId="3AFC50C0"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09" w:name="p-710426"/>
      <w:bookmarkEnd w:id="109"/>
    </w:p>
    <w:p w14:paraId="44637187" w14:textId="0BC5B6A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56. </w:t>
      </w:r>
      <w:r>
        <w:rPr>
          <w:rFonts w:ascii="Times New Roman" w:hAnsi="Times New Roman"/>
          <w:sz w:val="24"/>
          <w:szCs w:val="24"/>
        </w:rPr>
        <w:t>Until coming into force of the law on the new administrative-territorial division, a local government, only upon receipt of a positive opinion of the Ministry of Environmental Protection and Regional Development on the conformity of the transactions referred to in this Section with the administrative-territorial reform and sustainable municipality development, has the right to:</w:t>
      </w:r>
      <w:bookmarkStart w:id="110" w:name="p56"/>
      <w:bookmarkEnd w:id="110"/>
    </w:p>
    <w:p w14:paraId="36072EEC"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undertake loan liabilities and issue guarantees in accordance with the conditions specified in Section 13 of this Law, except for loans and guarantees necessary for projects co-financed by the European Union and other foreign financial assistance;</w:t>
      </w:r>
    </w:p>
    <w:p w14:paraId="4C9FD645" w14:textId="77777777" w:rsidR="000C4D30" w:rsidRPr="001D0E39" w:rsidRDefault="000C4D30" w:rsidP="000C4D3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alienate movable and immovable property of a local government the sale value of which exceeds EUR 50 000 and 0.1 per cent of the local government fixed asset value.</w:t>
      </w:r>
    </w:p>
    <w:p w14:paraId="6B83227E" w14:textId="77777777" w:rsidR="000C4D30" w:rsidRDefault="000C4D30" w:rsidP="000C4D30">
      <w:pPr>
        <w:spacing w:after="0" w:line="240" w:lineRule="auto"/>
        <w:jc w:val="both"/>
        <w:rPr>
          <w:rFonts w:ascii="Times New Roman" w:eastAsia="Times New Roman" w:hAnsi="Times New Roman" w:cs="Times New Roman"/>
          <w:b/>
          <w:bCs/>
          <w:noProof/>
          <w:sz w:val="24"/>
          <w:szCs w:val="24"/>
        </w:rPr>
      </w:pPr>
      <w:bookmarkStart w:id="111" w:name="p-710428"/>
      <w:bookmarkEnd w:id="111"/>
    </w:p>
    <w:p w14:paraId="2AEBFA4C" w14:textId="7CB29ECD"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b/>
          <w:bCs/>
          <w:sz w:val="24"/>
          <w:szCs w:val="24"/>
        </w:rPr>
        <w:t xml:space="preserve">Section 57. </w:t>
      </w:r>
      <w:r>
        <w:rPr>
          <w:rFonts w:ascii="Times New Roman" w:hAnsi="Times New Roman"/>
          <w:sz w:val="24"/>
          <w:szCs w:val="24"/>
        </w:rPr>
        <w:t>The Ministry of Finance, upon carrying out the State budget spending review, and also upon preparation of the package of the draft medium term budget framework law and the package of the draft annual State budget law, has the right to request and receive free of charge from State and local government institutions the information necessary for the fulfilment of the service tasks. The Ministry of Finance shall, upon preparation of the package of the draft medium term budget framework law and the package of the draft annual State budget law, in order to ensure the drawing up of macroeconomic development and general government budget projections, the assessment of the impact on national economy, the implementation of revenue policy, and also the control of efficient and economic use of the State budget and local government budget revenues and expenditures, process taxpayer data, including perform taxpayer data profiling by using the information of tax administration.</w:t>
      </w:r>
      <w:bookmarkStart w:id="112" w:name="p57"/>
      <w:bookmarkEnd w:id="112"/>
    </w:p>
    <w:p w14:paraId="5AE1EBAD"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35257B3D"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390BC0C5" w14:textId="281B29F6" w:rsidR="000C4D30"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2020.</w:t>
      </w:r>
    </w:p>
    <w:p w14:paraId="76F71418"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39EDF84C" w14:textId="12EF0748"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iCs/>
          <w:sz w:val="24"/>
          <w:szCs w:val="24"/>
        </w:rPr>
        <w:t>Saeima</w:t>
      </w:r>
      <w:r>
        <w:rPr>
          <w:rFonts w:ascii="Times New Roman" w:hAnsi="Times New Roman"/>
          <w:sz w:val="24"/>
          <w:szCs w:val="24"/>
        </w:rPr>
        <w:t xml:space="preserve"> on 14 November 2019.</w:t>
      </w:r>
    </w:p>
    <w:p w14:paraId="0B42105A"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621DB866"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795B4868" w14:textId="40971F7C" w:rsidR="000C4D30" w:rsidRPr="001D0E39" w:rsidRDefault="000C4D30" w:rsidP="000C4D30">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President</w:t>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sidR="009758C9">
        <w:rPr>
          <w:rFonts w:ascii="Times New Roman" w:hAnsi="Times New Roman"/>
          <w:sz w:val="24"/>
          <w:szCs w:val="24"/>
        </w:rPr>
        <w:tab/>
      </w:r>
      <w:r>
        <w:rPr>
          <w:rFonts w:ascii="Times New Roman" w:hAnsi="Times New Roman"/>
          <w:sz w:val="24"/>
          <w:szCs w:val="24"/>
        </w:rPr>
        <w:t>E. Levits</w:t>
      </w:r>
    </w:p>
    <w:p w14:paraId="64F9F0CE" w14:textId="77777777" w:rsidR="000C4D30" w:rsidRDefault="000C4D30" w:rsidP="000C4D30">
      <w:pPr>
        <w:spacing w:after="0" w:line="240" w:lineRule="auto"/>
        <w:jc w:val="both"/>
        <w:rPr>
          <w:rFonts w:ascii="Times New Roman" w:eastAsia="Times New Roman" w:hAnsi="Times New Roman" w:cs="Times New Roman"/>
          <w:noProof/>
          <w:sz w:val="24"/>
          <w:szCs w:val="24"/>
          <w:lang w:val="en-US" w:eastAsia="lv-LV"/>
        </w:rPr>
      </w:pPr>
    </w:p>
    <w:p w14:paraId="3DF5C4F4" w14:textId="293803E3" w:rsidR="000C4D30" w:rsidRPr="001D0E39" w:rsidRDefault="000C4D30" w:rsidP="000C4D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28 November 2019</w:t>
      </w:r>
    </w:p>
    <w:p w14:paraId="18919232" w14:textId="77777777" w:rsidR="000C4D30" w:rsidRPr="000C4D30" w:rsidRDefault="000C4D30" w:rsidP="000C4D30">
      <w:pPr>
        <w:spacing w:after="0" w:line="240" w:lineRule="auto"/>
        <w:jc w:val="both"/>
        <w:rPr>
          <w:rFonts w:ascii="Times New Roman" w:hAnsi="Times New Roman"/>
          <w:noProof/>
          <w:sz w:val="24"/>
          <w:lang w:val="en-US"/>
        </w:rPr>
      </w:pPr>
    </w:p>
    <w:sectPr w:rsidR="000C4D30" w:rsidRPr="000C4D30" w:rsidSect="000C4D3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3485D3" w14:textId="77777777" w:rsidR="000C4D30" w:rsidRPr="000C4D30" w:rsidRDefault="000C4D30" w:rsidP="000C4D30">
      <w:pPr>
        <w:spacing w:after="0" w:line="240" w:lineRule="auto"/>
        <w:rPr>
          <w:noProof/>
          <w:lang w:val="en-US"/>
        </w:rPr>
      </w:pPr>
      <w:r w:rsidRPr="000C4D30">
        <w:rPr>
          <w:noProof/>
          <w:lang w:val="en-US"/>
        </w:rPr>
        <w:separator/>
      </w:r>
    </w:p>
  </w:endnote>
  <w:endnote w:type="continuationSeparator" w:id="0">
    <w:p w14:paraId="636C600E" w14:textId="77777777" w:rsidR="000C4D30" w:rsidRPr="000C4D30" w:rsidRDefault="000C4D30" w:rsidP="000C4D30">
      <w:pPr>
        <w:spacing w:after="0" w:line="240" w:lineRule="auto"/>
        <w:rPr>
          <w:noProof/>
          <w:lang w:val="en-US"/>
        </w:rPr>
      </w:pPr>
      <w:r w:rsidRPr="000C4D3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DCDC0" w14:textId="77777777" w:rsidR="00354C5A" w:rsidRPr="0040138C" w:rsidRDefault="00354C5A" w:rsidP="00354C5A">
    <w:pPr>
      <w:pStyle w:val="Kjene"/>
      <w:rPr>
        <w:rFonts w:ascii="Times New Roman" w:hAnsi="Times New Roman" w:cs="Times New Roman"/>
        <w:sz w:val="20"/>
        <w:szCs w:val="20"/>
      </w:rPr>
    </w:pPr>
  </w:p>
  <w:p w14:paraId="5B0B119F" w14:textId="77777777" w:rsidR="00354C5A" w:rsidRPr="0040138C" w:rsidRDefault="00354C5A" w:rsidP="00354C5A">
    <w:pPr>
      <w:pStyle w:val="Kjene"/>
      <w:framePr w:wrap="around" w:vAnchor="text" w:hAnchor="margin" w:xAlign="right" w:y="1"/>
      <w:jc w:val="right"/>
      <w:rPr>
        <w:rStyle w:val="Lappusesnumurs"/>
        <w:rFonts w:ascii="Times New Roman" w:hAnsi="Times New Roman" w:cs="Times New Roman"/>
        <w:sz w:val="20"/>
        <w:szCs w:val="20"/>
      </w:rPr>
    </w:pPr>
    <w:r w:rsidRPr="0040138C">
      <w:rPr>
        <w:rStyle w:val="Lappusesnumurs"/>
        <w:rFonts w:ascii="Times New Roman" w:hAnsi="Times New Roman" w:cs="Times New Roman"/>
        <w:sz w:val="20"/>
        <w:szCs w:val="20"/>
      </w:rPr>
      <w:fldChar w:fldCharType="begin"/>
    </w:r>
    <w:r w:rsidRPr="0040138C">
      <w:rPr>
        <w:rStyle w:val="Lappusesnumurs"/>
        <w:rFonts w:ascii="Times New Roman" w:hAnsi="Times New Roman" w:cs="Times New Roman"/>
        <w:sz w:val="20"/>
        <w:szCs w:val="20"/>
      </w:rPr>
      <w:instrText xml:space="preserve"> PAGE </w:instrText>
    </w:r>
    <w:r w:rsidRPr="0040138C">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40138C">
      <w:rPr>
        <w:rStyle w:val="Lappusesnumurs"/>
        <w:rFonts w:ascii="Times New Roman" w:hAnsi="Times New Roman" w:cs="Times New Roman"/>
        <w:sz w:val="20"/>
        <w:szCs w:val="20"/>
      </w:rPr>
      <w:fldChar w:fldCharType="end"/>
    </w:r>
    <w:r w:rsidRPr="0040138C">
      <w:rPr>
        <w:rStyle w:val="Lappusesnumurs"/>
        <w:rFonts w:ascii="Times New Roman" w:hAnsi="Times New Roman" w:cs="Times New Roman"/>
        <w:sz w:val="20"/>
        <w:szCs w:val="20"/>
      </w:rPr>
      <w:t xml:space="preserve"> </w:t>
    </w:r>
  </w:p>
  <w:p w14:paraId="52AFD68E" w14:textId="77777777" w:rsidR="00354C5A" w:rsidRPr="0040138C" w:rsidRDefault="00354C5A" w:rsidP="00354C5A">
    <w:pPr>
      <w:pStyle w:val="Kjene"/>
      <w:rPr>
        <w:rFonts w:ascii="Times New Roman" w:hAnsi="Times New Roman" w:cs="Times New Roman"/>
        <w:sz w:val="20"/>
        <w:szCs w:val="20"/>
      </w:rPr>
    </w:pPr>
    <w:r w:rsidRPr="0040138C">
      <w:rPr>
        <w:rFonts w:ascii="Times New Roman" w:hAnsi="Times New Roman" w:cs="Times New Roman"/>
        <w:sz w:val="20"/>
        <w:szCs w:val="20"/>
      </w:rPr>
      <w:t xml:space="preserve">Translation </w:t>
    </w:r>
    <w:r w:rsidRPr="0040138C">
      <w:rPr>
        <w:rFonts w:ascii="Times New Roman" w:hAnsi="Times New Roman" w:cs="Times New Roman"/>
        <w:sz w:val="20"/>
        <w:szCs w:val="20"/>
      </w:rPr>
      <w:fldChar w:fldCharType="begin"/>
    </w:r>
    <w:r w:rsidRPr="0040138C">
      <w:rPr>
        <w:rFonts w:ascii="Times New Roman" w:hAnsi="Times New Roman" w:cs="Times New Roman"/>
        <w:sz w:val="20"/>
        <w:szCs w:val="20"/>
      </w:rPr>
      <w:instrText>symbol 169 \f "UnivrstyRoman TL" \s 8</w:instrText>
    </w:r>
    <w:r w:rsidRPr="0040138C">
      <w:rPr>
        <w:rFonts w:ascii="Times New Roman" w:hAnsi="Times New Roman" w:cs="Times New Roman"/>
        <w:sz w:val="20"/>
        <w:szCs w:val="20"/>
      </w:rPr>
      <w:fldChar w:fldCharType="separate"/>
    </w:r>
    <w:r w:rsidRPr="0040138C">
      <w:rPr>
        <w:rFonts w:ascii="Times New Roman" w:hAnsi="Times New Roman" w:cs="Times New Roman"/>
        <w:sz w:val="20"/>
        <w:szCs w:val="20"/>
      </w:rPr>
      <w:t>©</w:t>
    </w:r>
    <w:r w:rsidRPr="0040138C">
      <w:rPr>
        <w:rFonts w:ascii="Times New Roman" w:hAnsi="Times New Roman" w:cs="Times New Roman"/>
        <w:sz w:val="20"/>
        <w:szCs w:val="20"/>
      </w:rPr>
      <w:fldChar w:fldCharType="end"/>
    </w:r>
    <w:r w:rsidRPr="0040138C">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1E301" w14:textId="77777777" w:rsidR="00354C5A" w:rsidRPr="0040138C" w:rsidRDefault="00354C5A" w:rsidP="00354C5A">
    <w:pPr>
      <w:pStyle w:val="Kjene"/>
      <w:rPr>
        <w:rFonts w:ascii="Times New Roman" w:hAnsi="Times New Roman" w:cs="Times New Roman"/>
        <w:sz w:val="20"/>
        <w:szCs w:val="20"/>
        <w:vertAlign w:val="superscript"/>
      </w:rPr>
    </w:pPr>
    <w:bookmarkStart w:id="113" w:name="_Hlk32478718"/>
    <w:bookmarkStart w:id="114" w:name="_Hlk32478719"/>
  </w:p>
  <w:p w14:paraId="530E995E" w14:textId="77777777" w:rsidR="00354C5A" w:rsidRPr="0040138C" w:rsidRDefault="00354C5A" w:rsidP="00354C5A">
    <w:pPr>
      <w:pStyle w:val="Kjene"/>
      <w:rPr>
        <w:rFonts w:ascii="Times New Roman" w:hAnsi="Times New Roman" w:cs="Times New Roman"/>
        <w:sz w:val="20"/>
        <w:szCs w:val="20"/>
      </w:rPr>
    </w:pPr>
    <w:bookmarkStart w:id="115" w:name="_Hlk32310318"/>
    <w:bookmarkStart w:id="116" w:name="_Hlk32310319"/>
    <w:r w:rsidRPr="0040138C">
      <w:rPr>
        <w:rFonts w:ascii="Times New Roman" w:hAnsi="Times New Roman" w:cs="Times New Roman"/>
        <w:sz w:val="20"/>
        <w:szCs w:val="20"/>
        <w:vertAlign w:val="superscript"/>
      </w:rPr>
      <w:t>1</w:t>
    </w:r>
    <w:r w:rsidRPr="0040138C">
      <w:rPr>
        <w:rFonts w:ascii="Times New Roman" w:hAnsi="Times New Roman" w:cs="Times New Roman"/>
        <w:sz w:val="20"/>
        <w:szCs w:val="20"/>
      </w:rPr>
      <w:t xml:space="preserve"> The Parliament of the Republic of Latvia</w:t>
    </w:r>
  </w:p>
  <w:p w14:paraId="721E9CA9" w14:textId="77777777" w:rsidR="00354C5A" w:rsidRPr="0040138C" w:rsidRDefault="00354C5A" w:rsidP="00354C5A">
    <w:pPr>
      <w:pStyle w:val="Kjene"/>
      <w:rPr>
        <w:rFonts w:ascii="Times New Roman" w:hAnsi="Times New Roman" w:cs="Times New Roman"/>
        <w:sz w:val="20"/>
        <w:szCs w:val="20"/>
      </w:rPr>
    </w:pPr>
  </w:p>
  <w:p w14:paraId="1B6D06B8" w14:textId="77777777" w:rsidR="00354C5A" w:rsidRPr="0040138C" w:rsidRDefault="00354C5A" w:rsidP="00354C5A">
    <w:pPr>
      <w:pStyle w:val="Kjene"/>
      <w:rPr>
        <w:rFonts w:ascii="Times New Roman" w:hAnsi="Times New Roman" w:cs="Times New Roman"/>
        <w:sz w:val="20"/>
        <w:szCs w:val="20"/>
      </w:rPr>
    </w:pPr>
    <w:r w:rsidRPr="0040138C">
      <w:rPr>
        <w:rFonts w:ascii="Times New Roman" w:hAnsi="Times New Roman" w:cs="Times New Roman"/>
        <w:sz w:val="20"/>
        <w:szCs w:val="20"/>
      </w:rPr>
      <w:t xml:space="preserve">Translation </w:t>
    </w:r>
    <w:r w:rsidRPr="0040138C">
      <w:rPr>
        <w:rFonts w:ascii="Times New Roman" w:hAnsi="Times New Roman" w:cs="Times New Roman"/>
        <w:sz w:val="20"/>
        <w:szCs w:val="20"/>
      </w:rPr>
      <w:fldChar w:fldCharType="begin"/>
    </w:r>
    <w:r w:rsidRPr="0040138C">
      <w:rPr>
        <w:rFonts w:ascii="Times New Roman" w:hAnsi="Times New Roman" w:cs="Times New Roman"/>
        <w:sz w:val="20"/>
        <w:szCs w:val="20"/>
      </w:rPr>
      <w:instrText>symbol 169 \f "UnivrstyRoman TL" \s 8</w:instrText>
    </w:r>
    <w:r w:rsidRPr="0040138C">
      <w:rPr>
        <w:rFonts w:ascii="Times New Roman" w:hAnsi="Times New Roman" w:cs="Times New Roman"/>
        <w:sz w:val="20"/>
        <w:szCs w:val="20"/>
      </w:rPr>
      <w:fldChar w:fldCharType="separate"/>
    </w:r>
    <w:r w:rsidRPr="0040138C">
      <w:rPr>
        <w:rFonts w:ascii="Times New Roman" w:hAnsi="Times New Roman" w:cs="Times New Roman"/>
        <w:sz w:val="20"/>
        <w:szCs w:val="20"/>
      </w:rPr>
      <w:t>©</w:t>
    </w:r>
    <w:r w:rsidRPr="0040138C">
      <w:rPr>
        <w:rFonts w:ascii="Times New Roman" w:hAnsi="Times New Roman" w:cs="Times New Roman"/>
        <w:sz w:val="20"/>
        <w:szCs w:val="20"/>
      </w:rPr>
      <w:fldChar w:fldCharType="end"/>
    </w:r>
    <w:r w:rsidRPr="0040138C">
      <w:rPr>
        <w:rFonts w:ascii="Times New Roman" w:hAnsi="Times New Roman" w:cs="Times New Roman"/>
        <w:sz w:val="20"/>
        <w:szCs w:val="20"/>
      </w:rPr>
      <w:t xml:space="preserve"> 2020 Valsts valodas centrs (State Language Centre)</w:t>
    </w:r>
    <w:bookmarkEnd w:id="113"/>
    <w:bookmarkEnd w:id="114"/>
  </w:p>
  <w:bookmarkEnd w:id="115"/>
  <w:bookmarkEnd w:id="1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E4C810" w14:textId="77777777" w:rsidR="000C4D30" w:rsidRPr="000C4D30" w:rsidRDefault="000C4D30" w:rsidP="000C4D30">
      <w:pPr>
        <w:spacing w:after="0" w:line="240" w:lineRule="auto"/>
        <w:rPr>
          <w:noProof/>
          <w:lang w:val="en-US"/>
        </w:rPr>
      </w:pPr>
      <w:r w:rsidRPr="000C4D30">
        <w:rPr>
          <w:noProof/>
          <w:lang w:val="en-US"/>
        </w:rPr>
        <w:separator/>
      </w:r>
    </w:p>
  </w:footnote>
  <w:footnote w:type="continuationSeparator" w:id="0">
    <w:p w14:paraId="3B3D9CF6" w14:textId="77777777" w:rsidR="000C4D30" w:rsidRPr="000C4D30" w:rsidRDefault="000C4D30" w:rsidP="000C4D30">
      <w:pPr>
        <w:spacing w:after="0" w:line="240" w:lineRule="auto"/>
        <w:rPr>
          <w:noProof/>
          <w:lang w:val="en-US"/>
        </w:rPr>
      </w:pPr>
      <w:r w:rsidRPr="000C4D3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00D"/>
    <w:rsid w:val="000C4D30"/>
    <w:rsid w:val="001D0E39"/>
    <w:rsid w:val="00354C5A"/>
    <w:rsid w:val="005728F2"/>
    <w:rsid w:val="006D06EC"/>
    <w:rsid w:val="00960BD4"/>
    <w:rsid w:val="009758C9"/>
    <w:rsid w:val="00B81F0D"/>
    <w:rsid w:val="00EC60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ACC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1D0E3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D0E39"/>
    <w:rPr>
      <w:color w:val="0000FF"/>
      <w:u w:val="single"/>
    </w:rPr>
  </w:style>
  <w:style w:type="paragraph" w:styleId="Galvene">
    <w:name w:val="header"/>
    <w:basedOn w:val="Parasts"/>
    <w:link w:val="GalveneRakstz"/>
    <w:uiPriority w:val="99"/>
    <w:unhideWhenUsed/>
    <w:rsid w:val="000C4D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C4D30"/>
  </w:style>
  <w:style w:type="paragraph" w:styleId="Kjene">
    <w:name w:val="footer"/>
    <w:basedOn w:val="Parasts"/>
    <w:link w:val="KjeneRakstz"/>
    <w:unhideWhenUsed/>
    <w:rsid w:val="000C4D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C4D30"/>
  </w:style>
  <w:style w:type="character" w:styleId="Lappusesnumurs">
    <w:name w:val="page number"/>
    <w:basedOn w:val="Noklusjumarindkopasfonts"/>
    <w:rsid w:val="00354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718923">
      <w:bodyDiv w:val="1"/>
      <w:marLeft w:val="0"/>
      <w:marRight w:val="0"/>
      <w:marTop w:val="0"/>
      <w:marBottom w:val="0"/>
      <w:divBdr>
        <w:top w:val="none" w:sz="0" w:space="0" w:color="auto"/>
        <w:left w:val="none" w:sz="0" w:space="0" w:color="auto"/>
        <w:bottom w:val="none" w:sz="0" w:space="0" w:color="auto"/>
        <w:right w:val="none" w:sz="0" w:space="0" w:color="auto"/>
      </w:divBdr>
      <w:divsChild>
        <w:div w:id="1399549826">
          <w:marLeft w:val="0"/>
          <w:marRight w:val="0"/>
          <w:marTop w:val="0"/>
          <w:marBottom w:val="0"/>
          <w:divBdr>
            <w:top w:val="none" w:sz="0" w:space="0" w:color="auto"/>
            <w:left w:val="none" w:sz="0" w:space="0" w:color="auto"/>
            <w:bottom w:val="none" w:sz="0" w:space="0" w:color="auto"/>
            <w:right w:val="none" w:sz="0" w:space="0" w:color="auto"/>
          </w:divBdr>
        </w:div>
        <w:div w:id="141119262">
          <w:marLeft w:val="0"/>
          <w:marRight w:val="0"/>
          <w:marTop w:val="0"/>
          <w:marBottom w:val="0"/>
          <w:divBdr>
            <w:top w:val="none" w:sz="0" w:space="0" w:color="auto"/>
            <w:left w:val="none" w:sz="0" w:space="0" w:color="auto"/>
            <w:bottom w:val="none" w:sz="0" w:space="0" w:color="auto"/>
            <w:right w:val="none" w:sz="0" w:space="0" w:color="auto"/>
          </w:divBdr>
        </w:div>
        <w:div w:id="1106971861">
          <w:marLeft w:val="0"/>
          <w:marRight w:val="0"/>
          <w:marTop w:val="0"/>
          <w:marBottom w:val="0"/>
          <w:divBdr>
            <w:top w:val="none" w:sz="0" w:space="0" w:color="auto"/>
            <w:left w:val="none" w:sz="0" w:space="0" w:color="auto"/>
            <w:bottom w:val="none" w:sz="0" w:space="0" w:color="auto"/>
            <w:right w:val="none" w:sz="0" w:space="0" w:color="auto"/>
          </w:divBdr>
        </w:div>
        <w:div w:id="1542785490">
          <w:marLeft w:val="0"/>
          <w:marRight w:val="0"/>
          <w:marTop w:val="0"/>
          <w:marBottom w:val="0"/>
          <w:divBdr>
            <w:top w:val="none" w:sz="0" w:space="0" w:color="auto"/>
            <w:left w:val="none" w:sz="0" w:space="0" w:color="auto"/>
            <w:bottom w:val="none" w:sz="0" w:space="0" w:color="auto"/>
            <w:right w:val="none" w:sz="0" w:space="0" w:color="auto"/>
          </w:divBdr>
        </w:div>
        <w:div w:id="1242713354">
          <w:marLeft w:val="0"/>
          <w:marRight w:val="0"/>
          <w:marTop w:val="0"/>
          <w:marBottom w:val="0"/>
          <w:divBdr>
            <w:top w:val="none" w:sz="0" w:space="0" w:color="auto"/>
            <w:left w:val="none" w:sz="0" w:space="0" w:color="auto"/>
            <w:bottom w:val="none" w:sz="0" w:space="0" w:color="auto"/>
            <w:right w:val="none" w:sz="0" w:space="0" w:color="auto"/>
          </w:divBdr>
        </w:div>
        <w:div w:id="313343289">
          <w:marLeft w:val="0"/>
          <w:marRight w:val="0"/>
          <w:marTop w:val="0"/>
          <w:marBottom w:val="0"/>
          <w:divBdr>
            <w:top w:val="none" w:sz="0" w:space="0" w:color="auto"/>
            <w:left w:val="none" w:sz="0" w:space="0" w:color="auto"/>
            <w:bottom w:val="none" w:sz="0" w:space="0" w:color="auto"/>
            <w:right w:val="none" w:sz="0" w:space="0" w:color="auto"/>
          </w:divBdr>
        </w:div>
        <w:div w:id="1543595791">
          <w:marLeft w:val="0"/>
          <w:marRight w:val="0"/>
          <w:marTop w:val="0"/>
          <w:marBottom w:val="0"/>
          <w:divBdr>
            <w:top w:val="none" w:sz="0" w:space="0" w:color="auto"/>
            <w:left w:val="none" w:sz="0" w:space="0" w:color="auto"/>
            <w:bottom w:val="none" w:sz="0" w:space="0" w:color="auto"/>
            <w:right w:val="none" w:sz="0" w:space="0" w:color="auto"/>
          </w:divBdr>
        </w:div>
        <w:div w:id="1355377248">
          <w:marLeft w:val="0"/>
          <w:marRight w:val="0"/>
          <w:marTop w:val="0"/>
          <w:marBottom w:val="0"/>
          <w:divBdr>
            <w:top w:val="none" w:sz="0" w:space="0" w:color="auto"/>
            <w:left w:val="none" w:sz="0" w:space="0" w:color="auto"/>
            <w:bottom w:val="none" w:sz="0" w:space="0" w:color="auto"/>
            <w:right w:val="none" w:sz="0" w:space="0" w:color="auto"/>
          </w:divBdr>
        </w:div>
        <w:div w:id="406729266">
          <w:marLeft w:val="0"/>
          <w:marRight w:val="0"/>
          <w:marTop w:val="0"/>
          <w:marBottom w:val="0"/>
          <w:divBdr>
            <w:top w:val="none" w:sz="0" w:space="0" w:color="auto"/>
            <w:left w:val="none" w:sz="0" w:space="0" w:color="auto"/>
            <w:bottom w:val="none" w:sz="0" w:space="0" w:color="auto"/>
            <w:right w:val="none" w:sz="0" w:space="0" w:color="auto"/>
          </w:divBdr>
        </w:div>
        <w:div w:id="1120759350">
          <w:marLeft w:val="0"/>
          <w:marRight w:val="0"/>
          <w:marTop w:val="0"/>
          <w:marBottom w:val="0"/>
          <w:divBdr>
            <w:top w:val="none" w:sz="0" w:space="0" w:color="auto"/>
            <w:left w:val="none" w:sz="0" w:space="0" w:color="auto"/>
            <w:bottom w:val="none" w:sz="0" w:space="0" w:color="auto"/>
            <w:right w:val="none" w:sz="0" w:space="0" w:color="auto"/>
          </w:divBdr>
        </w:div>
        <w:div w:id="986475514">
          <w:marLeft w:val="0"/>
          <w:marRight w:val="0"/>
          <w:marTop w:val="0"/>
          <w:marBottom w:val="0"/>
          <w:divBdr>
            <w:top w:val="none" w:sz="0" w:space="0" w:color="auto"/>
            <w:left w:val="none" w:sz="0" w:space="0" w:color="auto"/>
            <w:bottom w:val="none" w:sz="0" w:space="0" w:color="auto"/>
            <w:right w:val="none" w:sz="0" w:space="0" w:color="auto"/>
          </w:divBdr>
        </w:div>
        <w:div w:id="2136753533">
          <w:marLeft w:val="0"/>
          <w:marRight w:val="0"/>
          <w:marTop w:val="0"/>
          <w:marBottom w:val="0"/>
          <w:divBdr>
            <w:top w:val="none" w:sz="0" w:space="0" w:color="auto"/>
            <w:left w:val="none" w:sz="0" w:space="0" w:color="auto"/>
            <w:bottom w:val="none" w:sz="0" w:space="0" w:color="auto"/>
            <w:right w:val="none" w:sz="0" w:space="0" w:color="auto"/>
          </w:divBdr>
        </w:div>
        <w:div w:id="1563062156">
          <w:marLeft w:val="0"/>
          <w:marRight w:val="0"/>
          <w:marTop w:val="0"/>
          <w:marBottom w:val="0"/>
          <w:divBdr>
            <w:top w:val="none" w:sz="0" w:space="0" w:color="auto"/>
            <w:left w:val="none" w:sz="0" w:space="0" w:color="auto"/>
            <w:bottom w:val="none" w:sz="0" w:space="0" w:color="auto"/>
            <w:right w:val="none" w:sz="0" w:space="0" w:color="auto"/>
          </w:divBdr>
        </w:div>
        <w:div w:id="2047291946">
          <w:marLeft w:val="0"/>
          <w:marRight w:val="0"/>
          <w:marTop w:val="0"/>
          <w:marBottom w:val="0"/>
          <w:divBdr>
            <w:top w:val="none" w:sz="0" w:space="0" w:color="auto"/>
            <w:left w:val="none" w:sz="0" w:space="0" w:color="auto"/>
            <w:bottom w:val="none" w:sz="0" w:space="0" w:color="auto"/>
            <w:right w:val="none" w:sz="0" w:space="0" w:color="auto"/>
          </w:divBdr>
        </w:div>
        <w:div w:id="2103455211">
          <w:marLeft w:val="0"/>
          <w:marRight w:val="0"/>
          <w:marTop w:val="0"/>
          <w:marBottom w:val="0"/>
          <w:divBdr>
            <w:top w:val="none" w:sz="0" w:space="0" w:color="auto"/>
            <w:left w:val="none" w:sz="0" w:space="0" w:color="auto"/>
            <w:bottom w:val="none" w:sz="0" w:space="0" w:color="auto"/>
            <w:right w:val="none" w:sz="0" w:space="0" w:color="auto"/>
          </w:divBdr>
        </w:div>
        <w:div w:id="772358794">
          <w:marLeft w:val="0"/>
          <w:marRight w:val="0"/>
          <w:marTop w:val="0"/>
          <w:marBottom w:val="0"/>
          <w:divBdr>
            <w:top w:val="none" w:sz="0" w:space="0" w:color="auto"/>
            <w:left w:val="none" w:sz="0" w:space="0" w:color="auto"/>
            <w:bottom w:val="none" w:sz="0" w:space="0" w:color="auto"/>
            <w:right w:val="none" w:sz="0" w:space="0" w:color="auto"/>
          </w:divBdr>
        </w:div>
        <w:div w:id="1341005470">
          <w:marLeft w:val="0"/>
          <w:marRight w:val="0"/>
          <w:marTop w:val="0"/>
          <w:marBottom w:val="0"/>
          <w:divBdr>
            <w:top w:val="none" w:sz="0" w:space="0" w:color="auto"/>
            <w:left w:val="none" w:sz="0" w:space="0" w:color="auto"/>
            <w:bottom w:val="none" w:sz="0" w:space="0" w:color="auto"/>
            <w:right w:val="none" w:sz="0" w:space="0" w:color="auto"/>
          </w:divBdr>
        </w:div>
        <w:div w:id="924534978">
          <w:marLeft w:val="0"/>
          <w:marRight w:val="0"/>
          <w:marTop w:val="0"/>
          <w:marBottom w:val="0"/>
          <w:divBdr>
            <w:top w:val="none" w:sz="0" w:space="0" w:color="auto"/>
            <w:left w:val="none" w:sz="0" w:space="0" w:color="auto"/>
            <w:bottom w:val="none" w:sz="0" w:space="0" w:color="auto"/>
            <w:right w:val="none" w:sz="0" w:space="0" w:color="auto"/>
          </w:divBdr>
        </w:div>
        <w:div w:id="1471636198">
          <w:marLeft w:val="0"/>
          <w:marRight w:val="0"/>
          <w:marTop w:val="0"/>
          <w:marBottom w:val="0"/>
          <w:divBdr>
            <w:top w:val="none" w:sz="0" w:space="0" w:color="auto"/>
            <w:left w:val="none" w:sz="0" w:space="0" w:color="auto"/>
            <w:bottom w:val="none" w:sz="0" w:space="0" w:color="auto"/>
            <w:right w:val="none" w:sz="0" w:space="0" w:color="auto"/>
          </w:divBdr>
        </w:div>
        <w:div w:id="690112044">
          <w:marLeft w:val="0"/>
          <w:marRight w:val="0"/>
          <w:marTop w:val="0"/>
          <w:marBottom w:val="0"/>
          <w:divBdr>
            <w:top w:val="none" w:sz="0" w:space="0" w:color="auto"/>
            <w:left w:val="none" w:sz="0" w:space="0" w:color="auto"/>
            <w:bottom w:val="none" w:sz="0" w:space="0" w:color="auto"/>
            <w:right w:val="none" w:sz="0" w:space="0" w:color="auto"/>
          </w:divBdr>
        </w:div>
        <w:div w:id="852492778">
          <w:marLeft w:val="0"/>
          <w:marRight w:val="0"/>
          <w:marTop w:val="0"/>
          <w:marBottom w:val="0"/>
          <w:divBdr>
            <w:top w:val="none" w:sz="0" w:space="0" w:color="auto"/>
            <w:left w:val="none" w:sz="0" w:space="0" w:color="auto"/>
            <w:bottom w:val="none" w:sz="0" w:space="0" w:color="auto"/>
            <w:right w:val="none" w:sz="0" w:space="0" w:color="auto"/>
          </w:divBdr>
        </w:div>
        <w:div w:id="1707220363">
          <w:marLeft w:val="0"/>
          <w:marRight w:val="0"/>
          <w:marTop w:val="0"/>
          <w:marBottom w:val="0"/>
          <w:divBdr>
            <w:top w:val="none" w:sz="0" w:space="0" w:color="auto"/>
            <w:left w:val="none" w:sz="0" w:space="0" w:color="auto"/>
            <w:bottom w:val="none" w:sz="0" w:space="0" w:color="auto"/>
            <w:right w:val="none" w:sz="0" w:space="0" w:color="auto"/>
          </w:divBdr>
        </w:div>
        <w:div w:id="1763333648">
          <w:marLeft w:val="0"/>
          <w:marRight w:val="0"/>
          <w:marTop w:val="0"/>
          <w:marBottom w:val="0"/>
          <w:divBdr>
            <w:top w:val="none" w:sz="0" w:space="0" w:color="auto"/>
            <w:left w:val="none" w:sz="0" w:space="0" w:color="auto"/>
            <w:bottom w:val="none" w:sz="0" w:space="0" w:color="auto"/>
            <w:right w:val="none" w:sz="0" w:space="0" w:color="auto"/>
          </w:divBdr>
        </w:div>
        <w:div w:id="1304505347">
          <w:marLeft w:val="0"/>
          <w:marRight w:val="0"/>
          <w:marTop w:val="0"/>
          <w:marBottom w:val="0"/>
          <w:divBdr>
            <w:top w:val="none" w:sz="0" w:space="0" w:color="auto"/>
            <w:left w:val="none" w:sz="0" w:space="0" w:color="auto"/>
            <w:bottom w:val="none" w:sz="0" w:space="0" w:color="auto"/>
            <w:right w:val="none" w:sz="0" w:space="0" w:color="auto"/>
          </w:divBdr>
        </w:div>
        <w:div w:id="344484498">
          <w:marLeft w:val="0"/>
          <w:marRight w:val="0"/>
          <w:marTop w:val="0"/>
          <w:marBottom w:val="0"/>
          <w:divBdr>
            <w:top w:val="none" w:sz="0" w:space="0" w:color="auto"/>
            <w:left w:val="none" w:sz="0" w:space="0" w:color="auto"/>
            <w:bottom w:val="none" w:sz="0" w:space="0" w:color="auto"/>
            <w:right w:val="none" w:sz="0" w:space="0" w:color="auto"/>
          </w:divBdr>
        </w:div>
        <w:div w:id="254678232">
          <w:marLeft w:val="0"/>
          <w:marRight w:val="0"/>
          <w:marTop w:val="0"/>
          <w:marBottom w:val="0"/>
          <w:divBdr>
            <w:top w:val="none" w:sz="0" w:space="0" w:color="auto"/>
            <w:left w:val="none" w:sz="0" w:space="0" w:color="auto"/>
            <w:bottom w:val="none" w:sz="0" w:space="0" w:color="auto"/>
            <w:right w:val="none" w:sz="0" w:space="0" w:color="auto"/>
          </w:divBdr>
        </w:div>
        <w:div w:id="694234652">
          <w:marLeft w:val="0"/>
          <w:marRight w:val="0"/>
          <w:marTop w:val="0"/>
          <w:marBottom w:val="0"/>
          <w:divBdr>
            <w:top w:val="none" w:sz="0" w:space="0" w:color="auto"/>
            <w:left w:val="none" w:sz="0" w:space="0" w:color="auto"/>
            <w:bottom w:val="none" w:sz="0" w:space="0" w:color="auto"/>
            <w:right w:val="none" w:sz="0" w:space="0" w:color="auto"/>
          </w:divBdr>
        </w:div>
        <w:div w:id="1920365219">
          <w:marLeft w:val="0"/>
          <w:marRight w:val="0"/>
          <w:marTop w:val="0"/>
          <w:marBottom w:val="0"/>
          <w:divBdr>
            <w:top w:val="none" w:sz="0" w:space="0" w:color="auto"/>
            <w:left w:val="none" w:sz="0" w:space="0" w:color="auto"/>
            <w:bottom w:val="none" w:sz="0" w:space="0" w:color="auto"/>
            <w:right w:val="none" w:sz="0" w:space="0" w:color="auto"/>
          </w:divBdr>
        </w:div>
        <w:div w:id="2021269976">
          <w:marLeft w:val="0"/>
          <w:marRight w:val="0"/>
          <w:marTop w:val="0"/>
          <w:marBottom w:val="0"/>
          <w:divBdr>
            <w:top w:val="none" w:sz="0" w:space="0" w:color="auto"/>
            <w:left w:val="none" w:sz="0" w:space="0" w:color="auto"/>
            <w:bottom w:val="none" w:sz="0" w:space="0" w:color="auto"/>
            <w:right w:val="none" w:sz="0" w:space="0" w:color="auto"/>
          </w:divBdr>
        </w:div>
        <w:div w:id="1537766301">
          <w:marLeft w:val="0"/>
          <w:marRight w:val="0"/>
          <w:marTop w:val="0"/>
          <w:marBottom w:val="0"/>
          <w:divBdr>
            <w:top w:val="none" w:sz="0" w:space="0" w:color="auto"/>
            <w:left w:val="none" w:sz="0" w:space="0" w:color="auto"/>
            <w:bottom w:val="none" w:sz="0" w:space="0" w:color="auto"/>
            <w:right w:val="none" w:sz="0" w:space="0" w:color="auto"/>
          </w:divBdr>
        </w:div>
        <w:div w:id="97533684">
          <w:marLeft w:val="0"/>
          <w:marRight w:val="0"/>
          <w:marTop w:val="0"/>
          <w:marBottom w:val="0"/>
          <w:divBdr>
            <w:top w:val="none" w:sz="0" w:space="0" w:color="auto"/>
            <w:left w:val="none" w:sz="0" w:space="0" w:color="auto"/>
            <w:bottom w:val="none" w:sz="0" w:space="0" w:color="auto"/>
            <w:right w:val="none" w:sz="0" w:space="0" w:color="auto"/>
          </w:divBdr>
        </w:div>
        <w:div w:id="1074090811">
          <w:marLeft w:val="0"/>
          <w:marRight w:val="0"/>
          <w:marTop w:val="0"/>
          <w:marBottom w:val="0"/>
          <w:divBdr>
            <w:top w:val="none" w:sz="0" w:space="0" w:color="auto"/>
            <w:left w:val="none" w:sz="0" w:space="0" w:color="auto"/>
            <w:bottom w:val="none" w:sz="0" w:space="0" w:color="auto"/>
            <w:right w:val="none" w:sz="0" w:space="0" w:color="auto"/>
          </w:divBdr>
        </w:div>
        <w:div w:id="267467563">
          <w:marLeft w:val="0"/>
          <w:marRight w:val="0"/>
          <w:marTop w:val="0"/>
          <w:marBottom w:val="0"/>
          <w:divBdr>
            <w:top w:val="none" w:sz="0" w:space="0" w:color="auto"/>
            <w:left w:val="none" w:sz="0" w:space="0" w:color="auto"/>
            <w:bottom w:val="none" w:sz="0" w:space="0" w:color="auto"/>
            <w:right w:val="none" w:sz="0" w:space="0" w:color="auto"/>
          </w:divBdr>
        </w:div>
        <w:div w:id="2006662799">
          <w:marLeft w:val="0"/>
          <w:marRight w:val="0"/>
          <w:marTop w:val="0"/>
          <w:marBottom w:val="0"/>
          <w:divBdr>
            <w:top w:val="none" w:sz="0" w:space="0" w:color="auto"/>
            <w:left w:val="none" w:sz="0" w:space="0" w:color="auto"/>
            <w:bottom w:val="none" w:sz="0" w:space="0" w:color="auto"/>
            <w:right w:val="none" w:sz="0" w:space="0" w:color="auto"/>
          </w:divBdr>
        </w:div>
        <w:div w:id="522209285">
          <w:marLeft w:val="0"/>
          <w:marRight w:val="0"/>
          <w:marTop w:val="0"/>
          <w:marBottom w:val="0"/>
          <w:divBdr>
            <w:top w:val="none" w:sz="0" w:space="0" w:color="auto"/>
            <w:left w:val="none" w:sz="0" w:space="0" w:color="auto"/>
            <w:bottom w:val="none" w:sz="0" w:space="0" w:color="auto"/>
            <w:right w:val="none" w:sz="0" w:space="0" w:color="auto"/>
          </w:divBdr>
        </w:div>
        <w:div w:id="105389777">
          <w:marLeft w:val="0"/>
          <w:marRight w:val="0"/>
          <w:marTop w:val="0"/>
          <w:marBottom w:val="0"/>
          <w:divBdr>
            <w:top w:val="none" w:sz="0" w:space="0" w:color="auto"/>
            <w:left w:val="none" w:sz="0" w:space="0" w:color="auto"/>
            <w:bottom w:val="none" w:sz="0" w:space="0" w:color="auto"/>
            <w:right w:val="none" w:sz="0" w:space="0" w:color="auto"/>
          </w:divBdr>
        </w:div>
        <w:div w:id="1437555295">
          <w:marLeft w:val="0"/>
          <w:marRight w:val="0"/>
          <w:marTop w:val="0"/>
          <w:marBottom w:val="0"/>
          <w:divBdr>
            <w:top w:val="none" w:sz="0" w:space="0" w:color="auto"/>
            <w:left w:val="none" w:sz="0" w:space="0" w:color="auto"/>
            <w:bottom w:val="none" w:sz="0" w:space="0" w:color="auto"/>
            <w:right w:val="none" w:sz="0" w:space="0" w:color="auto"/>
          </w:divBdr>
        </w:div>
        <w:div w:id="221452947">
          <w:marLeft w:val="0"/>
          <w:marRight w:val="0"/>
          <w:marTop w:val="0"/>
          <w:marBottom w:val="0"/>
          <w:divBdr>
            <w:top w:val="none" w:sz="0" w:space="0" w:color="auto"/>
            <w:left w:val="none" w:sz="0" w:space="0" w:color="auto"/>
            <w:bottom w:val="none" w:sz="0" w:space="0" w:color="auto"/>
            <w:right w:val="none" w:sz="0" w:space="0" w:color="auto"/>
          </w:divBdr>
        </w:div>
        <w:div w:id="460074958">
          <w:marLeft w:val="0"/>
          <w:marRight w:val="0"/>
          <w:marTop w:val="0"/>
          <w:marBottom w:val="0"/>
          <w:divBdr>
            <w:top w:val="none" w:sz="0" w:space="0" w:color="auto"/>
            <w:left w:val="none" w:sz="0" w:space="0" w:color="auto"/>
            <w:bottom w:val="none" w:sz="0" w:space="0" w:color="auto"/>
            <w:right w:val="none" w:sz="0" w:space="0" w:color="auto"/>
          </w:divBdr>
        </w:div>
        <w:div w:id="328213200">
          <w:marLeft w:val="0"/>
          <w:marRight w:val="0"/>
          <w:marTop w:val="0"/>
          <w:marBottom w:val="0"/>
          <w:divBdr>
            <w:top w:val="none" w:sz="0" w:space="0" w:color="auto"/>
            <w:left w:val="none" w:sz="0" w:space="0" w:color="auto"/>
            <w:bottom w:val="none" w:sz="0" w:space="0" w:color="auto"/>
            <w:right w:val="none" w:sz="0" w:space="0" w:color="auto"/>
          </w:divBdr>
        </w:div>
        <w:div w:id="435709250">
          <w:marLeft w:val="0"/>
          <w:marRight w:val="0"/>
          <w:marTop w:val="0"/>
          <w:marBottom w:val="0"/>
          <w:divBdr>
            <w:top w:val="none" w:sz="0" w:space="0" w:color="auto"/>
            <w:left w:val="none" w:sz="0" w:space="0" w:color="auto"/>
            <w:bottom w:val="none" w:sz="0" w:space="0" w:color="auto"/>
            <w:right w:val="none" w:sz="0" w:space="0" w:color="auto"/>
          </w:divBdr>
        </w:div>
        <w:div w:id="986544764">
          <w:marLeft w:val="0"/>
          <w:marRight w:val="0"/>
          <w:marTop w:val="0"/>
          <w:marBottom w:val="0"/>
          <w:divBdr>
            <w:top w:val="none" w:sz="0" w:space="0" w:color="auto"/>
            <w:left w:val="none" w:sz="0" w:space="0" w:color="auto"/>
            <w:bottom w:val="none" w:sz="0" w:space="0" w:color="auto"/>
            <w:right w:val="none" w:sz="0" w:space="0" w:color="auto"/>
          </w:divBdr>
        </w:div>
        <w:div w:id="276302127">
          <w:marLeft w:val="0"/>
          <w:marRight w:val="0"/>
          <w:marTop w:val="0"/>
          <w:marBottom w:val="0"/>
          <w:divBdr>
            <w:top w:val="none" w:sz="0" w:space="0" w:color="auto"/>
            <w:left w:val="none" w:sz="0" w:space="0" w:color="auto"/>
            <w:bottom w:val="none" w:sz="0" w:space="0" w:color="auto"/>
            <w:right w:val="none" w:sz="0" w:space="0" w:color="auto"/>
          </w:divBdr>
        </w:div>
        <w:div w:id="1715150955">
          <w:marLeft w:val="0"/>
          <w:marRight w:val="0"/>
          <w:marTop w:val="0"/>
          <w:marBottom w:val="0"/>
          <w:divBdr>
            <w:top w:val="none" w:sz="0" w:space="0" w:color="auto"/>
            <w:left w:val="none" w:sz="0" w:space="0" w:color="auto"/>
            <w:bottom w:val="none" w:sz="0" w:space="0" w:color="auto"/>
            <w:right w:val="none" w:sz="0" w:space="0" w:color="auto"/>
          </w:divBdr>
        </w:div>
        <w:div w:id="961423813">
          <w:marLeft w:val="0"/>
          <w:marRight w:val="0"/>
          <w:marTop w:val="0"/>
          <w:marBottom w:val="0"/>
          <w:divBdr>
            <w:top w:val="none" w:sz="0" w:space="0" w:color="auto"/>
            <w:left w:val="none" w:sz="0" w:space="0" w:color="auto"/>
            <w:bottom w:val="none" w:sz="0" w:space="0" w:color="auto"/>
            <w:right w:val="none" w:sz="0" w:space="0" w:color="auto"/>
          </w:divBdr>
        </w:div>
        <w:div w:id="2004358882">
          <w:marLeft w:val="0"/>
          <w:marRight w:val="0"/>
          <w:marTop w:val="0"/>
          <w:marBottom w:val="0"/>
          <w:divBdr>
            <w:top w:val="none" w:sz="0" w:space="0" w:color="auto"/>
            <w:left w:val="none" w:sz="0" w:space="0" w:color="auto"/>
            <w:bottom w:val="none" w:sz="0" w:space="0" w:color="auto"/>
            <w:right w:val="none" w:sz="0" w:space="0" w:color="auto"/>
          </w:divBdr>
        </w:div>
        <w:div w:id="1630814956">
          <w:marLeft w:val="0"/>
          <w:marRight w:val="0"/>
          <w:marTop w:val="0"/>
          <w:marBottom w:val="0"/>
          <w:divBdr>
            <w:top w:val="none" w:sz="0" w:space="0" w:color="auto"/>
            <w:left w:val="none" w:sz="0" w:space="0" w:color="auto"/>
            <w:bottom w:val="none" w:sz="0" w:space="0" w:color="auto"/>
            <w:right w:val="none" w:sz="0" w:space="0" w:color="auto"/>
          </w:divBdr>
        </w:div>
        <w:div w:id="1630819586">
          <w:marLeft w:val="0"/>
          <w:marRight w:val="0"/>
          <w:marTop w:val="0"/>
          <w:marBottom w:val="0"/>
          <w:divBdr>
            <w:top w:val="none" w:sz="0" w:space="0" w:color="auto"/>
            <w:left w:val="none" w:sz="0" w:space="0" w:color="auto"/>
            <w:bottom w:val="none" w:sz="0" w:space="0" w:color="auto"/>
            <w:right w:val="none" w:sz="0" w:space="0" w:color="auto"/>
          </w:divBdr>
        </w:div>
        <w:div w:id="1102071545">
          <w:marLeft w:val="0"/>
          <w:marRight w:val="0"/>
          <w:marTop w:val="0"/>
          <w:marBottom w:val="0"/>
          <w:divBdr>
            <w:top w:val="none" w:sz="0" w:space="0" w:color="auto"/>
            <w:left w:val="none" w:sz="0" w:space="0" w:color="auto"/>
            <w:bottom w:val="none" w:sz="0" w:space="0" w:color="auto"/>
            <w:right w:val="none" w:sz="0" w:space="0" w:color="auto"/>
          </w:divBdr>
        </w:div>
        <w:div w:id="1296061014">
          <w:marLeft w:val="0"/>
          <w:marRight w:val="0"/>
          <w:marTop w:val="0"/>
          <w:marBottom w:val="0"/>
          <w:divBdr>
            <w:top w:val="none" w:sz="0" w:space="0" w:color="auto"/>
            <w:left w:val="none" w:sz="0" w:space="0" w:color="auto"/>
            <w:bottom w:val="none" w:sz="0" w:space="0" w:color="auto"/>
            <w:right w:val="none" w:sz="0" w:space="0" w:color="auto"/>
          </w:divBdr>
        </w:div>
        <w:div w:id="1392998932">
          <w:marLeft w:val="0"/>
          <w:marRight w:val="0"/>
          <w:marTop w:val="0"/>
          <w:marBottom w:val="0"/>
          <w:divBdr>
            <w:top w:val="none" w:sz="0" w:space="0" w:color="auto"/>
            <w:left w:val="none" w:sz="0" w:space="0" w:color="auto"/>
            <w:bottom w:val="none" w:sz="0" w:space="0" w:color="auto"/>
            <w:right w:val="none" w:sz="0" w:space="0" w:color="auto"/>
          </w:divBdr>
        </w:div>
        <w:div w:id="69619623">
          <w:marLeft w:val="0"/>
          <w:marRight w:val="0"/>
          <w:marTop w:val="0"/>
          <w:marBottom w:val="0"/>
          <w:divBdr>
            <w:top w:val="none" w:sz="0" w:space="0" w:color="auto"/>
            <w:left w:val="none" w:sz="0" w:space="0" w:color="auto"/>
            <w:bottom w:val="none" w:sz="0" w:space="0" w:color="auto"/>
            <w:right w:val="none" w:sz="0" w:space="0" w:color="auto"/>
          </w:divBdr>
        </w:div>
        <w:div w:id="1678727369">
          <w:marLeft w:val="0"/>
          <w:marRight w:val="0"/>
          <w:marTop w:val="0"/>
          <w:marBottom w:val="0"/>
          <w:divBdr>
            <w:top w:val="none" w:sz="0" w:space="0" w:color="auto"/>
            <w:left w:val="none" w:sz="0" w:space="0" w:color="auto"/>
            <w:bottom w:val="none" w:sz="0" w:space="0" w:color="auto"/>
            <w:right w:val="none" w:sz="0" w:space="0" w:color="auto"/>
          </w:divBdr>
        </w:div>
        <w:div w:id="1227297310">
          <w:marLeft w:val="0"/>
          <w:marRight w:val="0"/>
          <w:marTop w:val="0"/>
          <w:marBottom w:val="0"/>
          <w:divBdr>
            <w:top w:val="none" w:sz="0" w:space="0" w:color="auto"/>
            <w:left w:val="none" w:sz="0" w:space="0" w:color="auto"/>
            <w:bottom w:val="none" w:sz="0" w:space="0" w:color="auto"/>
            <w:right w:val="none" w:sz="0" w:space="0" w:color="auto"/>
          </w:divBdr>
        </w:div>
        <w:div w:id="66655199">
          <w:marLeft w:val="0"/>
          <w:marRight w:val="0"/>
          <w:marTop w:val="0"/>
          <w:marBottom w:val="0"/>
          <w:divBdr>
            <w:top w:val="none" w:sz="0" w:space="0" w:color="auto"/>
            <w:left w:val="none" w:sz="0" w:space="0" w:color="auto"/>
            <w:bottom w:val="none" w:sz="0" w:space="0" w:color="auto"/>
            <w:right w:val="none" w:sz="0" w:space="0" w:color="auto"/>
          </w:divBdr>
        </w:div>
        <w:div w:id="1317688909">
          <w:marLeft w:val="0"/>
          <w:marRight w:val="0"/>
          <w:marTop w:val="0"/>
          <w:marBottom w:val="0"/>
          <w:divBdr>
            <w:top w:val="none" w:sz="0" w:space="0" w:color="auto"/>
            <w:left w:val="none" w:sz="0" w:space="0" w:color="auto"/>
            <w:bottom w:val="none" w:sz="0" w:space="0" w:color="auto"/>
            <w:right w:val="none" w:sz="0" w:space="0" w:color="auto"/>
          </w:divBdr>
        </w:div>
        <w:div w:id="1780643966">
          <w:marLeft w:val="0"/>
          <w:marRight w:val="0"/>
          <w:marTop w:val="0"/>
          <w:marBottom w:val="0"/>
          <w:divBdr>
            <w:top w:val="none" w:sz="0" w:space="0" w:color="auto"/>
            <w:left w:val="none" w:sz="0" w:space="0" w:color="auto"/>
            <w:bottom w:val="none" w:sz="0" w:space="0" w:color="auto"/>
            <w:right w:val="none" w:sz="0" w:space="0" w:color="auto"/>
          </w:divBdr>
        </w:div>
        <w:div w:id="451049823">
          <w:marLeft w:val="0"/>
          <w:marRight w:val="0"/>
          <w:marTop w:val="0"/>
          <w:marBottom w:val="0"/>
          <w:divBdr>
            <w:top w:val="none" w:sz="0" w:space="0" w:color="auto"/>
            <w:left w:val="none" w:sz="0" w:space="0" w:color="auto"/>
            <w:bottom w:val="none" w:sz="0" w:space="0" w:color="auto"/>
            <w:right w:val="none" w:sz="0" w:space="0" w:color="auto"/>
          </w:divBdr>
        </w:div>
        <w:div w:id="1657687298">
          <w:marLeft w:val="0"/>
          <w:marRight w:val="0"/>
          <w:marTop w:val="0"/>
          <w:marBottom w:val="0"/>
          <w:divBdr>
            <w:top w:val="none" w:sz="0" w:space="0" w:color="auto"/>
            <w:left w:val="none" w:sz="0" w:space="0" w:color="auto"/>
            <w:bottom w:val="none" w:sz="0" w:space="0" w:color="auto"/>
            <w:right w:val="none" w:sz="0" w:space="0" w:color="auto"/>
          </w:divBdr>
        </w:div>
        <w:div w:id="1849565122">
          <w:marLeft w:val="0"/>
          <w:marRight w:val="0"/>
          <w:marTop w:val="0"/>
          <w:marBottom w:val="0"/>
          <w:divBdr>
            <w:top w:val="none" w:sz="0" w:space="0" w:color="auto"/>
            <w:left w:val="none" w:sz="0" w:space="0" w:color="auto"/>
            <w:bottom w:val="none" w:sz="0" w:space="0" w:color="auto"/>
            <w:right w:val="none" w:sz="0" w:space="0" w:color="auto"/>
          </w:divBdr>
        </w:div>
        <w:div w:id="1671836505">
          <w:marLeft w:val="0"/>
          <w:marRight w:val="0"/>
          <w:marTop w:val="0"/>
          <w:marBottom w:val="0"/>
          <w:divBdr>
            <w:top w:val="none" w:sz="0" w:space="0" w:color="auto"/>
            <w:left w:val="none" w:sz="0" w:space="0" w:color="auto"/>
            <w:bottom w:val="none" w:sz="0" w:space="0" w:color="auto"/>
            <w:right w:val="none" w:sz="0" w:space="0" w:color="auto"/>
          </w:divBdr>
        </w:div>
        <w:div w:id="17270996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31731</Words>
  <Characters>18087</Characters>
  <Application>Microsoft Office Word</Application>
  <DocSecurity>0</DocSecurity>
  <Lines>150</Lines>
  <Paragraphs>99</Paragraphs>
  <ScaleCrop>false</ScaleCrop>
  <Company/>
  <LinksUpToDate>false</LinksUpToDate>
  <CharactersWithSpaces>49719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2020-03-19T14:14:00Z</dcterms:created>
  <dcterms:modified xsi:type="dcterms:W3CDTF">2020-08-26T08:15:00Z</dcterms:modified>
</cp:coreProperties>
</file>