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43E26" w14:textId="77777777" w:rsidR="0017401B" w:rsidRPr="0017401B" w:rsidRDefault="0017401B" w:rsidP="0017401B">
      <w:pPr>
        <w:spacing w:after="0" w:line="240" w:lineRule="auto"/>
        <w:jc w:val="both"/>
        <w:rPr>
          <w:rFonts w:ascii="Times New Roman" w:hAnsi="Times New Roman" w:cs="Times New Roman"/>
          <w:sz w:val="24"/>
        </w:rPr>
      </w:pPr>
    </w:p>
    <w:p w14:paraId="0570F6D3" w14:textId="77777777" w:rsidR="0017401B" w:rsidRPr="0017401B" w:rsidRDefault="0017401B" w:rsidP="0017401B">
      <w:pPr>
        <w:spacing w:after="0" w:line="240" w:lineRule="auto"/>
        <w:jc w:val="right"/>
        <w:rPr>
          <w:rFonts w:ascii="Times New Roman" w:hAnsi="Times New Roman" w:cs="Times New Roman"/>
          <w:sz w:val="24"/>
        </w:rPr>
      </w:pPr>
      <w:r w:rsidRPr="0017401B">
        <w:rPr>
          <w:rFonts w:ascii="Times New Roman" w:hAnsi="Times New Roman" w:cs="Times New Roman"/>
          <w:sz w:val="24"/>
        </w:rPr>
        <w:t xml:space="preserve">The </w:t>
      </w:r>
      <w:r w:rsidRPr="0017401B">
        <w:rPr>
          <w:rFonts w:ascii="Times New Roman" w:hAnsi="Times New Roman" w:cs="Times New Roman"/>
          <w:i/>
          <w:sz w:val="24"/>
        </w:rPr>
        <w:t>Saeima</w:t>
      </w:r>
      <w:r w:rsidRPr="0017401B">
        <w:rPr>
          <w:rFonts w:ascii="Times New Roman" w:hAnsi="Times New Roman" w:cs="Times New Roman"/>
          <w:sz w:val="24"/>
        </w:rPr>
        <w:t> </w:t>
      </w:r>
      <w:r w:rsidRPr="0017401B">
        <w:rPr>
          <w:rFonts w:ascii="Times New Roman" w:hAnsi="Times New Roman" w:cs="Times New Roman"/>
          <w:sz w:val="24"/>
          <w:vertAlign w:val="superscript"/>
        </w:rPr>
        <w:t>1</w:t>
      </w:r>
      <w:r w:rsidRPr="0017401B">
        <w:rPr>
          <w:rFonts w:ascii="Times New Roman" w:hAnsi="Times New Roman" w:cs="Times New Roman"/>
          <w:sz w:val="24"/>
        </w:rPr>
        <w:t xml:space="preserve"> has adopted and</w:t>
      </w:r>
    </w:p>
    <w:p w14:paraId="59B9A6E9" w14:textId="77777777" w:rsidR="0017401B" w:rsidRPr="0017401B" w:rsidRDefault="0017401B" w:rsidP="0017401B">
      <w:pPr>
        <w:spacing w:after="0" w:line="240" w:lineRule="auto"/>
        <w:jc w:val="right"/>
        <w:rPr>
          <w:rFonts w:ascii="Times New Roman" w:hAnsi="Times New Roman" w:cs="Times New Roman"/>
          <w:sz w:val="24"/>
        </w:rPr>
      </w:pPr>
      <w:r w:rsidRPr="0017401B">
        <w:rPr>
          <w:rFonts w:ascii="Times New Roman" w:hAnsi="Times New Roman" w:cs="Times New Roman"/>
          <w:sz w:val="24"/>
        </w:rPr>
        <w:t>the President has proclaimed the following law:</w:t>
      </w:r>
    </w:p>
    <w:p w14:paraId="42452391" w14:textId="77777777" w:rsidR="0017401B" w:rsidRPr="0017401B" w:rsidRDefault="0017401B" w:rsidP="0017401B">
      <w:pPr>
        <w:pStyle w:val="H3"/>
        <w:keepNext w:val="0"/>
        <w:spacing w:before="0" w:after="0"/>
        <w:jc w:val="both"/>
        <w:rPr>
          <w:b w:val="0"/>
          <w:sz w:val="24"/>
          <w:lang w:val="en-GB"/>
        </w:rPr>
      </w:pPr>
    </w:p>
    <w:p w14:paraId="7172533B" w14:textId="77777777" w:rsidR="0017401B" w:rsidRPr="0017401B" w:rsidRDefault="0017401B" w:rsidP="0017401B">
      <w:pPr>
        <w:spacing w:after="0" w:line="240" w:lineRule="auto"/>
        <w:rPr>
          <w:rFonts w:ascii="Times New Roman" w:hAnsi="Times New Roman" w:cs="Times New Roman"/>
          <w:sz w:val="24"/>
        </w:rPr>
      </w:pPr>
    </w:p>
    <w:p w14:paraId="559AD012" w14:textId="3DDA03FA" w:rsidR="005624AD" w:rsidRPr="0017401B" w:rsidRDefault="005624AD" w:rsidP="005624AD">
      <w:pPr>
        <w:spacing w:after="0" w:line="240" w:lineRule="auto"/>
        <w:jc w:val="center"/>
        <w:rPr>
          <w:rFonts w:ascii="Times New Roman" w:eastAsia="Times New Roman" w:hAnsi="Times New Roman" w:cs="Times New Roman"/>
          <w:b/>
          <w:bCs/>
          <w:noProof/>
          <w:sz w:val="28"/>
          <w:szCs w:val="28"/>
        </w:rPr>
      </w:pPr>
      <w:r w:rsidRPr="0017401B">
        <w:rPr>
          <w:rFonts w:ascii="Times New Roman" w:hAnsi="Times New Roman" w:cs="Times New Roman"/>
          <w:b/>
          <w:bCs/>
          <w:sz w:val="28"/>
          <w:szCs w:val="28"/>
        </w:rPr>
        <w:t>On the UNESCO Convention of 14 November 1970 on the Means of Prohibiting and Preventing the Illicit Import, Export and Transfer of Ownership of Cultural Property</w:t>
      </w:r>
      <w:bookmarkStart w:id="0" w:name="_GoBack"/>
      <w:bookmarkEnd w:id="0"/>
    </w:p>
    <w:p w14:paraId="6FD7675B" w14:textId="35A51096" w:rsidR="005624AD" w:rsidRPr="0017401B" w:rsidRDefault="005624AD" w:rsidP="005624AD">
      <w:pPr>
        <w:spacing w:after="0" w:line="240" w:lineRule="auto"/>
        <w:jc w:val="both"/>
        <w:rPr>
          <w:rFonts w:ascii="Times New Roman" w:eastAsia="Times New Roman" w:hAnsi="Times New Roman" w:cs="Times New Roman"/>
          <w:b/>
          <w:bCs/>
          <w:noProof/>
          <w:sz w:val="24"/>
          <w:szCs w:val="27"/>
          <w:lang w:val="en-US" w:eastAsia="lv-LV"/>
        </w:rPr>
      </w:pPr>
    </w:p>
    <w:p w14:paraId="187A0E28" w14:textId="77777777" w:rsidR="005624AD" w:rsidRPr="0017401B" w:rsidRDefault="005624AD" w:rsidP="005624AD">
      <w:pPr>
        <w:spacing w:after="0" w:line="240" w:lineRule="auto"/>
        <w:jc w:val="both"/>
        <w:rPr>
          <w:rFonts w:ascii="Times New Roman" w:eastAsia="Times New Roman" w:hAnsi="Times New Roman" w:cs="Times New Roman"/>
          <w:b/>
          <w:bCs/>
          <w:noProof/>
          <w:sz w:val="24"/>
          <w:szCs w:val="27"/>
          <w:lang w:val="en-US" w:eastAsia="lv-LV"/>
        </w:rPr>
      </w:pPr>
    </w:p>
    <w:p w14:paraId="2F2D33FB" w14:textId="77777777" w:rsidR="005624AD" w:rsidRPr="0017401B" w:rsidRDefault="005624AD" w:rsidP="005624AD">
      <w:pPr>
        <w:spacing w:after="0" w:line="240" w:lineRule="auto"/>
        <w:jc w:val="both"/>
        <w:rPr>
          <w:rFonts w:ascii="Times New Roman" w:eastAsia="Times New Roman" w:hAnsi="Times New Roman" w:cs="Times New Roman"/>
          <w:noProof/>
          <w:sz w:val="24"/>
          <w:szCs w:val="24"/>
        </w:rPr>
      </w:pPr>
      <w:r w:rsidRPr="0017401B">
        <w:rPr>
          <w:rFonts w:ascii="Times New Roman" w:hAnsi="Times New Roman" w:cs="Times New Roman"/>
          <w:b/>
          <w:bCs/>
          <w:sz w:val="24"/>
          <w:szCs w:val="24"/>
        </w:rPr>
        <w:t xml:space="preserve">Section 1. </w:t>
      </w:r>
      <w:r w:rsidRPr="0017401B">
        <w:rPr>
          <w:rFonts w:ascii="Times New Roman" w:hAnsi="Times New Roman" w:cs="Times New Roman"/>
          <w:sz w:val="24"/>
          <w:szCs w:val="24"/>
        </w:rPr>
        <w:t>This Law adopts and accepts the UNESCO Convention of 14 November 1970 on the Means of Prohibiting and Preventing the Illicit Import, Export and Transfer of Ownership of Cultural Property (hereinafter – the Convention).</w:t>
      </w:r>
    </w:p>
    <w:p w14:paraId="7D8E64F9" w14:textId="77777777" w:rsidR="005624AD" w:rsidRPr="0017401B" w:rsidRDefault="005624AD" w:rsidP="005624AD">
      <w:pPr>
        <w:spacing w:after="0" w:line="240" w:lineRule="auto"/>
        <w:jc w:val="both"/>
        <w:rPr>
          <w:rFonts w:ascii="Times New Roman" w:eastAsia="Times New Roman" w:hAnsi="Times New Roman" w:cs="Times New Roman"/>
          <w:b/>
          <w:bCs/>
          <w:noProof/>
          <w:sz w:val="24"/>
          <w:szCs w:val="24"/>
          <w:lang w:val="en-US" w:eastAsia="lv-LV"/>
        </w:rPr>
      </w:pPr>
    </w:p>
    <w:p w14:paraId="742FFE2B" w14:textId="1D7DC8D5" w:rsidR="005624AD" w:rsidRPr="0017401B" w:rsidRDefault="005624AD" w:rsidP="005624AD">
      <w:pPr>
        <w:spacing w:after="0" w:line="240" w:lineRule="auto"/>
        <w:jc w:val="both"/>
        <w:rPr>
          <w:rFonts w:ascii="Times New Roman" w:eastAsia="Times New Roman" w:hAnsi="Times New Roman" w:cs="Times New Roman"/>
          <w:noProof/>
          <w:sz w:val="24"/>
          <w:szCs w:val="24"/>
        </w:rPr>
      </w:pPr>
      <w:r w:rsidRPr="0017401B">
        <w:rPr>
          <w:rFonts w:ascii="Times New Roman" w:hAnsi="Times New Roman" w:cs="Times New Roman"/>
          <w:b/>
          <w:bCs/>
          <w:sz w:val="24"/>
          <w:szCs w:val="24"/>
        </w:rPr>
        <w:t xml:space="preserve">Section 2. </w:t>
      </w:r>
      <w:r w:rsidRPr="0017401B">
        <w:rPr>
          <w:rFonts w:ascii="Times New Roman" w:hAnsi="Times New Roman" w:cs="Times New Roman"/>
          <w:sz w:val="24"/>
          <w:szCs w:val="24"/>
        </w:rPr>
        <w:t>The fulfilment of the commitments of the Convention shall be coordinated by the Ministry of Culture.</w:t>
      </w:r>
    </w:p>
    <w:p w14:paraId="43D125DF" w14:textId="77777777" w:rsidR="005624AD" w:rsidRPr="0017401B" w:rsidRDefault="005624AD" w:rsidP="005624AD">
      <w:pPr>
        <w:spacing w:after="0" w:line="240" w:lineRule="auto"/>
        <w:jc w:val="both"/>
        <w:rPr>
          <w:rFonts w:ascii="Times New Roman" w:eastAsia="Times New Roman" w:hAnsi="Times New Roman" w:cs="Times New Roman"/>
          <w:b/>
          <w:bCs/>
          <w:noProof/>
          <w:sz w:val="24"/>
          <w:szCs w:val="24"/>
          <w:lang w:val="en-US" w:eastAsia="lv-LV"/>
        </w:rPr>
      </w:pPr>
    </w:p>
    <w:p w14:paraId="7036BD97" w14:textId="5AC49D3D" w:rsidR="005624AD" w:rsidRPr="0017401B" w:rsidRDefault="005624AD" w:rsidP="005624AD">
      <w:pPr>
        <w:spacing w:after="0" w:line="240" w:lineRule="auto"/>
        <w:jc w:val="both"/>
        <w:rPr>
          <w:rFonts w:ascii="Times New Roman" w:eastAsia="Times New Roman" w:hAnsi="Times New Roman" w:cs="Times New Roman"/>
          <w:noProof/>
          <w:sz w:val="24"/>
          <w:szCs w:val="24"/>
        </w:rPr>
      </w:pPr>
      <w:r w:rsidRPr="0017401B">
        <w:rPr>
          <w:rFonts w:ascii="Times New Roman" w:hAnsi="Times New Roman" w:cs="Times New Roman"/>
          <w:b/>
          <w:bCs/>
          <w:sz w:val="24"/>
          <w:szCs w:val="24"/>
        </w:rPr>
        <w:t xml:space="preserve">Section 3. </w:t>
      </w:r>
      <w:r w:rsidRPr="0017401B">
        <w:rPr>
          <w:rFonts w:ascii="Times New Roman" w:hAnsi="Times New Roman" w:cs="Times New Roman"/>
          <w:sz w:val="24"/>
          <w:szCs w:val="24"/>
        </w:rPr>
        <w:t xml:space="preserve">The Convention shall enter into force at the time and under the procedures specified in Article 21 of the Convention, and the Ministry of Foreign Affairs shall announce it in the official gazette </w:t>
      </w:r>
      <w:r w:rsidRPr="0017401B">
        <w:rPr>
          <w:rFonts w:ascii="Times New Roman" w:hAnsi="Times New Roman" w:cs="Times New Roman"/>
          <w:i/>
          <w:iCs/>
          <w:sz w:val="24"/>
          <w:szCs w:val="24"/>
        </w:rPr>
        <w:t>Latvijas Vēstnesis</w:t>
      </w:r>
      <w:r w:rsidRPr="0017401B">
        <w:rPr>
          <w:rFonts w:ascii="Times New Roman" w:hAnsi="Times New Roman" w:cs="Times New Roman"/>
          <w:sz w:val="24"/>
          <w:szCs w:val="24"/>
        </w:rPr>
        <w:t>.</w:t>
      </w:r>
    </w:p>
    <w:p w14:paraId="197076D4" w14:textId="77777777" w:rsidR="005624AD" w:rsidRPr="0017401B" w:rsidRDefault="005624AD" w:rsidP="005624AD">
      <w:pPr>
        <w:spacing w:after="0" w:line="240" w:lineRule="auto"/>
        <w:jc w:val="both"/>
        <w:rPr>
          <w:rFonts w:ascii="Times New Roman" w:eastAsia="Times New Roman" w:hAnsi="Times New Roman" w:cs="Times New Roman"/>
          <w:b/>
          <w:bCs/>
          <w:noProof/>
          <w:sz w:val="24"/>
          <w:szCs w:val="24"/>
          <w:lang w:val="en-US" w:eastAsia="lv-LV"/>
        </w:rPr>
      </w:pPr>
    </w:p>
    <w:p w14:paraId="7F14415D" w14:textId="49A6A764" w:rsidR="005624AD" w:rsidRPr="0017401B" w:rsidRDefault="005624AD" w:rsidP="005624AD">
      <w:pPr>
        <w:spacing w:after="0" w:line="240" w:lineRule="auto"/>
        <w:jc w:val="both"/>
        <w:rPr>
          <w:rFonts w:ascii="Times New Roman" w:eastAsia="Times New Roman" w:hAnsi="Times New Roman" w:cs="Times New Roman"/>
          <w:noProof/>
          <w:sz w:val="24"/>
          <w:szCs w:val="24"/>
        </w:rPr>
      </w:pPr>
      <w:r w:rsidRPr="0017401B">
        <w:rPr>
          <w:rFonts w:ascii="Times New Roman" w:hAnsi="Times New Roman" w:cs="Times New Roman"/>
          <w:b/>
          <w:bCs/>
          <w:sz w:val="24"/>
          <w:szCs w:val="24"/>
        </w:rPr>
        <w:t xml:space="preserve">Section 4. </w:t>
      </w:r>
      <w:r w:rsidRPr="0017401B">
        <w:rPr>
          <w:rFonts w:ascii="Times New Roman" w:hAnsi="Times New Roman" w:cs="Times New Roman"/>
          <w:sz w:val="24"/>
          <w:szCs w:val="24"/>
        </w:rPr>
        <w:t>This Law shall come into force on the day following its proclamation. The Convention in the English language and its translation into the Latvian language shall be announced concurrently with the Law.</w:t>
      </w:r>
    </w:p>
    <w:p w14:paraId="22A6A1BA" w14:textId="77777777" w:rsidR="005624AD" w:rsidRPr="0017401B" w:rsidRDefault="005624AD" w:rsidP="005624AD">
      <w:pPr>
        <w:spacing w:after="0" w:line="240" w:lineRule="auto"/>
        <w:jc w:val="both"/>
        <w:rPr>
          <w:rFonts w:ascii="Times New Roman" w:eastAsia="Times New Roman" w:hAnsi="Times New Roman" w:cs="Times New Roman"/>
          <w:noProof/>
          <w:sz w:val="24"/>
          <w:szCs w:val="24"/>
          <w:lang w:val="en-US" w:eastAsia="lv-LV"/>
        </w:rPr>
      </w:pPr>
    </w:p>
    <w:p w14:paraId="5951F6E1" w14:textId="77777777" w:rsidR="005624AD" w:rsidRPr="0017401B" w:rsidRDefault="005624AD" w:rsidP="005624AD">
      <w:pPr>
        <w:spacing w:after="0" w:line="240" w:lineRule="auto"/>
        <w:jc w:val="both"/>
        <w:rPr>
          <w:rFonts w:ascii="Times New Roman" w:eastAsia="Times New Roman" w:hAnsi="Times New Roman" w:cs="Times New Roman"/>
          <w:noProof/>
          <w:sz w:val="24"/>
          <w:szCs w:val="24"/>
          <w:lang w:val="en-US" w:eastAsia="lv-LV"/>
        </w:rPr>
      </w:pPr>
    </w:p>
    <w:p w14:paraId="471C8233" w14:textId="6D971D75" w:rsidR="005624AD" w:rsidRPr="0017401B" w:rsidRDefault="005624AD" w:rsidP="005624AD">
      <w:pPr>
        <w:spacing w:after="0" w:line="240" w:lineRule="auto"/>
        <w:jc w:val="both"/>
        <w:rPr>
          <w:rFonts w:ascii="Times New Roman" w:eastAsia="Times New Roman" w:hAnsi="Times New Roman" w:cs="Times New Roman"/>
          <w:noProof/>
          <w:sz w:val="24"/>
          <w:szCs w:val="24"/>
        </w:rPr>
      </w:pPr>
      <w:r w:rsidRPr="0017401B">
        <w:rPr>
          <w:rFonts w:ascii="Times New Roman" w:hAnsi="Times New Roman" w:cs="Times New Roman"/>
          <w:sz w:val="24"/>
          <w:szCs w:val="24"/>
        </w:rPr>
        <w:t xml:space="preserve">This Law has been adopted by the </w:t>
      </w:r>
      <w:r w:rsidRPr="0017401B">
        <w:rPr>
          <w:rFonts w:ascii="Times New Roman" w:hAnsi="Times New Roman" w:cs="Times New Roman"/>
          <w:i/>
          <w:iCs/>
          <w:sz w:val="24"/>
          <w:szCs w:val="24"/>
        </w:rPr>
        <w:t>Saeima</w:t>
      </w:r>
      <w:r w:rsidRPr="0017401B">
        <w:rPr>
          <w:rFonts w:ascii="Times New Roman" w:hAnsi="Times New Roman" w:cs="Times New Roman"/>
          <w:sz w:val="24"/>
          <w:szCs w:val="24"/>
        </w:rPr>
        <w:t xml:space="preserve"> on 1 November 2018.</w:t>
      </w:r>
    </w:p>
    <w:p w14:paraId="16ECE001" w14:textId="77777777" w:rsidR="005624AD" w:rsidRPr="0017401B" w:rsidRDefault="005624AD" w:rsidP="005624AD">
      <w:pPr>
        <w:spacing w:after="0" w:line="240" w:lineRule="auto"/>
        <w:jc w:val="both"/>
        <w:rPr>
          <w:rFonts w:ascii="Times New Roman" w:eastAsia="Times New Roman" w:hAnsi="Times New Roman" w:cs="Times New Roman"/>
          <w:noProof/>
          <w:sz w:val="24"/>
          <w:szCs w:val="24"/>
          <w:lang w:val="en-US" w:eastAsia="lv-LV"/>
        </w:rPr>
      </w:pPr>
    </w:p>
    <w:p w14:paraId="58F3B892" w14:textId="77777777" w:rsidR="005624AD" w:rsidRPr="0017401B" w:rsidRDefault="005624AD" w:rsidP="005624AD">
      <w:pPr>
        <w:spacing w:after="0" w:line="240" w:lineRule="auto"/>
        <w:jc w:val="both"/>
        <w:rPr>
          <w:rFonts w:ascii="Times New Roman" w:eastAsia="Times New Roman" w:hAnsi="Times New Roman" w:cs="Times New Roman"/>
          <w:noProof/>
          <w:sz w:val="24"/>
          <w:szCs w:val="24"/>
          <w:lang w:val="en-US" w:eastAsia="lv-LV"/>
        </w:rPr>
      </w:pPr>
    </w:p>
    <w:p w14:paraId="2BBBAA48" w14:textId="05F1C590" w:rsidR="005624AD" w:rsidRPr="0017401B" w:rsidRDefault="005624AD" w:rsidP="005624AD">
      <w:pPr>
        <w:spacing w:after="0" w:line="240" w:lineRule="auto"/>
        <w:jc w:val="both"/>
        <w:rPr>
          <w:rFonts w:ascii="Times New Roman" w:eastAsia="Times New Roman" w:hAnsi="Times New Roman" w:cs="Times New Roman"/>
          <w:i/>
          <w:iCs/>
          <w:noProof/>
          <w:sz w:val="24"/>
          <w:szCs w:val="24"/>
        </w:rPr>
      </w:pPr>
      <w:r w:rsidRPr="0017401B">
        <w:rPr>
          <w:rFonts w:ascii="Times New Roman" w:hAnsi="Times New Roman" w:cs="Times New Roman"/>
          <w:sz w:val="24"/>
          <w:szCs w:val="24"/>
        </w:rPr>
        <w:t>President</w:t>
      </w:r>
      <w:r w:rsidR="0017401B" w:rsidRPr="0017401B">
        <w:rPr>
          <w:rFonts w:ascii="Times New Roman" w:hAnsi="Times New Roman" w:cs="Times New Roman"/>
          <w:sz w:val="24"/>
          <w:szCs w:val="24"/>
        </w:rPr>
        <w:tab/>
      </w:r>
      <w:r w:rsidR="0017401B" w:rsidRPr="0017401B">
        <w:rPr>
          <w:rFonts w:ascii="Times New Roman" w:hAnsi="Times New Roman" w:cs="Times New Roman"/>
          <w:sz w:val="24"/>
          <w:szCs w:val="24"/>
        </w:rPr>
        <w:tab/>
      </w:r>
      <w:r w:rsidR="0017401B" w:rsidRPr="0017401B">
        <w:rPr>
          <w:rFonts w:ascii="Times New Roman" w:hAnsi="Times New Roman" w:cs="Times New Roman"/>
          <w:sz w:val="24"/>
          <w:szCs w:val="24"/>
        </w:rPr>
        <w:tab/>
      </w:r>
      <w:r w:rsidR="0017401B" w:rsidRPr="0017401B">
        <w:rPr>
          <w:rFonts w:ascii="Times New Roman" w:hAnsi="Times New Roman" w:cs="Times New Roman"/>
          <w:sz w:val="24"/>
          <w:szCs w:val="24"/>
        </w:rPr>
        <w:tab/>
      </w:r>
      <w:r w:rsidR="0017401B" w:rsidRPr="0017401B">
        <w:rPr>
          <w:rFonts w:ascii="Times New Roman" w:hAnsi="Times New Roman" w:cs="Times New Roman"/>
          <w:sz w:val="24"/>
          <w:szCs w:val="24"/>
        </w:rPr>
        <w:tab/>
      </w:r>
      <w:r w:rsidR="0017401B" w:rsidRPr="0017401B">
        <w:rPr>
          <w:rFonts w:ascii="Times New Roman" w:hAnsi="Times New Roman" w:cs="Times New Roman"/>
          <w:sz w:val="24"/>
          <w:szCs w:val="24"/>
        </w:rPr>
        <w:tab/>
      </w:r>
      <w:r w:rsidR="0017401B" w:rsidRPr="0017401B">
        <w:rPr>
          <w:rFonts w:ascii="Times New Roman" w:hAnsi="Times New Roman" w:cs="Times New Roman"/>
          <w:sz w:val="24"/>
          <w:szCs w:val="24"/>
        </w:rPr>
        <w:tab/>
      </w:r>
      <w:r w:rsidR="0017401B" w:rsidRPr="0017401B">
        <w:rPr>
          <w:rFonts w:ascii="Times New Roman" w:hAnsi="Times New Roman" w:cs="Times New Roman"/>
          <w:sz w:val="24"/>
          <w:szCs w:val="24"/>
        </w:rPr>
        <w:tab/>
      </w:r>
      <w:r w:rsidR="0017401B" w:rsidRPr="0017401B">
        <w:rPr>
          <w:rFonts w:ascii="Times New Roman" w:hAnsi="Times New Roman" w:cs="Times New Roman"/>
          <w:sz w:val="24"/>
          <w:szCs w:val="24"/>
        </w:rPr>
        <w:tab/>
      </w:r>
      <w:r w:rsidR="0017401B" w:rsidRPr="0017401B">
        <w:rPr>
          <w:rFonts w:ascii="Times New Roman" w:hAnsi="Times New Roman" w:cs="Times New Roman"/>
          <w:sz w:val="24"/>
          <w:szCs w:val="24"/>
        </w:rPr>
        <w:tab/>
      </w:r>
      <w:r w:rsidRPr="0017401B">
        <w:rPr>
          <w:rFonts w:ascii="Times New Roman" w:hAnsi="Times New Roman" w:cs="Times New Roman"/>
          <w:sz w:val="24"/>
          <w:szCs w:val="24"/>
        </w:rPr>
        <w:t>R .Vējonis</w:t>
      </w:r>
    </w:p>
    <w:p w14:paraId="2BA45E89" w14:textId="77777777" w:rsidR="005624AD" w:rsidRPr="0017401B" w:rsidRDefault="005624AD" w:rsidP="005624AD">
      <w:pPr>
        <w:spacing w:after="0" w:line="240" w:lineRule="auto"/>
        <w:jc w:val="both"/>
        <w:rPr>
          <w:rFonts w:ascii="Times New Roman" w:eastAsia="Times New Roman" w:hAnsi="Times New Roman" w:cs="Times New Roman"/>
          <w:noProof/>
          <w:sz w:val="24"/>
          <w:szCs w:val="24"/>
          <w:lang w:val="en-US" w:eastAsia="lv-LV"/>
        </w:rPr>
      </w:pPr>
    </w:p>
    <w:p w14:paraId="59805822" w14:textId="1EA0B15B" w:rsidR="005624AD" w:rsidRPr="0017401B" w:rsidRDefault="005624AD" w:rsidP="005624AD">
      <w:pPr>
        <w:spacing w:after="0" w:line="240" w:lineRule="auto"/>
        <w:jc w:val="both"/>
        <w:rPr>
          <w:rFonts w:ascii="Times New Roman" w:eastAsia="Times New Roman" w:hAnsi="Times New Roman" w:cs="Times New Roman"/>
          <w:noProof/>
          <w:sz w:val="24"/>
          <w:szCs w:val="24"/>
        </w:rPr>
      </w:pPr>
      <w:r w:rsidRPr="0017401B">
        <w:rPr>
          <w:rFonts w:ascii="Times New Roman" w:hAnsi="Times New Roman" w:cs="Times New Roman"/>
          <w:sz w:val="24"/>
          <w:szCs w:val="24"/>
        </w:rPr>
        <w:t>Riga, 14 November 2018</w:t>
      </w:r>
    </w:p>
    <w:p w14:paraId="25ABF08F" w14:textId="15C0A2F0" w:rsidR="005624AD" w:rsidRPr="0017401B" w:rsidRDefault="005624AD" w:rsidP="005624AD">
      <w:pPr>
        <w:spacing w:after="0" w:line="240" w:lineRule="auto"/>
        <w:jc w:val="both"/>
        <w:rPr>
          <w:rFonts w:ascii="Times New Roman" w:eastAsia="Times New Roman" w:hAnsi="Times New Roman" w:cs="Times New Roman"/>
          <w:noProof/>
          <w:sz w:val="24"/>
          <w:szCs w:val="24"/>
          <w:lang w:val="en-US" w:eastAsia="lv-LV"/>
        </w:rPr>
      </w:pPr>
    </w:p>
    <w:sectPr w:rsidR="005624AD" w:rsidRPr="0017401B" w:rsidSect="005624AD">
      <w:footerReference w:type="first" r:id="rId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7642C" w14:textId="77777777" w:rsidR="005624AD" w:rsidRPr="005624AD" w:rsidRDefault="005624AD" w:rsidP="005624AD">
      <w:pPr>
        <w:spacing w:after="0" w:line="240" w:lineRule="auto"/>
        <w:rPr>
          <w:noProof/>
          <w:lang w:val="en-US"/>
        </w:rPr>
      </w:pPr>
      <w:r w:rsidRPr="005624AD">
        <w:rPr>
          <w:noProof/>
          <w:lang w:val="en-US"/>
        </w:rPr>
        <w:separator/>
      </w:r>
    </w:p>
  </w:endnote>
  <w:endnote w:type="continuationSeparator" w:id="0">
    <w:p w14:paraId="08786C69" w14:textId="77777777" w:rsidR="005624AD" w:rsidRPr="005624AD" w:rsidRDefault="005624AD" w:rsidP="005624AD">
      <w:pPr>
        <w:spacing w:after="0" w:line="240" w:lineRule="auto"/>
        <w:rPr>
          <w:noProof/>
          <w:lang w:val="en-US"/>
        </w:rPr>
      </w:pPr>
      <w:r w:rsidRPr="005624A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04B0" w14:textId="77777777" w:rsidR="0017401B" w:rsidRPr="000615C7" w:rsidRDefault="0017401B" w:rsidP="0017401B">
    <w:pPr>
      <w:pStyle w:val="Kjene"/>
      <w:rPr>
        <w:rFonts w:ascii="Times New Roman" w:hAnsi="Times New Roman"/>
        <w:sz w:val="20"/>
        <w:szCs w:val="20"/>
        <w:vertAlign w:val="superscript"/>
      </w:rPr>
    </w:pPr>
    <w:bookmarkStart w:id="1" w:name="_Hlk4057576"/>
    <w:bookmarkStart w:id="2" w:name="_Hlk4057577"/>
  </w:p>
  <w:p w14:paraId="4D88A8D5" w14:textId="77777777" w:rsidR="0017401B" w:rsidRPr="000615C7" w:rsidRDefault="0017401B" w:rsidP="0017401B">
    <w:pPr>
      <w:pStyle w:val="Kjene"/>
      <w:rPr>
        <w:rFonts w:ascii="Times New Roman" w:hAnsi="Times New Roman"/>
        <w:sz w:val="20"/>
        <w:szCs w:val="20"/>
      </w:rPr>
    </w:pPr>
    <w:r w:rsidRPr="000615C7">
      <w:rPr>
        <w:rFonts w:ascii="Times New Roman" w:hAnsi="Times New Roman"/>
        <w:sz w:val="20"/>
        <w:szCs w:val="20"/>
        <w:vertAlign w:val="superscript"/>
      </w:rPr>
      <w:t>1</w:t>
    </w:r>
    <w:r w:rsidRPr="000615C7">
      <w:rPr>
        <w:rFonts w:ascii="Times New Roman" w:hAnsi="Times New Roman"/>
        <w:sz w:val="20"/>
        <w:szCs w:val="20"/>
      </w:rPr>
      <w:t xml:space="preserve"> The Parliament of the Republic of Latvia</w:t>
    </w:r>
  </w:p>
  <w:p w14:paraId="0EC1C581" w14:textId="77777777" w:rsidR="0017401B" w:rsidRPr="000615C7" w:rsidRDefault="0017401B" w:rsidP="0017401B">
    <w:pPr>
      <w:pStyle w:val="Kjene"/>
      <w:rPr>
        <w:rFonts w:ascii="Times New Roman" w:hAnsi="Times New Roman"/>
        <w:sz w:val="20"/>
        <w:szCs w:val="20"/>
      </w:rPr>
    </w:pPr>
  </w:p>
  <w:p w14:paraId="3AC29C56" w14:textId="77777777" w:rsidR="0017401B" w:rsidRPr="000615C7" w:rsidRDefault="0017401B" w:rsidP="0017401B">
    <w:pPr>
      <w:pStyle w:val="Kjene"/>
      <w:rPr>
        <w:rFonts w:ascii="Times New Roman" w:hAnsi="Times New Roman"/>
        <w:sz w:val="20"/>
        <w:szCs w:val="20"/>
      </w:rPr>
    </w:pPr>
    <w:r w:rsidRPr="000615C7">
      <w:rPr>
        <w:rFonts w:ascii="Times New Roman" w:hAnsi="Times New Roman"/>
        <w:sz w:val="20"/>
        <w:szCs w:val="20"/>
      </w:rPr>
      <w:t xml:space="preserve">Translation </w:t>
    </w:r>
    <w:r w:rsidRPr="000615C7">
      <w:rPr>
        <w:rFonts w:ascii="Times New Roman" w:hAnsi="Times New Roman"/>
        <w:sz w:val="20"/>
        <w:szCs w:val="20"/>
      </w:rPr>
      <w:fldChar w:fldCharType="begin"/>
    </w:r>
    <w:r w:rsidRPr="000615C7">
      <w:rPr>
        <w:rFonts w:ascii="Times New Roman" w:hAnsi="Times New Roman"/>
        <w:sz w:val="20"/>
        <w:szCs w:val="20"/>
      </w:rPr>
      <w:instrText>symbol 169 \f "UnivrstyRoman TL" \s 8</w:instrText>
    </w:r>
    <w:r w:rsidRPr="000615C7">
      <w:rPr>
        <w:rFonts w:ascii="Times New Roman" w:hAnsi="Times New Roman"/>
        <w:sz w:val="20"/>
        <w:szCs w:val="20"/>
      </w:rPr>
      <w:fldChar w:fldCharType="separate"/>
    </w:r>
    <w:r w:rsidRPr="000615C7">
      <w:rPr>
        <w:rFonts w:ascii="Times New Roman" w:hAnsi="Times New Roman"/>
        <w:sz w:val="20"/>
        <w:szCs w:val="20"/>
      </w:rPr>
      <w:t>©</w:t>
    </w:r>
    <w:r w:rsidRPr="000615C7">
      <w:rPr>
        <w:rFonts w:ascii="Times New Roman" w:hAnsi="Times New Roman"/>
        <w:sz w:val="20"/>
        <w:szCs w:val="20"/>
      </w:rPr>
      <w:fldChar w:fldCharType="end"/>
    </w:r>
    <w:r w:rsidRPr="000615C7">
      <w:rPr>
        <w:rFonts w:ascii="Times New Roman" w:hAnsi="Times New Roman"/>
        <w:sz w:val="20"/>
        <w:szCs w:val="20"/>
      </w:rPr>
      <w:t xml:space="preserve"> 2019 Valsts valodas centrs (State Language Centre)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0434D" w14:textId="77777777" w:rsidR="005624AD" w:rsidRPr="005624AD" w:rsidRDefault="005624AD" w:rsidP="005624AD">
      <w:pPr>
        <w:spacing w:after="0" w:line="240" w:lineRule="auto"/>
        <w:rPr>
          <w:noProof/>
          <w:lang w:val="en-US"/>
        </w:rPr>
      </w:pPr>
      <w:r w:rsidRPr="005624AD">
        <w:rPr>
          <w:noProof/>
          <w:lang w:val="en-US"/>
        </w:rPr>
        <w:separator/>
      </w:r>
    </w:p>
  </w:footnote>
  <w:footnote w:type="continuationSeparator" w:id="0">
    <w:p w14:paraId="5310F6D3" w14:textId="77777777" w:rsidR="005624AD" w:rsidRPr="005624AD" w:rsidRDefault="005624AD" w:rsidP="005624AD">
      <w:pPr>
        <w:spacing w:after="0" w:line="240" w:lineRule="auto"/>
        <w:rPr>
          <w:noProof/>
          <w:lang w:val="en-US"/>
        </w:rPr>
      </w:pPr>
      <w:r w:rsidRPr="005624A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23"/>
    <w:rsid w:val="0017401B"/>
    <w:rsid w:val="002326EA"/>
    <w:rsid w:val="00463123"/>
    <w:rsid w:val="00530540"/>
    <w:rsid w:val="005624AD"/>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A61B"/>
  <w15:chartTrackingRefBased/>
  <w15:docId w15:val="{84D93978-481F-4AFE-B193-B61676ED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5624AD"/>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5624AD"/>
    <w:rPr>
      <w:rFonts w:ascii="Times New Roman" w:eastAsia="Times New Roman" w:hAnsi="Times New Roman" w:cs="Times New Roman"/>
      <w:b/>
      <w:bCs/>
      <w:sz w:val="27"/>
      <w:szCs w:val="27"/>
      <w:lang w:eastAsia="lv-LV"/>
    </w:rPr>
  </w:style>
  <w:style w:type="paragraph" w:customStyle="1" w:styleId="likc">
    <w:name w:val="lik_c"/>
    <w:basedOn w:val="Parasts"/>
    <w:rsid w:val="005624A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5624A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624AD"/>
    <w:rPr>
      <w:color w:val="0000FF"/>
      <w:u w:val="single"/>
    </w:rPr>
  </w:style>
  <w:style w:type="paragraph" w:customStyle="1" w:styleId="likparaksts">
    <w:name w:val="lik_paraksts"/>
    <w:basedOn w:val="Parasts"/>
    <w:rsid w:val="005624A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624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624AD"/>
  </w:style>
  <w:style w:type="paragraph" w:styleId="Kjene">
    <w:name w:val="footer"/>
    <w:basedOn w:val="Parasts"/>
    <w:link w:val="KjeneRakstz"/>
    <w:unhideWhenUsed/>
    <w:rsid w:val="005624A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624AD"/>
  </w:style>
  <w:style w:type="paragraph" w:customStyle="1" w:styleId="H3">
    <w:name w:val="H3"/>
    <w:basedOn w:val="Parasts"/>
    <w:next w:val="Parasts"/>
    <w:rsid w:val="0017401B"/>
    <w:pPr>
      <w:keepNext/>
      <w:spacing w:before="100" w:after="100" w:line="240" w:lineRule="auto"/>
      <w:outlineLvl w:val="3"/>
    </w:pPr>
    <w:rPr>
      <w:rFonts w:ascii="Times New Roman" w:eastAsia="Times New Roman" w:hAnsi="Times New Roman" w:cs="Times New Roman"/>
      <w:b/>
      <w:snapToGrid w:val="0"/>
      <w:sz w:val="28"/>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0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941</Characters>
  <Application>Microsoft Office Word</Application>
  <DocSecurity>0</DocSecurity>
  <Lines>32</Lines>
  <Paragraphs>10</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2019-06-27T11:37:00Z</dcterms:created>
  <dcterms:modified xsi:type="dcterms:W3CDTF">2019-07-02T10:47:00Z</dcterms:modified>
</cp:coreProperties>
</file>