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3B7606" w14:textId="77777777" w:rsidR="005370FC" w:rsidRPr="001D619B" w:rsidRDefault="005370FC" w:rsidP="001D619B">
      <w:pPr>
        <w:jc w:val="both"/>
        <w:rPr>
          <w:rFonts w:ascii="Times New Roman" w:eastAsia="Times New Roman" w:hAnsi="Times New Roman" w:cs="Times New Roman"/>
          <w:noProof/>
          <w:sz w:val="24"/>
          <w:szCs w:val="7"/>
        </w:rPr>
      </w:pPr>
    </w:p>
    <w:p w14:paraId="712BB15A" w14:textId="6D4160AA" w:rsidR="005370FC" w:rsidRPr="001D619B" w:rsidRDefault="001D619B" w:rsidP="001D619B">
      <w:pPr>
        <w:jc w:val="right"/>
        <w:rPr>
          <w:rFonts w:ascii="Times New Roman" w:eastAsia="Times New Roman" w:hAnsi="Times New Roman" w:cs="Times New Roman"/>
          <w:noProof/>
          <w:sz w:val="24"/>
          <w:szCs w:val="20"/>
        </w:rPr>
      </w:pPr>
      <w:r>
        <w:rPr>
          <w:rFonts w:ascii="Times New Roman" w:hAnsi="Times New Roman"/>
          <w:noProof/>
          <w:sz w:val="24"/>
          <w:szCs w:val="20"/>
        </w:rPr>
        <w:drawing>
          <wp:inline distT="0" distB="0" distL="0" distR="0" wp14:anchorId="07E77D20" wp14:editId="70FE77A8">
            <wp:extent cx="977900" cy="8718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900" cy="871855"/>
                    </a:xfrm>
                    <a:prstGeom prst="rect">
                      <a:avLst/>
                    </a:prstGeom>
                    <a:noFill/>
                    <a:ln>
                      <a:noFill/>
                    </a:ln>
                  </pic:spPr>
                </pic:pic>
              </a:graphicData>
            </a:graphic>
          </wp:inline>
        </w:drawing>
      </w:r>
    </w:p>
    <w:p w14:paraId="343FAD20" w14:textId="77777777" w:rsidR="005370FC" w:rsidRPr="001D619B" w:rsidRDefault="005370FC" w:rsidP="001D619B">
      <w:pPr>
        <w:jc w:val="both"/>
        <w:rPr>
          <w:rFonts w:ascii="Times New Roman" w:eastAsia="Times New Roman" w:hAnsi="Times New Roman" w:cs="Times New Roman"/>
          <w:noProof/>
          <w:sz w:val="24"/>
          <w:szCs w:val="20"/>
        </w:rPr>
      </w:pPr>
    </w:p>
    <w:p w14:paraId="09E17FF7" w14:textId="77777777" w:rsidR="005370FC" w:rsidRPr="001D619B" w:rsidRDefault="005370FC" w:rsidP="001D619B">
      <w:pPr>
        <w:jc w:val="both"/>
        <w:rPr>
          <w:rFonts w:ascii="Times New Roman" w:eastAsia="Times New Roman" w:hAnsi="Times New Roman" w:cs="Times New Roman"/>
          <w:noProof/>
          <w:sz w:val="24"/>
          <w:szCs w:val="20"/>
        </w:rPr>
      </w:pPr>
    </w:p>
    <w:p w14:paraId="2AF6EA51" w14:textId="77777777" w:rsidR="005370FC" w:rsidRPr="001D619B" w:rsidRDefault="005370FC" w:rsidP="001D619B">
      <w:pPr>
        <w:jc w:val="both"/>
        <w:rPr>
          <w:rFonts w:ascii="Times New Roman" w:eastAsia="Times New Roman" w:hAnsi="Times New Roman" w:cs="Times New Roman"/>
          <w:noProof/>
          <w:sz w:val="24"/>
          <w:szCs w:val="20"/>
        </w:rPr>
      </w:pPr>
    </w:p>
    <w:p w14:paraId="5D87F91F" w14:textId="77777777" w:rsidR="005370FC" w:rsidRPr="001D619B" w:rsidRDefault="005370FC" w:rsidP="001D619B">
      <w:pPr>
        <w:jc w:val="both"/>
        <w:rPr>
          <w:rFonts w:ascii="Times New Roman" w:eastAsia="Times New Roman" w:hAnsi="Times New Roman" w:cs="Times New Roman"/>
          <w:noProof/>
          <w:sz w:val="24"/>
          <w:szCs w:val="20"/>
        </w:rPr>
      </w:pPr>
    </w:p>
    <w:p w14:paraId="446CEFFB" w14:textId="77777777" w:rsidR="005370FC" w:rsidRPr="001D619B" w:rsidRDefault="005370FC" w:rsidP="001D619B">
      <w:pPr>
        <w:jc w:val="both"/>
        <w:rPr>
          <w:rFonts w:ascii="Times New Roman" w:eastAsia="Times New Roman" w:hAnsi="Times New Roman" w:cs="Times New Roman"/>
          <w:noProof/>
          <w:sz w:val="24"/>
          <w:szCs w:val="20"/>
        </w:rPr>
      </w:pPr>
    </w:p>
    <w:p w14:paraId="223F423B" w14:textId="77777777" w:rsidR="005370FC" w:rsidRPr="001D619B" w:rsidRDefault="005370FC" w:rsidP="001D619B">
      <w:pPr>
        <w:jc w:val="both"/>
        <w:rPr>
          <w:rFonts w:ascii="Times New Roman" w:eastAsia="Times New Roman" w:hAnsi="Times New Roman" w:cs="Times New Roman"/>
          <w:noProof/>
          <w:sz w:val="24"/>
          <w:szCs w:val="20"/>
        </w:rPr>
      </w:pPr>
    </w:p>
    <w:p w14:paraId="6FDCA74C" w14:textId="77777777" w:rsidR="005370FC" w:rsidRPr="001D619B" w:rsidRDefault="005370FC" w:rsidP="001D619B">
      <w:pPr>
        <w:jc w:val="both"/>
        <w:rPr>
          <w:rFonts w:ascii="Times New Roman" w:eastAsia="Times New Roman" w:hAnsi="Times New Roman" w:cs="Times New Roman"/>
          <w:noProof/>
          <w:sz w:val="24"/>
          <w:szCs w:val="20"/>
        </w:rPr>
      </w:pPr>
    </w:p>
    <w:p w14:paraId="165EE8E5" w14:textId="77777777" w:rsidR="005370FC" w:rsidRPr="001D619B" w:rsidRDefault="005370FC" w:rsidP="001D619B">
      <w:pPr>
        <w:jc w:val="both"/>
        <w:rPr>
          <w:rFonts w:ascii="Times New Roman" w:eastAsia="Times New Roman" w:hAnsi="Times New Roman" w:cs="Times New Roman"/>
          <w:noProof/>
          <w:sz w:val="24"/>
          <w:szCs w:val="20"/>
        </w:rPr>
      </w:pPr>
    </w:p>
    <w:p w14:paraId="521945EC" w14:textId="77777777" w:rsidR="005370FC" w:rsidRPr="001D619B" w:rsidRDefault="005370FC" w:rsidP="001D619B">
      <w:pPr>
        <w:jc w:val="both"/>
        <w:rPr>
          <w:rFonts w:ascii="Times New Roman" w:eastAsia="Times New Roman" w:hAnsi="Times New Roman" w:cs="Times New Roman"/>
          <w:noProof/>
          <w:sz w:val="24"/>
          <w:szCs w:val="20"/>
        </w:rPr>
      </w:pPr>
    </w:p>
    <w:p w14:paraId="2E9C596F" w14:textId="77777777" w:rsidR="005370FC" w:rsidRPr="001D619B" w:rsidRDefault="005370FC" w:rsidP="001D619B">
      <w:pPr>
        <w:jc w:val="both"/>
        <w:rPr>
          <w:rFonts w:ascii="Times New Roman" w:eastAsia="Times New Roman" w:hAnsi="Times New Roman" w:cs="Times New Roman"/>
          <w:noProof/>
          <w:sz w:val="24"/>
          <w:szCs w:val="20"/>
        </w:rPr>
      </w:pPr>
    </w:p>
    <w:p w14:paraId="3F1FC3FA" w14:textId="77777777" w:rsidR="005370FC" w:rsidRPr="001D619B" w:rsidRDefault="005370FC" w:rsidP="001D619B">
      <w:pPr>
        <w:tabs>
          <w:tab w:val="left" w:pos="4236"/>
          <w:tab w:val="left" w:pos="6061"/>
        </w:tabs>
        <w:jc w:val="both"/>
        <w:rPr>
          <w:rFonts w:ascii="Times New Roman" w:eastAsia="Verdana" w:hAnsi="Times New Roman" w:cs="Verdana"/>
          <w:noProof/>
          <w:sz w:val="24"/>
          <w:szCs w:val="24"/>
        </w:rPr>
      </w:pPr>
      <w:r>
        <w:rPr>
          <w:rFonts w:ascii="Times New Roman" w:hAnsi="Times New Roman"/>
          <w:sz w:val="24"/>
        </w:rPr>
        <w:t>Saņemšanas datums:</w:t>
      </w:r>
      <w:r>
        <w:rPr>
          <w:rFonts w:ascii="Times New Roman" w:hAnsi="Times New Roman"/>
          <w:sz w:val="24"/>
        </w:rPr>
        <w:tab/>
        <w:t>17.04.2020.</w:t>
      </w:r>
    </w:p>
    <w:p w14:paraId="002644AF" w14:textId="15C3A643" w:rsidR="001D619B" w:rsidRDefault="001D619B">
      <w:pPr>
        <w:rPr>
          <w:rFonts w:ascii="Times New Roman" w:eastAsia="Verdana" w:hAnsi="Times New Roman" w:cs="Verdana"/>
          <w:noProof/>
          <w:sz w:val="24"/>
          <w:szCs w:val="24"/>
        </w:rPr>
      </w:pPr>
      <w:r>
        <w:br w:type="page"/>
      </w:r>
    </w:p>
    <w:p w14:paraId="0744C36D" w14:textId="77777777" w:rsidR="005370FC" w:rsidRPr="001D619B" w:rsidRDefault="005370FC" w:rsidP="001D619B">
      <w:pPr>
        <w:jc w:val="both"/>
        <w:rPr>
          <w:rFonts w:ascii="Times New Roman" w:eastAsia="Times New Roman" w:hAnsi="Times New Roman" w:cs="Times New Roman"/>
          <w:noProof/>
          <w:sz w:val="24"/>
          <w:szCs w:val="10"/>
        </w:rPr>
      </w:pPr>
    </w:p>
    <w:p w14:paraId="7409D282" w14:textId="18CD06ED" w:rsidR="005370FC" w:rsidRPr="001D619B" w:rsidRDefault="005370FC" w:rsidP="001D619B">
      <w:pPr>
        <w:pStyle w:val="BodyText"/>
        <w:tabs>
          <w:tab w:val="left" w:pos="7655"/>
        </w:tabs>
        <w:spacing w:before="0"/>
        <w:ind w:left="0"/>
        <w:jc w:val="both"/>
        <w:rPr>
          <w:noProof/>
          <w:sz w:val="24"/>
          <w:u w:val="single"/>
        </w:rPr>
      </w:pPr>
      <w:r>
        <w:rPr>
          <w:sz w:val="24"/>
          <w:u w:val="single"/>
        </w:rPr>
        <w:t>Tulkojums</w:t>
      </w:r>
      <w:r>
        <w:rPr>
          <w:sz w:val="24"/>
          <w:u w:val="single"/>
        </w:rPr>
        <w:tab/>
        <w:t>C-707/19 - 16</w:t>
      </w:r>
    </w:p>
    <w:p w14:paraId="37DDC1FC" w14:textId="77777777" w:rsidR="005370FC" w:rsidRPr="001D619B" w:rsidRDefault="005370FC" w:rsidP="001D619B">
      <w:pPr>
        <w:jc w:val="both"/>
        <w:rPr>
          <w:rFonts w:ascii="Times New Roman" w:eastAsia="Times New Roman" w:hAnsi="Times New Roman" w:cs="Times New Roman"/>
          <w:noProof/>
          <w:sz w:val="24"/>
          <w:szCs w:val="14"/>
        </w:rPr>
      </w:pPr>
    </w:p>
    <w:p w14:paraId="4933D8DE" w14:textId="77777777" w:rsidR="001D619B" w:rsidRDefault="005370FC" w:rsidP="00BE287D">
      <w:pPr>
        <w:pStyle w:val="BodyText"/>
        <w:spacing w:before="0"/>
        <w:ind w:left="0"/>
        <w:jc w:val="center"/>
        <w:rPr>
          <w:noProof/>
          <w:sz w:val="24"/>
        </w:rPr>
      </w:pPr>
      <w:r>
        <w:rPr>
          <w:sz w:val="24"/>
        </w:rPr>
        <w:t>Atbildētājas pamatlietā apsvērumi</w:t>
      </w:r>
    </w:p>
    <w:p w14:paraId="5167A4A8" w14:textId="6D32D00A" w:rsidR="005370FC" w:rsidRDefault="005370FC" w:rsidP="00BE287D">
      <w:pPr>
        <w:pStyle w:val="BodyText"/>
        <w:spacing w:before="0"/>
        <w:ind w:left="0"/>
        <w:jc w:val="center"/>
        <w:rPr>
          <w:noProof/>
          <w:sz w:val="24"/>
        </w:rPr>
      </w:pPr>
      <w:r>
        <w:rPr>
          <w:sz w:val="24"/>
        </w:rPr>
        <w:t>Lieta C-707/19</w:t>
      </w:r>
      <w:r>
        <w:rPr>
          <w:rStyle w:val="FootnoteReference"/>
          <w:noProof/>
          <w:sz w:val="24"/>
        </w:rPr>
        <w:footnoteReference w:customMarkFollows="1" w:id="1"/>
        <w:sym w:font="Symbol" w:char="F02A"/>
      </w:r>
    </w:p>
    <w:p w14:paraId="3AB7D423" w14:textId="77777777" w:rsidR="001D619B" w:rsidRPr="001D619B" w:rsidRDefault="001D619B" w:rsidP="001D619B">
      <w:pPr>
        <w:pStyle w:val="BodyText"/>
        <w:spacing w:before="0"/>
        <w:ind w:left="0"/>
        <w:jc w:val="both"/>
        <w:rPr>
          <w:noProof/>
          <w:sz w:val="24"/>
          <w:szCs w:val="20"/>
        </w:rPr>
      </w:pPr>
    </w:p>
    <w:p w14:paraId="10249F25" w14:textId="77777777" w:rsidR="005370FC" w:rsidRPr="001D619B" w:rsidRDefault="005370FC" w:rsidP="001D619B">
      <w:pPr>
        <w:pStyle w:val="Heading1"/>
        <w:ind w:left="0"/>
        <w:jc w:val="both"/>
        <w:rPr>
          <w:noProof/>
          <w:sz w:val="24"/>
        </w:rPr>
      </w:pPr>
      <w:r>
        <w:rPr>
          <w:sz w:val="24"/>
        </w:rPr>
        <w:t>Dokumentu iesniedza:</w:t>
      </w:r>
    </w:p>
    <w:p w14:paraId="67FA074F" w14:textId="77777777" w:rsidR="005370FC" w:rsidRPr="001D619B" w:rsidRDefault="005370FC" w:rsidP="001D619B">
      <w:pPr>
        <w:jc w:val="both"/>
        <w:rPr>
          <w:rFonts w:ascii="Times New Roman" w:eastAsia="Times New Roman" w:hAnsi="Times New Roman" w:cs="Times New Roman"/>
          <w:b/>
          <w:bCs/>
          <w:noProof/>
          <w:sz w:val="24"/>
          <w:szCs w:val="20"/>
        </w:rPr>
      </w:pPr>
    </w:p>
    <w:p w14:paraId="7DF75CBA" w14:textId="77777777" w:rsidR="005370FC" w:rsidRPr="001D619B" w:rsidRDefault="005370FC" w:rsidP="00BE287D">
      <w:pPr>
        <w:pStyle w:val="BodyText"/>
        <w:spacing w:before="0"/>
        <w:ind w:left="709"/>
        <w:jc w:val="both"/>
        <w:rPr>
          <w:noProof/>
          <w:sz w:val="24"/>
        </w:rPr>
      </w:pPr>
      <w:r>
        <w:rPr>
          <w:sz w:val="24"/>
        </w:rPr>
        <w:t>A. B.</w:t>
      </w:r>
    </w:p>
    <w:p w14:paraId="15AD5584" w14:textId="77777777" w:rsidR="005370FC" w:rsidRPr="001D619B" w:rsidRDefault="005370FC" w:rsidP="001D619B">
      <w:pPr>
        <w:jc w:val="both"/>
        <w:rPr>
          <w:rFonts w:ascii="Times New Roman" w:eastAsia="Times New Roman" w:hAnsi="Times New Roman" w:cs="Times New Roman"/>
          <w:noProof/>
          <w:sz w:val="24"/>
          <w:szCs w:val="21"/>
        </w:rPr>
      </w:pPr>
    </w:p>
    <w:p w14:paraId="35B66BDD" w14:textId="77777777" w:rsidR="005370FC" w:rsidRPr="001D619B" w:rsidRDefault="005370FC" w:rsidP="001D619B">
      <w:pPr>
        <w:pStyle w:val="Heading1"/>
        <w:ind w:left="0"/>
        <w:jc w:val="both"/>
        <w:rPr>
          <w:noProof/>
          <w:sz w:val="24"/>
        </w:rPr>
      </w:pPr>
      <w:r>
        <w:rPr>
          <w:sz w:val="24"/>
        </w:rPr>
        <w:t>Lietas parastais nosaukums:</w:t>
      </w:r>
    </w:p>
    <w:p w14:paraId="3254DEFE" w14:textId="77777777" w:rsidR="005370FC" w:rsidRPr="001D619B" w:rsidRDefault="005370FC" w:rsidP="001D619B">
      <w:pPr>
        <w:jc w:val="both"/>
        <w:rPr>
          <w:rFonts w:ascii="Times New Roman" w:eastAsia="Times New Roman" w:hAnsi="Times New Roman" w:cs="Times New Roman"/>
          <w:b/>
          <w:bCs/>
          <w:noProof/>
          <w:sz w:val="24"/>
          <w:szCs w:val="20"/>
        </w:rPr>
      </w:pPr>
    </w:p>
    <w:p w14:paraId="7CFB8AB7" w14:textId="77777777" w:rsidR="005370FC" w:rsidRPr="001D619B" w:rsidRDefault="005370FC" w:rsidP="00BE287D">
      <w:pPr>
        <w:pStyle w:val="BodyText"/>
        <w:spacing w:before="0"/>
        <w:ind w:left="709"/>
        <w:jc w:val="both"/>
        <w:rPr>
          <w:noProof/>
          <w:sz w:val="24"/>
        </w:rPr>
      </w:pPr>
      <w:r>
        <w:rPr>
          <w:sz w:val="24"/>
        </w:rPr>
        <w:t>K. S.</w:t>
      </w:r>
    </w:p>
    <w:p w14:paraId="59058384" w14:textId="77777777" w:rsidR="005370FC" w:rsidRPr="001D619B" w:rsidRDefault="005370FC" w:rsidP="001D619B">
      <w:pPr>
        <w:jc w:val="both"/>
        <w:rPr>
          <w:rFonts w:ascii="Times New Roman" w:eastAsia="Times New Roman" w:hAnsi="Times New Roman" w:cs="Times New Roman"/>
          <w:noProof/>
          <w:sz w:val="24"/>
          <w:szCs w:val="21"/>
        </w:rPr>
      </w:pPr>
    </w:p>
    <w:p w14:paraId="439354AA" w14:textId="77777777" w:rsidR="005370FC" w:rsidRPr="001D619B" w:rsidRDefault="005370FC" w:rsidP="001D619B">
      <w:pPr>
        <w:pStyle w:val="Heading1"/>
        <w:ind w:left="0"/>
        <w:jc w:val="both"/>
        <w:rPr>
          <w:noProof/>
          <w:sz w:val="24"/>
        </w:rPr>
      </w:pPr>
      <w:r>
        <w:rPr>
          <w:sz w:val="24"/>
        </w:rPr>
        <w:t>Iesniegšanas datums:</w:t>
      </w:r>
    </w:p>
    <w:p w14:paraId="0623E550" w14:textId="77777777" w:rsidR="005370FC" w:rsidRPr="001D619B" w:rsidRDefault="005370FC" w:rsidP="001D619B">
      <w:pPr>
        <w:jc w:val="both"/>
        <w:rPr>
          <w:rFonts w:ascii="Times New Roman" w:eastAsia="Times New Roman" w:hAnsi="Times New Roman" w:cs="Times New Roman"/>
          <w:b/>
          <w:bCs/>
          <w:noProof/>
          <w:sz w:val="24"/>
          <w:szCs w:val="20"/>
        </w:rPr>
      </w:pPr>
    </w:p>
    <w:p w14:paraId="2A20E297" w14:textId="77777777" w:rsidR="005370FC" w:rsidRPr="001D619B" w:rsidRDefault="005370FC" w:rsidP="00BE287D">
      <w:pPr>
        <w:pStyle w:val="BodyText"/>
        <w:spacing w:before="0"/>
        <w:ind w:left="709"/>
        <w:jc w:val="both"/>
        <w:rPr>
          <w:noProof/>
          <w:sz w:val="24"/>
        </w:rPr>
      </w:pPr>
      <w:r>
        <w:rPr>
          <w:sz w:val="24"/>
        </w:rPr>
        <w:t>2020. gada 7. februāris</w:t>
      </w:r>
    </w:p>
    <w:p w14:paraId="4AA17AFE" w14:textId="77777777" w:rsidR="005370FC" w:rsidRPr="001D619B" w:rsidRDefault="005370FC" w:rsidP="001D619B">
      <w:pPr>
        <w:jc w:val="both"/>
        <w:rPr>
          <w:rFonts w:ascii="Times New Roman" w:eastAsia="Times New Roman" w:hAnsi="Times New Roman" w:cs="Times New Roman"/>
          <w:noProof/>
          <w:sz w:val="24"/>
          <w:szCs w:val="20"/>
        </w:rPr>
      </w:pPr>
    </w:p>
    <w:p w14:paraId="2FF84EB2" w14:textId="26C65C62" w:rsidR="005370FC" w:rsidRPr="001D619B" w:rsidRDefault="00BE287D" w:rsidP="00BE287D">
      <w:pPr>
        <w:tabs>
          <w:tab w:val="left" w:leader="underscore" w:pos="9072"/>
        </w:tabs>
        <w:jc w:val="both"/>
        <w:rPr>
          <w:rFonts w:ascii="Times New Roman" w:eastAsia="Times New Roman" w:hAnsi="Times New Roman" w:cs="Times New Roman"/>
          <w:noProof/>
          <w:sz w:val="24"/>
          <w:szCs w:val="28"/>
        </w:rPr>
      </w:pPr>
      <w:r>
        <w:rPr>
          <w:rFonts w:ascii="Times New Roman" w:hAnsi="Times New Roman"/>
          <w:sz w:val="24"/>
          <w:szCs w:val="28"/>
        </w:rPr>
        <w:tab/>
      </w:r>
    </w:p>
    <w:p w14:paraId="02F6BD88" w14:textId="77777777" w:rsidR="005370FC" w:rsidRPr="001D619B" w:rsidRDefault="005370FC" w:rsidP="001D619B">
      <w:pPr>
        <w:jc w:val="both"/>
        <w:rPr>
          <w:rFonts w:ascii="Times New Roman" w:eastAsia="Times New Roman" w:hAnsi="Times New Roman" w:cs="Times New Roman"/>
          <w:noProof/>
          <w:sz w:val="24"/>
          <w:szCs w:val="13"/>
        </w:rPr>
      </w:pPr>
    </w:p>
    <w:p w14:paraId="3D6B21AF" w14:textId="77777777" w:rsidR="00BE287D" w:rsidRDefault="005370FC" w:rsidP="00BE287D">
      <w:pPr>
        <w:pStyle w:val="Heading1"/>
        <w:ind w:left="0"/>
        <w:jc w:val="right"/>
        <w:rPr>
          <w:noProof/>
          <w:sz w:val="24"/>
        </w:rPr>
      </w:pPr>
      <w:r>
        <w:rPr>
          <w:sz w:val="24"/>
        </w:rPr>
        <w:t>Bjalistoka, 2020. gada 7. februāris</w:t>
      </w:r>
    </w:p>
    <w:p w14:paraId="6A055F84" w14:textId="77777777" w:rsidR="00BE287D" w:rsidRDefault="005370FC" w:rsidP="00BE287D">
      <w:pPr>
        <w:pStyle w:val="Heading1"/>
        <w:ind w:left="0"/>
        <w:jc w:val="right"/>
        <w:rPr>
          <w:noProof/>
          <w:sz w:val="24"/>
        </w:rPr>
      </w:pPr>
      <w:r>
        <w:rPr>
          <w:sz w:val="24"/>
        </w:rPr>
        <w:t>Eiropas Savienības Tiesa</w:t>
      </w:r>
    </w:p>
    <w:p w14:paraId="4ED1C274" w14:textId="3305366A" w:rsidR="005370FC" w:rsidRPr="001D619B" w:rsidRDefault="005370FC" w:rsidP="00BE287D">
      <w:pPr>
        <w:pStyle w:val="Heading1"/>
        <w:ind w:left="0"/>
        <w:jc w:val="right"/>
        <w:rPr>
          <w:noProof/>
          <w:sz w:val="24"/>
        </w:rPr>
      </w:pPr>
      <w:r>
        <w:rPr>
          <w:sz w:val="24"/>
        </w:rPr>
        <w:t>Tiesas kanceleja</w:t>
      </w:r>
    </w:p>
    <w:p w14:paraId="6E17CFA6" w14:textId="6B2E3114" w:rsidR="005370FC" w:rsidRPr="00BE287D" w:rsidRDefault="005370FC" w:rsidP="00BE287D">
      <w:pPr>
        <w:jc w:val="right"/>
        <w:rPr>
          <w:rFonts w:ascii="Times New Roman" w:hAnsi="Times New Roman"/>
          <w:b/>
          <w:noProof/>
          <w:sz w:val="24"/>
        </w:rPr>
      </w:pPr>
      <w:r>
        <w:rPr>
          <w:rFonts w:ascii="Times New Roman" w:hAnsi="Times New Roman"/>
          <w:b/>
          <w:i/>
          <w:iCs/>
          <w:sz w:val="24"/>
        </w:rPr>
        <w:t>Rue du Fort Niedergrünewald</w:t>
      </w:r>
    </w:p>
    <w:p w14:paraId="228615AF" w14:textId="77777777" w:rsidR="005370FC" w:rsidRPr="001D619B" w:rsidRDefault="005370FC" w:rsidP="00BE287D">
      <w:pPr>
        <w:jc w:val="right"/>
        <w:rPr>
          <w:rFonts w:ascii="Times New Roman" w:hAnsi="Times New Roman"/>
          <w:b/>
          <w:noProof/>
          <w:sz w:val="24"/>
        </w:rPr>
      </w:pPr>
      <w:r>
        <w:rPr>
          <w:rFonts w:ascii="Times New Roman" w:hAnsi="Times New Roman"/>
          <w:b/>
          <w:i/>
          <w:iCs/>
          <w:sz w:val="24"/>
        </w:rPr>
        <w:t>L-2925 Luxembourg</w:t>
      </w:r>
    </w:p>
    <w:p w14:paraId="0CFA9027" w14:textId="77777777" w:rsidR="005370FC" w:rsidRPr="001D619B" w:rsidRDefault="005370FC" w:rsidP="001D619B">
      <w:pPr>
        <w:jc w:val="both"/>
        <w:rPr>
          <w:rFonts w:ascii="Times New Roman" w:eastAsia="Times New Roman" w:hAnsi="Times New Roman" w:cs="Times New Roman"/>
          <w:b/>
          <w:bCs/>
          <w:noProof/>
          <w:sz w:val="24"/>
          <w:szCs w:val="14"/>
        </w:rPr>
      </w:pPr>
    </w:p>
    <w:p w14:paraId="0378D6C7" w14:textId="77777777" w:rsidR="005370FC" w:rsidRPr="001D619B" w:rsidRDefault="005370FC" w:rsidP="001D619B">
      <w:pPr>
        <w:jc w:val="both"/>
        <w:rPr>
          <w:rFonts w:ascii="Times New Roman" w:hAnsi="Times New Roman"/>
          <w:b/>
          <w:noProof/>
          <w:sz w:val="24"/>
        </w:rPr>
      </w:pPr>
      <w:r>
        <w:rPr>
          <w:rFonts w:ascii="Times New Roman" w:hAnsi="Times New Roman"/>
          <w:b/>
          <w:sz w:val="24"/>
        </w:rPr>
        <w:t>Prejudiciālā lieta C-707/19</w:t>
      </w:r>
    </w:p>
    <w:p w14:paraId="4DD44305" w14:textId="77777777" w:rsidR="005370FC" w:rsidRPr="001D619B" w:rsidRDefault="005370FC" w:rsidP="001D619B">
      <w:pPr>
        <w:jc w:val="both"/>
        <w:rPr>
          <w:rFonts w:ascii="Times New Roman" w:eastAsia="Times New Roman" w:hAnsi="Times New Roman" w:cs="Times New Roman"/>
          <w:b/>
          <w:bCs/>
          <w:noProof/>
          <w:sz w:val="24"/>
          <w:szCs w:val="20"/>
        </w:rPr>
      </w:pPr>
    </w:p>
    <w:p w14:paraId="631BEF88" w14:textId="77777777" w:rsidR="005370FC" w:rsidRPr="001D619B" w:rsidRDefault="005370FC" w:rsidP="001D619B">
      <w:pPr>
        <w:jc w:val="both"/>
        <w:rPr>
          <w:rFonts w:ascii="Times New Roman" w:eastAsia="Times New Roman" w:hAnsi="Times New Roman" w:cs="Times New Roman"/>
          <w:b/>
          <w:bCs/>
          <w:noProof/>
          <w:sz w:val="24"/>
          <w:szCs w:val="25"/>
        </w:rPr>
      </w:pPr>
      <w:r>
        <w:rPr>
          <w:rFonts w:ascii="Times New Roman" w:hAnsi="Times New Roman"/>
          <w:b/>
          <w:bCs/>
          <w:sz w:val="24"/>
          <w:szCs w:val="25"/>
        </w:rPr>
        <w:t>Pamatlietas puses: Kšištofs Soviņskis [</w:t>
      </w:r>
      <w:r>
        <w:rPr>
          <w:rFonts w:ascii="Times New Roman" w:hAnsi="Times New Roman"/>
          <w:b/>
          <w:bCs/>
          <w:i/>
          <w:iCs/>
          <w:sz w:val="24"/>
          <w:szCs w:val="25"/>
        </w:rPr>
        <w:t>Krzysztof Sowiński</w:t>
      </w:r>
      <w:r>
        <w:rPr>
          <w:rFonts w:ascii="Times New Roman" w:hAnsi="Times New Roman"/>
          <w:b/>
          <w:bCs/>
          <w:sz w:val="24"/>
          <w:szCs w:val="25"/>
        </w:rPr>
        <w:t>] pret “Balcia Insurance SE”</w:t>
      </w:r>
    </w:p>
    <w:p w14:paraId="41C110A5" w14:textId="77777777" w:rsidR="005370FC" w:rsidRPr="001D619B" w:rsidRDefault="005370FC" w:rsidP="001D619B">
      <w:pPr>
        <w:jc w:val="both"/>
        <w:rPr>
          <w:rFonts w:ascii="Times New Roman" w:eastAsia="Times New Roman" w:hAnsi="Times New Roman" w:cs="Times New Roman"/>
          <w:b/>
          <w:bCs/>
          <w:noProof/>
          <w:sz w:val="24"/>
          <w:szCs w:val="20"/>
        </w:rPr>
      </w:pPr>
    </w:p>
    <w:p w14:paraId="26A8546C" w14:textId="77777777" w:rsidR="005370FC" w:rsidRPr="001D619B" w:rsidRDefault="005370FC" w:rsidP="00BE287D">
      <w:pPr>
        <w:jc w:val="center"/>
        <w:rPr>
          <w:rFonts w:ascii="Times New Roman" w:eastAsia="Times New Roman" w:hAnsi="Times New Roman" w:cs="Times New Roman"/>
          <w:b/>
          <w:bCs/>
          <w:noProof/>
          <w:sz w:val="24"/>
          <w:szCs w:val="25"/>
        </w:rPr>
      </w:pPr>
      <w:r>
        <w:rPr>
          <w:rFonts w:ascii="Times New Roman" w:hAnsi="Times New Roman"/>
          <w:b/>
          <w:bCs/>
          <w:sz w:val="24"/>
          <w:szCs w:val="25"/>
        </w:rPr>
        <w:t>Pamatlietas vienas puses apsvērumi</w:t>
      </w:r>
    </w:p>
    <w:p w14:paraId="0D8AC153" w14:textId="343081CF" w:rsidR="005370FC" w:rsidRPr="001D619B" w:rsidRDefault="005370FC" w:rsidP="001D619B">
      <w:pPr>
        <w:pStyle w:val="BodyText"/>
        <w:spacing w:before="0"/>
        <w:ind w:left="0"/>
        <w:jc w:val="both"/>
        <w:rPr>
          <w:noProof/>
          <w:sz w:val="24"/>
        </w:rPr>
      </w:pPr>
    </w:p>
    <w:p w14:paraId="3E26C656" w14:textId="5FB18E26" w:rsidR="005370FC" w:rsidRPr="001D619B" w:rsidRDefault="00BE287D" w:rsidP="001D619B">
      <w:pPr>
        <w:pStyle w:val="BodyText"/>
        <w:spacing w:before="0"/>
        <w:ind w:left="0"/>
        <w:jc w:val="both"/>
        <w:rPr>
          <w:noProof/>
          <w:sz w:val="24"/>
        </w:rPr>
      </w:pPr>
      <w:r>
        <w:rPr>
          <w:sz w:val="24"/>
        </w:rPr>
        <w:t>1. Ar šo pēc 2019. gada 28. novembra paziņojuma saistībā ar prejudiciālo lietu C</w:t>
      </w:r>
      <w:r>
        <w:rPr>
          <w:sz w:val="24"/>
        </w:rPr>
        <w:noBreakHyphen/>
        <w:t>707/19, piemērojot Tiesas statūtu 23. panta otro daļu, atbildētāja pamatlietā “Balcia Insurance SE”, kas reģistrēta Rīgā (Latvija), iesniedz savus rakstveida apsvērumus.</w:t>
      </w:r>
    </w:p>
    <w:p w14:paraId="7093A157" w14:textId="77777777" w:rsidR="005370FC" w:rsidRPr="001D619B" w:rsidRDefault="005370FC" w:rsidP="001D619B">
      <w:pPr>
        <w:jc w:val="both"/>
        <w:rPr>
          <w:rFonts w:ascii="Times New Roman" w:eastAsia="Times New Roman" w:hAnsi="Times New Roman" w:cs="Times New Roman"/>
          <w:noProof/>
          <w:sz w:val="24"/>
          <w:szCs w:val="14"/>
        </w:rPr>
      </w:pPr>
    </w:p>
    <w:p w14:paraId="0928A414" w14:textId="4EF18AA3" w:rsidR="005370FC" w:rsidRPr="001D619B" w:rsidRDefault="005370FC" w:rsidP="001D619B">
      <w:pPr>
        <w:pStyle w:val="BodyText"/>
        <w:spacing w:before="0"/>
        <w:ind w:left="0"/>
        <w:jc w:val="both"/>
        <w:rPr>
          <w:noProof/>
          <w:sz w:val="24"/>
        </w:rPr>
      </w:pPr>
      <w:r>
        <w:rPr>
          <w:sz w:val="24"/>
        </w:rPr>
        <w:t>2. Saskaņā ar Eiropas Parlamenta un Padomes 2009. gada 16. septembra Direktīvas 2009/103/EK par civiltiesiskās atbildības apdrošināšanu saistībā ar mehānisko transportlīdzekļu izmantošanu un kontroli saistībā ar pienākumu apdrošināt šādu atbildību (OV 2009, L 263, 11. lpp.) 3. panta pirmo daļu katra dalībvalsts, ievērojot minētās direktīvas 5. pantu, veic visus vajadzīgos pasākumus, lai nodrošinātu to, ka tiek apdrošināta civiltiesiskā atbildība par to transportlīdzekļu izmantošanu, kas parasti atrodas tās teritorijā.</w:t>
      </w:r>
    </w:p>
    <w:p w14:paraId="772B4145" w14:textId="77777777" w:rsidR="005370FC" w:rsidRPr="001D619B" w:rsidRDefault="005370FC" w:rsidP="001D619B">
      <w:pPr>
        <w:jc w:val="both"/>
        <w:rPr>
          <w:rFonts w:ascii="Times New Roman" w:eastAsia="Times New Roman" w:hAnsi="Times New Roman" w:cs="Times New Roman"/>
          <w:noProof/>
          <w:sz w:val="24"/>
          <w:szCs w:val="14"/>
        </w:rPr>
      </w:pPr>
    </w:p>
    <w:p w14:paraId="69294878" w14:textId="4CB7C7B3" w:rsidR="005370FC" w:rsidRPr="001D619B" w:rsidRDefault="005370FC" w:rsidP="001D619B">
      <w:pPr>
        <w:pStyle w:val="BodyText"/>
        <w:spacing w:before="0"/>
        <w:ind w:left="0"/>
        <w:jc w:val="both"/>
        <w:rPr>
          <w:noProof/>
          <w:sz w:val="24"/>
        </w:rPr>
      </w:pPr>
      <w:r>
        <w:rPr>
          <w:sz w:val="24"/>
        </w:rPr>
        <w:t xml:space="preserve">3. Rīgā reģistrētās “Balcia Insurance SE” ieskatā minētais noteikums tikai paredz </w:t>
      </w:r>
      <w:r>
        <w:rPr>
          <w:b/>
          <w:bCs/>
          <w:sz w:val="24"/>
          <w:highlight w:val="lightGray"/>
        </w:rPr>
        <w:t>[oriģ. 2. lpp.]</w:t>
      </w:r>
      <w:r>
        <w:rPr>
          <w:sz w:val="24"/>
        </w:rPr>
        <w:t xml:space="preserve"> dalībvalstu pienākumu veikt vajadzīgos pasākumus, lai tiktu atbilstīgi apdrošināta civiltiesiskā atbildība par zaudējumiem, kas rodas saistībā ar transportlīdzekļa izmantošanu. Šajā noteikumā nav norādīti pasākumi, kas dalībvalstīm jāveic, lai nodrošinātu šīs atbildības segumu, un nav arī precizēts (nav noteikts), tieši kādā apmērā ar šo atbildību ir jāsedz radušies zaudējumi. Šī argumentācija vispirms pilnībā atbilst attiecīgā noteikuma formulējumam. Interpretējot šo noteikumu, nedrīkst nonākt pie secinājumiem, kas ir pretēji tā </w:t>
      </w:r>
      <w:r>
        <w:rPr>
          <w:sz w:val="24"/>
        </w:rPr>
        <w:lastRenderedPageBreak/>
        <w:t>formulējumam vai vismaz kas ar to nav pamatoti. Katrā ziņā no šā noteikuma nevar izsecināt, ka civiltiesiskās atbildības apdrošināšanas ietvaros ir jāatlīdzina visi zaudējumi. Tāpat nevar uzskatīt, ka šis noteikums paredz pilnīga zaudējumu atlīdzinājuma principu.</w:t>
      </w:r>
    </w:p>
    <w:p w14:paraId="6FCE097E" w14:textId="77777777" w:rsidR="005370FC" w:rsidRPr="001D619B" w:rsidRDefault="005370FC" w:rsidP="001D619B">
      <w:pPr>
        <w:jc w:val="both"/>
        <w:rPr>
          <w:rFonts w:ascii="Times New Roman" w:hAnsi="Times New Roman"/>
          <w:noProof/>
          <w:sz w:val="24"/>
        </w:rPr>
      </w:pPr>
    </w:p>
    <w:p w14:paraId="1CB03749" w14:textId="5826F1E6" w:rsidR="005370FC" w:rsidRPr="00BE287D" w:rsidRDefault="005370FC" w:rsidP="001D619B">
      <w:pPr>
        <w:pStyle w:val="BodyText"/>
        <w:spacing w:before="0"/>
        <w:ind w:left="0"/>
        <w:jc w:val="both"/>
        <w:rPr>
          <w:noProof/>
          <w:sz w:val="24"/>
        </w:rPr>
      </w:pPr>
      <w:r>
        <w:rPr>
          <w:sz w:val="24"/>
        </w:rPr>
        <w:t>4. Rīgā reģistrētā “Balcia Insurance SE” uzskata, ka šāda nostāja atbilst arī Direktīvas 2009/103 3. apsvērumam, kura pirmajā teikumā ir norādīts, ka dalībvalstīm jāveic visi pasākumi, kas nepieciešami, lai nodrošinātu to, ka tiek apdrošināta civiltiesiskā atbildība attiecībā uz to transportlīdzekļu izmantošanu, kas parasti atrodas tās teritorijā. No šā apsvēruma nevar izsecināt, ka civiltiesiskās atbildības apdrošināšanas ietvaros ir jāatlīdzina visi zaudējumi. Proti, saskaņā ar Direktīvas 2009/103 3. apsvēruma otro teikumu (“</w:t>
      </w:r>
      <w:r>
        <w:rPr>
          <w:i/>
          <w:iCs/>
          <w:sz w:val="24"/>
        </w:rPr>
        <w:t>[ar apdrošināšanu] sedzamās atbildības apjomu un apdrošināšanas seguma noteikumus nosaka, pamatojoties uz to apmēriem</w:t>
      </w:r>
      <w:r>
        <w:rPr>
          <w:sz w:val="24"/>
        </w:rPr>
        <w:t>”) direktīvā ne tieši, ne netieši nav precizēts, kādam ir jābūt šīs atbildības apmēram.</w:t>
      </w:r>
    </w:p>
    <w:p w14:paraId="2F45BB9F" w14:textId="77777777" w:rsidR="005370FC" w:rsidRPr="001D619B" w:rsidRDefault="005370FC" w:rsidP="001D619B">
      <w:pPr>
        <w:jc w:val="both"/>
        <w:rPr>
          <w:rFonts w:ascii="Times New Roman" w:eastAsia="Times New Roman" w:hAnsi="Times New Roman" w:cs="Times New Roman"/>
          <w:noProof/>
          <w:sz w:val="24"/>
          <w:szCs w:val="15"/>
        </w:rPr>
      </w:pPr>
    </w:p>
    <w:p w14:paraId="12CD3C0A" w14:textId="491D06BC" w:rsidR="005370FC" w:rsidRPr="001D619B" w:rsidRDefault="005370FC" w:rsidP="001D619B">
      <w:pPr>
        <w:pStyle w:val="BodyText"/>
        <w:spacing w:before="0"/>
        <w:ind w:left="0"/>
        <w:jc w:val="both"/>
        <w:rPr>
          <w:noProof/>
          <w:sz w:val="24"/>
        </w:rPr>
      </w:pPr>
      <w:r>
        <w:rPr>
          <w:sz w:val="24"/>
        </w:rPr>
        <w:t>5. Turklāt Direktīvas 2009/103 3. panta pirmajā daļā nav precizēts, ne kādiem zaudējumiem ir piemērojama atlīdzināšana apdrošināšanas ietvaros, ne atlīdzināšanas robežas. Netiek izslēgts ne tas, ka noteiktus zaudējumus civiltiesiskās atbildības apdrošināšana nesedz, ne arī tas, ka atlīdzība var tikt ierobežota.</w:t>
      </w:r>
    </w:p>
    <w:p w14:paraId="668514D7" w14:textId="77777777" w:rsidR="005370FC" w:rsidRPr="001D619B" w:rsidRDefault="005370FC" w:rsidP="001D619B">
      <w:pPr>
        <w:jc w:val="both"/>
        <w:rPr>
          <w:rFonts w:ascii="Times New Roman" w:eastAsia="Times New Roman" w:hAnsi="Times New Roman" w:cs="Times New Roman"/>
          <w:noProof/>
          <w:sz w:val="24"/>
          <w:szCs w:val="14"/>
        </w:rPr>
      </w:pPr>
    </w:p>
    <w:p w14:paraId="59E0253A" w14:textId="4A085830" w:rsidR="005370FC" w:rsidRPr="001D619B" w:rsidRDefault="005370FC" w:rsidP="001D619B">
      <w:pPr>
        <w:pStyle w:val="BodyText"/>
        <w:spacing w:before="0"/>
        <w:ind w:left="0"/>
        <w:jc w:val="both"/>
        <w:rPr>
          <w:noProof/>
          <w:sz w:val="24"/>
        </w:rPr>
      </w:pPr>
      <w:r>
        <w:rPr>
          <w:sz w:val="24"/>
        </w:rPr>
        <w:t xml:space="preserve">6. Direktīvas 2009/103 3. panta ceturtā daļa, kurā noteikts, ka tās 3. panta pirmajā daļā minētā apdrošināšana obligāti attiecas gan uz kaitējumu īpašumam, gan uz miesas bojājumiem, neliedz šo iespēju. Tomēr no tās nevar izsecināt, ka visos gadījumos un pilnībā ir jāatlīdzina viss kaitējums īpašumam un visi miesas bojājumi kopumā. Šis noteikums paredz vienīgi to, ka civiltiesiskās atbildības apdrošināšana nevar segt tikai kaitējumu īpašumam vai tikai miesas bojājumus. No tā tomēr neizriet </w:t>
      </w:r>
      <w:r>
        <w:rPr>
          <w:b/>
          <w:bCs/>
          <w:sz w:val="24"/>
          <w:highlight w:val="lightGray"/>
        </w:rPr>
        <w:t>[oriģ. 3. lpp.]</w:t>
      </w:r>
      <w:r>
        <w:rPr>
          <w:sz w:val="24"/>
        </w:rPr>
        <w:t>, ka vienmēr ir pilnībā jāatlīdzina visi miesas bojājumi un viss kaitējums īpašumam.</w:t>
      </w:r>
    </w:p>
    <w:p w14:paraId="07011038" w14:textId="77777777" w:rsidR="005370FC" w:rsidRPr="001D619B" w:rsidRDefault="005370FC" w:rsidP="001D619B">
      <w:pPr>
        <w:jc w:val="both"/>
        <w:rPr>
          <w:rFonts w:ascii="Times New Roman" w:eastAsia="Times New Roman" w:hAnsi="Times New Roman" w:cs="Times New Roman"/>
          <w:noProof/>
          <w:sz w:val="24"/>
          <w:szCs w:val="14"/>
        </w:rPr>
      </w:pPr>
    </w:p>
    <w:p w14:paraId="48D4161A" w14:textId="409A3CAA" w:rsidR="005370FC" w:rsidRPr="001D619B" w:rsidRDefault="005370FC" w:rsidP="001D619B">
      <w:pPr>
        <w:pStyle w:val="BodyText"/>
        <w:spacing w:before="0"/>
        <w:ind w:left="0"/>
        <w:jc w:val="both"/>
        <w:rPr>
          <w:noProof/>
          <w:sz w:val="24"/>
        </w:rPr>
      </w:pPr>
      <w:r>
        <w:rPr>
          <w:sz w:val="24"/>
        </w:rPr>
        <w:t>7. Ir absolūti jāuzsver, ka Latvijas Republika ievēro no Direktīvas 2009/103 3. panta pirmās daļas izrietošās saistības. Latvijas Republikā spēkā esošā Sauszemes transportlīdzekļu īpašnieku civiltiesiskās atbildības obligātās apdrošināšanas likuma 3. pantā ir noteikts pienākums noslēgt civiltiesiskās atbildības apdrošināšanas līgumu. Šis noteikums ir izšķirošs, lai noteiktu, vai ir veikti visi vajadzīgie pasākumi, lai nodrošinātu, ka atbildība ir apdrošināta. Šā noteikuma analīze ļauj secināt, ka vajadzīgie pasākumi ir faktiski īstenoti.</w:t>
      </w:r>
    </w:p>
    <w:p w14:paraId="0B60B3EC" w14:textId="77777777" w:rsidR="005370FC" w:rsidRPr="001D619B" w:rsidRDefault="005370FC" w:rsidP="001D619B">
      <w:pPr>
        <w:jc w:val="both"/>
        <w:rPr>
          <w:rFonts w:ascii="Times New Roman" w:eastAsia="Times New Roman" w:hAnsi="Times New Roman" w:cs="Times New Roman"/>
          <w:noProof/>
          <w:sz w:val="24"/>
          <w:szCs w:val="14"/>
        </w:rPr>
      </w:pPr>
    </w:p>
    <w:p w14:paraId="75D9CCAD" w14:textId="1BFD7659" w:rsidR="005370FC" w:rsidRPr="001D619B" w:rsidRDefault="005370FC" w:rsidP="001D619B">
      <w:pPr>
        <w:pStyle w:val="BodyText"/>
        <w:spacing w:before="0"/>
        <w:ind w:left="0"/>
        <w:jc w:val="both"/>
        <w:rPr>
          <w:noProof/>
          <w:sz w:val="24"/>
        </w:rPr>
      </w:pPr>
      <w:r>
        <w:rPr>
          <w:sz w:val="24"/>
        </w:rPr>
        <w:t>8. Turklāt ir jāatzīmē, ka izšķirošs nevar būt tas, ka formulējumam “vajadzīgie pasākumi” citās valodās ir striktāks tvērums. Neatkarīgi no tā, vai šis tvērums ir vai nav strikts, šis formulējums nenozīmē, ka ar civiltiesisko atbildību ir jāsedz visi zaudējumi jebkādā apmērā.</w:t>
      </w:r>
    </w:p>
    <w:p w14:paraId="3F8E0D3F" w14:textId="77777777" w:rsidR="005370FC" w:rsidRPr="001D619B" w:rsidRDefault="005370FC" w:rsidP="001D619B">
      <w:pPr>
        <w:jc w:val="both"/>
        <w:rPr>
          <w:rFonts w:ascii="Times New Roman" w:eastAsia="Times New Roman" w:hAnsi="Times New Roman" w:cs="Times New Roman"/>
          <w:noProof/>
          <w:sz w:val="24"/>
          <w:szCs w:val="14"/>
        </w:rPr>
      </w:pPr>
    </w:p>
    <w:p w14:paraId="43B4861A" w14:textId="475725F6" w:rsidR="005370FC" w:rsidRPr="001D619B" w:rsidRDefault="005370FC" w:rsidP="001D619B">
      <w:pPr>
        <w:pStyle w:val="BodyText"/>
        <w:spacing w:before="0"/>
        <w:ind w:left="0"/>
        <w:jc w:val="both"/>
        <w:rPr>
          <w:noProof/>
          <w:sz w:val="24"/>
        </w:rPr>
      </w:pPr>
      <w:r>
        <w:rPr>
          <w:sz w:val="24"/>
        </w:rPr>
        <w:t>9. Jāuzsver, ka valstu tiesību aktos, konkrēti Polijas tiesību aktos, ir paredzēti apdrošināšanas sabiedrību civiltiesiskās atbildības ierobežojumi. Turklāt Direktīvas 2009/103 9. pantā skaidri noteiktais garantēto summu mehānisms ir viens šāda veida ierobežojums.</w:t>
      </w:r>
    </w:p>
    <w:p w14:paraId="7F895A2D" w14:textId="77777777" w:rsidR="005370FC" w:rsidRPr="001D619B" w:rsidRDefault="005370FC" w:rsidP="001D619B">
      <w:pPr>
        <w:jc w:val="both"/>
        <w:rPr>
          <w:rFonts w:ascii="Times New Roman" w:eastAsia="Times New Roman" w:hAnsi="Times New Roman" w:cs="Times New Roman"/>
          <w:noProof/>
          <w:sz w:val="24"/>
          <w:szCs w:val="14"/>
        </w:rPr>
      </w:pPr>
    </w:p>
    <w:p w14:paraId="67676230" w14:textId="7662A154" w:rsidR="005370FC" w:rsidRPr="001D619B" w:rsidRDefault="005370FC" w:rsidP="001D619B">
      <w:pPr>
        <w:pStyle w:val="BodyText"/>
        <w:spacing w:before="0"/>
        <w:ind w:left="0"/>
        <w:jc w:val="both"/>
        <w:rPr>
          <w:noProof/>
          <w:sz w:val="24"/>
        </w:rPr>
      </w:pPr>
      <w:r>
        <w:rPr>
          <w:sz w:val="24"/>
        </w:rPr>
        <w:t>10. Direktīvas 2009/103 20. apsvērumā ir paredzēts, ka ceļu satiksmes negadījumā cietušajām personām būtu jāgarantē līdzvērtīga attieksme neatkarīgi no tā, kurā vietā Savienībā negadījumi notikuši. Tomēr dalībvalstīm civiltiesiskās atbildības apmērs nav jāreglamentē vienādi.</w:t>
      </w:r>
    </w:p>
    <w:p w14:paraId="042EC919" w14:textId="77777777" w:rsidR="005370FC" w:rsidRPr="001D619B" w:rsidRDefault="005370FC" w:rsidP="001D619B">
      <w:pPr>
        <w:jc w:val="both"/>
        <w:rPr>
          <w:rFonts w:ascii="Times New Roman" w:eastAsia="Times New Roman" w:hAnsi="Times New Roman" w:cs="Times New Roman"/>
          <w:noProof/>
          <w:sz w:val="24"/>
          <w:szCs w:val="14"/>
        </w:rPr>
      </w:pPr>
    </w:p>
    <w:p w14:paraId="313DD209" w14:textId="3EA1CB22" w:rsidR="005370FC" w:rsidRPr="001D619B" w:rsidRDefault="005370FC" w:rsidP="001D619B">
      <w:pPr>
        <w:pStyle w:val="BodyText"/>
        <w:spacing w:before="0"/>
        <w:ind w:left="0"/>
        <w:jc w:val="both"/>
        <w:rPr>
          <w:noProof/>
          <w:sz w:val="24"/>
        </w:rPr>
      </w:pPr>
      <w:r>
        <w:rPr>
          <w:sz w:val="24"/>
        </w:rPr>
        <w:t>11. Rezumējot, “Balcia Insurance SE” ieskatā Direktīvas 2009/103 3. pantu nevar interpretēt tādējādi, ka katrai dalībvalstij “</w:t>
      </w:r>
      <w:r>
        <w:rPr>
          <w:i/>
          <w:iCs/>
          <w:sz w:val="24"/>
        </w:rPr>
        <w:t>visu pasākumu</w:t>
      </w:r>
      <w:r>
        <w:rPr>
          <w:sz w:val="24"/>
        </w:rPr>
        <w:t xml:space="preserve">” ietvaros ir jānodrošina, ka apdrošināšanas sabiedrības attiecībā uz civiltiesiskās atbildības apdrošināšanu ir atbildīgas par zaudējumu pilnīgu atlīdzināšanu, tai skaitā arī par tādām zaudējumus izraisījušā notikuma sekām, kuras izpaužas kā nepieciešamība cietušā transportlīdzekli vilkt uz tā mītnes valsti un izdevumi </w:t>
      </w:r>
      <w:r>
        <w:rPr>
          <w:b/>
          <w:bCs/>
          <w:sz w:val="24"/>
          <w:highlight w:val="lightGray"/>
        </w:rPr>
        <w:lastRenderedPageBreak/>
        <w:t>[oriģ. 4. lpp.]</w:t>
      </w:r>
      <w:r>
        <w:rPr>
          <w:sz w:val="24"/>
        </w:rPr>
        <w:t xml:space="preserve"> saistībā ar nepieciešamību transportlīdzekļus novietot stāvvietā. Minētais termins “</w:t>
      </w:r>
      <w:r>
        <w:rPr>
          <w:i/>
          <w:iCs/>
          <w:sz w:val="24"/>
        </w:rPr>
        <w:t>visi pasākumi</w:t>
      </w:r>
      <w:r>
        <w:rPr>
          <w:sz w:val="24"/>
        </w:rPr>
        <w:t>” Direktīvas 2009/103 3. panta nozīmē ir visu veidu instrumenti (kuru izvēle zināmā mērā ir brīva), kurus dalībvalstis var izmantot un kuri tām jāizmanto, lai nodrošinātu, ka transportlīdzekļi, kas parasti tiek izmantoti satiksmē attiecīgās dalībvalsts teritorijā, ir apdrošināti, t. i., ka (apdrošināšanas sabiedrības) sedz to civiltiesisko atbildību. Savukārt, kā “Balcia Insurance SE” ir uzsvērusi iepriekš, no Direktīvas 2009/103 3. panta nevar secināt, ka apzīmējums “</w:t>
      </w:r>
      <w:r>
        <w:rPr>
          <w:i/>
          <w:iCs/>
          <w:sz w:val="24"/>
        </w:rPr>
        <w:t>visi pasākumi</w:t>
      </w:r>
      <w:r>
        <w:rPr>
          <w:sz w:val="24"/>
        </w:rPr>
        <w:t>” nozīmē arī visus zaudējumus (to kopumu). Šāds secinājums būtu pretrunā Direktīvas 2009/103 3. panta, kā arī pašas direktīvas mērķa interpretācijai. Tātad tas, ka dalībvalstis ievieš un piemēro noteiktus ierobežojumus attiecībā uz zaudējumu apmēru, ko sedz minētā apdrošināšana, nav pretrunā Direktīvas 2009/103 3. pantam.</w:t>
      </w:r>
    </w:p>
    <w:p w14:paraId="2BAF5F10" w14:textId="77777777" w:rsidR="005370FC" w:rsidRPr="001D619B" w:rsidRDefault="005370FC" w:rsidP="001D619B">
      <w:pPr>
        <w:jc w:val="both"/>
        <w:rPr>
          <w:rFonts w:ascii="Times New Roman" w:hAnsi="Times New Roman"/>
          <w:noProof/>
          <w:sz w:val="24"/>
        </w:rPr>
      </w:pPr>
    </w:p>
    <w:p w14:paraId="0DE2EBD8" w14:textId="2DF6C749" w:rsidR="005370FC" w:rsidRPr="001D619B" w:rsidRDefault="005370FC" w:rsidP="001D619B">
      <w:pPr>
        <w:pStyle w:val="BodyText"/>
        <w:spacing w:before="0"/>
        <w:ind w:left="0"/>
        <w:jc w:val="both"/>
        <w:rPr>
          <w:noProof/>
          <w:sz w:val="24"/>
        </w:rPr>
      </w:pPr>
      <w:r>
        <w:rPr>
          <w:sz w:val="24"/>
        </w:rPr>
        <w:t xml:space="preserve">Ņemot vērā iepriekš minēto, “Balcia Insurance SE” lūdz Tiesai ņemt vērā šos argumentus, pieņemot prejudiciālo nolēmumu. “Balcia Insurance SE” ieskatā Direktīvas 2009/103 3. pants </w:t>
      </w:r>
      <w:r>
        <w:rPr>
          <w:sz w:val="24"/>
          <w:u w:val="single"/>
        </w:rPr>
        <w:t>nav</w:t>
      </w:r>
      <w:r>
        <w:rPr>
          <w:sz w:val="24"/>
        </w:rPr>
        <w:t xml:space="preserve"> jāinterpretē tādējādi, ka katrai dalībvalstij “visu vajadzīgo pasākumu” ietvaros ir jānodrošina, ka apdrošināšanas sabiedrības attiecībā uz civiltiesiskās atbildības apdrošināšanu ir atbildīgas par zaudējumu pilnīgu atlīdzināšanu, tai skaitā arī par tādām zaudējumus izraisījušā notikuma sekām, kuras izpaužas kā nepieciešamība cietušā transportlīdzekli vilkt uz tā mītnes valsti un izdevumi saistībā ar nepieciešamību transportlīdzekļus novietot stāvvietā.</w:t>
      </w:r>
    </w:p>
    <w:p w14:paraId="557E7298" w14:textId="77777777" w:rsidR="005370FC" w:rsidRPr="001D619B" w:rsidRDefault="005370FC" w:rsidP="001D619B">
      <w:pPr>
        <w:jc w:val="both"/>
        <w:rPr>
          <w:rFonts w:ascii="Times New Roman" w:eastAsia="Times New Roman" w:hAnsi="Times New Roman" w:cs="Times New Roman"/>
          <w:noProof/>
          <w:sz w:val="24"/>
          <w:szCs w:val="20"/>
        </w:rPr>
      </w:pPr>
    </w:p>
    <w:p w14:paraId="6EFF02BD" w14:textId="77777777" w:rsidR="005370FC" w:rsidRPr="001D619B" w:rsidRDefault="005370FC" w:rsidP="001D619B">
      <w:pPr>
        <w:pStyle w:val="BodyText"/>
        <w:spacing w:before="0"/>
        <w:ind w:left="0"/>
        <w:jc w:val="both"/>
        <w:rPr>
          <w:noProof/>
          <w:sz w:val="24"/>
        </w:rPr>
      </w:pPr>
      <w:r>
        <w:rPr>
          <w:sz w:val="24"/>
        </w:rPr>
        <w:t>Pielikumi:</w:t>
      </w:r>
    </w:p>
    <w:p w14:paraId="4818FE7A" w14:textId="77777777" w:rsidR="005370FC" w:rsidRPr="001D619B" w:rsidRDefault="005370FC" w:rsidP="001D619B">
      <w:pPr>
        <w:jc w:val="both"/>
        <w:rPr>
          <w:rFonts w:ascii="Times New Roman" w:eastAsia="Times New Roman" w:hAnsi="Times New Roman" w:cs="Times New Roman"/>
          <w:noProof/>
          <w:sz w:val="24"/>
          <w:szCs w:val="20"/>
        </w:rPr>
      </w:pPr>
    </w:p>
    <w:p w14:paraId="01E764DE" w14:textId="523C50E2" w:rsidR="005370FC" w:rsidRPr="001D619B" w:rsidRDefault="00BE287D" w:rsidP="00BE287D">
      <w:pPr>
        <w:pStyle w:val="BodyText"/>
        <w:tabs>
          <w:tab w:val="left" w:pos="821"/>
        </w:tabs>
        <w:spacing w:before="0"/>
        <w:ind w:left="284"/>
        <w:jc w:val="both"/>
        <w:rPr>
          <w:noProof/>
          <w:sz w:val="24"/>
        </w:rPr>
      </w:pPr>
      <w:r>
        <w:rPr>
          <w:sz w:val="24"/>
        </w:rPr>
        <w:t>1. pilnvara pārstāvībai tiesā (kas tika pievienota arī lietas materiāliem valsts tiesā);</w:t>
      </w:r>
    </w:p>
    <w:p w14:paraId="25154442" w14:textId="77777777" w:rsidR="005370FC" w:rsidRPr="001D619B" w:rsidRDefault="005370FC" w:rsidP="00BE287D">
      <w:pPr>
        <w:ind w:left="284"/>
        <w:jc w:val="both"/>
        <w:rPr>
          <w:rFonts w:ascii="Times New Roman" w:eastAsia="Times New Roman" w:hAnsi="Times New Roman" w:cs="Times New Roman"/>
          <w:noProof/>
          <w:sz w:val="24"/>
          <w:szCs w:val="20"/>
        </w:rPr>
      </w:pPr>
    </w:p>
    <w:p w14:paraId="3BE866E1" w14:textId="6668BB5A" w:rsidR="005370FC" w:rsidRPr="001D619B" w:rsidRDefault="00BE287D" w:rsidP="00BE287D">
      <w:pPr>
        <w:pStyle w:val="BodyText"/>
        <w:tabs>
          <w:tab w:val="left" w:pos="821"/>
        </w:tabs>
        <w:spacing w:before="0"/>
        <w:ind w:left="284"/>
        <w:jc w:val="both"/>
        <w:rPr>
          <w:noProof/>
          <w:sz w:val="24"/>
        </w:rPr>
      </w:pPr>
      <w:r>
        <w:rPr>
          <w:sz w:val="24"/>
        </w:rPr>
        <w:t>2. juriskonsulta apliecības kopija;</w:t>
      </w:r>
    </w:p>
    <w:p w14:paraId="5DBF9A7B" w14:textId="77777777" w:rsidR="005370FC" w:rsidRPr="001D619B" w:rsidRDefault="005370FC" w:rsidP="00BE287D">
      <w:pPr>
        <w:ind w:left="284"/>
        <w:jc w:val="both"/>
        <w:rPr>
          <w:rFonts w:ascii="Times New Roman" w:eastAsia="Times New Roman" w:hAnsi="Times New Roman" w:cs="Times New Roman"/>
          <w:noProof/>
          <w:sz w:val="24"/>
          <w:szCs w:val="20"/>
        </w:rPr>
      </w:pPr>
    </w:p>
    <w:p w14:paraId="1A964B3C" w14:textId="1249EE56" w:rsidR="005370FC" w:rsidRPr="001D619B" w:rsidRDefault="00BE287D" w:rsidP="00BE287D">
      <w:pPr>
        <w:pStyle w:val="BodyText"/>
        <w:tabs>
          <w:tab w:val="left" w:pos="821"/>
        </w:tabs>
        <w:spacing w:before="0"/>
        <w:ind w:left="284"/>
        <w:jc w:val="both"/>
        <w:rPr>
          <w:noProof/>
          <w:sz w:val="24"/>
        </w:rPr>
      </w:pPr>
      <w:r>
        <w:rPr>
          <w:sz w:val="24"/>
        </w:rPr>
        <w:t>3. Latvijas Uzņēmumu reģistra izziņa;</w:t>
      </w:r>
    </w:p>
    <w:p w14:paraId="12D0FB84" w14:textId="77777777" w:rsidR="005370FC" w:rsidRPr="001D619B" w:rsidRDefault="005370FC" w:rsidP="00BE287D">
      <w:pPr>
        <w:ind w:left="284"/>
        <w:jc w:val="both"/>
        <w:rPr>
          <w:rFonts w:ascii="Times New Roman" w:eastAsia="Times New Roman" w:hAnsi="Times New Roman" w:cs="Times New Roman"/>
          <w:noProof/>
          <w:sz w:val="24"/>
          <w:szCs w:val="20"/>
        </w:rPr>
      </w:pPr>
    </w:p>
    <w:p w14:paraId="764DABB3" w14:textId="187B9DDF" w:rsidR="005370FC" w:rsidRPr="001D619B" w:rsidRDefault="00BE287D" w:rsidP="00BE287D">
      <w:pPr>
        <w:pStyle w:val="BodyText"/>
        <w:tabs>
          <w:tab w:val="left" w:pos="821"/>
        </w:tabs>
        <w:spacing w:before="0"/>
        <w:ind w:left="284"/>
        <w:jc w:val="both"/>
        <w:rPr>
          <w:noProof/>
          <w:sz w:val="24"/>
        </w:rPr>
      </w:pPr>
      <w:r>
        <w:rPr>
          <w:sz w:val="24"/>
        </w:rPr>
        <w:t>4. šā procesuālā raksta piecas kopijas.</w:t>
      </w:r>
    </w:p>
    <w:p w14:paraId="1CC0ED70" w14:textId="77777777" w:rsidR="005370FC" w:rsidRPr="001D619B" w:rsidRDefault="005370FC" w:rsidP="001D619B">
      <w:pPr>
        <w:jc w:val="both"/>
        <w:rPr>
          <w:rFonts w:ascii="Times New Roman" w:eastAsia="Times New Roman" w:hAnsi="Times New Roman" w:cs="Times New Roman"/>
          <w:noProof/>
          <w:sz w:val="24"/>
          <w:szCs w:val="20"/>
        </w:rPr>
      </w:pPr>
    </w:p>
    <w:p w14:paraId="1946605F" w14:textId="71881D08" w:rsidR="005370FC" w:rsidRPr="001D619B" w:rsidRDefault="005370FC" w:rsidP="00BE287D">
      <w:pPr>
        <w:pStyle w:val="BodyText"/>
        <w:spacing w:before="0"/>
        <w:ind w:left="0"/>
        <w:jc w:val="center"/>
        <w:rPr>
          <w:noProof/>
          <w:sz w:val="24"/>
        </w:rPr>
      </w:pPr>
      <w:r>
        <w:rPr>
          <w:sz w:val="24"/>
        </w:rPr>
        <w:t>[zīmogs]</w:t>
      </w:r>
    </w:p>
    <w:sectPr w:rsidR="005370FC" w:rsidRPr="001D619B" w:rsidSect="001D619B">
      <w:headerReference w:type="default" r:id="rId9"/>
      <w:footerReference w:type="default" r:id="rId10"/>
      <w:headerReference w:type="first" r:id="rId11"/>
      <w:footerReference w:type="first" r:id="rId12"/>
      <w:pgSz w:w="1190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97D886" w14:textId="77777777" w:rsidR="005370FC" w:rsidRPr="005370FC" w:rsidRDefault="005370FC" w:rsidP="005370FC">
      <w:pPr>
        <w:rPr>
          <w:noProof/>
        </w:rPr>
      </w:pPr>
      <w:r w:rsidRPr="005370FC">
        <w:rPr>
          <w:noProof/>
        </w:rPr>
        <w:separator/>
      </w:r>
    </w:p>
  </w:endnote>
  <w:endnote w:type="continuationSeparator" w:id="0">
    <w:p w14:paraId="460532C3" w14:textId="77777777" w:rsidR="005370FC" w:rsidRPr="005370FC" w:rsidRDefault="005370FC" w:rsidP="005370FC">
      <w:pPr>
        <w:rPr>
          <w:noProof/>
        </w:rPr>
      </w:pPr>
      <w:r w:rsidRPr="005370FC">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E86FF" w14:textId="77777777" w:rsidR="001618C8" w:rsidRPr="001618C8" w:rsidRDefault="001618C8" w:rsidP="001618C8">
    <w:pPr>
      <w:pStyle w:val="Header"/>
      <w:tabs>
        <w:tab w:val="left" w:pos="9072"/>
      </w:tabs>
      <w:rPr>
        <w:rStyle w:val="PageNumber"/>
        <w:rFonts w:ascii="Times New Roman" w:hAnsi="Times New Roman" w:cs="Times New Roman"/>
        <w:sz w:val="20"/>
        <w:szCs w:val="18"/>
      </w:rPr>
    </w:pPr>
  </w:p>
  <w:p w14:paraId="326DBB7B" w14:textId="52095ED7" w:rsidR="001618C8" w:rsidRPr="001618C8" w:rsidRDefault="001618C8" w:rsidP="001618C8">
    <w:pPr>
      <w:pStyle w:val="Header"/>
      <w:tabs>
        <w:tab w:val="clear" w:pos="4513"/>
        <w:tab w:val="clear" w:pos="9026"/>
        <w:tab w:val="right" w:leader="underscore" w:pos="9072"/>
      </w:tabs>
      <w:rPr>
        <w:rStyle w:val="PageNumber"/>
        <w:rFonts w:ascii="Times New Roman" w:hAnsi="Times New Roman" w:cs="Times New Roman"/>
        <w:sz w:val="20"/>
        <w:szCs w:val="18"/>
      </w:rPr>
    </w:pPr>
    <w:r w:rsidRPr="001618C8">
      <w:rPr>
        <w:rStyle w:val="PageNumber"/>
        <w:rFonts w:ascii="Times New Roman" w:hAnsi="Times New Roman" w:cs="Times New Roman"/>
        <w:sz w:val="20"/>
        <w:szCs w:val="18"/>
      </w:rPr>
      <w:tab/>
    </w:r>
  </w:p>
  <w:p w14:paraId="36BE252B" w14:textId="77777777" w:rsidR="001618C8" w:rsidRPr="001618C8" w:rsidRDefault="001618C8" w:rsidP="001618C8">
    <w:pPr>
      <w:pStyle w:val="Header"/>
      <w:tabs>
        <w:tab w:val="right" w:pos="9072"/>
      </w:tabs>
      <w:rPr>
        <w:rStyle w:val="PageNumber"/>
        <w:rFonts w:ascii="Times New Roman" w:hAnsi="Times New Roman" w:cs="Times New Roman"/>
        <w:sz w:val="20"/>
        <w:szCs w:val="18"/>
      </w:rPr>
    </w:pPr>
  </w:p>
  <w:p w14:paraId="37A4A10A" w14:textId="77777777" w:rsidR="001618C8" w:rsidRPr="001618C8" w:rsidRDefault="001618C8" w:rsidP="001618C8">
    <w:pPr>
      <w:pStyle w:val="Footer"/>
      <w:tabs>
        <w:tab w:val="clear" w:pos="4513"/>
        <w:tab w:val="clear" w:pos="9026"/>
        <w:tab w:val="center" w:pos="9065"/>
      </w:tabs>
      <w:rPr>
        <w:rFonts w:ascii="Times New Roman" w:hAnsi="Times New Roman" w:cs="Times New Roman"/>
        <w:sz w:val="20"/>
        <w:szCs w:val="18"/>
      </w:rPr>
    </w:pPr>
    <w:r w:rsidRPr="001618C8">
      <w:rPr>
        <w:rFonts w:ascii="Times New Roman" w:hAnsi="Times New Roman" w:cs="Times New Roman"/>
        <w:noProof/>
        <w:sz w:val="20"/>
        <w:szCs w:val="18"/>
      </w:rPr>
      <w:t xml:space="preserve">Tulkojums </w:t>
    </w:r>
    <w:r w:rsidRPr="001618C8">
      <w:rPr>
        <w:rFonts w:ascii="Times New Roman" w:hAnsi="Times New Roman" w:cs="Times New Roman"/>
        <w:noProof/>
        <w:sz w:val="20"/>
        <w:szCs w:val="18"/>
      </w:rPr>
      <w:fldChar w:fldCharType="begin"/>
    </w:r>
    <w:r w:rsidRPr="001618C8">
      <w:rPr>
        <w:rFonts w:ascii="Times New Roman" w:hAnsi="Times New Roman" w:cs="Times New Roman"/>
        <w:noProof/>
        <w:sz w:val="20"/>
        <w:szCs w:val="18"/>
      </w:rPr>
      <w:instrText>symbol 211 \f "Symbol" \s 9</w:instrText>
    </w:r>
    <w:r w:rsidRPr="001618C8">
      <w:rPr>
        <w:rFonts w:ascii="Times New Roman" w:hAnsi="Times New Roman" w:cs="Times New Roman"/>
        <w:noProof/>
        <w:sz w:val="20"/>
        <w:szCs w:val="18"/>
      </w:rPr>
      <w:fldChar w:fldCharType="separate"/>
    </w:r>
    <w:r w:rsidRPr="001618C8">
      <w:rPr>
        <w:rFonts w:ascii="Times New Roman" w:hAnsi="Times New Roman" w:cs="Times New Roman"/>
        <w:noProof/>
        <w:sz w:val="20"/>
        <w:szCs w:val="18"/>
      </w:rPr>
      <w:t>Ó</w:t>
    </w:r>
    <w:r w:rsidRPr="001618C8">
      <w:rPr>
        <w:rFonts w:ascii="Times New Roman" w:hAnsi="Times New Roman" w:cs="Times New Roman"/>
        <w:noProof/>
        <w:sz w:val="20"/>
        <w:szCs w:val="18"/>
      </w:rPr>
      <w:fldChar w:fldCharType="end"/>
    </w:r>
    <w:r w:rsidRPr="001618C8">
      <w:rPr>
        <w:rFonts w:ascii="Times New Roman" w:hAnsi="Times New Roman" w:cs="Times New Roman"/>
        <w:noProof/>
        <w:sz w:val="20"/>
        <w:szCs w:val="18"/>
      </w:rPr>
      <w:t xml:space="preserve"> Valsts valodas centrs, 2020</w:t>
    </w:r>
    <w:r w:rsidRPr="001618C8">
      <w:rPr>
        <w:rFonts w:ascii="Times New Roman" w:hAnsi="Times New Roman" w:cs="Times New Roman"/>
        <w:sz w:val="20"/>
        <w:szCs w:val="18"/>
      </w:rPr>
      <w:tab/>
    </w:r>
    <w:r w:rsidRPr="001618C8">
      <w:rPr>
        <w:rStyle w:val="PageNumber"/>
        <w:rFonts w:ascii="Times New Roman" w:hAnsi="Times New Roman" w:cs="Times New Roman"/>
        <w:sz w:val="20"/>
        <w:szCs w:val="18"/>
      </w:rPr>
      <w:fldChar w:fldCharType="begin"/>
    </w:r>
    <w:r w:rsidRPr="001618C8">
      <w:rPr>
        <w:rStyle w:val="PageNumber"/>
        <w:rFonts w:ascii="Times New Roman" w:hAnsi="Times New Roman" w:cs="Times New Roman"/>
        <w:sz w:val="20"/>
        <w:szCs w:val="18"/>
      </w:rPr>
      <w:instrText xml:space="preserve">page </w:instrText>
    </w:r>
    <w:r w:rsidRPr="001618C8">
      <w:rPr>
        <w:rStyle w:val="PageNumber"/>
        <w:rFonts w:ascii="Times New Roman" w:hAnsi="Times New Roman" w:cs="Times New Roman"/>
        <w:sz w:val="20"/>
        <w:szCs w:val="18"/>
      </w:rPr>
      <w:fldChar w:fldCharType="separate"/>
    </w:r>
    <w:r w:rsidRPr="001618C8">
      <w:rPr>
        <w:rStyle w:val="PageNumber"/>
        <w:rFonts w:ascii="Times New Roman" w:hAnsi="Times New Roman" w:cs="Times New Roman"/>
        <w:sz w:val="20"/>
        <w:szCs w:val="18"/>
      </w:rPr>
      <w:t>2</w:t>
    </w:r>
    <w:r w:rsidRPr="001618C8">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B99F4" w14:textId="77777777" w:rsidR="001618C8" w:rsidRPr="001618C8" w:rsidRDefault="001618C8" w:rsidP="001618C8">
    <w:pPr>
      <w:pStyle w:val="Header"/>
      <w:tabs>
        <w:tab w:val="left" w:pos="9072"/>
      </w:tabs>
      <w:rPr>
        <w:rStyle w:val="PageNumber"/>
        <w:rFonts w:ascii="Times New Roman" w:hAnsi="Times New Roman" w:cs="Times New Roman"/>
        <w:sz w:val="20"/>
        <w:szCs w:val="18"/>
      </w:rPr>
    </w:pPr>
    <w:bookmarkStart w:id="14" w:name="_Hlk496261764"/>
    <w:bookmarkStart w:id="15" w:name="_Hlk496261765"/>
    <w:bookmarkStart w:id="16" w:name="_Hlk496261766"/>
    <w:bookmarkStart w:id="17" w:name="_Hlk30491075"/>
    <w:bookmarkStart w:id="18" w:name="_Hlk30491076"/>
  </w:p>
  <w:p w14:paraId="08DE1776" w14:textId="5E28DFE6" w:rsidR="001618C8" w:rsidRPr="001618C8" w:rsidRDefault="001618C8" w:rsidP="001618C8">
    <w:pPr>
      <w:pStyle w:val="Header"/>
      <w:tabs>
        <w:tab w:val="clear" w:pos="4513"/>
        <w:tab w:val="clear" w:pos="9026"/>
        <w:tab w:val="left" w:leader="underscore" w:pos="9072"/>
      </w:tabs>
      <w:rPr>
        <w:rStyle w:val="PageNumber"/>
        <w:rFonts w:ascii="Times New Roman" w:hAnsi="Times New Roman" w:cs="Times New Roman"/>
        <w:sz w:val="20"/>
        <w:szCs w:val="18"/>
      </w:rPr>
    </w:pPr>
    <w:r w:rsidRPr="001618C8">
      <w:rPr>
        <w:rStyle w:val="PageNumber"/>
        <w:rFonts w:ascii="Times New Roman" w:hAnsi="Times New Roman" w:cs="Times New Roman"/>
        <w:sz w:val="20"/>
        <w:szCs w:val="18"/>
      </w:rPr>
      <w:tab/>
    </w:r>
  </w:p>
  <w:p w14:paraId="4B36B9F9" w14:textId="77777777" w:rsidR="001618C8" w:rsidRPr="001618C8" w:rsidRDefault="001618C8" w:rsidP="001618C8">
    <w:pPr>
      <w:pStyle w:val="Header"/>
      <w:tabs>
        <w:tab w:val="left" w:pos="9072"/>
      </w:tabs>
      <w:rPr>
        <w:rStyle w:val="PageNumber"/>
        <w:rFonts w:ascii="Times New Roman" w:hAnsi="Times New Roman" w:cs="Times New Roman"/>
        <w:sz w:val="20"/>
        <w:szCs w:val="18"/>
      </w:rPr>
    </w:pPr>
  </w:p>
  <w:p w14:paraId="0D895077" w14:textId="77777777" w:rsidR="001618C8" w:rsidRPr="001618C8" w:rsidRDefault="001618C8" w:rsidP="001618C8">
    <w:pPr>
      <w:pStyle w:val="Footer"/>
      <w:rPr>
        <w:rFonts w:ascii="Times New Roman" w:hAnsi="Times New Roman" w:cs="Times New Roman"/>
        <w:sz w:val="20"/>
        <w:szCs w:val="18"/>
      </w:rPr>
    </w:pPr>
    <w:r w:rsidRPr="001618C8">
      <w:rPr>
        <w:rFonts w:ascii="Times New Roman" w:hAnsi="Times New Roman" w:cs="Times New Roman"/>
        <w:noProof/>
        <w:sz w:val="20"/>
        <w:szCs w:val="18"/>
      </w:rPr>
      <w:t xml:space="preserve">Tulkojums </w:t>
    </w:r>
    <w:r w:rsidRPr="001618C8">
      <w:rPr>
        <w:rFonts w:ascii="Times New Roman" w:hAnsi="Times New Roman" w:cs="Times New Roman"/>
        <w:noProof/>
        <w:sz w:val="20"/>
        <w:szCs w:val="18"/>
      </w:rPr>
      <w:fldChar w:fldCharType="begin"/>
    </w:r>
    <w:r w:rsidRPr="001618C8">
      <w:rPr>
        <w:rFonts w:ascii="Times New Roman" w:hAnsi="Times New Roman" w:cs="Times New Roman"/>
        <w:noProof/>
        <w:sz w:val="20"/>
        <w:szCs w:val="18"/>
      </w:rPr>
      <w:instrText>symbol 211 \f "Symbol" \s 9</w:instrText>
    </w:r>
    <w:r w:rsidRPr="001618C8">
      <w:rPr>
        <w:rFonts w:ascii="Times New Roman" w:hAnsi="Times New Roman" w:cs="Times New Roman"/>
        <w:noProof/>
        <w:sz w:val="20"/>
        <w:szCs w:val="18"/>
      </w:rPr>
      <w:fldChar w:fldCharType="separate"/>
    </w:r>
    <w:r w:rsidRPr="001618C8">
      <w:rPr>
        <w:rFonts w:ascii="Times New Roman" w:hAnsi="Times New Roman" w:cs="Times New Roman"/>
        <w:noProof/>
        <w:sz w:val="20"/>
        <w:szCs w:val="18"/>
      </w:rPr>
      <w:t>Ó</w:t>
    </w:r>
    <w:r w:rsidRPr="001618C8">
      <w:rPr>
        <w:rFonts w:ascii="Times New Roman" w:hAnsi="Times New Roman" w:cs="Times New Roman"/>
        <w:noProof/>
        <w:sz w:val="20"/>
        <w:szCs w:val="18"/>
      </w:rPr>
      <w:fldChar w:fldCharType="end"/>
    </w:r>
    <w:r w:rsidRPr="001618C8">
      <w:rPr>
        <w:rFonts w:ascii="Times New Roman" w:hAnsi="Times New Roman" w:cs="Times New Roman"/>
        <w:noProof/>
        <w:sz w:val="20"/>
        <w:szCs w:val="18"/>
      </w:rPr>
      <w:t xml:space="preserve"> Valsts valodas centrs, 20</w:t>
    </w:r>
    <w:bookmarkEnd w:id="14"/>
    <w:bookmarkEnd w:id="15"/>
    <w:bookmarkEnd w:id="16"/>
    <w:r w:rsidRPr="001618C8">
      <w:rPr>
        <w:rFonts w:ascii="Times New Roman" w:hAnsi="Times New Roman" w:cs="Times New Roman"/>
        <w:noProof/>
        <w:sz w:val="20"/>
        <w:szCs w:val="18"/>
      </w:rPr>
      <w:t>20</w:t>
    </w:r>
    <w:bookmarkEnd w:id="17"/>
    <w:bookmarkEnd w:id="1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D82813" w14:textId="77777777" w:rsidR="005370FC" w:rsidRPr="005370FC" w:rsidRDefault="005370FC" w:rsidP="005370FC">
      <w:pPr>
        <w:rPr>
          <w:noProof/>
        </w:rPr>
      </w:pPr>
      <w:r w:rsidRPr="005370FC">
        <w:rPr>
          <w:noProof/>
        </w:rPr>
        <w:separator/>
      </w:r>
    </w:p>
  </w:footnote>
  <w:footnote w:type="continuationSeparator" w:id="0">
    <w:p w14:paraId="22ED2DAA" w14:textId="77777777" w:rsidR="005370FC" w:rsidRPr="005370FC" w:rsidRDefault="005370FC" w:rsidP="005370FC">
      <w:pPr>
        <w:rPr>
          <w:noProof/>
        </w:rPr>
      </w:pPr>
      <w:r w:rsidRPr="005370FC">
        <w:rPr>
          <w:noProof/>
        </w:rPr>
        <w:continuationSeparator/>
      </w:r>
    </w:p>
  </w:footnote>
  <w:footnote w:id="1">
    <w:p w14:paraId="51640B30" w14:textId="665162E1" w:rsidR="001D619B" w:rsidRPr="001D619B" w:rsidRDefault="001D619B" w:rsidP="001D619B">
      <w:pPr>
        <w:jc w:val="both"/>
        <w:rPr>
          <w:rFonts w:ascii="Times New Roman" w:hAnsi="Times New Roman"/>
          <w:noProof/>
          <w:sz w:val="24"/>
        </w:rPr>
      </w:pPr>
      <w:r>
        <w:rPr>
          <w:rStyle w:val="FootnoteReference"/>
        </w:rPr>
        <w:sym w:font="Symbol" w:char="F02A"/>
      </w:r>
      <w:r>
        <w:t xml:space="preserve"> </w:t>
      </w:r>
      <w:r>
        <w:rPr>
          <w:rFonts w:ascii="Times New Roman" w:hAnsi="Times New Roman"/>
          <w:sz w:val="24"/>
        </w:rPr>
        <w:t>Tiesvedības valoda – poļu.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5F495" w14:textId="77777777" w:rsidR="001618C8" w:rsidRPr="001618C8" w:rsidRDefault="001618C8" w:rsidP="001618C8">
    <w:pPr>
      <w:pStyle w:val="Header"/>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7D44B6EA" w14:textId="54C5FD8D" w:rsidR="001618C8" w:rsidRPr="001618C8" w:rsidRDefault="001618C8" w:rsidP="001618C8">
    <w:pPr>
      <w:pStyle w:val="Header"/>
      <w:tabs>
        <w:tab w:val="clear" w:pos="4513"/>
        <w:tab w:val="clear" w:pos="9026"/>
        <w:tab w:val="right" w:leader="underscore" w:pos="9072"/>
      </w:tabs>
      <w:rPr>
        <w:rStyle w:val="PageNumber"/>
        <w:rFonts w:ascii="Times New Roman" w:hAnsi="Times New Roman" w:cs="Times New Roman"/>
        <w:sz w:val="20"/>
        <w:szCs w:val="20"/>
      </w:rPr>
    </w:pPr>
    <w:r w:rsidRPr="001618C8">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p w14:paraId="502A3774" w14:textId="77777777" w:rsidR="001618C8" w:rsidRPr="001618C8" w:rsidRDefault="001618C8" w:rsidP="001618C8">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8B7CC9" w14:textId="77777777" w:rsidR="001618C8" w:rsidRPr="001618C8" w:rsidRDefault="001618C8" w:rsidP="001618C8">
    <w:pPr>
      <w:pBdr>
        <w:bottom w:val="single" w:sz="12" w:space="5" w:color="auto"/>
      </w:pBdr>
      <w:rPr>
        <w:rFonts w:ascii="Times New Roman" w:hAnsi="Times New Roman"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6D3F1531" w14:textId="77777777" w:rsidR="001618C8" w:rsidRPr="001618C8" w:rsidRDefault="001618C8" w:rsidP="001618C8">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7190D"/>
    <w:multiLevelType w:val="hybridMultilevel"/>
    <w:tmpl w:val="5C7EA020"/>
    <w:lvl w:ilvl="0" w:tplc="907ECB5E">
      <w:start w:val="1"/>
      <w:numFmt w:val="decimal"/>
      <w:lvlText w:val="%1."/>
      <w:lvlJc w:val="left"/>
      <w:pPr>
        <w:ind w:left="910" w:hanging="270"/>
      </w:pPr>
      <w:rPr>
        <w:rFonts w:ascii="Times New Roman" w:eastAsia="Times New Roman" w:hAnsi="Times New Roman" w:hint="default"/>
        <w:sz w:val="25"/>
        <w:szCs w:val="25"/>
      </w:rPr>
    </w:lvl>
    <w:lvl w:ilvl="1" w:tplc="8EAAA450">
      <w:start w:val="1"/>
      <w:numFmt w:val="bullet"/>
      <w:lvlText w:val="•"/>
      <w:lvlJc w:val="left"/>
      <w:pPr>
        <w:ind w:left="1677" w:hanging="270"/>
      </w:pPr>
      <w:rPr>
        <w:rFonts w:hint="default"/>
      </w:rPr>
    </w:lvl>
    <w:lvl w:ilvl="2" w:tplc="024C96C6">
      <w:start w:val="1"/>
      <w:numFmt w:val="bullet"/>
      <w:lvlText w:val="•"/>
      <w:lvlJc w:val="left"/>
      <w:pPr>
        <w:ind w:left="2445" w:hanging="270"/>
      </w:pPr>
      <w:rPr>
        <w:rFonts w:hint="default"/>
      </w:rPr>
    </w:lvl>
    <w:lvl w:ilvl="3" w:tplc="B03EE2E6">
      <w:start w:val="1"/>
      <w:numFmt w:val="bullet"/>
      <w:lvlText w:val="•"/>
      <w:lvlJc w:val="left"/>
      <w:pPr>
        <w:ind w:left="3212" w:hanging="270"/>
      </w:pPr>
      <w:rPr>
        <w:rFonts w:hint="default"/>
      </w:rPr>
    </w:lvl>
    <w:lvl w:ilvl="4" w:tplc="17AC9EE0">
      <w:start w:val="1"/>
      <w:numFmt w:val="bullet"/>
      <w:lvlText w:val="•"/>
      <w:lvlJc w:val="left"/>
      <w:pPr>
        <w:ind w:left="3980" w:hanging="270"/>
      </w:pPr>
      <w:rPr>
        <w:rFonts w:hint="default"/>
      </w:rPr>
    </w:lvl>
    <w:lvl w:ilvl="5" w:tplc="8C9CAD7E">
      <w:start w:val="1"/>
      <w:numFmt w:val="bullet"/>
      <w:lvlText w:val="•"/>
      <w:lvlJc w:val="left"/>
      <w:pPr>
        <w:ind w:left="4747" w:hanging="270"/>
      </w:pPr>
      <w:rPr>
        <w:rFonts w:hint="default"/>
      </w:rPr>
    </w:lvl>
    <w:lvl w:ilvl="6" w:tplc="61CA17C2">
      <w:start w:val="1"/>
      <w:numFmt w:val="bullet"/>
      <w:lvlText w:val="•"/>
      <w:lvlJc w:val="left"/>
      <w:pPr>
        <w:ind w:left="5515" w:hanging="270"/>
      </w:pPr>
      <w:rPr>
        <w:rFonts w:hint="default"/>
      </w:rPr>
    </w:lvl>
    <w:lvl w:ilvl="7" w:tplc="F2EABC5C">
      <w:start w:val="1"/>
      <w:numFmt w:val="bullet"/>
      <w:lvlText w:val="•"/>
      <w:lvlJc w:val="left"/>
      <w:pPr>
        <w:ind w:left="6282" w:hanging="270"/>
      </w:pPr>
      <w:rPr>
        <w:rFonts w:hint="default"/>
      </w:rPr>
    </w:lvl>
    <w:lvl w:ilvl="8" w:tplc="A1AA6910">
      <w:start w:val="1"/>
      <w:numFmt w:val="bullet"/>
      <w:lvlText w:val="•"/>
      <w:lvlJc w:val="left"/>
      <w:pPr>
        <w:ind w:left="7050" w:hanging="27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E11C11"/>
    <w:rsid w:val="001618C8"/>
    <w:rsid w:val="001D619B"/>
    <w:rsid w:val="005370FC"/>
    <w:rsid w:val="00BE287D"/>
    <w:rsid w:val="00E11C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FD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370"/>
      <w:outlineLvl w:val="0"/>
    </w:pPr>
    <w:rPr>
      <w:rFonts w:ascii="Times New Roman" w:eastAsia="Times New Roman" w:hAnsi="Times New Roman"/>
      <w:b/>
      <w:b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7"/>
      <w:ind w:left="650"/>
    </w:pPr>
    <w:rPr>
      <w:rFonts w:ascii="Times New Roman" w:eastAsia="Times New Roman" w:hAnsi="Times New Roman"/>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5370FC"/>
    <w:pPr>
      <w:tabs>
        <w:tab w:val="center" w:pos="4513"/>
        <w:tab w:val="right" w:pos="9026"/>
      </w:tabs>
    </w:pPr>
  </w:style>
  <w:style w:type="character" w:customStyle="1" w:styleId="HeaderChar">
    <w:name w:val="Header Char"/>
    <w:basedOn w:val="DefaultParagraphFont"/>
    <w:link w:val="Header"/>
    <w:uiPriority w:val="99"/>
    <w:rsid w:val="005370FC"/>
  </w:style>
  <w:style w:type="paragraph" w:styleId="Footer">
    <w:name w:val="footer"/>
    <w:basedOn w:val="Normal"/>
    <w:link w:val="FooterChar"/>
    <w:unhideWhenUsed/>
    <w:rsid w:val="005370FC"/>
    <w:pPr>
      <w:tabs>
        <w:tab w:val="center" w:pos="4513"/>
        <w:tab w:val="right" w:pos="9026"/>
      </w:tabs>
    </w:pPr>
  </w:style>
  <w:style w:type="character" w:customStyle="1" w:styleId="FooterChar">
    <w:name w:val="Footer Char"/>
    <w:basedOn w:val="DefaultParagraphFont"/>
    <w:link w:val="Footer"/>
    <w:uiPriority w:val="99"/>
    <w:rsid w:val="005370FC"/>
  </w:style>
  <w:style w:type="paragraph" w:styleId="FootnoteText">
    <w:name w:val="footnote text"/>
    <w:basedOn w:val="Normal"/>
    <w:link w:val="FootnoteTextChar"/>
    <w:uiPriority w:val="99"/>
    <w:semiHidden/>
    <w:unhideWhenUsed/>
    <w:rsid w:val="001D619B"/>
    <w:rPr>
      <w:sz w:val="20"/>
      <w:szCs w:val="20"/>
    </w:rPr>
  </w:style>
  <w:style w:type="character" w:customStyle="1" w:styleId="FootnoteTextChar">
    <w:name w:val="Footnote Text Char"/>
    <w:basedOn w:val="DefaultParagraphFont"/>
    <w:link w:val="FootnoteText"/>
    <w:uiPriority w:val="99"/>
    <w:semiHidden/>
    <w:rsid w:val="001D619B"/>
    <w:rPr>
      <w:sz w:val="20"/>
      <w:szCs w:val="20"/>
    </w:rPr>
  </w:style>
  <w:style w:type="character" w:styleId="FootnoteReference">
    <w:name w:val="footnote reference"/>
    <w:basedOn w:val="DefaultParagraphFont"/>
    <w:uiPriority w:val="99"/>
    <w:semiHidden/>
    <w:unhideWhenUsed/>
    <w:rsid w:val="001D619B"/>
    <w:rPr>
      <w:vertAlign w:val="superscript"/>
    </w:rPr>
  </w:style>
  <w:style w:type="character" w:styleId="PageNumber">
    <w:name w:val="page number"/>
    <w:basedOn w:val="DefaultParagraphFont"/>
    <w:semiHidden/>
    <w:rsid w:val="00161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CCBD7-483F-4303-BDD6-F4DB92B3D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4751</Words>
  <Characters>2709</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2020-04-22T13:16:00Z</dcterms:created>
  <dcterms:modified xsi:type="dcterms:W3CDTF">2020-05-26T07:03:00Z</dcterms:modified>
</cp:coreProperties>
</file>