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5DF" w:rsidRPr="00D02CE0" w:rsidRDefault="002875DF" w:rsidP="00D02CE0">
      <w:pPr>
        <w:jc w:val="both"/>
        <w:rPr>
          <w:rFonts w:ascii="Times New Roman" w:hAnsi="Times New Roman"/>
          <w:noProof/>
          <w:szCs w:val="19"/>
          <w:lang w:val="en-US"/>
        </w:rPr>
      </w:pPr>
    </w:p>
    <w:p w:rsidR="002875DF" w:rsidRPr="00D02CE0" w:rsidRDefault="00D02CE0" w:rsidP="00D02CE0">
      <w:pPr>
        <w:jc w:val="right"/>
        <w:rPr>
          <w:rFonts w:ascii="Times New Roman" w:hAnsi="Times New Roman"/>
          <w:noProof/>
          <w:szCs w:val="19"/>
        </w:rPr>
      </w:pPr>
      <w:r>
        <w:rPr>
          <w:rFonts w:ascii="Times New Roman" w:hAnsi="Times New Roman"/>
          <w:noProof/>
          <w:szCs w:val="19"/>
          <w:lang w:eastAsia="lv-LV" w:bidi="ar-SA"/>
        </w:rPr>
        <w:drawing>
          <wp:inline distT="0" distB="0" distL="0" distR="0">
            <wp:extent cx="1319530" cy="122491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9530" cy="1224915"/>
                    </a:xfrm>
                    <a:prstGeom prst="rect">
                      <a:avLst/>
                    </a:prstGeom>
                    <a:noFill/>
                    <a:ln>
                      <a:noFill/>
                    </a:ln>
                  </pic:spPr>
                </pic:pic>
              </a:graphicData>
            </a:graphic>
          </wp:inline>
        </w:drawing>
      </w:r>
    </w:p>
    <w:p w:rsidR="002875DF" w:rsidRPr="00D02CE0" w:rsidRDefault="002875DF" w:rsidP="00D02CE0">
      <w:pPr>
        <w:jc w:val="both"/>
        <w:rPr>
          <w:rFonts w:ascii="Times New Roman" w:hAnsi="Times New Roman"/>
          <w:noProof/>
          <w:szCs w:val="19"/>
          <w:lang w:val="en-US"/>
        </w:rPr>
      </w:pPr>
    </w:p>
    <w:tbl>
      <w:tblPr>
        <w:tblStyle w:val="Reatabula"/>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7"/>
        <w:gridCol w:w="422"/>
        <w:gridCol w:w="4386"/>
      </w:tblGrid>
      <w:tr w:rsidR="00361307" w:rsidRPr="00382418" w:rsidTr="00984BA1">
        <w:tc>
          <w:tcPr>
            <w:tcW w:w="2345" w:type="pct"/>
          </w:tcPr>
          <w:p w:rsidR="00361307" w:rsidRPr="00382418" w:rsidRDefault="00361307" w:rsidP="00984BA1">
            <w:pPr>
              <w:pStyle w:val="Pamatteksts"/>
              <w:kinsoku w:val="0"/>
              <w:overflowPunct w:val="0"/>
              <w:ind w:left="0"/>
              <w:jc w:val="both"/>
              <w:rPr>
                <w:noProof/>
                <w:sz w:val="24"/>
                <w:szCs w:val="24"/>
              </w:rPr>
            </w:pPr>
            <w:r>
              <w:rPr>
                <w:sz w:val="24"/>
                <w:szCs w:val="24"/>
              </w:rPr>
              <w:t>Publicētais identifikators</w:t>
            </w:r>
          </w:p>
        </w:tc>
        <w:tc>
          <w:tcPr>
            <w:tcW w:w="233" w:type="pct"/>
          </w:tcPr>
          <w:p w:rsidR="00361307" w:rsidRPr="00382418" w:rsidRDefault="00361307" w:rsidP="00984BA1">
            <w:pPr>
              <w:pStyle w:val="Pamatteksts"/>
              <w:kinsoku w:val="0"/>
              <w:overflowPunct w:val="0"/>
              <w:ind w:left="0"/>
              <w:jc w:val="both"/>
              <w:rPr>
                <w:noProof/>
                <w:sz w:val="24"/>
                <w:szCs w:val="24"/>
              </w:rPr>
            </w:pPr>
            <w:r>
              <w:rPr>
                <w:sz w:val="24"/>
                <w:szCs w:val="24"/>
              </w:rPr>
              <w:t>:</w:t>
            </w:r>
          </w:p>
        </w:tc>
        <w:tc>
          <w:tcPr>
            <w:tcW w:w="2422" w:type="pct"/>
          </w:tcPr>
          <w:p w:rsidR="00361307" w:rsidRPr="00382418" w:rsidRDefault="00361307" w:rsidP="00984BA1">
            <w:pPr>
              <w:pStyle w:val="Pamatteksts"/>
              <w:kinsoku w:val="0"/>
              <w:overflowPunct w:val="0"/>
              <w:ind w:left="0"/>
              <w:jc w:val="both"/>
              <w:rPr>
                <w:noProof/>
                <w:sz w:val="24"/>
                <w:szCs w:val="24"/>
              </w:rPr>
            </w:pPr>
            <w:r>
              <w:rPr>
                <w:sz w:val="24"/>
                <w:szCs w:val="24"/>
              </w:rPr>
              <w:t>C-663/18</w:t>
            </w:r>
          </w:p>
        </w:tc>
      </w:tr>
      <w:tr w:rsidR="00361307" w:rsidRPr="00382418" w:rsidTr="00984BA1">
        <w:tc>
          <w:tcPr>
            <w:tcW w:w="2345" w:type="pct"/>
          </w:tcPr>
          <w:p w:rsidR="00361307" w:rsidRPr="00382418" w:rsidRDefault="00361307" w:rsidP="00984BA1">
            <w:pPr>
              <w:pStyle w:val="Pamatteksts"/>
              <w:kinsoku w:val="0"/>
              <w:overflowPunct w:val="0"/>
              <w:ind w:left="0"/>
              <w:jc w:val="both"/>
              <w:rPr>
                <w:noProof/>
                <w:sz w:val="24"/>
                <w:szCs w:val="24"/>
              </w:rPr>
            </w:pPr>
            <w:r>
              <w:rPr>
                <w:sz w:val="24"/>
                <w:szCs w:val="24"/>
              </w:rPr>
              <w:t>Dokumenta numurs</w:t>
            </w:r>
          </w:p>
        </w:tc>
        <w:tc>
          <w:tcPr>
            <w:tcW w:w="233" w:type="pct"/>
          </w:tcPr>
          <w:p w:rsidR="00361307" w:rsidRPr="00382418" w:rsidRDefault="00361307" w:rsidP="00984BA1">
            <w:pPr>
              <w:pStyle w:val="Pamatteksts"/>
              <w:kinsoku w:val="0"/>
              <w:overflowPunct w:val="0"/>
              <w:ind w:left="0"/>
              <w:jc w:val="both"/>
              <w:rPr>
                <w:noProof/>
                <w:sz w:val="24"/>
                <w:szCs w:val="24"/>
              </w:rPr>
            </w:pPr>
            <w:r>
              <w:rPr>
                <w:sz w:val="24"/>
                <w:szCs w:val="24"/>
              </w:rPr>
              <w:t>:</w:t>
            </w:r>
          </w:p>
        </w:tc>
        <w:tc>
          <w:tcPr>
            <w:tcW w:w="2422" w:type="pct"/>
          </w:tcPr>
          <w:p w:rsidR="00361307" w:rsidRPr="00382418" w:rsidRDefault="00361307" w:rsidP="00984BA1">
            <w:pPr>
              <w:pStyle w:val="Pamatteksts"/>
              <w:kinsoku w:val="0"/>
              <w:overflowPunct w:val="0"/>
              <w:ind w:left="0"/>
              <w:jc w:val="both"/>
              <w:rPr>
                <w:noProof/>
                <w:sz w:val="24"/>
                <w:szCs w:val="24"/>
              </w:rPr>
            </w:pPr>
            <w:r>
              <w:rPr>
                <w:sz w:val="24"/>
                <w:szCs w:val="24"/>
              </w:rPr>
              <w:t>12</w:t>
            </w:r>
          </w:p>
        </w:tc>
      </w:tr>
      <w:tr w:rsidR="00361307" w:rsidRPr="00382418" w:rsidTr="00984BA1">
        <w:tc>
          <w:tcPr>
            <w:tcW w:w="2345" w:type="pct"/>
          </w:tcPr>
          <w:p w:rsidR="00361307" w:rsidRPr="00382418" w:rsidRDefault="00361307" w:rsidP="00984BA1">
            <w:pPr>
              <w:pStyle w:val="Pamatteksts"/>
              <w:kinsoku w:val="0"/>
              <w:overflowPunct w:val="0"/>
              <w:ind w:left="0"/>
              <w:jc w:val="both"/>
              <w:rPr>
                <w:noProof/>
                <w:sz w:val="24"/>
                <w:szCs w:val="24"/>
              </w:rPr>
            </w:pPr>
            <w:r>
              <w:rPr>
                <w:sz w:val="24"/>
                <w:szCs w:val="24"/>
              </w:rPr>
              <w:t>Reģistrācijas numurs</w:t>
            </w:r>
          </w:p>
        </w:tc>
        <w:tc>
          <w:tcPr>
            <w:tcW w:w="233" w:type="pct"/>
          </w:tcPr>
          <w:p w:rsidR="00361307" w:rsidRPr="00382418" w:rsidRDefault="00361307" w:rsidP="00984BA1">
            <w:pPr>
              <w:pStyle w:val="Pamatteksts"/>
              <w:kinsoku w:val="0"/>
              <w:overflowPunct w:val="0"/>
              <w:ind w:left="0"/>
              <w:jc w:val="both"/>
              <w:rPr>
                <w:noProof/>
                <w:sz w:val="24"/>
                <w:szCs w:val="24"/>
              </w:rPr>
            </w:pPr>
            <w:r>
              <w:rPr>
                <w:sz w:val="24"/>
                <w:szCs w:val="24"/>
              </w:rPr>
              <w:t>:</w:t>
            </w:r>
          </w:p>
        </w:tc>
        <w:tc>
          <w:tcPr>
            <w:tcW w:w="2422" w:type="pct"/>
          </w:tcPr>
          <w:p w:rsidR="00361307" w:rsidRPr="00382418" w:rsidRDefault="00361307" w:rsidP="00361307">
            <w:pPr>
              <w:pStyle w:val="Pamatteksts"/>
              <w:kinsoku w:val="0"/>
              <w:overflowPunct w:val="0"/>
              <w:ind w:left="0"/>
              <w:jc w:val="both"/>
              <w:rPr>
                <w:noProof/>
                <w:sz w:val="24"/>
                <w:szCs w:val="24"/>
              </w:rPr>
            </w:pPr>
            <w:r>
              <w:rPr>
                <w:sz w:val="24"/>
                <w:szCs w:val="24"/>
              </w:rPr>
              <w:t>1104821</w:t>
            </w:r>
          </w:p>
        </w:tc>
      </w:tr>
      <w:tr w:rsidR="00361307" w:rsidRPr="00382418" w:rsidTr="00984BA1">
        <w:tc>
          <w:tcPr>
            <w:tcW w:w="2345" w:type="pct"/>
          </w:tcPr>
          <w:p w:rsidR="00361307" w:rsidRPr="00382418" w:rsidRDefault="00361307" w:rsidP="00984BA1">
            <w:pPr>
              <w:pStyle w:val="Pamatteksts"/>
              <w:kinsoku w:val="0"/>
              <w:overflowPunct w:val="0"/>
              <w:ind w:left="0"/>
              <w:jc w:val="both"/>
              <w:rPr>
                <w:noProof/>
                <w:sz w:val="24"/>
                <w:szCs w:val="24"/>
              </w:rPr>
            </w:pPr>
            <w:r>
              <w:rPr>
                <w:sz w:val="24"/>
                <w:szCs w:val="24"/>
              </w:rPr>
              <w:t>Iesniegšanas datums</w:t>
            </w:r>
          </w:p>
        </w:tc>
        <w:tc>
          <w:tcPr>
            <w:tcW w:w="233" w:type="pct"/>
          </w:tcPr>
          <w:p w:rsidR="00361307" w:rsidRPr="00382418" w:rsidRDefault="00361307" w:rsidP="00984BA1">
            <w:pPr>
              <w:pStyle w:val="Pamatteksts"/>
              <w:kinsoku w:val="0"/>
              <w:overflowPunct w:val="0"/>
              <w:ind w:left="0"/>
              <w:jc w:val="both"/>
              <w:rPr>
                <w:noProof/>
                <w:sz w:val="24"/>
                <w:szCs w:val="24"/>
              </w:rPr>
            </w:pPr>
            <w:r>
              <w:rPr>
                <w:sz w:val="24"/>
                <w:szCs w:val="24"/>
              </w:rPr>
              <w:t>:</w:t>
            </w:r>
          </w:p>
        </w:tc>
        <w:tc>
          <w:tcPr>
            <w:tcW w:w="2422" w:type="pct"/>
          </w:tcPr>
          <w:p w:rsidR="00361307" w:rsidRPr="00382418" w:rsidRDefault="00361307" w:rsidP="00984BA1">
            <w:pPr>
              <w:pStyle w:val="Pamatteksts"/>
              <w:kinsoku w:val="0"/>
              <w:overflowPunct w:val="0"/>
              <w:ind w:left="0"/>
              <w:jc w:val="both"/>
              <w:rPr>
                <w:noProof/>
                <w:sz w:val="24"/>
                <w:szCs w:val="24"/>
              </w:rPr>
            </w:pPr>
            <w:r>
              <w:rPr>
                <w:sz w:val="24"/>
                <w:szCs w:val="24"/>
              </w:rPr>
              <w:t>05.02.2019.</w:t>
            </w:r>
          </w:p>
        </w:tc>
      </w:tr>
      <w:tr w:rsidR="00361307" w:rsidRPr="00382418" w:rsidTr="00984BA1">
        <w:tc>
          <w:tcPr>
            <w:tcW w:w="2345" w:type="pct"/>
            <w:tcBorders>
              <w:bottom w:val="nil"/>
            </w:tcBorders>
          </w:tcPr>
          <w:p w:rsidR="00361307" w:rsidRPr="00382418" w:rsidRDefault="00361307" w:rsidP="00984BA1">
            <w:pPr>
              <w:pStyle w:val="Pamatteksts"/>
              <w:kinsoku w:val="0"/>
              <w:overflowPunct w:val="0"/>
              <w:ind w:left="0"/>
              <w:jc w:val="both"/>
              <w:rPr>
                <w:noProof/>
                <w:sz w:val="24"/>
                <w:szCs w:val="24"/>
              </w:rPr>
            </w:pPr>
            <w:r>
              <w:rPr>
                <w:sz w:val="24"/>
                <w:szCs w:val="24"/>
              </w:rPr>
              <w:t>Reģistrācijas datums</w:t>
            </w:r>
          </w:p>
        </w:tc>
        <w:tc>
          <w:tcPr>
            <w:tcW w:w="233" w:type="pct"/>
            <w:tcBorders>
              <w:bottom w:val="nil"/>
            </w:tcBorders>
          </w:tcPr>
          <w:p w:rsidR="00361307" w:rsidRPr="00382418" w:rsidRDefault="00361307" w:rsidP="00984BA1">
            <w:pPr>
              <w:pStyle w:val="Pamatteksts"/>
              <w:kinsoku w:val="0"/>
              <w:overflowPunct w:val="0"/>
              <w:ind w:left="0"/>
              <w:jc w:val="both"/>
              <w:rPr>
                <w:noProof/>
                <w:sz w:val="24"/>
                <w:szCs w:val="24"/>
              </w:rPr>
            </w:pPr>
            <w:r>
              <w:rPr>
                <w:sz w:val="24"/>
                <w:szCs w:val="24"/>
              </w:rPr>
              <w:t>:</w:t>
            </w:r>
          </w:p>
        </w:tc>
        <w:tc>
          <w:tcPr>
            <w:tcW w:w="2422" w:type="pct"/>
            <w:tcBorders>
              <w:bottom w:val="nil"/>
            </w:tcBorders>
          </w:tcPr>
          <w:p w:rsidR="00361307" w:rsidRPr="00382418" w:rsidRDefault="00361307" w:rsidP="00984BA1">
            <w:pPr>
              <w:pStyle w:val="Pamatteksts"/>
              <w:kinsoku w:val="0"/>
              <w:overflowPunct w:val="0"/>
              <w:ind w:left="0"/>
              <w:jc w:val="both"/>
              <w:rPr>
                <w:noProof/>
                <w:sz w:val="24"/>
                <w:szCs w:val="24"/>
              </w:rPr>
            </w:pPr>
            <w:r>
              <w:rPr>
                <w:sz w:val="24"/>
                <w:szCs w:val="24"/>
              </w:rPr>
              <w:t>06.02.2019.</w:t>
            </w:r>
          </w:p>
        </w:tc>
      </w:tr>
      <w:tr w:rsidR="00361307" w:rsidRPr="00382418" w:rsidTr="00984BA1">
        <w:trPr>
          <w:trHeight w:val="419"/>
        </w:trPr>
        <w:tc>
          <w:tcPr>
            <w:tcW w:w="2345" w:type="pct"/>
            <w:tcBorders>
              <w:top w:val="nil"/>
              <w:bottom w:val="single" w:sz="4" w:space="0" w:color="auto"/>
            </w:tcBorders>
          </w:tcPr>
          <w:p w:rsidR="00361307" w:rsidRPr="00382418" w:rsidRDefault="00361307" w:rsidP="00984BA1">
            <w:pPr>
              <w:pStyle w:val="Pamatteksts"/>
              <w:kinsoku w:val="0"/>
              <w:overflowPunct w:val="0"/>
              <w:ind w:left="0"/>
              <w:jc w:val="both"/>
              <w:rPr>
                <w:noProof/>
                <w:sz w:val="24"/>
                <w:szCs w:val="24"/>
              </w:rPr>
            </w:pPr>
            <w:r>
              <w:rPr>
                <w:sz w:val="24"/>
                <w:szCs w:val="24"/>
              </w:rPr>
              <w:t>Dokumenta veids</w:t>
            </w:r>
          </w:p>
        </w:tc>
        <w:tc>
          <w:tcPr>
            <w:tcW w:w="233" w:type="pct"/>
            <w:tcBorders>
              <w:top w:val="nil"/>
              <w:bottom w:val="single" w:sz="4" w:space="0" w:color="auto"/>
            </w:tcBorders>
          </w:tcPr>
          <w:p w:rsidR="00361307" w:rsidRPr="00382418" w:rsidRDefault="00361307" w:rsidP="00984BA1">
            <w:pPr>
              <w:pStyle w:val="Pamatteksts"/>
              <w:kinsoku w:val="0"/>
              <w:overflowPunct w:val="0"/>
              <w:ind w:left="0"/>
              <w:jc w:val="both"/>
              <w:rPr>
                <w:noProof/>
                <w:sz w:val="24"/>
                <w:szCs w:val="24"/>
              </w:rPr>
            </w:pPr>
            <w:r>
              <w:rPr>
                <w:sz w:val="24"/>
                <w:szCs w:val="24"/>
              </w:rPr>
              <w:t>:</w:t>
            </w:r>
          </w:p>
        </w:tc>
        <w:tc>
          <w:tcPr>
            <w:tcW w:w="2422" w:type="pct"/>
            <w:tcBorders>
              <w:top w:val="nil"/>
              <w:bottom w:val="single" w:sz="4" w:space="0" w:color="auto"/>
            </w:tcBorders>
          </w:tcPr>
          <w:p w:rsidR="00361307" w:rsidRPr="00382418" w:rsidRDefault="00361307" w:rsidP="00984BA1">
            <w:pPr>
              <w:pStyle w:val="Pamatteksts"/>
              <w:kinsoku w:val="0"/>
              <w:overflowPunct w:val="0"/>
              <w:ind w:left="0"/>
              <w:jc w:val="both"/>
              <w:rPr>
                <w:noProof/>
                <w:sz w:val="24"/>
                <w:szCs w:val="24"/>
              </w:rPr>
            </w:pPr>
            <w:r>
              <w:rPr>
                <w:sz w:val="24"/>
                <w:szCs w:val="24"/>
              </w:rPr>
              <w:t>Apsvērumi</w:t>
            </w:r>
          </w:p>
        </w:tc>
      </w:tr>
      <w:tr w:rsidR="00361307" w:rsidRPr="00382418" w:rsidTr="00984BA1">
        <w:tc>
          <w:tcPr>
            <w:tcW w:w="2345" w:type="pct"/>
            <w:tcBorders>
              <w:top w:val="single" w:sz="4" w:space="0" w:color="auto"/>
            </w:tcBorders>
          </w:tcPr>
          <w:p w:rsidR="00361307" w:rsidRPr="00382418" w:rsidRDefault="00361307" w:rsidP="00984BA1">
            <w:pPr>
              <w:pStyle w:val="Pamatteksts"/>
              <w:kinsoku w:val="0"/>
              <w:overflowPunct w:val="0"/>
              <w:ind w:left="0"/>
              <w:jc w:val="both"/>
              <w:rPr>
                <w:noProof/>
                <w:sz w:val="24"/>
                <w:szCs w:val="24"/>
                <w:lang w:val="en-US"/>
              </w:rPr>
            </w:pPr>
          </w:p>
        </w:tc>
        <w:tc>
          <w:tcPr>
            <w:tcW w:w="233" w:type="pct"/>
            <w:tcBorders>
              <w:top w:val="single" w:sz="4" w:space="0" w:color="auto"/>
            </w:tcBorders>
          </w:tcPr>
          <w:p w:rsidR="00361307" w:rsidRPr="00382418" w:rsidRDefault="00361307" w:rsidP="00984BA1">
            <w:pPr>
              <w:pStyle w:val="Pamatteksts"/>
              <w:kinsoku w:val="0"/>
              <w:overflowPunct w:val="0"/>
              <w:ind w:left="0"/>
              <w:jc w:val="both"/>
              <w:rPr>
                <w:noProof/>
                <w:sz w:val="24"/>
                <w:szCs w:val="24"/>
              </w:rPr>
            </w:pPr>
            <w:r>
              <w:rPr>
                <w:sz w:val="24"/>
                <w:szCs w:val="24"/>
              </w:rPr>
              <w:t>:</w:t>
            </w:r>
          </w:p>
        </w:tc>
        <w:tc>
          <w:tcPr>
            <w:tcW w:w="2422" w:type="pct"/>
            <w:tcBorders>
              <w:top w:val="single" w:sz="4" w:space="0" w:color="auto"/>
            </w:tcBorders>
          </w:tcPr>
          <w:p w:rsidR="00361307" w:rsidRPr="00382418" w:rsidRDefault="00361307" w:rsidP="00984BA1">
            <w:pPr>
              <w:pStyle w:val="Pamatteksts"/>
              <w:kinsoku w:val="0"/>
              <w:overflowPunct w:val="0"/>
              <w:ind w:left="0"/>
              <w:jc w:val="both"/>
              <w:rPr>
                <w:noProof/>
                <w:sz w:val="24"/>
                <w:szCs w:val="24"/>
              </w:rPr>
            </w:pPr>
            <w:r>
              <w:rPr>
                <w:sz w:val="24"/>
                <w:szCs w:val="24"/>
              </w:rPr>
              <w:t>Dokuments</w:t>
            </w:r>
          </w:p>
        </w:tc>
      </w:tr>
      <w:tr w:rsidR="00361307" w:rsidRPr="00382418" w:rsidTr="00984BA1">
        <w:tc>
          <w:tcPr>
            <w:tcW w:w="2345" w:type="pct"/>
          </w:tcPr>
          <w:p w:rsidR="00361307" w:rsidRPr="00382418" w:rsidRDefault="00361307" w:rsidP="00984BA1">
            <w:pPr>
              <w:pStyle w:val="Pamatteksts"/>
              <w:kinsoku w:val="0"/>
              <w:overflowPunct w:val="0"/>
              <w:ind w:left="0"/>
              <w:jc w:val="both"/>
              <w:rPr>
                <w:noProof/>
                <w:sz w:val="24"/>
                <w:szCs w:val="24"/>
              </w:rPr>
            </w:pPr>
            <w:r>
              <w:rPr>
                <w:i/>
                <w:iCs/>
                <w:sz w:val="24"/>
                <w:szCs w:val="24"/>
              </w:rPr>
              <w:t>e-Curia</w:t>
            </w:r>
            <w:r>
              <w:rPr>
                <w:sz w:val="24"/>
                <w:szCs w:val="24"/>
              </w:rPr>
              <w:t xml:space="preserve"> piešķirtais iesniegšanas numurs</w:t>
            </w:r>
          </w:p>
        </w:tc>
        <w:tc>
          <w:tcPr>
            <w:tcW w:w="233" w:type="pct"/>
          </w:tcPr>
          <w:p w:rsidR="00361307" w:rsidRPr="00382418" w:rsidRDefault="00361307" w:rsidP="00984BA1">
            <w:pPr>
              <w:pStyle w:val="Pamatteksts"/>
              <w:kinsoku w:val="0"/>
              <w:overflowPunct w:val="0"/>
              <w:ind w:left="0"/>
              <w:jc w:val="both"/>
              <w:rPr>
                <w:noProof/>
                <w:sz w:val="24"/>
                <w:szCs w:val="24"/>
              </w:rPr>
            </w:pPr>
            <w:r>
              <w:rPr>
                <w:sz w:val="24"/>
                <w:szCs w:val="24"/>
              </w:rPr>
              <w:t>:</w:t>
            </w:r>
          </w:p>
        </w:tc>
        <w:tc>
          <w:tcPr>
            <w:tcW w:w="2422" w:type="pct"/>
          </w:tcPr>
          <w:p w:rsidR="00361307" w:rsidRPr="00382418" w:rsidRDefault="00361307" w:rsidP="00361307">
            <w:pPr>
              <w:pStyle w:val="Pamatteksts"/>
              <w:kinsoku w:val="0"/>
              <w:overflowPunct w:val="0"/>
              <w:ind w:left="0"/>
              <w:jc w:val="both"/>
              <w:rPr>
                <w:noProof/>
                <w:sz w:val="24"/>
                <w:szCs w:val="24"/>
              </w:rPr>
            </w:pPr>
            <w:r>
              <w:rPr>
                <w:sz w:val="24"/>
                <w:szCs w:val="24"/>
              </w:rPr>
              <w:t>DC102839</w:t>
            </w:r>
          </w:p>
        </w:tc>
      </w:tr>
      <w:tr w:rsidR="00361307" w:rsidRPr="00382418" w:rsidTr="00984BA1">
        <w:tc>
          <w:tcPr>
            <w:tcW w:w="2345" w:type="pct"/>
          </w:tcPr>
          <w:p w:rsidR="00361307" w:rsidRPr="00382418" w:rsidRDefault="00361307" w:rsidP="00984BA1">
            <w:pPr>
              <w:pStyle w:val="Pamatteksts"/>
              <w:kinsoku w:val="0"/>
              <w:overflowPunct w:val="0"/>
              <w:ind w:left="0"/>
              <w:jc w:val="both"/>
              <w:rPr>
                <w:noProof/>
                <w:sz w:val="24"/>
                <w:szCs w:val="24"/>
              </w:rPr>
            </w:pPr>
            <w:r>
              <w:rPr>
                <w:sz w:val="24"/>
                <w:szCs w:val="24"/>
              </w:rPr>
              <w:t>Datnes numurs</w:t>
            </w:r>
          </w:p>
        </w:tc>
        <w:tc>
          <w:tcPr>
            <w:tcW w:w="233" w:type="pct"/>
          </w:tcPr>
          <w:p w:rsidR="00361307" w:rsidRPr="00382418" w:rsidRDefault="00361307" w:rsidP="00984BA1">
            <w:pPr>
              <w:pStyle w:val="Pamatteksts"/>
              <w:kinsoku w:val="0"/>
              <w:overflowPunct w:val="0"/>
              <w:ind w:left="0"/>
              <w:jc w:val="both"/>
              <w:rPr>
                <w:noProof/>
                <w:sz w:val="24"/>
                <w:szCs w:val="24"/>
              </w:rPr>
            </w:pPr>
            <w:r>
              <w:rPr>
                <w:sz w:val="24"/>
                <w:szCs w:val="24"/>
              </w:rPr>
              <w:t>:</w:t>
            </w:r>
          </w:p>
        </w:tc>
        <w:tc>
          <w:tcPr>
            <w:tcW w:w="2422" w:type="pct"/>
          </w:tcPr>
          <w:p w:rsidR="00361307" w:rsidRPr="00382418" w:rsidRDefault="00361307" w:rsidP="00984BA1">
            <w:pPr>
              <w:pStyle w:val="Pamatteksts"/>
              <w:kinsoku w:val="0"/>
              <w:overflowPunct w:val="0"/>
              <w:ind w:left="0"/>
              <w:jc w:val="both"/>
              <w:rPr>
                <w:noProof/>
                <w:sz w:val="24"/>
                <w:szCs w:val="24"/>
              </w:rPr>
            </w:pPr>
            <w:r>
              <w:rPr>
                <w:sz w:val="24"/>
                <w:szCs w:val="24"/>
              </w:rPr>
              <w:t>1</w:t>
            </w:r>
          </w:p>
        </w:tc>
      </w:tr>
      <w:tr w:rsidR="00361307" w:rsidRPr="00382418" w:rsidTr="00984BA1">
        <w:tc>
          <w:tcPr>
            <w:tcW w:w="2345" w:type="pct"/>
          </w:tcPr>
          <w:p w:rsidR="00361307" w:rsidRPr="00382418" w:rsidRDefault="00361307" w:rsidP="00984BA1">
            <w:pPr>
              <w:pStyle w:val="Pamatteksts"/>
              <w:kinsoku w:val="0"/>
              <w:overflowPunct w:val="0"/>
              <w:ind w:left="0"/>
              <w:jc w:val="both"/>
              <w:rPr>
                <w:noProof/>
                <w:sz w:val="24"/>
                <w:szCs w:val="24"/>
              </w:rPr>
            </w:pPr>
            <w:r>
              <w:rPr>
                <w:sz w:val="24"/>
                <w:szCs w:val="24"/>
              </w:rPr>
              <w:t>Iesniedzējs</w:t>
            </w:r>
          </w:p>
        </w:tc>
        <w:tc>
          <w:tcPr>
            <w:tcW w:w="233" w:type="pct"/>
          </w:tcPr>
          <w:p w:rsidR="00361307" w:rsidRPr="00382418" w:rsidRDefault="00361307" w:rsidP="00984BA1">
            <w:pPr>
              <w:pStyle w:val="Pamatteksts"/>
              <w:kinsoku w:val="0"/>
              <w:overflowPunct w:val="0"/>
              <w:ind w:left="0"/>
              <w:jc w:val="both"/>
              <w:rPr>
                <w:noProof/>
                <w:sz w:val="24"/>
                <w:szCs w:val="24"/>
              </w:rPr>
            </w:pPr>
            <w:r>
              <w:rPr>
                <w:sz w:val="24"/>
                <w:szCs w:val="24"/>
              </w:rPr>
              <w:t>:</w:t>
            </w:r>
          </w:p>
        </w:tc>
        <w:tc>
          <w:tcPr>
            <w:tcW w:w="2422" w:type="pct"/>
          </w:tcPr>
          <w:p w:rsidR="00361307" w:rsidRDefault="00361307" w:rsidP="00984BA1">
            <w:pPr>
              <w:pStyle w:val="Pamatteksts"/>
              <w:kinsoku w:val="0"/>
              <w:overflowPunct w:val="0"/>
              <w:ind w:left="0"/>
              <w:jc w:val="both"/>
              <w:rPr>
                <w:noProof/>
                <w:sz w:val="24"/>
                <w:szCs w:val="24"/>
              </w:rPr>
            </w:pPr>
            <w:r>
              <w:rPr>
                <w:sz w:val="24"/>
                <w:szCs w:val="24"/>
              </w:rPr>
              <w:t>Aleksandrs Gzavjē Leviss [</w:t>
            </w:r>
            <w:r>
              <w:rPr>
                <w:i/>
                <w:iCs/>
                <w:sz w:val="24"/>
                <w:szCs w:val="24"/>
              </w:rPr>
              <w:t>Alexandre Xavier Lewis</w:t>
            </w:r>
            <w:r>
              <w:rPr>
                <w:sz w:val="24"/>
                <w:szCs w:val="24"/>
              </w:rPr>
              <w:t>] (R1396)</w:t>
            </w:r>
          </w:p>
          <w:p w:rsidR="00361307" w:rsidRPr="00382418" w:rsidRDefault="00361307" w:rsidP="00984BA1">
            <w:pPr>
              <w:pStyle w:val="Pamatteksts"/>
              <w:kinsoku w:val="0"/>
              <w:overflowPunct w:val="0"/>
              <w:ind w:left="0"/>
              <w:jc w:val="both"/>
              <w:rPr>
                <w:noProof/>
                <w:sz w:val="24"/>
                <w:szCs w:val="24"/>
              </w:rPr>
            </w:pPr>
            <w:r>
              <w:rPr>
                <w:sz w:val="24"/>
                <w:szCs w:val="24"/>
              </w:rPr>
              <w:t>Komisija</w:t>
            </w:r>
          </w:p>
        </w:tc>
      </w:tr>
    </w:tbl>
    <w:p w:rsidR="002875DF" w:rsidRPr="00D02CE0" w:rsidRDefault="002875DF" w:rsidP="00D02CE0">
      <w:pPr>
        <w:jc w:val="both"/>
        <w:rPr>
          <w:rFonts w:ascii="Times New Roman" w:hAnsi="Times New Roman"/>
          <w:noProof/>
          <w:szCs w:val="19"/>
          <w:lang w:val="en-US"/>
        </w:rPr>
      </w:pPr>
    </w:p>
    <w:p w:rsidR="00361307" w:rsidRDefault="00361307">
      <w:pPr>
        <w:rPr>
          <w:rFonts w:ascii="Times New Roman" w:hAnsi="Times New Roman"/>
          <w:noProof/>
          <w:szCs w:val="19"/>
        </w:rPr>
      </w:pPr>
      <w:r>
        <w:br w:type="page"/>
      </w:r>
    </w:p>
    <w:p w:rsidR="00D02CE0" w:rsidRDefault="00D02CE0" w:rsidP="00D02CE0">
      <w:pPr>
        <w:jc w:val="both"/>
        <w:rPr>
          <w:rFonts w:ascii="Times New Roman" w:hAnsi="Times New Roman"/>
          <w:noProof/>
          <w:szCs w:val="2"/>
          <w:lang w:val="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44"/>
        <w:gridCol w:w="5921"/>
      </w:tblGrid>
      <w:tr w:rsidR="00361307" w:rsidTr="00477B4A">
        <w:tc>
          <w:tcPr>
            <w:tcW w:w="3147" w:type="dxa"/>
          </w:tcPr>
          <w:p w:rsidR="00361307" w:rsidRDefault="00361307" w:rsidP="00D02CE0">
            <w:pPr>
              <w:jc w:val="both"/>
              <w:rPr>
                <w:rFonts w:ascii="Times New Roman" w:hAnsi="Times New Roman"/>
                <w:noProof/>
                <w:szCs w:val="2"/>
              </w:rPr>
            </w:pPr>
            <w:r>
              <w:rPr>
                <w:rFonts w:ascii="Times New Roman" w:hAnsi="Times New Roman"/>
                <w:noProof/>
                <w:szCs w:val="2"/>
              </w:rPr>
              <w:drawing>
                <wp:inline distT="0" distB="0" distL="0" distR="0">
                  <wp:extent cx="1819910" cy="94869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910" cy="948690"/>
                          </a:xfrm>
                          <a:prstGeom prst="rect">
                            <a:avLst/>
                          </a:prstGeom>
                          <a:noFill/>
                          <a:ln>
                            <a:noFill/>
                          </a:ln>
                        </pic:spPr>
                      </pic:pic>
                    </a:graphicData>
                  </a:graphic>
                </wp:inline>
              </w:drawing>
            </w:r>
          </w:p>
        </w:tc>
        <w:tc>
          <w:tcPr>
            <w:tcW w:w="5974" w:type="dxa"/>
            <w:vAlign w:val="center"/>
          </w:tcPr>
          <w:p w:rsidR="00361307" w:rsidRDefault="00361307" w:rsidP="00361307">
            <w:pPr>
              <w:rPr>
                <w:rFonts w:ascii="Times New Roman" w:hAnsi="Times New Roman"/>
                <w:noProof/>
                <w:szCs w:val="2"/>
              </w:rPr>
            </w:pPr>
            <w:bookmarkStart w:id="0" w:name="bookmark0"/>
            <w:bookmarkStart w:id="1" w:name="_Toc11684601"/>
            <w:r>
              <w:rPr>
                <w:rFonts w:ascii="Times New Roman" w:hAnsi="Times New Roman"/>
                <w:sz w:val="24"/>
              </w:rPr>
              <w:t>EIROPAS KOMISIJA</w:t>
            </w:r>
            <w:bookmarkEnd w:id="0"/>
            <w:bookmarkEnd w:id="1"/>
          </w:p>
        </w:tc>
      </w:tr>
    </w:tbl>
    <w:p w:rsidR="00D02CE0" w:rsidRDefault="00D02CE0" w:rsidP="00D02CE0">
      <w:pPr>
        <w:jc w:val="both"/>
        <w:rPr>
          <w:rFonts w:ascii="Times New Roman" w:hAnsi="Times New Roman"/>
          <w:noProof/>
          <w:szCs w:val="2"/>
          <w:lang w:val="en-US"/>
        </w:rPr>
      </w:pPr>
    </w:p>
    <w:p w:rsidR="00D02CE0" w:rsidRPr="00D02CE0" w:rsidRDefault="00D02CE0" w:rsidP="00D02CE0">
      <w:pPr>
        <w:jc w:val="both"/>
        <w:rPr>
          <w:rFonts w:ascii="Times New Roman" w:hAnsi="Times New Roman"/>
          <w:noProof/>
          <w:szCs w:val="2"/>
          <w:lang w:val="en-US"/>
        </w:rPr>
      </w:pPr>
    </w:p>
    <w:p w:rsidR="00361307" w:rsidRDefault="00361307" w:rsidP="00361307">
      <w:pPr>
        <w:pStyle w:val="Bodytext20"/>
        <w:shd w:val="clear" w:color="auto" w:fill="auto"/>
        <w:spacing w:before="0" w:after="0" w:line="240" w:lineRule="auto"/>
        <w:ind w:firstLine="0"/>
        <w:jc w:val="right"/>
        <w:rPr>
          <w:noProof/>
          <w:sz w:val="24"/>
        </w:rPr>
      </w:pPr>
      <w:r>
        <w:rPr>
          <w:sz w:val="24"/>
        </w:rPr>
        <w:t>Brisele, 2019. gada 5. februāris</w:t>
      </w:r>
    </w:p>
    <w:p w:rsidR="002875DF" w:rsidRPr="00361307" w:rsidRDefault="002875DF" w:rsidP="00361307">
      <w:pPr>
        <w:pStyle w:val="Bodytext20"/>
        <w:shd w:val="clear" w:color="auto" w:fill="auto"/>
        <w:spacing w:before="0" w:after="0" w:line="240" w:lineRule="auto"/>
        <w:ind w:firstLine="0"/>
        <w:jc w:val="right"/>
        <w:rPr>
          <w:b/>
          <w:noProof/>
          <w:sz w:val="24"/>
        </w:rPr>
      </w:pPr>
      <w:r>
        <w:rPr>
          <w:rStyle w:val="Bodytext29ptBold"/>
          <w:b w:val="0"/>
          <w:sz w:val="24"/>
        </w:rPr>
        <w:t>XL/rg-</w:t>
      </w:r>
      <w:r>
        <w:rPr>
          <w:rStyle w:val="Bodytext29ptBold"/>
          <w:b w:val="0"/>
          <w:bCs w:val="0"/>
          <w:sz w:val="24"/>
          <w:szCs w:val="26"/>
        </w:rPr>
        <w:t xml:space="preserve"> sj .b(2019)717639</w:t>
      </w:r>
    </w:p>
    <w:p w:rsidR="00361307" w:rsidRDefault="00361307" w:rsidP="00D02CE0">
      <w:pPr>
        <w:pStyle w:val="Bodytext50"/>
        <w:shd w:val="clear" w:color="auto" w:fill="auto"/>
        <w:spacing w:before="0" w:after="0" w:line="240" w:lineRule="auto"/>
        <w:jc w:val="both"/>
        <w:rPr>
          <w:noProof/>
          <w:lang w:val="en-US"/>
        </w:rPr>
      </w:pPr>
    </w:p>
    <w:p w:rsidR="002875DF" w:rsidRPr="00D02CE0" w:rsidRDefault="002875DF" w:rsidP="00361307">
      <w:pPr>
        <w:pStyle w:val="Bodytext50"/>
        <w:shd w:val="clear" w:color="auto" w:fill="auto"/>
        <w:spacing w:before="0" w:after="0" w:line="240" w:lineRule="auto"/>
        <w:jc w:val="right"/>
        <w:rPr>
          <w:noProof/>
        </w:rPr>
      </w:pPr>
      <w:r>
        <w:t>Tiesvedības dokumenti</w:t>
      </w:r>
    </w:p>
    <w:p w:rsidR="00361307" w:rsidRDefault="00361307" w:rsidP="00D02CE0">
      <w:pPr>
        <w:pStyle w:val="Bodytext60"/>
        <w:shd w:val="clear" w:color="auto" w:fill="auto"/>
        <w:spacing w:before="0" w:after="0" w:line="240" w:lineRule="auto"/>
        <w:jc w:val="both"/>
        <w:rPr>
          <w:noProof/>
          <w:sz w:val="24"/>
          <w:lang w:val="en-US"/>
        </w:rPr>
      </w:pPr>
    </w:p>
    <w:p w:rsidR="002875DF" w:rsidRDefault="002875DF" w:rsidP="00361307">
      <w:pPr>
        <w:pStyle w:val="Bodytext60"/>
        <w:shd w:val="clear" w:color="auto" w:fill="auto"/>
        <w:spacing w:before="0" w:after="0" w:line="240" w:lineRule="auto"/>
        <w:rPr>
          <w:noProof/>
          <w:sz w:val="24"/>
        </w:rPr>
      </w:pPr>
      <w:r>
        <w:rPr>
          <w:sz w:val="24"/>
        </w:rPr>
        <w:t>EIROPAS SAVIENĪBAS TIESAS PRIEKŠSĒDĒTĀJAM UN TIESAS LOCEKĻIEM</w:t>
      </w:r>
    </w:p>
    <w:p w:rsidR="00361307" w:rsidRPr="00D02CE0" w:rsidRDefault="00361307" w:rsidP="00D02CE0">
      <w:pPr>
        <w:pStyle w:val="Bodytext60"/>
        <w:shd w:val="clear" w:color="auto" w:fill="auto"/>
        <w:spacing w:before="0" w:after="0" w:line="240" w:lineRule="auto"/>
        <w:jc w:val="both"/>
        <w:rPr>
          <w:noProof/>
          <w:sz w:val="24"/>
          <w:lang w:val="en-US"/>
        </w:rPr>
      </w:pPr>
    </w:p>
    <w:p w:rsidR="002875DF" w:rsidRPr="00D02CE0" w:rsidRDefault="002875DF" w:rsidP="00D02CE0">
      <w:pPr>
        <w:pStyle w:val="Bodytext70"/>
        <w:shd w:val="clear" w:color="auto" w:fill="auto"/>
        <w:spacing w:before="0" w:after="0" w:line="240" w:lineRule="auto"/>
        <w:jc w:val="both"/>
        <w:rPr>
          <w:noProof/>
        </w:rPr>
      </w:pPr>
      <w:r>
        <w:t>Rakstveida apsvērumi,</w:t>
      </w:r>
    </w:p>
    <w:p w:rsidR="00361307" w:rsidRDefault="00361307" w:rsidP="00D02CE0">
      <w:pPr>
        <w:pStyle w:val="Bodytext20"/>
        <w:shd w:val="clear" w:color="auto" w:fill="auto"/>
        <w:spacing w:before="0" w:after="0" w:line="240" w:lineRule="auto"/>
        <w:ind w:firstLine="0"/>
        <w:jc w:val="both"/>
        <w:rPr>
          <w:noProof/>
          <w:sz w:val="24"/>
          <w:lang w:val="en-US"/>
        </w:rPr>
      </w:pPr>
    </w:p>
    <w:p w:rsidR="002875DF" w:rsidRDefault="002875DF" w:rsidP="00D02CE0">
      <w:pPr>
        <w:pStyle w:val="Bodytext20"/>
        <w:shd w:val="clear" w:color="auto" w:fill="auto"/>
        <w:spacing w:before="0" w:after="0" w:line="240" w:lineRule="auto"/>
        <w:ind w:firstLine="0"/>
        <w:jc w:val="both"/>
        <w:rPr>
          <w:noProof/>
          <w:sz w:val="24"/>
        </w:rPr>
      </w:pPr>
      <w:r>
        <w:rPr>
          <w:sz w:val="24"/>
        </w:rPr>
        <w:t>kurus iesniegusi Eiropas Komisija, ko pārstāv tās Juridiskā dienesta pārstāvji Miko Hutunens [</w:t>
      </w:r>
      <w:r>
        <w:rPr>
          <w:i/>
          <w:iCs/>
          <w:sz w:val="24"/>
        </w:rPr>
        <w:t>Mikko Huttunen</w:t>
      </w:r>
      <w:r>
        <w:rPr>
          <w:sz w:val="24"/>
        </w:rPr>
        <w:t>], Gzavjē Leviss un Mareks Kadučaks [</w:t>
      </w:r>
      <w:r>
        <w:rPr>
          <w:i/>
          <w:iCs/>
          <w:sz w:val="24"/>
        </w:rPr>
        <w:t>Marek Kaduczak</w:t>
      </w:r>
      <w:r>
        <w:rPr>
          <w:sz w:val="24"/>
        </w:rPr>
        <w:t xml:space="preserve">], kas kā sava biroja adresi ir norādījuši </w:t>
      </w:r>
      <w:r>
        <w:rPr>
          <w:i/>
          <w:iCs/>
          <w:sz w:val="24"/>
        </w:rPr>
        <w:t>Greffe Contentieux, BERL 1/169, B</w:t>
      </w:r>
      <w:r>
        <w:rPr>
          <w:i/>
          <w:iCs/>
          <w:sz w:val="24"/>
        </w:rPr>
        <w:noBreakHyphen/>
        <w:t>1049, Bruxelles</w:t>
      </w:r>
      <w:r>
        <w:rPr>
          <w:sz w:val="24"/>
        </w:rPr>
        <w:t xml:space="preserve"> un piekrituši tam, ka visi procesuālie dokumenti tiek izsniegti </w:t>
      </w:r>
      <w:r>
        <w:rPr>
          <w:i/>
          <w:iCs/>
          <w:sz w:val="24"/>
        </w:rPr>
        <w:t>e</w:t>
      </w:r>
      <w:r>
        <w:rPr>
          <w:i/>
          <w:iCs/>
          <w:sz w:val="24"/>
        </w:rPr>
        <w:noBreakHyphen/>
        <w:t>Curia</w:t>
      </w:r>
      <w:r>
        <w:rPr>
          <w:sz w:val="24"/>
        </w:rPr>
        <w:t xml:space="preserve"> vietnē,</w:t>
      </w:r>
    </w:p>
    <w:p w:rsidR="00361307" w:rsidRPr="00D02CE0" w:rsidRDefault="00361307" w:rsidP="00D02CE0">
      <w:pPr>
        <w:pStyle w:val="Bodytext20"/>
        <w:shd w:val="clear" w:color="auto" w:fill="auto"/>
        <w:spacing w:before="0" w:after="0" w:line="240" w:lineRule="auto"/>
        <w:ind w:firstLine="0"/>
        <w:jc w:val="both"/>
        <w:rPr>
          <w:noProof/>
          <w:sz w:val="24"/>
          <w:lang w:val="en-US"/>
        </w:rPr>
      </w:pPr>
    </w:p>
    <w:p w:rsidR="002875DF" w:rsidRPr="00D02CE0" w:rsidRDefault="002875DF" w:rsidP="00361307">
      <w:pPr>
        <w:pStyle w:val="Bodytext20"/>
        <w:shd w:val="clear" w:color="auto" w:fill="auto"/>
        <w:spacing w:before="0" w:after="0" w:line="240" w:lineRule="auto"/>
        <w:ind w:firstLine="0"/>
        <w:jc w:val="center"/>
        <w:rPr>
          <w:noProof/>
          <w:sz w:val="24"/>
        </w:rPr>
      </w:pPr>
      <w:r>
        <w:rPr>
          <w:sz w:val="24"/>
        </w:rPr>
        <w:t xml:space="preserve">lietā </w:t>
      </w:r>
      <w:r>
        <w:rPr>
          <w:b/>
          <w:bCs/>
          <w:sz w:val="24"/>
        </w:rPr>
        <w:t>C-663/18</w:t>
      </w:r>
    </w:p>
    <w:p w:rsidR="00361307" w:rsidRDefault="00361307" w:rsidP="00361307">
      <w:pPr>
        <w:pStyle w:val="Bodytext70"/>
        <w:shd w:val="clear" w:color="auto" w:fill="auto"/>
        <w:spacing w:before="0" w:after="0" w:line="240" w:lineRule="auto"/>
        <w:rPr>
          <w:noProof/>
          <w:lang w:val="en-US"/>
        </w:rPr>
      </w:pPr>
    </w:p>
    <w:p w:rsidR="002875DF" w:rsidRPr="00D02CE0" w:rsidRDefault="002875DF" w:rsidP="00361307">
      <w:pPr>
        <w:pStyle w:val="Bodytext70"/>
        <w:shd w:val="clear" w:color="auto" w:fill="auto"/>
        <w:spacing w:before="0" w:after="0" w:line="240" w:lineRule="auto"/>
        <w:rPr>
          <w:noProof/>
        </w:rPr>
      </w:pPr>
      <w:r>
        <w:t>“B. S. un C. A.</w:t>
      </w:r>
    </w:p>
    <w:p w:rsidR="00361307" w:rsidRDefault="00361307" w:rsidP="00361307">
      <w:pPr>
        <w:pStyle w:val="Bodytext70"/>
        <w:shd w:val="clear" w:color="auto" w:fill="auto"/>
        <w:spacing w:before="0" w:after="0" w:line="240" w:lineRule="auto"/>
        <w:rPr>
          <w:noProof/>
          <w:lang w:val="en-US"/>
        </w:rPr>
      </w:pPr>
    </w:p>
    <w:p w:rsidR="002875DF" w:rsidRPr="00D02CE0" w:rsidRDefault="002875DF" w:rsidP="00361307">
      <w:pPr>
        <w:pStyle w:val="Bodytext70"/>
        <w:shd w:val="clear" w:color="auto" w:fill="auto"/>
        <w:spacing w:before="0" w:after="0" w:line="240" w:lineRule="auto"/>
        <w:rPr>
          <w:noProof/>
        </w:rPr>
      </w:pPr>
      <w:r>
        <w:t>pret</w:t>
      </w:r>
    </w:p>
    <w:p w:rsidR="00361307" w:rsidRDefault="00361307" w:rsidP="00361307">
      <w:pPr>
        <w:pStyle w:val="Bodytext70"/>
        <w:shd w:val="clear" w:color="auto" w:fill="auto"/>
        <w:spacing w:before="0" w:after="0" w:line="240" w:lineRule="auto"/>
        <w:rPr>
          <w:noProof/>
          <w:lang w:val="en-US"/>
        </w:rPr>
      </w:pPr>
    </w:p>
    <w:p w:rsidR="002875DF" w:rsidRPr="00D02CE0" w:rsidRDefault="002875DF" w:rsidP="00361307">
      <w:pPr>
        <w:pStyle w:val="Bodytext70"/>
        <w:shd w:val="clear" w:color="auto" w:fill="auto"/>
        <w:spacing w:before="0" w:after="0" w:line="240" w:lineRule="auto"/>
        <w:rPr>
          <w:noProof/>
        </w:rPr>
      </w:pPr>
      <w:r>
        <w:t>prokuratūru”</w:t>
      </w:r>
    </w:p>
    <w:p w:rsidR="00361307" w:rsidRDefault="00361307" w:rsidP="00D02CE0">
      <w:pPr>
        <w:pStyle w:val="Bodytext20"/>
        <w:shd w:val="clear" w:color="auto" w:fill="auto"/>
        <w:spacing w:before="0" w:after="0" w:line="240" w:lineRule="auto"/>
        <w:ind w:firstLine="0"/>
        <w:jc w:val="both"/>
        <w:rPr>
          <w:noProof/>
          <w:sz w:val="24"/>
          <w:lang w:val="en-US"/>
        </w:rPr>
      </w:pPr>
    </w:p>
    <w:p w:rsidR="00361307" w:rsidRDefault="00361307" w:rsidP="00D02CE0">
      <w:pPr>
        <w:pStyle w:val="Bodytext20"/>
        <w:shd w:val="clear" w:color="auto" w:fill="auto"/>
        <w:spacing w:before="0" w:after="0" w:line="240" w:lineRule="auto"/>
        <w:ind w:firstLine="0"/>
        <w:jc w:val="both"/>
        <w:rPr>
          <w:noProof/>
          <w:sz w:val="24"/>
          <w:lang w:val="en-US"/>
        </w:rPr>
      </w:pPr>
    </w:p>
    <w:p w:rsidR="002875DF" w:rsidRDefault="002875DF" w:rsidP="00D02CE0">
      <w:pPr>
        <w:pStyle w:val="Bodytext20"/>
        <w:shd w:val="clear" w:color="auto" w:fill="auto"/>
        <w:spacing w:before="0" w:after="0" w:line="240" w:lineRule="auto"/>
        <w:ind w:firstLine="0"/>
        <w:jc w:val="both"/>
        <w:rPr>
          <w:noProof/>
          <w:sz w:val="24"/>
        </w:rPr>
      </w:pPr>
      <w:r>
        <w:rPr>
          <w:sz w:val="24"/>
        </w:rPr>
        <w:t>Par lūgumu sniegt prejudiciālo nolēmumu, kas iesniegts saskaņā ar Līguma par Eiropas Savienības darbību 267. pantu un lai noskaidrotu, vai Regula Nr. 1307/2013 un Nr. 1308/2013, kā arī LESD 34. un 36. pants ir interpretējami tādējādi, ka valsts tiesībās ir atļauts noteikt, ka kaņepju audzēšana, to rūpnieciska pārstrāde un tirdzniecība tiek atļauta tikai attiecībā uz šķiedrām un sēklām.</w:t>
      </w:r>
    </w:p>
    <w:p w:rsidR="00361307" w:rsidRPr="00D02CE0" w:rsidRDefault="00361307" w:rsidP="00D02CE0">
      <w:pPr>
        <w:pStyle w:val="Bodytext20"/>
        <w:shd w:val="clear" w:color="auto" w:fill="auto"/>
        <w:spacing w:before="0" w:after="0" w:line="240" w:lineRule="auto"/>
        <w:ind w:firstLine="0"/>
        <w:jc w:val="both"/>
        <w:rPr>
          <w:noProof/>
          <w:sz w:val="24"/>
          <w:lang w:val="en-US"/>
        </w:rPr>
      </w:pPr>
    </w:p>
    <w:p w:rsidR="00B540B1" w:rsidRPr="00B540B1" w:rsidRDefault="002875DF" w:rsidP="00D02CE0">
      <w:pPr>
        <w:pStyle w:val="Bodytext80"/>
        <w:shd w:val="clear" w:color="auto" w:fill="auto"/>
        <w:spacing w:before="0" w:after="0" w:line="240" w:lineRule="auto"/>
        <w:jc w:val="both"/>
        <w:rPr>
          <w:rFonts w:ascii="Times New Roman" w:hAnsi="Times New Roman"/>
          <w:noProof/>
          <w:sz w:val="20"/>
        </w:rPr>
      </w:pPr>
      <w:r>
        <w:rPr>
          <w:rFonts w:ascii="Times New Roman" w:hAnsi="Times New Roman"/>
          <w:sz w:val="20"/>
        </w:rPr>
        <w:t>Commission européenne, 1049 Bruxelles, BELGIQUE - Tél. +32 22991111</w:t>
      </w:r>
    </w:p>
    <w:p w:rsidR="002875DF" w:rsidRPr="00B540B1" w:rsidRDefault="002875DF" w:rsidP="00D02CE0">
      <w:pPr>
        <w:pStyle w:val="Bodytext80"/>
        <w:shd w:val="clear" w:color="auto" w:fill="auto"/>
        <w:spacing w:before="0" w:after="0" w:line="240" w:lineRule="auto"/>
        <w:jc w:val="both"/>
        <w:rPr>
          <w:rFonts w:ascii="Times New Roman" w:hAnsi="Times New Roman"/>
          <w:noProof/>
          <w:sz w:val="20"/>
        </w:rPr>
      </w:pPr>
      <w:r>
        <w:rPr>
          <w:rFonts w:ascii="Times New Roman" w:hAnsi="Times New Roman"/>
          <w:sz w:val="20"/>
        </w:rPr>
        <w:t>Bureau: Berl 4/137 - Tél. ligne directe +32 2 296 87 49</w:t>
      </w:r>
    </w:p>
    <w:p w:rsidR="00B540B1" w:rsidRPr="00B540B1" w:rsidRDefault="00B540B1" w:rsidP="00D02CE0">
      <w:pPr>
        <w:pStyle w:val="Bodytext80"/>
        <w:shd w:val="clear" w:color="auto" w:fill="auto"/>
        <w:spacing w:before="0" w:after="0" w:line="240" w:lineRule="auto"/>
        <w:jc w:val="both"/>
        <w:rPr>
          <w:rFonts w:ascii="Times New Roman" w:hAnsi="Times New Roman"/>
          <w:noProof/>
          <w:sz w:val="20"/>
          <w:lang w:val="en-US" w:eastAsia="en-US" w:bidi="en-US"/>
        </w:rPr>
      </w:pPr>
    </w:p>
    <w:p w:rsidR="002875DF" w:rsidRPr="00B540B1" w:rsidRDefault="002875DF" w:rsidP="00D02CE0">
      <w:pPr>
        <w:pStyle w:val="Bodytext80"/>
        <w:shd w:val="clear" w:color="auto" w:fill="auto"/>
        <w:spacing w:before="0" w:after="0" w:line="240" w:lineRule="auto"/>
        <w:jc w:val="both"/>
        <w:rPr>
          <w:rFonts w:ascii="Times New Roman" w:hAnsi="Times New Roman"/>
          <w:noProof/>
          <w:sz w:val="20"/>
        </w:rPr>
      </w:pPr>
      <w:r>
        <w:rPr>
          <w:rFonts w:ascii="Times New Roman" w:hAnsi="Times New Roman"/>
          <w:sz w:val="20"/>
        </w:rPr>
        <w:t>http://ec.europa.eu/</w:t>
      </w:r>
    </w:p>
    <w:p w:rsidR="00D02CE0" w:rsidRPr="00B540B1" w:rsidRDefault="002875DF" w:rsidP="00D02CE0">
      <w:pPr>
        <w:pStyle w:val="Bodytext80"/>
        <w:shd w:val="clear" w:color="auto" w:fill="auto"/>
        <w:spacing w:before="0" w:after="0" w:line="240" w:lineRule="auto"/>
        <w:jc w:val="both"/>
        <w:rPr>
          <w:rFonts w:ascii="Times New Roman" w:hAnsi="Times New Roman"/>
          <w:noProof/>
          <w:sz w:val="20"/>
        </w:rPr>
      </w:pPr>
      <w:r>
        <w:rPr>
          <w:rFonts w:ascii="Times New Roman" w:hAnsi="Times New Roman"/>
          <w:sz w:val="20"/>
        </w:rPr>
        <w:t>Alexandre-Xavier-Pierre.LEWIS@ec.europa.eu</w:t>
      </w:r>
    </w:p>
    <w:p w:rsidR="00B540B1" w:rsidRDefault="00B540B1">
      <w:pPr>
        <w:rPr>
          <w:rFonts w:ascii="Times New Roman" w:eastAsia="Times New Roman" w:hAnsi="Times New Roman" w:cs="Times New Roman"/>
          <w:noProof/>
          <w:szCs w:val="26"/>
        </w:rPr>
      </w:pPr>
      <w:r>
        <w:br w:type="page"/>
      </w:r>
    </w:p>
    <w:p w:rsidR="00B540B1" w:rsidRDefault="00B540B1" w:rsidP="00477B4A">
      <w:pPr>
        <w:pStyle w:val="Bodytext20"/>
        <w:shd w:val="clear" w:color="auto" w:fill="auto"/>
        <w:spacing w:before="0" w:after="0" w:line="240" w:lineRule="auto"/>
        <w:ind w:firstLine="0"/>
        <w:jc w:val="both"/>
        <w:rPr>
          <w:noProof/>
          <w:sz w:val="24"/>
          <w:lang w:val="en-US"/>
        </w:rPr>
      </w:pPr>
    </w:p>
    <w:p w:rsidR="002875DF" w:rsidRPr="00D02CE0" w:rsidRDefault="002875DF" w:rsidP="00477B4A">
      <w:pPr>
        <w:pStyle w:val="Bodytext20"/>
        <w:shd w:val="clear" w:color="auto" w:fill="auto"/>
        <w:spacing w:before="0" w:after="0" w:line="240" w:lineRule="auto"/>
        <w:ind w:firstLine="0"/>
        <w:jc w:val="both"/>
        <w:rPr>
          <w:noProof/>
          <w:sz w:val="24"/>
        </w:rPr>
      </w:pPr>
      <w:r>
        <w:rPr>
          <w:sz w:val="24"/>
        </w:rPr>
        <w:t>Satura rādītājs</w:t>
      </w:r>
    </w:p>
    <w:sdt>
      <w:sdtPr>
        <w:rPr>
          <w:rFonts w:ascii="Arial Unicode MS" w:eastAsia="Arial Unicode MS" w:hAnsi="Arial Unicode MS" w:cs="Arial Unicode MS"/>
          <w:color w:val="000000"/>
          <w:sz w:val="24"/>
          <w:szCs w:val="24"/>
          <w:lang w:eastAsia="fr-FR" w:bidi="fr-FR"/>
        </w:rPr>
        <w:id w:val="1066618824"/>
        <w:docPartObj>
          <w:docPartGallery w:val="Table of Contents"/>
          <w:docPartUnique/>
        </w:docPartObj>
      </w:sdtPr>
      <w:sdtEndPr>
        <w:rPr>
          <w:bCs/>
        </w:rPr>
      </w:sdtEndPr>
      <w:sdtContent>
        <w:p w:rsidR="00477B4A" w:rsidRPr="00477B4A" w:rsidRDefault="00477B4A" w:rsidP="00477B4A">
          <w:pPr>
            <w:pStyle w:val="Saturardtjavirsraksts"/>
            <w:spacing w:before="0" w:line="240" w:lineRule="auto"/>
            <w:jc w:val="both"/>
            <w:rPr>
              <w:rFonts w:ascii="Times New Roman" w:hAnsi="Times New Roman" w:cs="Times New Roman"/>
              <w:color w:val="auto"/>
              <w:sz w:val="24"/>
              <w:szCs w:val="24"/>
            </w:rPr>
          </w:pPr>
        </w:p>
        <w:p w:rsidR="00477B4A" w:rsidRPr="00477B4A" w:rsidRDefault="00477B4A" w:rsidP="00477B4A">
          <w:pPr>
            <w:pStyle w:val="Saturs1"/>
            <w:spacing w:before="0" w:after="0"/>
            <w:ind w:right="0"/>
            <w:jc w:val="both"/>
            <w:rPr>
              <w:rFonts w:asciiTheme="minorHAnsi" w:eastAsiaTheme="minorEastAsia" w:hAnsiTheme="minorHAnsi" w:cstheme="minorBidi"/>
              <w:b w:val="0"/>
              <w:sz w:val="24"/>
              <w:szCs w:val="24"/>
              <w:lang w:eastAsia="lv-LV"/>
            </w:rPr>
          </w:pPr>
          <w:r w:rsidRPr="00477B4A">
            <w:rPr>
              <w:b w:val="0"/>
              <w:bCs/>
              <w:sz w:val="24"/>
              <w:szCs w:val="24"/>
            </w:rPr>
            <w:fldChar w:fldCharType="begin"/>
          </w:r>
          <w:r w:rsidRPr="00477B4A">
            <w:rPr>
              <w:b w:val="0"/>
              <w:bCs/>
              <w:sz w:val="24"/>
              <w:szCs w:val="24"/>
            </w:rPr>
            <w:instrText xml:space="preserve"> TOC \o "1-3" \h \z \u </w:instrText>
          </w:r>
          <w:r w:rsidRPr="00477B4A">
            <w:rPr>
              <w:b w:val="0"/>
              <w:bCs/>
              <w:sz w:val="24"/>
              <w:szCs w:val="24"/>
            </w:rPr>
            <w:fldChar w:fldCharType="separate"/>
          </w:r>
          <w:hyperlink w:anchor="_Toc13863321" w:history="1">
            <w:r w:rsidRPr="00477B4A">
              <w:rPr>
                <w:rStyle w:val="Hipersaite"/>
                <w:b w:val="0"/>
                <w:smallCaps/>
                <w:sz w:val="24"/>
                <w:szCs w:val="24"/>
                <w:lang w:bidi="fr-FR"/>
              </w:rPr>
              <w:t xml:space="preserve">1. </w:t>
            </w:r>
            <w:r w:rsidRPr="00477B4A">
              <w:rPr>
                <w:rStyle w:val="Hipersaite"/>
                <w:b w:val="0"/>
                <w:bCs/>
                <w:sz w:val="24"/>
                <w:szCs w:val="24"/>
                <w:lang w:bidi="fr-FR"/>
              </w:rPr>
              <w:t>Priekšvēsture</w:t>
            </w:r>
            <w:r w:rsidRPr="00477B4A">
              <w:rPr>
                <w:b w:val="0"/>
                <w:webHidden/>
                <w:sz w:val="24"/>
                <w:szCs w:val="24"/>
              </w:rPr>
              <w:tab/>
            </w:r>
            <w:r w:rsidRPr="00477B4A">
              <w:rPr>
                <w:b w:val="0"/>
                <w:webHidden/>
                <w:sz w:val="24"/>
                <w:szCs w:val="24"/>
              </w:rPr>
              <w:fldChar w:fldCharType="begin"/>
            </w:r>
            <w:r w:rsidRPr="00477B4A">
              <w:rPr>
                <w:b w:val="0"/>
                <w:webHidden/>
                <w:sz w:val="24"/>
                <w:szCs w:val="24"/>
              </w:rPr>
              <w:instrText xml:space="preserve"> PAGEREF _Toc13863321 \h </w:instrText>
            </w:r>
            <w:r w:rsidRPr="00477B4A">
              <w:rPr>
                <w:b w:val="0"/>
                <w:webHidden/>
                <w:sz w:val="24"/>
                <w:szCs w:val="24"/>
              </w:rPr>
            </w:r>
            <w:r w:rsidRPr="00477B4A">
              <w:rPr>
                <w:b w:val="0"/>
                <w:webHidden/>
                <w:sz w:val="24"/>
                <w:szCs w:val="24"/>
              </w:rPr>
              <w:fldChar w:fldCharType="separate"/>
            </w:r>
            <w:r>
              <w:rPr>
                <w:b w:val="0"/>
                <w:webHidden/>
                <w:sz w:val="24"/>
                <w:szCs w:val="24"/>
              </w:rPr>
              <w:t>4</w:t>
            </w:r>
            <w:r w:rsidRPr="00477B4A">
              <w:rPr>
                <w:b w:val="0"/>
                <w:webHidden/>
                <w:sz w:val="24"/>
                <w:szCs w:val="24"/>
              </w:rPr>
              <w:fldChar w:fldCharType="end"/>
            </w:r>
          </w:hyperlink>
        </w:p>
        <w:p w:rsidR="00477B4A" w:rsidRPr="00477B4A" w:rsidRDefault="003C0204" w:rsidP="00477B4A">
          <w:pPr>
            <w:pStyle w:val="Saturs2"/>
            <w:ind w:left="284" w:right="0"/>
            <w:jc w:val="both"/>
            <w:rPr>
              <w:rFonts w:asciiTheme="minorHAnsi" w:eastAsiaTheme="minorEastAsia" w:hAnsiTheme="minorHAnsi" w:cstheme="minorBidi"/>
              <w:sz w:val="24"/>
              <w:szCs w:val="24"/>
              <w:lang w:eastAsia="lv-LV"/>
            </w:rPr>
          </w:pPr>
          <w:hyperlink w:anchor="_Toc13863322" w:history="1">
            <w:r w:rsidR="00477B4A" w:rsidRPr="00477B4A">
              <w:rPr>
                <w:rStyle w:val="Hipersaite"/>
                <w:sz w:val="24"/>
                <w:szCs w:val="24"/>
                <w:lang w:bidi="fr-FR"/>
              </w:rPr>
              <w:t>1.1. Faktiskie apstākļi</w:t>
            </w:r>
            <w:r w:rsidR="00477B4A" w:rsidRPr="00477B4A">
              <w:rPr>
                <w:webHidden/>
                <w:sz w:val="24"/>
                <w:szCs w:val="24"/>
              </w:rPr>
              <w:tab/>
            </w:r>
            <w:r w:rsidR="00477B4A" w:rsidRPr="00477B4A">
              <w:rPr>
                <w:webHidden/>
                <w:sz w:val="24"/>
                <w:szCs w:val="24"/>
              </w:rPr>
              <w:fldChar w:fldCharType="begin"/>
            </w:r>
            <w:r w:rsidR="00477B4A" w:rsidRPr="00477B4A">
              <w:rPr>
                <w:webHidden/>
                <w:sz w:val="24"/>
                <w:szCs w:val="24"/>
              </w:rPr>
              <w:instrText xml:space="preserve"> PAGEREF _Toc13863322 \h </w:instrText>
            </w:r>
            <w:r w:rsidR="00477B4A" w:rsidRPr="00477B4A">
              <w:rPr>
                <w:webHidden/>
                <w:sz w:val="24"/>
                <w:szCs w:val="24"/>
              </w:rPr>
            </w:r>
            <w:r w:rsidR="00477B4A" w:rsidRPr="00477B4A">
              <w:rPr>
                <w:webHidden/>
                <w:sz w:val="24"/>
                <w:szCs w:val="24"/>
              </w:rPr>
              <w:fldChar w:fldCharType="separate"/>
            </w:r>
            <w:r w:rsidR="00477B4A">
              <w:rPr>
                <w:webHidden/>
                <w:sz w:val="24"/>
                <w:szCs w:val="24"/>
              </w:rPr>
              <w:t>4</w:t>
            </w:r>
            <w:r w:rsidR="00477B4A" w:rsidRPr="00477B4A">
              <w:rPr>
                <w:webHidden/>
                <w:sz w:val="24"/>
                <w:szCs w:val="24"/>
              </w:rPr>
              <w:fldChar w:fldCharType="end"/>
            </w:r>
          </w:hyperlink>
        </w:p>
        <w:p w:rsidR="00477B4A" w:rsidRPr="00477B4A" w:rsidRDefault="003C0204" w:rsidP="00477B4A">
          <w:pPr>
            <w:pStyle w:val="Saturs2"/>
            <w:ind w:left="284" w:right="0"/>
            <w:jc w:val="both"/>
            <w:rPr>
              <w:rFonts w:asciiTheme="minorHAnsi" w:eastAsiaTheme="minorEastAsia" w:hAnsiTheme="minorHAnsi" w:cstheme="minorBidi"/>
              <w:sz w:val="24"/>
              <w:szCs w:val="24"/>
              <w:lang w:eastAsia="lv-LV"/>
            </w:rPr>
          </w:pPr>
          <w:hyperlink w:anchor="_Toc13863323" w:history="1">
            <w:r w:rsidR="00477B4A" w:rsidRPr="00477B4A">
              <w:rPr>
                <w:rStyle w:val="Hipersaite"/>
                <w:sz w:val="24"/>
                <w:szCs w:val="24"/>
                <w:lang w:bidi="fr-FR"/>
              </w:rPr>
              <w:t xml:space="preserve">1.2. Kanabidiols jeb </w:t>
            </w:r>
            <w:r w:rsidR="00477B4A" w:rsidRPr="00477B4A">
              <w:rPr>
                <w:rStyle w:val="Hipersaite"/>
                <w:i/>
                <w:iCs/>
                <w:sz w:val="24"/>
                <w:szCs w:val="24"/>
                <w:lang w:bidi="fr-FR"/>
              </w:rPr>
              <w:t>CBD</w:t>
            </w:r>
            <w:r w:rsidR="00477B4A" w:rsidRPr="00477B4A">
              <w:rPr>
                <w:webHidden/>
                <w:sz w:val="24"/>
                <w:szCs w:val="24"/>
              </w:rPr>
              <w:tab/>
            </w:r>
            <w:r w:rsidR="00477B4A" w:rsidRPr="00477B4A">
              <w:rPr>
                <w:webHidden/>
                <w:sz w:val="24"/>
                <w:szCs w:val="24"/>
              </w:rPr>
              <w:fldChar w:fldCharType="begin"/>
            </w:r>
            <w:r w:rsidR="00477B4A" w:rsidRPr="00477B4A">
              <w:rPr>
                <w:webHidden/>
                <w:sz w:val="24"/>
                <w:szCs w:val="24"/>
              </w:rPr>
              <w:instrText xml:space="preserve"> PAGEREF _Toc13863323 \h </w:instrText>
            </w:r>
            <w:r w:rsidR="00477B4A" w:rsidRPr="00477B4A">
              <w:rPr>
                <w:webHidden/>
                <w:sz w:val="24"/>
                <w:szCs w:val="24"/>
              </w:rPr>
            </w:r>
            <w:r w:rsidR="00477B4A" w:rsidRPr="00477B4A">
              <w:rPr>
                <w:webHidden/>
                <w:sz w:val="24"/>
                <w:szCs w:val="24"/>
              </w:rPr>
              <w:fldChar w:fldCharType="separate"/>
            </w:r>
            <w:r w:rsidR="00477B4A">
              <w:rPr>
                <w:webHidden/>
                <w:sz w:val="24"/>
                <w:szCs w:val="24"/>
              </w:rPr>
              <w:t>4</w:t>
            </w:r>
            <w:r w:rsidR="00477B4A" w:rsidRPr="00477B4A">
              <w:rPr>
                <w:webHidden/>
                <w:sz w:val="24"/>
                <w:szCs w:val="24"/>
              </w:rPr>
              <w:fldChar w:fldCharType="end"/>
            </w:r>
          </w:hyperlink>
        </w:p>
        <w:p w:rsidR="00477B4A" w:rsidRPr="00477B4A" w:rsidRDefault="003C0204" w:rsidP="00477B4A">
          <w:pPr>
            <w:pStyle w:val="Saturs1"/>
            <w:spacing w:before="0" w:after="0"/>
            <w:ind w:right="0"/>
            <w:jc w:val="both"/>
            <w:rPr>
              <w:rFonts w:asciiTheme="minorHAnsi" w:eastAsiaTheme="minorEastAsia" w:hAnsiTheme="minorHAnsi" w:cstheme="minorBidi"/>
              <w:b w:val="0"/>
              <w:sz w:val="24"/>
              <w:szCs w:val="24"/>
              <w:lang w:eastAsia="lv-LV"/>
            </w:rPr>
          </w:pPr>
          <w:hyperlink w:anchor="_Toc13863324" w:history="1">
            <w:r w:rsidR="00477B4A" w:rsidRPr="00477B4A">
              <w:rPr>
                <w:rStyle w:val="Hipersaite"/>
                <w:b w:val="0"/>
                <w:sz w:val="24"/>
                <w:szCs w:val="24"/>
                <w:lang w:bidi="fr-FR"/>
              </w:rPr>
              <w:t xml:space="preserve">2. Francijas tiesību normas </w:t>
            </w:r>
            <w:r w:rsidR="00477B4A" w:rsidRPr="00477B4A">
              <w:rPr>
                <w:rStyle w:val="Hipersaite"/>
                <w:b w:val="0"/>
                <w:i/>
                <w:iCs/>
                <w:sz w:val="24"/>
                <w:szCs w:val="24"/>
                <w:lang w:bidi="fr-FR"/>
              </w:rPr>
              <w:t>CBD</w:t>
            </w:r>
            <w:r w:rsidR="00477B4A" w:rsidRPr="00477B4A">
              <w:rPr>
                <w:rStyle w:val="Hipersaite"/>
                <w:b w:val="0"/>
                <w:sz w:val="24"/>
                <w:szCs w:val="24"/>
                <w:lang w:bidi="fr-FR"/>
              </w:rPr>
              <w:t xml:space="preserve"> jomā</w:t>
            </w:r>
            <w:r w:rsidR="00477B4A" w:rsidRPr="00477B4A">
              <w:rPr>
                <w:b w:val="0"/>
                <w:webHidden/>
                <w:sz w:val="24"/>
                <w:szCs w:val="24"/>
              </w:rPr>
              <w:tab/>
            </w:r>
            <w:r w:rsidR="00477B4A" w:rsidRPr="00477B4A">
              <w:rPr>
                <w:b w:val="0"/>
                <w:webHidden/>
                <w:sz w:val="24"/>
                <w:szCs w:val="24"/>
              </w:rPr>
              <w:fldChar w:fldCharType="begin"/>
            </w:r>
            <w:r w:rsidR="00477B4A" w:rsidRPr="00477B4A">
              <w:rPr>
                <w:b w:val="0"/>
                <w:webHidden/>
                <w:sz w:val="24"/>
                <w:szCs w:val="24"/>
              </w:rPr>
              <w:instrText xml:space="preserve"> PAGEREF _Toc13863324 \h </w:instrText>
            </w:r>
            <w:r w:rsidR="00477B4A" w:rsidRPr="00477B4A">
              <w:rPr>
                <w:b w:val="0"/>
                <w:webHidden/>
                <w:sz w:val="24"/>
                <w:szCs w:val="24"/>
              </w:rPr>
            </w:r>
            <w:r w:rsidR="00477B4A" w:rsidRPr="00477B4A">
              <w:rPr>
                <w:b w:val="0"/>
                <w:webHidden/>
                <w:sz w:val="24"/>
                <w:szCs w:val="24"/>
              </w:rPr>
              <w:fldChar w:fldCharType="separate"/>
            </w:r>
            <w:r w:rsidR="00477B4A">
              <w:rPr>
                <w:b w:val="0"/>
                <w:webHidden/>
                <w:sz w:val="24"/>
                <w:szCs w:val="24"/>
              </w:rPr>
              <w:t>5</w:t>
            </w:r>
            <w:r w:rsidR="00477B4A" w:rsidRPr="00477B4A">
              <w:rPr>
                <w:b w:val="0"/>
                <w:webHidden/>
                <w:sz w:val="24"/>
                <w:szCs w:val="24"/>
              </w:rPr>
              <w:fldChar w:fldCharType="end"/>
            </w:r>
          </w:hyperlink>
        </w:p>
        <w:p w:rsidR="00477B4A" w:rsidRPr="00477B4A" w:rsidRDefault="003C0204" w:rsidP="00477B4A">
          <w:pPr>
            <w:pStyle w:val="Saturs1"/>
            <w:spacing w:before="0" w:after="0"/>
            <w:ind w:right="0"/>
            <w:jc w:val="both"/>
            <w:rPr>
              <w:rFonts w:asciiTheme="minorHAnsi" w:eastAsiaTheme="minorEastAsia" w:hAnsiTheme="minorHAnsi" w:cstheme="minorBidi"/>
              <w:b w:val="0"/>
              <w:sz w:val="24"/>
              <w:szCs w:val="24"/>
              <w:lang w:eastAsia="lv-LV"/>
            </w:rPr>
          </w:pPr>
          <w:hyperlink w:anchor="_Toc13863325" w:history="1">
            <w:r w:rsidR="00477B4A" w:rsidRPr="00477B4A">
              <w:rPr>
                <w:rStyle w:val="Hipersaite"/>
                <w:b w:val="0"/>
                <w:sz w:val="24"/>
                <w:szCs w:val="24"/>
                <w:lang w:bidi="fr-FR"/>
              </w:rPr>
              <w:t>3. Uzdotais jautājums</w:t>
            </w:r>
            <w:r w:rsidR="00477B4A" w:rsidRPr="00477B4A">
              <w:rPr>
                <w:b w:val="0"/>
                <w:webHidden/>
                <w:sz w:val="24"/>
                <w:szCs w:val="24"/>
              </w:rPr>
              <w:tab/>
            </w:r>
            <w:r w:rsidR="00477B4A" w:rsidRPr="00477B4A">
              <w:rPr>
                <w:b w:val="0"/>
                <w:webHidden/>
                <w:sz w:val="24"/>
                <w:szCs w:val="24"/>
              </w:rPr>
              <w:fldChar w:fldCharType="begin"/>
            </w:r>
            <w:r w:rsidR="00477B4A" w:rsidRPr="00477B4A">
              <w:rPr>
                <w:b w:val="0"/>
                <w:webHidden/>
                <w:sz w:val="24"/>
                <w:szCs w:val="24"/>
              </w:rPr>
              <w:instrText xml:space="preserve"> PAGEREF _Toc13863325 \h </w:instrText>
            </w:r>
            <w:r w:rsidR="00477B4A" w:rsidRPr="00477B4A">
              <w:rPr>
                <w:b w:val="0"/>
                <w:webHidden/>
                <w:sz w:val="24"/>
                <w:szCs w:val="24"/>
              </w:rPr>
            </w:r>
            <w:r w:rsidR="00477B4A" w:rsidRPr="00477B4A">
              <w:rPr>
                <w:b w:val="0"/>
                <w:webHidden/>
                <w:sz w:val="24"/>
                <w:szCs w:val="24"/>
              </w:rPr>
              <w:fldChar w:fldCharType="separate"/>
            </w:r>
            <w:r w:rsidR="00477B4A">
              <w:rPr>
                <w:b w:val="0"/>
                <w:webHidden/>
                <w:sz w:val="24"/>
                <w:szCs w:val="24"/>
              </w:rPr>
              <w:t>8</w:t>
            </w:r>
            <w:r w:rsidR="00477B4A" w:rsidRPr="00477B4A">
              <w:rPr>
                <w:b w:val="0"/>
                <w:webHidden/>
                <w:sz w:val="24"/>
                <w:szCs w:val="24"/>
              </w:rPr>
              <w:fldChar w:fldCharType="end"/>
            </w:r>
          </w:hyperlink>
        </w:p>
        <w:p w:rsidR="00477B4A" w:rsidRPr="00477B4A" w:rsidRDefault="003C0204" w:rsidP="00477B4A">
          <w:pPr>
            <w:pStyle w:val="Saturs1"/>
            <w:spacing w:before="0" w:after="0"/>
            <w:ind w:right="0"/>
            <w:jc w:val="both"/>
            <w:rPr>
              <w:rFonts w:asciiTheme="minorHAnsi" w:eastAsiaTheme="minorEastAsia" w:hAnsiTheme="minorHAnsi" w:cstheme="minorBidi"/>
              <w:b w:val="0"/>
              <w:sz w:val="24"/>
              <w:szCs w:val="24"/>
              <w:lang w:eastAsia="lv-LV"/>
            </w:rPr>
          </w:pPr>
          <w:hyperlink w:anchor="_Toc13863326" w:history="1">
            <w:r w:rsidR="00477B4A" w:rsidRPr="00477B4A">
              <w:rPr>
                <w:rStyle w:val="Hipersaite"/>
                <w:b w:val="0"/>
                <w:sz w:val="24"/>
                <w:szCs w:val="24"/>
                <w:lang w:bidi="fr-FR"/>
              </w:rPr>
              <w:t>4. Piedāvātā atbilde</w:t>
            </w:r>
            <w:r w:rsidR="00477B4A" w:rsidRPr="00477B4A">
              <w:rPr>
                <w:b w:val="0"/>
                <w:webHidden/>
                <w:sz w:val="24"/>
                <w:szCs w:val="24"/>
              </w:rPr>
              <w:tab/>
            </w:r>
            <w:r w:rsidR="00477B4A" w:rsidRPr="00477B4A">
              <w:rPr>
                <w:b w:val="0"/>
                <w:webHidden/>
                <w:sz w:val="24"/>
                <w:szCs w:val="24"/>
              </w:rPr>
              <w:fldChar w:fldCharType="begin"/>
            </w:r>
            <w:r w:rsidR="00477B4A" w:rsidRPr="00477B4A">
              <w:rPr>
                <w:b w:val="0"/>
                <w:webHidden/>
                <w:sz w:val="24"/>
                <w:szCs w:val="24"/>
              </w:rPr>
              <w:instrText xml:space="preserve"> PAGEREF _Toc13863326 \h </w:instrText>
            </w:r>
            <w:r w:rsidR="00477B4A" w:rsidRPr="00477B4A">
              <w:rPr>
                <w:b w:val="0"/>
                <w:webHidden/>
                <w:sz w:val="24"/>
                <w:szCs w:val="24"/>
              </w:rPr>
            </w:r>
            <w:r w:rsidR="00477B4A" w:rsidRPr="00477B4A">
              <w:rPr>
                <w:b w:val="0"/>
                <w:webHidden/>
                <w:sz w:val="24"/>
                <w:szCs w:val="24"/>
              </w:rPr>
              <w:fldChar w:fldCharType="separate"/>
            </w:r>
            <w:r w:rsidR="00477B4A">
              <w:rPr>
                <w:b w:val="0"/>
                <w:webHidden/>
                <w:sz w:val="24"/>
                <w:szCs w:val="24"/>
              </w:rPr>
              <w:t>8</w:t>
            </w:r>
            <w:r w:rsidR="00477B4A" w:rsidRPr="00477B4A">
              <w:rPr>
                <w:b w:val="0"/>
                <w:webHidden/>
                <w:sz w:val="24"/>
                <w:szCs w:val="24"/>
              </w:rPr>
              <w:fldChar w:fldCharType="end"/>
            </w:r>
          </w:hyperlink>
        </w:p>
        <w:p w:rsidR="00477B4A" w:rsidRPr="00477B4A" w:rsidRDefault="003C0204" w:rsidP="00477B4A">
          <w:pPr>
            <w:pStyle w:val="Saturs2"/>
            <w:ind w:left="284" w:right="0"/>
            <w:jc w:val="both"/>
            <w:rPr>
              <w:rFonts w:asciiTheme="minorHAnsi" w:eastAsiaTheme="minorEastAsia" w:hAnsiTheme="minorHAnsi" w:cstheme="minorBidi"/>
              <w:sz w:val="24"/>
              <w:szCs w:val="24"/>
              <w:lang w:eastAsia="lv-LV"/>
            </w:rPr>
          </w:pPr>
          <w:hyperlink w:anchor="_Toc13863327" w:history="1">
            <w:r w:rsidR="00477B4A" w:rsidRPr="00477B4A">
              <w:rPr>
                <w:rStyle w:val="Hipersaite"/>
                <w:sz w:val="24"/>
                <w:szCs w:val="24"/>
                <w:lang w:bidi="fr-FR"/>
              </w:rPr>
              <w:t>4.1. Kopējā lauksaimniecības politika</w:t>
            </w:r>
            <w:r w:rsidR="00477B4A" w:rsidRPr="00477B4A">
              <w:rPr>
                <w:webHidden/>
                <w:sz w:val="24"/>
                <w:szCs w:val="24"/>
              </w:rPr>
              <w:tab/>
            </w:r>
            <w:r w:rsidR="00477B4A" w:rsidRPr="00477B4A">
              <w:rPr>
                <w:webHidden/>
                <w:sz w:val="24"/>
                <w:szCs w:val="24"/>
              </w:rPr>
              <w:fldChar w:fldCharType="begin"/>
            </w:r>
            <w:r w:rsidR="00477B4A" w:rsidRPr="00477B4A">
              <w:rPr>
                <w:webHidden/>
                <w:sz w:val="24"/>
                <w:szCs w:val="24"/>
              </w:rPr>
              <w:instrText xml:space="preserve"> PAGEREF _Toc13863327 \h </w:instrText>
            </w:r>
            <w:r w:rsidR="00477B4A" w:rsidRPr="00477B4A">
              <w:rPr>
                <w:webHidden/>
                <w:sz w:val="24"/>
                <w:szCs w:val="24"/>
              </w:rPr>
            </w:r>
            <w:r w:rsidR="00477B4A" w:rsidRPr="00477B4A">
              <w:rPr>
                <w:webHidden/>
                <w:sz w:val="24"/>
                <w:szCs w:val="24"/>
              </w:rPr>
              <w:fldChar w:fldCharType="separate"/>
            </w:r>
            <w:r w:rsidR="00477B4A">
              <w:rPr>
                <w:webHidden/>
                <w:sz w:val="24"/>
                <w:szCs w:val="24"/>
              </w:rPr>
              <w:t>9</w:t>
            </w:r>
            <w:r w:rsidR="00477B4A" w:rsidRPr="00477B4A">
              <w:rPr>
                <w:webHidden/>
                <w:sz w:val="24"/>
                <w:szCs w:val="24"/>
              </w:rPr>
              <w:fldChar w:fldCharType="end"/>
            </w:r>
          </w:hyperlink>
        </w:p>
        <w:p w:rsidR="00477B4A" w:rsidRPr="00477B4A" w:rsidRDefault="003C0204" w:rsidP="00477B4A">
          <w:pPr>
            <w:pStyle w:val="Saturs2"/>
            <w:ind w:left="284" w:right="0"/>
            <w:jc w:val="both"/>
            <w:rPr>
              <w:rFonts w:asciiTheme="minorHAnsi" w:eastAsiaTheme="minorEastAsia" w:hAnsiTheme="minorHAnsi" w:cstheme="minorBidi"/>
              <w:sz w:val="24"/>
              <w:szCs w:val="24"/>
              <w:lang w:eastAsia="lv-LV"/>
            </w:rPr>
          </w:pPr>
          <w:hyperlink w:anchor="_Toc13863328" w:history="1">
            <w:r w:rsidR="00477B4A" w:rsidRPr="00477B4A">
              <w:rPr>
                <w:rStyle w:val="Hipersaite"/>
                <w:sz w:val="24"/>
                <w:szCs w:val="24"/>
                <w:lang w:bidi="fr-FR"/>
              </w:rPr>
              <w:t>4.2. LESD 34. un 36. pants</w:t>
            </w:r>
            <w:r w:rsidR="00477B4A" w:rsidRPr="00477B4A">
              <w:rPr>
                <w:webHidden/>
                <w:sz w:val="24"/>
                <w:szCs w:val="24"/>
              </w:rPr>
              <w:tab/>
            </w:r>
            <w:r w:rsidR="00477B4A" w:rsidRPr="00477B4A">
              <w:rPr>
                <w:webHidden/>
                <w:sz w:val="24"/>
                <w:szCs w:val="24"/>
              </w:rPr>
              <w:fldChar w:fldCharType="begin"/>
            </w:r>
            <w:r w:rsidR="00477B4A" w:rsidRPr="00477B4A">
              <w:rPr>
                <w:webHidden/>
                <w:sz w:val="24"/>
                <w:szCs w:val="24"/>
              </w:rPr>
              <w:instrText xml:space="preserve"> PAGEREF _Toc13863328 \h </w:instrText>
            </w:r>
            <w:r w:rsidR="00477B4A" w:rsidRPr="00477B4A">
              <w:rPr>
                <w:webHidden/>
                <w:sz w:val="24"/>
                <w:szCs w:val="24"/>
              </w:rPr>
            </w:r>
            <w:r w:rsidR="00477B4A" w:rsidRPr="00477B4A">
              <w:rPr>
                <w:webHidden/>
                <w:sz w:val="24"/>
                <w:szCs w:val="24"/>
              </w:rPr>
              <w:fldChar w:fldCharType="separate"/>
            </w:r>
            <w:r w:rsidR="00477B4A">
              <w:rPr>
                <w:webHidden/>
                <w:sz w:val="24"/>
                <w:szCs w:val="24"/>
              </w:rPr>
              <w:t>11</w:t>
            </w:r>
            <w:r w:rsidR="00477B4A" w:rsidRPr="00477B4A">
              <w:rPr>
                <w:webHidden/>
                <w:sz w:val="24"/>
                <w:szCs w:val="24"/>
              </w:rPr>
              <w:fldChar w:fldCharType="end"/>
            </w:r>
          </w:hyperlink>
        </w:p>
        <w:p w:rsidR="00477B4A" w:rsidRPr="00477B4A" w:rsidRDefault="003C0204" w:rsidP="00477B4A">
          <w:pPr>
            <w:pStyle w:val="Saturs1"/>
            <w:spacing w:before="0" w:after="0"/>
            <w:ind w:right="0"/>
            <w:jc w:val="both"/>
            <w:rPr>
              <w:rFonts w:asciiTheme="minorHAnsi" w:eastAsiaTheme="minorEastAsia" w:hAnsiTheme="minorHAnsi" w:cstheme="minorBidi"/>
              <w:b w:val="0"/>
              <w:sz w:val="24"/>
              <w:szCs w:val="24"/>
              <w:lang w:eastAsia="lv-LV"/>
            </w:rPr>
          </w:pPr>
          <w:hyperlink w:anchor="_Toc13863329" w:history="1">
            <w:r w:rsidR="00477B4A" w:rsidRPr="00477B4A">
              <w:rPr>
                <w:rStyle w:val="Hipersaite"/>
                <w:b w:val="0"/>
                <w:sz w:val="24"/>
                <w:szCs w:val="24"/>
                <w:lang w:bidi="fr-FR"/>
              </w:rPr>
              <w:t>5. Secinājumi</w:t>
            </w:r>
            <w:r w:rsidR="00477B4A" w:rsidRPr="00477B4A">
              <w:rPr>
                <w:b w:val="0"/>
                <w:webHidden/>
                <w:sz w:val="24"/>
                <w:szCs w:val="24"/>
              </w:rPr>
              <w:tab/>
            </w:r>
            <w:r w:rsidR="00477B4A" w:rsidRPr="00477B4A">
              <w:rPr>
                <w:b w:val="0"/>
                <w:webHidden/>
                <w:sz w:val="24"/>
                <w:szCs w:val="24"/>
              </w:rPr>
              <w:fldChar w:fldCharType="begin"/>
            </w:r>
            <w:r w:rsidR="00477B4A" w:rsidRPr="00477B4A">
              <w:rPr>
                <w:b w:val="0"/>
                <w:webHidden/>
                <w:sz w:val="24"/>
                <w:szCs w:val="24"/>
              </w:rPr>
              <w:instrText xml:space="preserve"> PAGEREF _Toc13863329 \h </w:instrText>
            </w:r>
            <w:r w:rsidR="00477B4A" w:rsidRPr="00477B4A">
              <w:rPr>
                <w:b w:val="0"/>
                <w:webHidden/>
                <w:sz w:val="24"/>
                <w:szCs w:val="24"/>
              </w:rPr>
            </w:r>
            <w:r w:rsidR="00477B4A" w:rsidRPr="00477B4A">
              <w:rPr>
                <w:b w:val="0"/>
                <w:webHidden/>
                <w:sz w:val="24"/>
                <w:szCs w:val="24"/>
              </w:rPr>
              <w:fldChar w:fldCharType="separate"/>
            </w:r>
            <w:r w:rsidR="00477B4A">
              <w:rPr>
                <w:b w:val="0"/>
                <w:webHidden/>
                <w:sz w:val="24"/>
                <w:szCs w:val="24"/>
              </w:rPr>
              <w:t>13</w:t>
            </w:r>
            <w:r w:rsidR="00477B4A" w:rsidRPr="00477B4A">
              <w:rPr>
                <w:b w:val="0"/>
                <w:webHidden/>
                <w:sz w:val="24"/>
                <w:szCs w:val="24"/>
              </w:rPr>
              <w:fldChar w:fldCharType="end"/>
            </w:r>
          </w:hyperlink>
        </w:p>
        <w:p w:rsidR="00477B4A" w:rsidRPr="00477B4A" w:rsidRDefault="00477B4A" w:rsidP="00477B4A">
          <w:pPr>
            <w:jc w:val="both"/>
          </w:pPr>
          <w:r w:rsidRPr="00477B4A">
            <w:rPr>
              <w:bCs/>
            </w:rPr>
            <w:fldChar w:fldCharType="end"/>
          </w:r>
        </w:p>
      </w:sdtContent>
    </w:sdt>
    <w:p w:rsidR="00477B4A" w:rsidRDefault="00477B4A" w:rsidP="00477B4A">
      <w:pPr>
        <w:jc w:val="both"/>
      </w:pPr>
    </w:p>
    <w:p w:rsidR="00B540B1" w:rsidRDefault="00B540B1">
      <w:pPr>
        <w:rPr>
          <w:rFonts w:ascii="Times New Roman" w:eastAsia="Times New Roman" w:hAnsi="Times New Roman" w:cs="Times New Roman"/>
          <w:noProof/>
          <w:szCs w:val="26"/>
        </w:rPr>
      </w:pPr>
      <w:r>
        <w:br w:type="page"/>
      </w:r>
    </w:p>
    <w:p w:rsidR="00D02CE0" w:rsidRPr="00D02CE0" w:rsidRDefault="00D02CE0" w:rsidP="00B540B1">
      <w:pPr>
        <w:pStyle w:val="Tableofcontents0"/>
        <w:shd w:val="clear" w:color="auto" w:fill="auto"/>
        <w:tabs>
          <w:tab w:val="left" w:pos="1364"/>
          <w:tab w:val="right" w:leader="dot" w:pos="9496"/>
        </w:tabs>
        <w:spacing w:before="0" w:after="0" w:line="240" w:lineRule="auto"/>
        <w:rPr>
          <w:noProof/>
          <w:sz w:val="24"/>
          <w:lang w:val="en-US"/>
        </w:rPr>
      </w:pPr>
    </w:p>
    <w:p w:rsidR="002875DF" w:rsidRPr="00600AFF" w:rsidRDefault="00685308" w:rsidP="00477B4A">
      <w:pPr>
        <w:pStyle w:val="Virsraksts1"/>
        <w:rPr>
          <w:smallCaps/>
          <w:noProof/>
        </w:rPr>
      </w:pPr>
      <w:bookmarkStart w:id="2" w:name="bookmark1"/>
      <w:bookmarkStart w:id="3" w:name="bookmark2"/>
      <w:bookmarkStart w:id="4" w:name="_Toc13863321"/>
      <w:r>
        <w:rPr>
          <w:smallCaps/>
          <w:szCs w:val="24"/>
        </w:rPr>
        <w:t xml:space="preserve">1. </w:t>
      </w:r>
      <w:r>
        <w:rPr>
          <w:rStyle w:val="Bodytext9SmallCaps"/>
          <w:rFonts w:eastAsiaTheme="majorEastAsia"/>
          <w:b/>
          <w:smallCaps w:val="0"/>
          <w:sz w:val="24"/>
        </w:rPr>
        <w:t>Priekšvēsture</w:t>
      </w:r>
      <w:bookmarkEnd w:id="2"/>
      <w:bookmarkEnd w:id="3"/>
      <w:bookmarkEnd w:id="4"/>
    </w:p>
    <w:p w:rsidR="00685308" w:rsidRDefault="00685308" w:rsidP="00685308">
      <w:pPr>
        <w:pStyle w:val="Bodytext70"/>
        <w:shd w:val="clear" w:color="auto" w:fill="auto"/>
        <w:tabs>
          <w:tab w:val="left" w:pos="1960"/>
        </w:tabs>
        <w:spacing w:before="0" w:after="0" w:line="240" w:lineRule="auto"/>
        <w:jc w:val="both"/>
        <w:rPr>
          <w:noProof/>
          <w:lang w:val="en-US"/>
        </w:rPr>
      </w:pPr>
    </w:p>
    <w:p w:rsidR="002875DF" w:rsidRPr="00D02CE0" w:rsidRDefault="00685308" w:rsidP="00477B4A">
      <w:pPr>
        <w:pStyle w:val="Virsraksts2"/>
        <w:rPr>
          <w:noProof/>
        </w:rPr>
      </w:pPr>
      <w:bookmarkStart w:id="5" w:name="_Toc13863322"/>
      <w:r>
        <w:t>1.1. Faktiskie apstākļi</w:t>
      </w:r>
      <w:bookmarkEnd w:id="5"/>
    </w:p>
    <w:p w:rsidR="00685308" w:rsidRDefault="00685308" w:rsidP="00685308">
      <w:pPr>
        <w:pStyle w:val="Bodytext20"/>
        <w:shd w:val="clear" w:color="auto" w:fill="auto"/>
        <w:tabs>
          <w:tab w:val="left" w:pos="1639"/>
        </w:tabs>
        <w:spacing w:before="0" w:after="0" w:line="240" w:lineRule="auto"/>
        <w:ind w:firstLine="0"/>
        <w:jc w:val="both"/>
        <w:rPr>
          <w:noProof/>
          <w:sz w:val="24"/>
          <w:lang w:val="en-US"/>
        </w:rPr>
      </w:pPr>
    </w:p>
    <w:p w:rsidR="002875DF" w:rsidRPr="00D02CE0" w:rsidRDefault="00685308" w:rsidP="00685308">
      <w:pPr>
        <w:pStyle w:val="Bodytext20"/>
        <w:shd w:val="clear" w:color="auto" w:fill="auto"/>
        <w:tabs>
          <w:tab w:val="left" w:pos="1639"/>
        </w:tabs>
        <w:spacing w:before="0" w:after="0" w:line="240" w:lineRule="auto"/>
        <w:ind w:firstLine="0"/>
        <w:jc w:val="both"/>
        <w:rPr>
          <w:noProof/>
          <w:sz w:val="24"/>
        </w:rPr>
      </w:pPr>
      <w:r>
        <w:rPr>
          <w:sz w:val="24"/>
        </w:rPr>
        <w:t>1. Tiesvedības priekšvēsture ir aprakstīta pieteikumā, kā arī tā pielikumā. Tāpēc to nav nepieciešams atkārtot šeit.</w:t>
      </w:r>
    </w:p>
    <w:p w:rsidR="00685308" w:rsidRDefault="00685308" w:rsidP="00685308">
      <w:pPr>
        <w:pStyle w:val="Bodytext20"/>
        <w:shd w:val="clear" w:color="auto" w:fill="auto"/>
        <w:tabs>
          <w:tab w:val="left" w:pos="1639"/>
        </w:tabs>
        <w:spacing w:before="0" w:after="0" w:line="240" w:lineRule="auto"/>
        <w:ind w:firstLine="0"/>
        <w:jc w:val="both"/>
        <w:rPr>
          <w:noProof/>
          <w:sz w:val="24"/>
          <w:lang w:val="en-US"/>
        </w:rPr>
      </w:pPr>
    </w:p>
    <w:p w:rsidR="002875DF" w:rsidRPr="00D02CE0" w:rsidRDefault="00685308" w:rsidP="00685308">
      <w:pPr>
        <w:pStyle w:val="Bodytext20"/>
        <w:shd w:val="clear" w:color="auto" w:fill="auto"/>
        <w:tabs>
          <w:tab w:val="left" w:pos="1639"/>
        </w:tabs>
        <w:spacing w:before="0" w:after="0" w:line="240" w:lineRule="auto"/>
        <w:ind w:firstLine="0"/>
        <w:jc w:val="both"/>
        <w:rPr>
          <w:noProof/>
          <w:sz w:val="24"/>
        </w:rPr>
      </w:pPr>
      <w:r>
        <w:rPr>
          <w:sz w:val="24"/>
        </w:rPr>
        <w:t>2. Pietiek ar šādu īsu kopsavilkumu.</w:t>
      </w:r>
    </w:p>
    <w:p w:rsidR="00685308" w:rsidRDefault="00685308" w:rsidP="00685308">
      <w:pPr>
        <w:pStyle w:val="Bodytext20"/>
        <w:shd w:val="clear" w:color="auto" w:fill="auto"/>
        <w:tabs>
          <w:tab w:val="left" w:pos="1639"/>
        </w:tabs>
        <w:spacing w:before="0" w:after="0" w:line="240" w:lineRule="auto"/>
        <w:ind w:firstLine="0"/>
        <w:jc w:val="both"/>
        <w:rPr>
          <w:noProof/>
          <w:sz w:val="24"/>
          <w:lang w:val="en-US"/>
        </w:rPr>
      </w:pPr>
    </w:p>
    <w:p w:rsidR="002875DF" w:rsidRPr="00D02CE0" w:rsidRDefault="00685308" w:rsidP="00685308">
      <w:pPr>
        <w:pStyle w:val="Bodytext20"/>
        <w:shd w:val="clear" w:color="auto" w:fill="auto"/>
        <w:tabs>
          <w:tab w:val="left" w:pos="1639"/>
        </w:tabs>
        <w:spacing w:before="0" w:after="0" w:line="240" w:lineRule="auto"/>
        <w:ind w:firstLine="0"/>
        <w:jc w:val="both"/>
        <w:rPr>
          <w:noProof/>
          <w:sz w:val="24"/>
        </w:rPr>
      </w:pPr>
      <w:r>
        <w:rPr>
          <w:sz w:val="24"/>
        </w:rPr>
        <w:t xml:space="preserve">3. Divi Marseļas iedzīvotāji B. S. un C. A. 2014. gada decembrī laida tirdzniecībā elektroniskās cigaretes (e-cigaretes) “Kanavape”, kuru sastāvā ir kanabidiols jeb </w:t>
      </w:r>
      <w:r>
        <w:rPr>
          <w:i/>
          <w:iCs/>
          <w:sz w:val="24"/>
        </w:rPr>
        <w:t>CBD</w:t>
      </w:r>
      <w:r>
        <w:rPr>
          <w:sz w:val="24"/>
        </w:rPr>
        <w:t xml:space="preserve"> un kurās ir ievērots maksimālais pieļaujamais tetrahidrokanabinola (</w:t>
      </w:r>
      <w:r>
        <w:rPr>
          <w:i/>
          <w:iCs/>
          <w:sz w:val="24"/>
        </w:rPr>
        <w:t>THC</w:t>
      </w:r>
      <w:r>
        <w:rPr>
          <w:sz w:val="24"/>
        </w:rPr>
        <w:t>) saturs 0,2 %.</w:t>
      </w:r>
    </w:p>
    <w:p w:rsidR="00685308" w:rsidRDefault="00685308" w:rsidP="00685308">
      <w:pPr>
        <w:pStyle w:val="Bodytext20"/>
        <w:shd w:val="clear" w:color="auto" w:fill="auto"/>
        <w:tabs>
          <w:tab w:val="left" w:pos="1639"/>
        </w:tabs>
        <w:spacing w:before="0" w:after="0" w:line="240" w:lineRule="auto"/>
        <w:ind w:firstLine="0"/>
        <w:jc w:val="both"/>
        <w:rPr>
          <w:noProof/>
          <w:sz w:val="24"/>
          <w:lang w:val="en-US"/>
        </w:rPr>
      </w:pPr>
    </w:p>
    <w:p w:rsidR="002875DF" w:rsidRPr="00D02CE0" w:rsidRDefault="00685308" w:rsidP="00685308">
      <w:pPr>
        <w:pStyle w:val="Bodytext20"/>
        <w:shd w:val="clear" w:color="auto" w:fill="auto"/>
        <w:tabs>
          <w:tab w:val="left" w:pos="1639"/>
        </w:tabs>
        <w:spacing w:before="0" w:after="0" w:line="240" w:lineRule="auto"/>
        <w:ind w:firstLine="0"/>
        <w:jc w:val="both"/>
        <w:rPr>
          <w:noProof/>
          <w:sz w:val="24"/>
        </w:rPr>
      </w:pPr>
      <w:r>
        <w:rPr>
          <w:sz w:val="24"/>
        </w:rPr>
        <w:t>4. 2018. gada janvārī Marseļas Krimināltiesa abus vīriešus notiesāja, piespriežot attiecīgi astoņpadsmit un piecpadsmit mēnešu nosacītu cietumsodu un naudas sodu 10 000 EUR naudas sodu par pārkāpumu virkni, proti, par tiesībpārkāpumiem medikamentu jomā.</w:t>
      </w:r>
    </w:p>
    <w:p w:rsidR="00685308" w:rsidRDefault="00685308" w:rsidP="00685308">
      <w:pPr>
        <w:pStyle w:val="Bodytext20"/>
        <w:shd w:val="clear" w:color="auto" w:fill="auto"/>
        <w:tabs>
          <w:tab w:val="left" w:pos="1639"/>
        </w:tabs>
        <w:spacing w:before="0" w:after="0" w:line="240" w:lineRule="auto"/>
        <w:ind w:firstLine="0"/>
        <w:jc w:val="both"/>
        <w:rPr>
          <w:noProof/>
          <w:sz w:val="24"/>
          <w:lang w:val="en-US"/>
        </w:rPr>
      </w:pPr>
    </w:p>
    <w:p w:rsidR="002875DF" w:rsidRPr="00D02CE0" w:rsidRDefault="00685308" w:rsidP="00685308">
      <w:pPr>
        <w:pStyle w:val="Bodytext20"/>
        <w:shd w:val="clear" w:color="auto" w:fill="auto"/>
        <w:tabs>
          <w:tab w:val="left" w:pos="1639"/>
        </w:tabs>
        <w:spacing w:before="0" w:after="0" w:line="240" w:lineRule="auto"/>
        <w:ind w:firstLine="0"/>
        <w:jc w:val="both"/>
        <w:rPr>
          <w:noProof/>
          <w:sz w:val="24"/>
        </w:rPr>
      </w:pPr>
      <w:r>
        <w:rPr>
          <w:sz w:val="24"/>
        </w:rPr>
        <w:t>5. Apsūdzētie iesniedza apelācijas sūdzību Eksanprovansas Apelācijas tiesā, kas ir iesniedzējtiesa šajā lietā. 2018. gada 11. septembra apelācijas tiesas sēdē ģenerāladvokāts pieprasīja piecpadsmit mēnešu nosacītu cietumsodu.</w:t>
      </w:r>
    </w:p>
    <w:p w:rsidR="00695746" w:rsidRDefault="00695746" w:rsidP="00695746">
      <w:pPr>
        <w:pStyle w:val="Bodytext20"/>
        <w:shd w:val="clear" w:color="auto" w:fill="auto"/>
        <w:tabs>
          <w:tab w:val="left" w:pos="1639"/>
        </w:tabs>
        <w:spacing w:before="0" w:after="0" w:line="240" w:lineRule="auto"/>
        <w:ind w:firstLine="0"/>
        <w:jc w:val="both"/>
        <w:rPr>
          <w:noProof/>
          <w:sz w:val="24"/>
          <w:lang w:val="en-US"/>
        </w:rPr>
      </w:pPr>
    </w:p>
    <w:p w:rsidR="002875DF" w:rsidRPr="00D02CE0" w:rsidRDefault="00695746" w:rsidP="00695746">
      <w:pPr>
        <w:pStyle w:val="Bodytext20"/>
        <w:shd w:val="clear" w:color="auto" w:fill="auto"/>
        <w:tabs>
          <w:tab w:val="left" w:pos="1639"/>
        </w:tabs>
        <w:spacing w:before="0" w:after="0" w:line="240" w:lineRule="auto"/>
        <w:ind w:firstLine="0"/>
        <w:jc w:val="both"/>
        <w:rPr>
          <w:noProof/>
          <w:sz w:val="24"/>
        </w:rPr>
      </w:pPr>
      <w:r>
        <w:rPr>
          <w:sz w:val="24"/>
        </w:rPr>
        <w:t xml:space="preserve">6. “Kanavape” cigaretēs izmanto </w:t>
      </w:r>
      <w:r>
        <w:rPr>
          <w:i/>
          <w:iCs/>
          <w:sz w:val="24"/>
        </w:rPr>
        <w:t>CBD</w:t>
      </w:r>
      <w:r>
        <w:rPr>
          <w:sz w:val="24"/>
        </w:rPr>
        <w:t xml:space="preserve"> eļļu, kas ražota Čehijas Republikā. Izmeklēšanā tika atklāts, ka attiecīgā </w:t>
      </w:r>
      <w:r>
        <w:rPr>
          <w:i/>
          <w:iCs/>
          <w:sz w:val="24"/>
        </w:rPr>
        <w:t>CBD</w:t>
      </w:r>
      <w:r>
        <w:rPr>
          <w:sz w:val="24"/>
        </w:rPr>
        <w:t xml:space="preserve"> iegūšanai tika izmantots viss augs.</w:t>
      </w:r>
    </w:p>
    <w:p w:rsidR="00695746" w:rsidRDefault="00695746" w:rsidP="00695746">
      <w:pPr>
        <w:pStyle w:val="Bodytext20"/>
        <w:shd w:val="clear" w:color="auto" w:fill="auto"/>
        <w:tabs>
          <w:tab w:val="left" w:pos="1639"/>
        </w:tabs>
        <w:spacing w:before="0" w:after="0" w:line="240" w:lineRule="auto"/>
        <w:ind w:firstLine="0"/>
        <w:jc w:val="both"/>
        <w:rPr>
          <w:noProof/>
          <w:sz w:val="24"/>
          <w:lang w:val="en-US"/>
        </w:rPr>
      </w:pPr>
    </w:p>
    <w:p w:rsidR="002875DF" w:rsidRPr="00D02CE0" w:rsidRDefault="00695746" w:rsidP="00695746">
      <w:pPr>
        <w:pStyle w:val="Bodytext20"/>
        <w:shd w:val="clear" w:color="auto" w:fill="auto"/>
        <w:tabs>
          <w:tab w:val="left" w:pos="1639"/>
        </w:tabs>
        <w:spacing w:before="0" w:after="0" w:line="240" w:lineRule="auto"/>
        <w:ind w:firstLine="0"/>
        <w:jc w:val="both"/>
        <w:rPr>
          <w:noProof/>
          <w:sz w:val="24"/>
        </w:rPr>
      </w:pPr>
      <w:r>
        <w:rPr>
          <w:sz w:val="24"/>
        </w:rPr>
        <w:t xml:space="preserve">7. B. S. un C. A. atsaucās uz Eiropas Savienības tiesībām par preču brīvu apriti. Apsūdzība viņiem pretstata 1990. gada 22. augustā izdoto un 2004. gadā grozīto ministra rīkojumu, ar kuru tiek noteiktas atkāpes kaņepju izmantošanai, atļaujot audzēt, importēt, kā arī rūpnieciski un komerciāli izmantot </w:t>
      </w:r>
      <w:r>
        <w:rPr>
          <w:i/>
          <w:iCs/>
          <w:sz w:val="24"/>
        </w:rPr>
        <w:t>Cannabis sativa L</w:t>
      </w:r>
      <w:r>
        <w:rPr>
          <w:sz w:val="24"/>
        </w:rPr>
        <w:t xml:space="preserve">. šķirnes, ja tiek izpildīti divi nosacījumi, proti, </w:t>
      </w:r>
      <w:r>
        <w:rPr>
          <w:i/>
          <w:iCs/>
          <w:sz w:val="24"/>
        </w:rPr>
        <w:t>THC</w:t>
      </w:r>
      <w:r>
        <w:rPr>
          <w:sz w:val="24"/>
        </w:rPr>
        <w:t xml:space="preserve"> saturs nepārsniedz 0,2 % un tiek izmantotas tikai šķiedras un sēklas.</w:t>
      </w:r>
    </w:p>
    <w:p w:rsidR="00695746" w:rsidRDefault="00695746" w:rsidP="00695746">
      <w:pPr>
        <w:pStyle w:val="Bodytext20"/>
        <w:shd w:val="clear" w:color="auto" w:fill="auto"/>
        <w:tabs>
          <w:tab w:val="left" w:pos="1638"/>
        </w:tabs>
        <w:spacing w:before="0" w:after="0" w:line="240" w:lineRule="auto"/>
        <w:ind w:firstLine="0"/>
        <w:jc w:val="both"/>
        <w:rPr>
          <w:noProof/>
          <w:sz w:val="24"/>
          <w:lang w:val="en-US"/>
        </w:rPr>
      </w:pPr>
    </w:p>
    <w:p w:rsidR="002875DF" w:rsidRPr="00D02CE0" w:rsidRDefault="00695746" w:rsidP="00695746">
      <w:pPr>
        <w:pStyle w:val="Bodytext20"/>
        <w:shd w:val="clear" w:color="auto" w:fill="auto"/>
        <w:tabs>
          <w:tab w:val="left" w:pos="1638"/>
        </w:tabs>
        <w:spacing w:before="0" w:after="0" w:line="240" w:lineRule="auto"/>
        <w:ind w:firstLine="0"/>
        <w:jc w:val="both"/>
        <w:rPr>
          <w:noProof/>
          <w:sz w:val="24"/>
        </w:rPr>
      </w:pPr>
      <w:r>
        <w:rPr>
          <w:sz w:val="24"/>
        </w:rPr>
        <w:t>8. Apelācijas tiesa uzskata, ka “</w:t>
      </w:r>
      <w:r>
        <w:rPr>
          <w:i/>
          <w:iCs/>
          <w:sz w:val="24"/>
        </w:rPr>
        <w:t>CBD</w:t>
      </w:r>
      <w:r>
        <w:rPr>
          <w:sz w:val="24"/>
        </w:rPr>
        <w:t xml:space="preserve">, šķiet, nevar klasificēt narkotisko vielu kategorijā, kas neietilpst to preču sarakstā, kurām piemērojams kopējais tirgus”, jo tiek ievērots maksimālais pieļaujamais </w:t>
      </w:r>
      <w:r>
        <w:rPr>
          <w:i/>
          <w:iCs/>
          <w:sz w:val="24"/>
        </w:rPr>
        <w:t>THC</w:t>
      </w:r>
      <w:r>
        <w:rPr>
          <w:sz w:val="24"/>
        </w:rPr>
        <w:t xml:space="preserve"> saturs. Tiesneši norāda, ka 2017. gadā Pasaules Veselības organizācija ir ieteikusi izņemt </w:t>
      </w:r>
      <w:r>
        <w:rPr>
          <w:i/>
          <w:iCs/>
          <w:sz w:val="24"/>
        </w:rPr>
        <w:t>CBD</w:t>
      </w:r>
      <w:r>
        <w:rPr>
          <w:sz w:val="24"/>
        </w:rPr>
        <w:t xml:space="preserve"> no dopinga vielu saraksta</w:t>
      </w:r>
      <w:r w:rsidR="002875DF" w:rsidRPr="00D02CE0">
        <w:rPr>
          <w:noProof/>
          <w:sz w:val="24"/>
          <w:vertAlign w:val="superscript"/>
          <w:lang w:val="en-US"/>
        </w:rPr>
        <w:footnoteReference w:id="1"/>
      </w:r>
      <w:r>
        <w:rPr>
          <w:sz w:val="24"/>
        </w:rPr>
        <w:t>.</w:t>
      </w:r>
    </w:p>
    <w:p w:rsidR="00695746" w:rsidRDefault="00695746" w:rsidP="00695746">
      <w:pPr>
        <w:pStyle w:val="Bodytext70"/>
        <w:shd w:val="clear" w:color="auto" w:fill="auto"/>
        <w:tabs>
          <w:tab w:val="left" w:pos="1960"/>
        </w:tabs>
        <w:spacing w:before="0" w:after="0" w:line="240" w:lineRule="auto"/>
        <w:jc w:val="both"/>
        <w:rPr>
          <w:noProof/>
        </w:rPr>
      </w:pPr>
      <w:bookmarkStart w:id="6" w:name="bookmark3"/>
    </w:p>
    <w:p w:rsidR="002875DF" w:rsidRPr="00D02CE0" w:rsidRDefault="00695746" w:rsidP="00477B4A">
      <w:pPr>
        <w:pStyle w:val="Virsraksts2"/>
        <w:rPr>
          <w:noProof/>
        </w:rPr>
      </w:pPr>
      <w:bookmarkStart w:id="7" w:name="_Toc13863323"/>
      <w:r>
        <w:t xml:space="preserve">1.2. Kanabidiols jeb </w:t>
      </w:r>
      <w:r>
        <w:rPr>
          <w:i/>
          <w:iCs/>
        </w:rPr>
        <w:t>CBD</w:t>
      </w:r>
      <w:bookmarkEnd w:id="6"/>
      <w:bookmarkEnd w:id="7"/>
    </w:p>
    <w:p w:rsidR="00695746" w:rsidRDefault="00695746" w:rsidP="00695746">
      <w:pPr>
        <w:pStyle w:val="Bodytext20"/>
        <w:shd w:val="clear" w:color="auto" w:fill="auto"/>
        <w:tabs>
          <w:tab w:val="left" w:pos="1638"/>
        </w:tabs>
        <w:spacing w:before="0" w:after="0" w:line="240" w:lineRule="auto"/>
        <w:ind w:firstLine="0"/>
        <w:jc w:val="both"/>
        <w:rPr>
          <w:noProof/>
          <w:sz w:val="24"/>
          <w:lang w:val="en-US"/>
        </w:rPr>
      </w:pPr>
    </w:p>
    <w:p w:rsidR="002875DF" w:rsidRPr="00D02CE0" w:rsidRDefault="00695746" w:rsidP="00695746">
      <w:pPr>
        <w:pStyle w:val="Bodytext20"/>
        <w:shd w:val="clear" w:color="auto" w:fill="auto"/>
        <w:tabs>
          <w:tab w:val="left" w:pos="1638"/>
        </w:tabs>
        <w:spacing w:before="0" w:after="0" w:line="240" w:lineRule="auto"/>
        <w:ind w:firstLine="0"/>
        <w:jc w:val="both"/>
        <w:rPr>
          <w:noProof/>
          <w:sz w:val="24"/>
        </w:rPr>
      </w:pPr>
      <w:r>
        <w:rPr>
          <w:sz w:val="24"/>
        </w:rPr>
        <w:t xml:space="preserve">9. Kanabidiols jeb </w:t>
      </w:r>
      <w:r>
        <w:rPr>
          <w:i/>
          <w:iCs/>
          <w:sz w:val="24"/>
        </w:rPr>
        <w:t>CBD</w:t>
      </w:r>
      <w:r>
        <w:rPr>
          <w:sz w:val="24"/>
        </w:rPr>
        <w:t xml:space="preserve"> ir molekula, kas tika atklāta 1963. gadā un kas ir viena no daudziem kanabinoīdiem, kuri ir kaņepju, sauktas arī par kanabisu, sastāvā. </w:t>
      </w:r>
      <w:r>
        <w:rPr>
          <w:i/>
          <w:iCs/>
          <w:sz w:val="24"/>
        </w:rPr>
        <w:t>CBD</w:t>
      </w:r>
      <w:r>
        <w:rPr>
          <w:sz w:val="24"/>
        </w:rPr>
        <w:t xml:space="preserve"> ir koncentrācijas ziņā otrā molekula augā aiz delta-9-tetrahidrokanabinola jeb </w:t>
      </w:r>
      <w:r>
        <w:rPr>
          <w:i/>
          <w:iCs/>
          <w:sz w:val="24"/>
        </w:rPr>
        <w:t>THC</w:t>
      </w:r>
      <w:r>
        <w:rPr>
          <w:sz w:val="24"/>
        </w:rPr>
        <w:t>. Atšķirībā no delta-9-tetrahidrokanabinola (</w:t>
      </w:r>
      <w:r>
        <w:rPr>
          <w:i/>
          <w:iCs/>
          <w:sz w:val="24"/>
        </w:rPr>
        <w:t>THC</w:t>
      </w:r>
      <w:r>
        <w:rPr>
          <w:sz w:val="24"/>
        </w:rPr>
        <w:t>) kanabidiolam nav narkotiskas ietekmes.</w:t>
      </w:r>
    </w:p>
    <w:p w:rsidR="00695746" w:rsidRDefault="00695746" w:rsidP="00695746">
      <w:pPr>
        <w:pStyle w:val="Bodytext20"/>
        <w:shd w:val="clear" w:color="auto" w:fill="auto"/>
        <w:tabs>
          <w:tab w:val="left" w:pos="1638"/>
        </w:tabs>
        <w:spacing w:before="0" w:after="0" w:line="240" w:lineRule="auto"/>
        <w:ind w:firstLine="0"/>
        <w:jc w:val="both"/>
        <w:rPr>
          <w:noProof/>
          <w:sz w:val="24"/>
          <w:lang w:val="en-US"/>
        </w:rPr>
      </w:pPr>
    </w:p>
    <w:p w:rsidR="002875DF" w:rsidRPr="00D02CE0" w:rsidRDefault="00695746" w:rsidP="00695746">
      <w:pPr>
        <w:pStyle w:val="Bodytext20"/>
        <w:shd w:val="clear" w:color="auto" w:fill="auto"/>
        <w:tabs>
          <w:tab w:val="left" w:pos="1638"/>
        </w:tabs>
        <w:spacing w:before="0" w:after="0" w:line="240" w:lineRule="auto"/>
        <w:ind w:firstLine="0"/>
        <w:jc w:val="both"/>
        <w:rPr>
          <w:noProof/>
          <w:sz w:val="24"/>
        </w:rPr>
      </w:pPr>
      <w:r>
        <w:rPr>
          <w:sz w:val="24"/>
        </w:rPr>
        <w:t xml:space="preserve">10. </w:t>
      </w:r>
      <w:r>
        <w:rPr>
          <w:i/>
          <w:iCs/>
          <w:sz w:val="24"/>
        </w:rPr>
        <w:t>CBD</w:t>
      </w:r>
      <w:r>
        <w:rPr>
          <w:sz w:val="24"/>
        </w:rPr>
        <w:t xml:space="preserve"> ir piešķirts numurs CAS 13956-29-1, un tā ķīmiskā formula ir: 1,3-benzenediol, 2-[(1R,6R)-3-metil-6-(1- metiletenil)-2-cikloheksēn-1-il]-5-pentil-. </w:t>
      </w:r>
      <w:r>
        <w:rPr>
          <w:i/>
          <w:iCs/>
          <w:sz w:val="24"/>
        </w:rPr>
        <w:t>CBD</w:t>
      </w:r>
      <w:r>
        <w:rPr>
          <w:sz w:val="24"/>
        </w:rPr>
        <w:t xml:space="preserve"> ir iekļauts to vielu sarakstā</w:t>
      </w:r>
      <w:r w:rsidR="002875DF" w:rsidRPr="00D02CE0">
        <w:rPr>
          <w:noProof/>
          <w:sz w:val="24"/>
          <w:vertAlign w:val="superscript"/>
          <w:lang w:val="en-US"/>
        </w:rPr>
        <w:footnoteReference w:id="2"/>
      </w:r>
      <w:r>
        <w:rPr>
          <w:sz w:val="24"/>
        </w:rPr>
        <w:t xml:space="preserve">, kuras var izmantot kosmētikā, bet tas, ka šī viela ir šajā sarakstā, nebūt nenozīmē, ka </w:t>
      </w:r>
      <w:r>
        <w:rPr>
          <w:sz w:val="24"/>
        </w:rPr>
        <w:lastRenderedPageBreak/>
        <w:t xml:space="preserve">tās izmantošana ir atļauta. </w:t>
      </w:r>
      <w:r>
        <w:rPr>
          <w:i/>
          <w:iCs/>
          <w:sz w:val="24"/>
        </w:rPr>
        <w:t>CBD</w:t>
      </w:r>
      <w:r>
        <w:rPr>
          <w:sz w:val="24"/>
        </w:rPr>
        <w:t xml:space="preserve"> ķīmiskā ziņā ir tuvs kanabinolam (Nr. CAS 521-35-7), kas ir Eiropas Savienībā atļauta farmaceitiska viela, kura ir atbrīvota no muitas nodevas, tomēr atšķiras no tā</w:t>
      </w:r>
      <w:r w:rsidR="002875DF" w:rsidRPr="00D02CE0">
        <w:rPr>
          <w:noProof/>
          <w:sz w:val="24"/>
          <w:vertAlign w:val="superscript"/>
          <w:lang w:val="en-US"/>
        </w:rPr>
        <w:footnoteReference w:id="3"/>
      </w:r>
      <w:r>
        <w:rPr>
          <w:sz w:val="24"/>
        </w:rPr>
        <w:t>.</w:t>
      </w:r>
    </w:p>
    <w:p w:rsidR="00695746" w:rsidRDefault="00695746" w:rsidP="00695746">
      <w:pPr>
        <w:pStyle w:val="Bodytext20"/>
        <w:shd w:val="clear" w:color="auto" w:fill="auto"/>
        <w:tabs>
          <w:tab w:val="left" w:pos="1638"/>
        </w:tabs>
        <w:spacing w:before="0" w:after="0" w:line="240" w:lineRule="auto"/>
        <w:ind w:firstLine="0"/>
        <w:jc w:val="both"/>
        <w:rPr>
          <w:noProof/>
          <w:sz w:val="24"/>
          <w:lang w:val="en-US"/>
        </w:rPr>
      </w:pPr>
    </w:p>
    <w:p w:rsidR="002875DF" w:rsidRPr="00D02CE0" w:rsidRDefault="00695746" w:rsidP="003C0204">
      <w:pPr>
        <w:pStyle w:val="Bodytext20"/>
        <w:shd w:val="clear" w:color="auto" w:fill="auto"/>
        <w:tabs>
          <w:tab w:val="left" w:pos="1638"/>
        </w:tabs>
        <w:spacing w:before="0" w:after="0" w:line="240" w:lineRule="auto"/>
        <w:ind w:firstLine="0"/>
        <w:jc w:val="both"/>
        <w:rPr>
          <w:noProof/>
          <w:sz w:val="24"/>
        </w:rPr>
      </w:pPr>
      <w:r>
        <w:rPr>
          <w:sz w:val="24"/>
        </w:rPr>
        <w:t xml:space="preserve">11. 2018. gadā </w:t>
      </w:r>
      <w:r>
        <w:rPr>
          <w:i/>
          <w:iCs/>
          <w:sz w:val="24"/>
        </w:rPr>
        <w:t>CBD</w:t>
      </w:r>
      <w:r>
        <w:rPr>
          <w:sz w:val="24"/>
        </w:rPr>
        <w:t xml:space="preserve"> kļuva par modes preci. Visā Francijā tika atvērtas daudzas mazumtirdzniecības vietas, kas specializējušās tādu preču tirdzniecībā kā kosmētika, eļļas un</w:t>
      </w:r>
      <w:r w:rsidR="003C0204">
        <w:rPr>
          <w:sz w:val="24"/>
        </w:rPr>
        <w:t xml:space="preserve"> </w:t>
      </w:r>
      <w:r w:rsidR="002875DF">
        <w:rPr>
          <w:sz w:val="24"/>
        </w:rPr>
        <w:t xml:space="preserve">elektroniskās cigaretes. Šie uzņēmumi, domājams, bija atraduši nepilnību tiesību normā, tirgojot produktus, kuros ir ļoti maza </w:t>
      </w:r>
      <w:r w:rsidR="002875DF">
        <w:rPr>
          <w:i/>
          <w:iCs/>
          <w:sz w:val="24"/>
        </w:rPr>
        <w:t>THC</w:t>
      </w:r>
      <w:r w:rsidR="002875DF">
        <w:rPr>
          <w:sz w:val="24"/>
        </w:rPr>
        <w:t xml:space="preserve"> koncentrācija, bet ir kanabidiola koncentrācija.</w:t>
      </w:r>
    </w:p>
    <w:p w:rsidR="00695746" w:rsidRDefault="00695746" w:rsidP="00695746">
      <w:pPr>
        <w:pStyle w:val="Bodytext20"/>
        <w:shd w:val="clear" w:color="auto" w:fill="auto"/>
        <w:tabs>
          <w:tab w:val="left" w:pos="1632"/>
        </w:tabs>
        <w:spacing w:before="0" w:after="0" w:line="240" w:lineRule="auto"/>
        <w:ind w:firstLine="0"/>
        <w:jc w:val="both"/>
        <w:rPr>
          <w:noProof/>
          <w:sz w:val="24"/>
          <w:lang w:val="en-US"/>
        </w:rPr>
      </w:pPr>
    </w:p>
    <w:p w:rsidR="002875DF" w:rsidRDefault="00695746" w:rsidP="00695746">
      <w:pPr>
        <w:pStyle w:val="Bodytext20"/>
        <w:shd w:val="clear" w:color="auto" w:fill="auto"/>
        <w:tabs>
          <w:tab w:val="left" w:pos="1632"/>
        </w:tabs>
        <w:spacing w:before="0" w:after="0" w:line="240" w:lineRule="auto"/>
        <w:ind w:firstLine="0"/>
        <w:jc w:val="both"/>
        <w:rPr>
          <w:noProof/>
          <w:sz w:val="24"/>
        </w:rPr>
      </w:pPr>
      <w:r>
        <w:rPr>
          <w:sz w:val="24"/>
        </w:rPr>
        <w:t xml:space="preserve">12. Galvenais jautājums šajā lietā ir, vai valstī noteiktais </w:t>
      </w:r>
      <w:r>
        <w:rPr>
          <w:i/>
          <w:iCs/>
          <w:sz w:val="24"/>
        </w:rPr>
        <w:t>cannabis sativa L</w:t>
      </w:r>
      <w:r>
        <w:rPr>
          <w:sz w:val="24"/>
        </w:rPr>
        <w:t>. audzēšanas, importa, eksporta, kā arī rūpnieciskas un komerciālas izmantošanas ierobežojums, izņemot attiecībā uz šā auga šķiedrām un sēklām, ir saderīgs ar Eiropas Savienības tiesībām.</w:t>
      </w:r>
    </w:p>
    <w:p w:rsidR="00695746" w:rsidRPr="00D02CE0" w:rsidRDefault="00695746" w:rsidP="00695746">
      <w:pPr>
        <w:pStyle w:val="Bodytext20"/>
        <w:shd w:val="clear" w:color="auto" w:fill="auto"/>
        <w:tabs>
          <w:tab w:val="left" w:pos="1632"/>
        </w:tabs>
        <w:spacing w:before="0" w:after="0" w:line="240" w:lineRule="auto"/>
        <w:ind w:firstLine="0"/>
        <w:jc w:val="both"/>
        <w:rPr>
          <w:noProof/>
          <w:sz w:val="24"/>
          <w:lang w:val="en-US"/>
        </w:rPr>
      </w:pPr>
    </w:p>
    <w:p w:rsidR="002875DF" w:rsidRPr="00600AFF" w:rsidRDefault="002875DF" w:rsidP="00477B4A">
      <w:pPr>
        <w:pStyle w:val="Virsraksts1"/>
        <w:rPr>
          <w:noProof/>
        </w:rPr>
      </w:pPr>
      <w:bookmarkStart w:id="8" w:name="bookmark4"/>
      <w:bookmarkStart w:id="9" w:name="_Toc13863324"/>
      <w:r>
        <w:t xml:space="preserve">2. Francijas tiesību normas </w:t>
      </w:r>
      <w:r>
        <w:rPr>
          <w:i/>
          <w:iCs/>
        </w:rPr>
        <w:t>CBD</w:t>
      </w:r>
      <w:r>
        <w:t xml:space="preserve"> jomā</w:t>
      </w:r>
      <w:bookmarkEnd w:id="8"/>
      <w:bookmarkEnd w:id="9"/>
    </w:p>
    <w:p w:rsidR="00695746" w:rsidRDefault="00695746" w:rsidP="00695746">
      <w:pPr>
        <w:pStyle w:val="Bodytext20"/>
        <w:shd w:val="clear" w:color="auto" w:fill="auto"/>
        <w:tabs>
          <w:tab w:val="left" w:pos="1632"/>
        </w:tabs>
        <w:spacing w:before="0" w:after="0" w:line="240" w:lineRule="auto"/>
        <w:ind w:firstLine="0"/>
        <w:jc w:val="both"/>
        <w:rPr>
          <w:noProof/>
          <w:sz w:val="24"/>
          <w:lang w:val="en-US"/>
        </w:rPr>
      </w:pPr>
    </w:p>
    <w:p w:rsidR="002875DF" w:rsidRDefault="00695746" w:rsidP="00695746">
      <w:pPr>
        <w:pStyle w:val="Bodytext20"/>
        <w:shd w:val="clear" w:color="auto" w:fill="auto"/>
        <w:tabs>
          <w:tab w:val="left" w:pos="1632"/>
        </w:tabs>
        <w:spacing w:before="0" w:after="0" w:line="240" w:lineRule="auto"/>
        <w:ind w:firstLine="0"/>
        <w:jc w:val="both"/>
        <w:rPr>
          <w:noProof/>
          <w:sz w:val="24"/>
        </w:rPr>
      </w:pPr>
      <w:r>
        <w:rPr>
          <w:sz w:val="24"/>
        </w:rPr>
        <w:t xml:space="preserve">13. Pirmajā acumirklī Francijas tiesību normas </w:t>
      </w:r>
      <w:r>
        <w:rPr>
          <w:i/>
          <w:iCs/>
          <w:sz w:val="24"/>
        </w:rPr>
        <w:t>CBD</w:t>
      </w:r>
      <w:r>
        <w:rPr>
          <w:sz w:val="24"/>
        </w:rPr>
        <w:t xml:space="preserve"> jomā šķiet visai neskaidras. Francijas tiesību normas, stingri runājot, neaizliedz </w:t>
      </w:r>
      <w:r>
        <w:rPr>
          <w:i/>
          <w:iCs/>
          <w:sz w:val="24"/>
        </w:rPr>
        <w:t>CBD</w:t>
      </w:r>
      <w:r>
        <w:rPr>
          <w:sz w:val="24"/>
        </w:rPr>
        <w:t xml:space="preserve">, un </w:t>
      </w:r>
      <w:r>
        <w:rPr>
          <w:i/>
          <w:iCs/>
          <w:sz w:val="24"/>
        </w:rPr>
        <w:t>CBD</w:t>
      </w:r>
      <w:r>
        <w:rPr>
          <w:sz w:val="24"/>
        </w:rPr>
        <w:t xml:space="preserve"> nav klasificēts kā narkotiska viela, jo tas nav narkotiska viela</w:t>
      </w:r>
      <w:r>
        <w:rPr>
          <w:rStyle w:val="Vresatsauce"/>
          <w:noProof/>
          <w:sz w:val="24"/>
          <w:lang w:val="en-US"/>
        </w:rPr>
        <w:footnoteReference w:id="4"/>
      </w:r>
      <w:r>
        <w:rPr>
          <w:sz w:val="24"/>
        </w:rPr>
        <w:t xml:space="preserve">. Francijas tiesību normās ir reglamentētas kaņepes, proti, augs, no kura to iegūst. Savukārt </w:t>
      </w:r>
      <w:r>
        <w:rPr>
          <w:i/>
          <w:iCs/>
          <w:sz w:val="24"/>
        </w:rPr>
        <w:t>THC</w:t>
      </w:r>
      <w:r>
        <w:rPr>
          <w:sz w:val="24"/>
        </w:rPr>
        <w:t xml:space="preserve"> tiek uzskatīts par narkotisku vielu.</w:t>
      </w:r>
    </w:p>
    <w:p w:rsidR="00695746" w:rsidRPr="00D02CE0" w:rsidRDefault="00695746" w:rsidP="00695746">
      <w:pPr>
        <w:pStyle w:val="Bodytext20"/>
        <w:shd w:val="clear" w:color="auto" w:fill="auto"/>
        <w:tabs>
          <w:tab w:val="left" w:pos="1632"/>
        </w:tabs>
        <w:spacing w:before="0" w:after="0" w:line="240" w:lineRule="auto"/>
        <w:ind w:firstLine="0"/>
        <w:jc w:val="both"/>
        <w:rPr>
          <w:noProof/>
          <w:sz w:val="24"/>
          <w:lang w:val="en-US"/>
        </w:rPr>
      </w:pPr>
    </w:p>
    <w:p w:rsidR="002875DF" w:rsidRPr="00D02CE0" w:rsidRDefault="00600AFF" w:rsidP="00600AFF">
      <w:pPr>
        <w:pStyle w:val="Bodytext20"/>
        <w:shd w:val="clear" w:color="auto" w:fill="auto"/>
        <w:tabs>
          <w:tab w:val="left" w:pos="1632"/>
        </w:tabs>
        <w:spacing w:before="0" w:after="0" w:line="240" w:lineRule="auto"/>
        <w:ind w:firstLine="0"/>
        <w:jc w:val="both"/>
        <w:rPr>
          <w:noProof/>
          <w:sz w:val="24"/>
        </w:rPr>
      </w:pPr>
      <w:r>
        <w:rPr>
          <w:sz w:val="24"/>
        </w:rPr>
        <w:t>14. Francijā ir aizliegts ražot, izgatavot, pārvadāt, importēt, eksportēt, turēt, piedāvāt, cedēt, iegādāties vai izmantot kanabisu, kā precizēts Sabiedrības veselības kodeksa R5132-86. pantā, kurā noteikts:</w:t>
      </w:r>
    </w:p>
    <w:p w:rsidR="00600AFF" w:rsidRDefault="00600AFF" w:rsidP="00B540B1">
      <w:pPr>
        <w:pStyle w:val="Bodytext20"/>
        <w:shd w:val="clear" w:color="auto" w:fill="auto"/>
        <w:spacing w:before="0" w:after="0" w:line="240" w:lineRule="auto"/>
        <w:ind w:firstLine="0"/>
        <w:jc w:val="both"/>
        <w:rPr>
          <w:noProof/>
          <w:sz w:val="24"/>
          <w:lang w:val="en-US"/>
        </w:rPr>
      </w:pPr>
    </w:p>
    <w:p w:rsidR="002875DF" w:rsidRPr="00D02CE0" w:rsidRDefault="002875DF" w:rsidP="00600AFF">
      <w:pPr>
        <w:pStyle w:val="Bodytext20"/>
        <w:shd w:val="clear" w:color="auto" w:fill="auto"/>
        <w:spacing w:before="0" w:after="0" w:line="240" w:lineRule="auto"/>
        <w:ind w:left="426" w:firstLine="0"/>
        <w:jc w:val="both"/>
        <w:rPr>
          <w:noProof/>
          <w:sz w:val="24"/>
        </w:rPr>
      </w:pPr>
      <w:r>
        <w:rPr>
          <w:sz w:val="24"/>
        </w:rPr>
        <w:t>“I. Aizliegts ražot, izgatavot, pārvadāt, importēt, eksportēt, turēt, piedāvāt, cedēt, iegādāties vai izmantot:</w:t>
      </w:r>
    </w:p>
    <w:p w:rsidR="00600AFF" w:rsidRDefault="00600AFF" w:rsidP="00600AFF">
      <w:pPr>
        <w:pStyle w:val="Bodytext20"/>
        <w:shd w:val="clear" w:color="auto" w:fill="auto"/>
        <w:spacing w:before="0" w:after="0" w:line="240" w:lineRule="auto"/>
        <w:ind w:left="426" w:firstLine="0"/>
        <w:jc w:val="both"/>
        <w:rPr>
          <w:noProof/>
          <w:sz w:val="24"/>
          <w:lang w:val="en-US"/>
        </w:rPr>
      </w:pPr>
    </w:p>
    <w:p w:rsidR="002875DF" w:rsidRPr="00D02CE0" w:rsidRDefault="002875DF" w:rsidP="00600AFF">
      <w:pPr>
        <w:pStyle w:val="Bodytext20"/>
        <w:shd w:val="clear" w:color="auto" w:fill="auto"/>
        <w:spacing w:before="0" w:after="0" w:line="240" w:lineRule="auto"/>
        <w:ind w:left="426" w:firstLine="0"/>
        <w:jc w:val="both"/>
        <w:rPr>
          <w:noProof/>
          <w:sz w:val="24"/>
        </w:rPr>
      </w:pPr>
      <w:r>
        <w:rPr>
          <w:sz w:val="24"/>
        </w:rPr>
        <w:t>1) kanabisu, tā augus un sveķus, produktus, kas satur kanabisu, tā augus vai sveķus vai kas iegūti no kanabisa, tā auga vai sveķiem;</w:t>
      </w:r>
    </w:p>
    <w:p w:rsidR="00600AFF" w:rsidRDefault="00600AFF" w:rsidP="00600AFF">
      <w:pPr>
        <w:pStyle w:val="Bodytext20"/>
        <w:shd w:val="clear" w:color="auto" w:fill="auto"/>
        <w:spacing w:before="0" w:after="0" w:line="240" w:lineRule="auto"/>
        <w:ind w:left="426" w:firstLine="0"/>
        <w:jc w:val="both"/>
        <w:rPr>
          <w:noProof/>
          <w:sz w:val="24"/>
          <w:lang w:val="en-US"/>
        </w:rPr>
      </w:pPr>
    </w:p>
    <w:p w:rsidR="00D02CE0" w:rsidRPr="00D02CE0" w:rsidRDefault="002875DF" w:rsidP="00600AFF">
      <w:pPr>
        <w:pStyle w:val="Bodytext20"/>
        <w:shd w:val="clear" w:color="auto" w:fill="auto"/>
        <w:spacing w:before="0" w:after="0" w:line="240" w:lineRule="auto"/>
        <w:ind w:left="426" w:firstLine="0"/>
        <w:jc w:val="both"/>
        <w:rPr>
          <w:noProof/>
          <w:sz w:val="24"/>
        </w:rPr>
      </w:pPr>
      <w:r>
        <w:rPr>
          <w:sz w:val="24"/>
        </w:rPr>
        <w:t>2) tetrahidrokanabinolus, izņemot delta-9-tetrahidrokanabinolu, to esterus, ēterus, sāļus, kā arī minēto atvasinājumu sāļus un produktus, kas tos satur.</w:t>
      </w:r>
    </w:p>
    <w:p w:rsidR="00600AFF" w:rsidRDefault="00600AFF" w:rsidP="00600AFF">
      <w:pPr>
        <w:pStyle w:val="Bodytext20"/>
        <w:shd w:val="clear" w:color="auto" w:fill="auto"/>
        <w:tabs>
          <w:tab w:val="left" w:pos="2662"/>
        </w:tabs>
        <w:spacing w:before="0" w:after="0" w:line="240" w:lineRule="auto"/>
        <w:ind w:left="426" w:firstLine="0"/>
        <w:jc w:val="both"/>
        <w:rPr>
          <w:noProof/>
          <w:sz w:val="24"/>
          <w:lang w:val="en-US"/>
        </w:rPr>
      </w:pPr>
    </w:p>
    <w:p w:rsidR="002875DF" w:rsidRPr="00D02CE0" w:rsidRDefault="00600AFF" w:rsidP="00600AFF">
      <w:pPr>
        <w:pStyle w:val="Bodytext20"/>
        <w:shd w:val="clear" w:color="auto" w:fill="auto"/>
        <w:tabs>
          <w:tab w:val="left" w:pos="2662"/>
        </w:tabs>
        <w:spacing w:before="0" w:after="0" w:line="240" w:lineRule="auto"/>
        <w:ind w:left="426" w:firstLine="0"/>
        <w:jc w:val="both"/>
        <w:rPr>
          <w:noProof/>
          <w:sz w:val="24"/>
        </w:rPr>
      </w:pPr>
      <w:r>
        <w:rPr>
          <w:sz w:val="24"/>
        </w:rPr>
        <w:t>II. Atkāpes no iepriekš minētajiem noteikumiem var piemērot pētniecības un kontroles mērķiem, kā arī atvasinājumu izgatavošanai ar Zāļu un ārstniecisko līdzekļu nekaitīguma valsts aģentūras [</w:t>
      </w:r>
      <w:r>
        <w:rPr>
          <w:i/>
          <w:iCs/>
          <w:sz w:val="24"/>
        </w:rPr>
        <w:t>l'Agence nationale de sécurité du médicament et des produits de santé</w:t>
      </w:r>
      <w:r>
        <w:rPr>
          <w:sz w:val="24"/>
        </w:rPr>
        <w:t>] ģenerāldirektora atļauju.</w:t>
      </w:r>
    </w:p>
    <w:p w:rsidR="00600AFF" w:rsidRDefault="00600AFF" w:rsidP="00600AFF">
      <w:pPr>
        <w:pStyle w:val="Bodytext20"/>
        <w:shd w:val="clear" w:color="auto" w:fill="auto"/>
        <w:spacing w:before="0" w:after="0" w:line="240" w:lineRule="auto"/>
        <w:ind w:left="426" w:firstLine="0"/>
        <w:jc w:val="both"/>
        <w:rPr>
          <w:noProof/>
          <w:sz w:val="24"/>
          <w:lang w:val="en-US"/>
        </w:rPr>
      </w:pPr>
    </w:p>
    <w:p w:rsidR="002875DF" w:rsidRPr="00D02CE0" w:rsidRDefault="002875DF" w:rsidP="00600AFF">
      <w:pPr>
        <w:pStyle w:val="Bodytext20"/>
        <w:shd w:val="clear" w:color="auto" w:fill="auto"/>
        <w:spacing w:before="0" w:after="0" w:line="240" w:lineRule="auto"/>
        <w:ind w:left="426" w:firstLine="0"/>
        <w:jc w:val="both"/>
        <w:rPr>
          <w:noProof/>
          <w:sz w:val="24"/>
        </w:rPr>
      </w:pPr>
      <w:r>
        <w:rPr>
          <w:sz w:val="24"/>
        </w:rPr>
        <w:t>Audzēt, importēt, eksportēt, kā arī rūpnieciski un komerciāli izmantot kanabisa šķirnes, kurām nepiemīt narkotiska iedarbība, vai produktus, kas satur minētās šķirnes, var atļaut ar rīkojumu, ko izdod par lauksaimniecību, muitu, rūpniecību un veselību atbildīgie ministri pēc aģentūras ģenerāldirektora ierosinājuma.</w:t>
      </w:r>
    </w:p>
    <w:p w:rsidR="00600AFF" w:rsidRDefault="00600AFF" w:rsidP="00600AFF">
      <w:pPr>
        <w:pStyle w:val="Bodytext20"/>
        <w:shd w:val="clear" w:color="auto" w:fill="auto"/>
        <w:tabs>
          <w:tab w:val="left" w:pos="2776"/>
        </w:tabs>
        <w:spacing w:before="0" w:after="0" w:line="240" w:lineRule="auto"/>
        <w:ind w:left="426" w:firstLine="0"/>
        <w:jc w:val="both"/>
        <w:rPr>
          <w:noProof/>
          <w:sz w:val="24"/>
          <w:lang w:val="en-US"/>
        </w:rPr>
      </w:pPr>
    </w:p>
    <w:p w:rsidR="002875DF" w:rsidRPr="00D02CE0" w:rsidRDefault="00600AFF" w:rsidP="00600AFF">
      <w:pPr>
        <w:pStyle w:val="Bodytext20"/>
        <w:shd w:val="clear" w:color="auto" w:fill="auto"/>
        <w:tabs>
          <w:tab w:val="left" w:pos="2776"/>
        </w:tabs>
        <w:spacing w:before="0" w:after="0" w:line="240" w:lineRule="auto"/>
        <w:ind w:left="426" w:firstLine="0"/>
        <w:jc w:val="both"/>
        <w:rPr>
          <w:noProof/>
          <w:sz w:val="24"/>
        </w:rPr>
      </w:pPr>
      <w:r>
        <w:rPr>
          <w:sz w:val="24"/>
        </w:rPr>
        <w:t xml:space="preserve">III. Nav aizliegta izgatavošana, pārvadāšana, importēšana, eksportēšana, turēšana, </w:t>
      </w:r>
      <w:r>
        <w:rPr>
          <w:sz w:val="24"/>
        </w:rPr>
        <w:lastRenderedPageBreak/>
        <w:t>piedāvāšana, cesija, iegādāšanās vai izmantošana, ja šīs darbības saistītas ar patentētiem medikamentiem, kuru sastāvā ir kāda no šā panta 1. un 2. punktā minētajām vielām un kuriem piemērojama Francijā izdota tirdzniecības atļauja atbilstoši noteikumiem, kas sniegti šā dokumenta II daļas I nodaļā, vai ko noteikusi Eiropas Savienība, piemērojot Eiropas Parlamenta un Padomes Regulu (EK) Nr. 726/2004 (2004. gada 31. marts), ar ko nosaka cilvēkiem paredzēto un veterināro zāļu reģistrēšanas un uzraudzības Kopienas procedūras un izveido Eiropas Zāļu aģentūru.”</w:t>
      </w:r>
    </w:p>
    <w:p w:rsidR="00600AFF" w:rsidRDefault="00600AFF" w:rsidP="00600AFF">
      <w:pPr>
        <w:pStyle w:val="Bodytext20"/>
        <w:shd w:val="clear" w:color="auto" w:fill="auto"/>
        <w:tabs>
          <w:tab w:val="left" w:pos="1630"/>
        </w:tabs>
        <w:spacing w:before="0" w:after="0" w:line="240" w:lineRule="auto"/>
        <w:ind w:firstLine="0"/>
        <w:jc w:val="both"/>
        <w:rPr>
          <w:noProof/>
          <w:sz w:val="24"/>
          <w:lang w:val="en-US"/>
        </w:rPr>
      </w:pPr>
    </w:p>
    <w:p w:rsidR="002875DF" w:rsidRPr="00D02CE0" w:rsidRDefault="00600AFF" w:rsidP="00600AFF">
      <w:pPr>
        <w:pStyle w:val="Bodytext20"/>
        <w:shd w:val="clear" w:color="auto" w:fill="auto"/>
        <w:tabs>
          <w:tab w:val="left" w:pos="1630"/>
        </w:tabs>
        <w:spacing w:before="0" w:after="0" w:line="240" w:lineRule="auto"/>
        <w:ind w:firstLine="0"/>
        <w:jc w:val="both"/>
        <w:rPr>
          <w:noProof/>
          <w:sz w:val="24"/>
        </w:rPr>
      </w:pPr>
      <w:r>
        <w:rPr>
          <w:sz w:val="24"/>
        </w:rPr>
        <w:t>15. Šajā pašā tekstā ir noteikta atkāpe, kas ierobežoti definēta ar 1990. gada 22. augusta rīkojumu, kurā precizēti Sabiedrības veselības kodeksa R5132-86. panta piemērošanas nosacījumi, lai ļautu rūpniecisko kaņepju audzēšanu. 1990. gada 22. augusta rīkojuma pirmajā pantā ir noteikts:</w:t>
      </w:r>
      <w:r>
        <w:rPr>
          <w:rStyle w:val="Vresatsauce"/>
          <w:noProof/>
          <w:sz w:val="24"/>
          <w:lang w:val="en-US"/>
        </w:rPr>
        <w:footnoteReference w:id="5"/>
      </w:r>
    </w:p>
    <w:p w:rsidR="00600AFF" w:rsidRDefault="00600AFF" w:rsidP="00B540B1">
      <w:pPr>
        <w:pStyle w:val="Bodytext20"/>
        <w:shd w:val="clear" w:color="auto" w:fill="auto"/>
        <w:spacing w:before="0" w:after="0" w:line="240" w:lineRule="auto"/>
        <w:ind w:firstLine="0"/>
        <w:jc w:val="both"/>
        <w:rPr>
          <w:noProof/>
          <w:sz w:val="24"/>
          <w:lang w:val="en-US"/>
        </w:rPr>
      </w:pPr>
    </w:p>
    <w:p w:rsidR="002875DF" w:rsidRDefault="002875DF" w:rsidP="00600AFF">
      <w:pPr>
        <w:pStyle w:val="Bodytext20"/>
        <w:shd w:val="clear" w:color="auto" w:fill="auto"/>
        <w:spacing w:before="0" w:after="0" w:line="240" w:lineRule="auto"/>
        <w:ind w:left="426" w:firstLine="0"/>
        <w:jc w:val="both"/>
        <w:rPr>
          <w:noProof/>
          <w:sz w:val="24"/>
        </w:rPr>
      </w:pPr>
      <w:r>
        <w:rPr>
          <w:sz w:val="24"/>
        </w:rPr>
        <w:t xml:space="preserve">“Minētā kodeksa </w:t>
      </w:r>
      <w:r>
        <w:rPr>
          <w:b/>
          <w:bCs/>
          <w:sz w:val="24"/>
        </w:rPr>
        <w:t>R.5181.</w:t>
      </w:r>
      <w:r>
        <w:rPr>
          <w:sz w:val="24"/>
        </w:rPr>
        <w:t xml:space="preserve"> panta nozīmē atļauts audzēt, importēt, eksportēt, kā arī rūpnieciski un komerciāli izmantot </w:t>
      </w:r>
      <w:r>
        <w:rPr>
          <w:i/>
          <w:iCs/>
          <w:sz w:val="24"/>
        </w:rPr>
        <w:t>Cannabis sativa L.</w:t>
      </w:r>
      <w:r>
        <w:rPr>
          <w:sz w:val="24"/>
        </w:rPr>
        <w:t xml:space="preserve"> kaņepju šķirnes (šķiedras un sēklas), kas atbilst šādiem kritērijiem:</w:t>
      </w:r>
    </w:p>
    <w:p w:rsidR="00600AFF" w:rsidRPr="00D02CE0" w:rsidRDefault="00600AFF" w:rsidP="00600AFF">
      <w:pPr>
        <w:pStyle w:val="Bodytext20"/>
        <w:shd w:val="clear" w:color="auto" w:fill="auto"/>
        <w:spacing w:before="0" w:after="0" w:line="240" w:lineRule="auto"/>
        <w:ind w:left="426" w:firstLine="0"/>
        <w:jc w:val="both"/>
        <w:rPr>
          <w:noProof/>
          <w:sz w:val="24"/>
          <w:lang w:val="en-US"/>
        </w:rPr>
      </w:pPr>
    </w:p>
    <w:p w:rsidR="002875DF" w:rsidRPr="00D02CE0" w:rsidRDefault="002875DF" w:rsidP="00600AFF">
      <w:pPr>
        <w:pStyle w:val="Bodytext20"/>
        <w:shd w:val="clear" w:color="auto" w:fill="auto"/>
        <w:spacing w:before="0" w:after="0" w:line="240" w:lineRule="auto"/>
        <w:ind w:left="426" w:firstLine="0"/>
        <w:jc w:val="both"/>
        <w:rPr>
          <w:noProof/>
          <w:sz w:val="24"/>
        </w:rPr>
      </w:pPr>
      <w:r>
        <w:rPr>
          <w:sz w:val="24"/>
        </w:rPr>
        <w:t>- delta-9-tetrahidrokanabinola saturs šajās šķirnēs nepārsniedz 0,20 %;</w:t>
      </w:r>
    </w:p>
    <w:p w:rsidR="002875DF" w:rsidRPr="00D02CE0" w:rsidRDefault="002875DF" w:rsidP="00600AFF">
      <w:pPr>
        <w:pStyle w:val="Bodytext20"/>
        <w:shd w:val="clear" w:color="auto" w:fill="auto"/>
        <w:spacing w:before="0" w:after="0" w:line="240" w:lineRule="auto"/>
        <w:ind w:left="426" w:firstLine="0"/>
        <w:jc w:val="both"/>
        <w:rPr>
          <w:noProof/>
          <w:sz w:val="24"/>
        </w:rPr>
      </w:pPr>
      <w:r>
        <w:rPr>
          <w:sz w:val="24"/>
        </w:rPr>
        <w:t>- delta-9-tetrahidrokanabinola saturu nosaka un šai noteikšanai nepieciešamos paraugus ņem saskaņā ar pielikumā paredzēto Kopienas metodi.</w:t>
      </w:r>
    </w:p>
    <w:p w:rsidR="00600AFF" w:rsidRDefault="00600AFF" w:rsidP="00600AFF">
      <w:pPr>
        <w:pStyle w:val="Bodytext20"/>
        <w:shd w:val="clear" w:color="auto" w:fill="auto"/>
        <w:spacing w:before="0" w:after="0" w:line="240" w:lineRule="auto"/>
        <w:ind w:left="426" w:firstLine="0"/>
        <w:jc w:val="both"/>
        <w:rPr>
          <w:noProof/>
          <w:sz w:val="24"/>
          <w:lang w:val="en-US"/>
        </w:rPr>
      </w:pPr>
    </w:p>
    <w:p w:rsidR="002875DF" w:rsidRDefault="002875DF" w:rsidP="00600AFF">
      <w:pPr>
        <w:pStyle w:val="Bodytext20"/>
        <w:shd w:val="clear" w:color="auto" w:fill="auto"/>
        <w:spacing w:before="0" w:after="0" w:line="240" w:lineRule="auto"/>
        <w:ind w:left="426" w:firstLine="0"/>
        <w:jc w:val="both"/>
        <w:rPr>
          <w:noProof/>
          <w:sz w:val="24"/>
        </w:rPr>
      </w:pPr>
      <w:r>
        <w:rPr>
          <w:sz w:val="24"/>
        </w:rPr>
        <w:t xml:space="preserve">Lai iekļautu kādu kaņepju šķirni </w:t>
      </w:r>
      <w:r>
        <w:rPr>
          <w:i/>
          <w:iCs/>
          <w:sz w:val="24"/>
        </w:rPr>
        <w:t>Cannabis sativa L.</w:t>
      </w:r>
      <w:r>
        <w:rPr>
          <w:sz w:val="24"/>
        </w:rPr>
        <w:t xml:space="preserve"> šķirņu sarakstā, kas sniegts 2. pantā, pieprasījumam ir jāpievieno pārskats, kurā norādīti saskaņā ar šā rīkojuma pielikumā aprakstītās metodes B procedūru veikto analīžu rezultāti, kā arī attiecīgās šķirnes apraksts.”</w:t>
      </w:r>
    </w:p>
    <w:p w:rsidR="00600AFF" w:rsidRPr="00D02CE0" w:rsidRDefault="00600AFF" w:rsidP="00B540B1">
      <w:pPr>
        <w:pStyle w:val="Bodytext20"/>
        <w:shd w:val="clear" w:color="auto" w:fill="auto"/>
        <w:spacing w:before="0" w:after="0" w:line="240" w:lineRule="auto"/>
        <w:ind w:firstLine="0"/>
        <w:jc w:val="both"/>
        <w:rPr>
          <w:noProof/>
          <w:sz w:val="24"/>
          <w:lang w:val="en-US"/>
        </w:rPr>
      </w:pPr>
    </w:p>
    <w:p w:rsidR="002875DF" w:rsidRPr="00D02CE0" w:rsidRDefault="00600AFF" w:rsidP="00600AFF">
      <w:pPr>
        <w:pStyle w:val="Bodytext20"/>
        <w:shd w:val="clear" w:color="auto" w:fill="auto"/>
        <w:tabs>
          <w:tab w:val="left" w:pos="1633"/>
        </w:tabs>
        <w:spacing w:before="0" w:after="0" w:line="240" w:lineRule="auto"/>
        <w:ind w:firstLine="0"/>
        <w:jc w:val="both"/>
        <w:rPr>
          <w:noProof/>
          <w:sz w:val="24"/>
        </w:rPr>
      </w:pPr>
      <w:r>
        <w:rPr>
          <w:sz w:val="24"/>
        </w:rPr>
        <w:t>16. Tādējādi šī atkāpe attiecas vien uz noteiktu kanabisa šķirņu (</w:t>
      </w:r>
      <w:r>
        <w:rPr>
          <w:i/>
          <w:iCs/>
          <w:sz w:val="24"/>
        </w:rPr>
        <w:t>Cannabis Sativa L</w:t>
      </w:r>
      <w:r>
        <w:rPr>
          <w:sz w:val="24"/>
        </w:rPr>
        <w:t>., saukts “kaņepes”) noteiktām daļām, proti, šķiedrām un sēklām, jo šajos augos ir ļoti mazas delta-9-tetrahidrokanabinola devas.</w:t>
      </w:r>
    </w:p>
    <w:p w:rsidR="00600AFF" w:rsidRDefault="00600AFF" w:rsidP="00600AFF">
      <w:pPr>
        <w:pStyle w:val="Bodytext20"/>
        <w:shd w:val="clear" w:color="auto" w:fill="auto"/>
        <w:tabs>
          <w:tab w:val="left" w:pos="1633"/>
        </w:tabs>
        <w:spacing w:before="0" w:after="0" w:line="240" w:lineRule="auto"/>
        <w:ind w:firstLine="0"/>
        <w:jc w:val="both"/>
        <w:rPr>
          <w:noProof/>
          <w:sz w:val="24"/>
          <w:lang w:val="en-US"/>
        </w:rPr>
      </w:pPr>
    </w:p>
    <w:p w:rsidR="002875DF" w:rsidRDefault="00600AFF" w:rsidP="00600AFF">
      <w:pPr>
        <w:pStyle w:val="Bodytext20"/>
        <w:shd w:val="clear" w:color="auto" w:fill="auto"/>
        <w:tabs>
          <w:tab w:val="left" w:pos="1633"/>
        </w:tabs>
        <w:spacing w:before="0" w:after="0" w:line="240" w:lineRule="auto"/>
        <w:ind w:firstLine="0"/>
        <w:jc w:val="both"/>
        <w:rPr>
          <w:noProof/>
          <w:sz w:val="24"/>
        </w:rPr>
      </w:pPr>
      <w:r>
        <w:rPr>
          <w:sz w:val="24"/>
        </w:rPr>
        <w:t>17. Starpministriju misija cīņai pret narkotikām un atkarību veicinošām darbībām [</w:t>
      </w:r>
      <w:r>
        <w:rPr>
          <w:i/>
          <w:iCs/>
          <w:sz w:val="24"/>
        </w:rPr>
        <w:t>La Mission Interministérielle de la lutte contre les drogues et les conduites addictives</w:t>
      </w:r>
      <w:r>
        <w:rPr>
          <w:sz w:val="24"/>
        </w:rPr>
        <w:t>] (</w:t>
      </w:r>
      <w:r>
        <w:rPr>
          <w:i/>
          <w:iCs/>
          <w:sz w:val="24"/>
        </w:rPr>
        <w:t>MILDECA</w:t>
      </w:r>
      <w:r>
        <w:rPr>
          <w:sz w:val="24"/>
        </w:rPr>
        <w:t>) nesen savā 2018. gada 11. jūnija paziņojumā norādīja:</w:t>
      </w:r>
      <w:r>
        <w:rPr>
          <w:rStyle w:val="Vresatsauce"/>
          <w:noProof/>
          <w:sz w:val="24"/>
          <w:lang w:val="en-US"/>
        </w:rPr>
        <w:footnoteReference w:id="6"/>
      </w:r>
    </w:p>
    <w:p w:rsidR="00600AFF" w:rsidRPr="00D02CE0" w:rsidRDefault="00600AFF" w:rsidP="00600AFF">
      <w:pPr>
        <w:pStyle w:val="Bodytext20"/>
        <w:shd w:val="clear" w:color="auto" w:fill="auto"/>
        <w:tabs>
          <w:tab w:val="left" w:pos="1633"/>
        </w:tabs>
        <w:spacing w:before="0" w:after="0" w:line="240" w:lineRule="auto"/>
        <w:ind w:firstLine="0"/>
        <w:jc w:val="both"/>
        <w:rPr>
          <w:noProof/>
          <w:sz w:val="24"/>
          <w:lang w:val="en-US"/>
        </w:rPr>
      </w:pPr>
    </w:p>
    <w:p w:rsidR="002875DF" w:rsidRDefault="002875DF" w:rsidP="00FC7EF1">
      <w:pPr>
        <w:pStyle w:val="Bodytext20"/>
        <w:shd w:val="clear" w:color="auto" w:fill="auto"/>
        <w:spacing w:before="0" w:after="0" w:line="240" w:lineRule="auto"/>
        <w:ind w:left="426" w:firstLine="0"/>
        <w:jc w:val="both"/>
        <w:rPr>
          <w:noProof/>
          <w:sz w:val="24"/>
        </w:rPr>
      </w:pPr>
      <w:r>
        <w:rPr>
          <w:sz w:val="24"/>
        </w:rPr>
        <w:t>“(..) Kanabidiols (</w:t>
      </w:r>
      <w:r>
        <w:rPr>
          <w:i/>
          <w:iCs/>
          <w:sz w:val="24"/>
        </w:rPr>
        <w:t>CBD</w:t>
      </w:r>
      <w:r>
        <w:rPr>
          <w:sz w:val="24"/>
        </w:rPr>
        <w:t>) ir viena no galvenajām kanabisa, ko sauc arī par kaņepēm, aktīvajām vielām līdztekus delta-9-tetrahidrokanabinolam (</w:t>
      </w:r>
      <w:r>
        <w:rPr>
          <w:i/>
          <w:iCs/>
          <w:sz w:val="24"/>
        </w:rPr>
        <w:t>THC</w:t>
      </w:r>
      <w:r>
        <w:rPr>
          <w:sz w:val="24"/>
        </w:rPr>
        <w:t>). Tetrahidrokanabinoli ir vielas, kas ierakstītas narkotisko vielu sarakstā (..). To lietošana tāpēc ir stingri ierobežota.</w:t>
      </w:r>
    </w:p>
    <w:p w:rsidR="00600AFF" w:rsidRPr="00D02CE0" w:rsidRDefault="00600AFF" w:rsidP="00FC7EF1">
      <w:pPr>
        <w:pStyle w:val="Bodytext20"/>
        <w:shd w:val="clear" w:color="auto" w:fill="auto"/>
        <w:spacing w:before="0" w:after="0" w:line="240" w:lineRule="auto"/>
        <w:ind w:left="426" w:firstLine="0"/>
        <w:jc w:val="both"/>
        <w:rPr>
          <w:noProof/>
          <w:sz w:val="24"/>
          <w:lang w:val="en-US"/>
        </w:rPr>
      </w:pPr>
    </w:p>
    <w:p w:rsidR="002875DF" w:rsidRPr="00D02CE0" w:rsidRDefault="002875DF" w:rsidP="00FC7EF1">
      <w:pPr>
        <w:pStyle w:val="Bodytext20"/>
        <w:shd w:val="clear" w:color="auto" w:fill="auto"/>
        <w:tabs>
          <w:tab w:val="left" w:pos="5512"/>
          <w:tab w:val="left" w:pos="8690"/>
        </w:tabs>
        <w:spacing w:before="0" w:after="0" w:line="240" w:lineRule="auto"/>
        <w:ind w:left="426" w:firstLine="0"/>
        <w:jc w:val="both"/>
        <w:rPr>
          <w:noProof/>
          <w:sz w:val="24"/>
        </w:rPr>
      </w:pPr>
      <w:r>
        <w:rPr>
          <w:sz w:val="24"/>
        </w:rPr>
        <w:t xml:space="preserve">Francijas tirgū nesen ir parādījušies vairāki produkti, par kuriem norādīts, ka tie satur </w:t>
      </w:r>
      <w:r>
        <w:rPr>
          <w:i/>
          <w:iCs/>
          <w:sz w:val="24"/>
        </w:rPr>
        <w:t>CBD</w:t>
      </w:r>
      <w:r>
        <w:rPr>
          <w:sz w:val="24"/>
        </w:rPr>
        <w:t>. Pamatā tie ir šķidrumi, kas paredzēti elektroniskajām cigaretēm, kosmētikas produkti vai kapsulas.</w:t>
      </w:r>
    </w:p>
    <w:p w:rsidR="002875DF" w:rsidRPr="00D02CE0" w:rsidRDefault="002875DF" w:rsidP="00FC7EF1">
      <w:pPr>
        <w:pStyle w:val="Bodytext20"/>
        <w:shd w:val="clear" w:color="auto" w:fill="auto"/>
        <w:spacing w:before="0" w:after="0" w:line="240" w:lineRule="auto"/>
        <w:ind w:left="426" w:firstLine="0"/>
        <w:jc w:val="both"/>
        <w:rPr>
          <w:noProof/>
          <w:sz w:val="24"/>
        </w:rPr>
      </w:pPr>
      <w:r>
        <w:rPr>
          <w:sz w:val="24"/>
        </w:rPr>
        <w:t>Tāpēc veselības aizsardzības iestādes vēlas sniegt skaidrojumu par tiesību normām, kas piemērojamas šiem produktiem.</w:t>
      </w:r>
    </w:p>
    <w:p w:rsidR="00600AFF" w:rsidRDefault="00600AFF" w:rsidP="00FC7EF1">
      <w:pPr>
        <w:pStyle w:val="Bodytext20"/>
        <w:shd w:val="clear" w:color="auto" w:fill="auto"/>
        <w:spacing w:before="0" w:after="0" w:line="240" w:lineRule="auto"/>
        <w:ind w:left="426" w:firstLine="0"/>
        <w:jc w:val="both"/>
        <w:rPr>
          <w:noProof/>
          <w:sz w:val="24"/>
          <w:lang w:val="en-US"/>
        </w:rPr>
      </w:pPr>
    </w:p>
    <w:p w:rsidR="002875DF" w:rsidRPr="00D02CE0" w:rsidRDefault="002875DF" w:rsidP="00FC7EF1">
      <w:pPr>
        <w:pStyle w:val="Bodytext20"/>
        <w:shd w:val="clear" w:color="auto" w:fill="auto"/>
        <w:spacing w:before="0" w:after="0" w:line="240" w:lineRule="auto"/>
        <w:ind w:left="426" w:firstLine="0"/>
        <w:jc w:val="both"/>
        <w:rPr>
          <w:noProof/>
          <w:sz w:val="24"/>
        </w:rPr>
      </w:pPr>
      <w:r>
        <w:rPr>
          <w:sz w:val="24"/>
        </w:rPr>
        <w:t>Francijas tiesību normas paredz, ka ir aizliegtas visas darbības, kas attiecas uz kanabisu, jo īpaši tā ražošana, turēšana un izmantošana</w:t>
      </w:r>
      <w:r>
        <w:rPr>
          <w:sz w:val="24"/>
          <w:vertAlign w:val="superscript"/>
        </w:rPr>
        <w:t>1</w:t>
      </w:r>
      <w:r>
        <w:rPr>
          <w:sz w:val="24"/>
        </w:rPr>
        <w:t>. Tādējādi visi produkti, kas satur no kanabisa auga ekstrahētu kanabidiolu, ir aizliegti, ja vien uz tiem neattiecas turpmāk minētā atkāpe.</w:t>
      </w:r>
    </w:p>
    <w:p w:rsidR="00600AFF" w:rsidRDefault="00600AFF" w:rsidP="00FC7EF1">
      <w:pPr>
        <w:pStyle w:val="Bodytext20"/>
        <w:shd w:val="clear" w:color="auto" w:fill="auto"/>
        <w:spacing w:before="0" w:after="0" w:line="240" w:lineRule="auto"/>
        <w:ind w:left="426" w:firstLine="0"/>
        <w:jc w:val="both"/>
        <w:rPr>
          <w:noProof/>
          <w:sz w:val="24"/>
          <w:lang w:val="en-US"/>
        </w:rPr>
      </w:pPr>
    </w:p>
    <w:p w:rsidR="002875DF" w:rsidRPr="00D02CE0" w:rsidRDefault="002875DF" w:rsidP="00FC7EF1">
      <w:pPr>
        <w:pStyle w:val="Bodytext20"/>
        <w:shd w:val="clear" w:color="auto" w:fill="auto"/>
        <w:spacing w:before="0" w:after="0" w:line="240" w:lineRule="auto"/>
        <w:ind w:left="426" w:firstLine="0"/>
        <w:jc w:val="both"/>
        <w:rPr>
          <w:noProof/>
          <w:sz w:val="24"/>
        </w:rPr>
      </w:pPr>
      <w:r>
        <w:rPr>
          <w:sz w:val="24"/>
        </w:rPr>
        <w:lastRenderedPageBreak/>
        <w:t>Šī atkāpe no aizlieguma principa pastāv, lai ļautu izmantot kaņepes rūpnieciskiem un tirdzniecības mērķiem, jo īpaši tekstilrūpniecībā, automobiļu rūpniecībā, būvniecībā, rakstāmpapīra un iespiedpapīra nozarē, putnu un zivju nozarē, kosmētikā, cilvēku uzturā, dārzniecībā.</w:t>
      </w:r>
    </w:p>
    <w:p w:rsidR="00600AFF" w:rsidRDefault="00600AFF" w:rsidP="00FC7EF1">
      <w:pPr>
        <w:pStyle w:val="Bodytext20"/>
        <w:shd w:val="clear" w:color="auto" w:fill="auto"/>
        <w:spacing w:before="0" w:after="0" w:line="240" w:lineRule="auto"/>
        <w:ind w:left="426" w:firstLine="0"/>
        <w:jc w:val="both"/>
        <w:rPr>
          <w:noProof/>
          <w:sz w:val="24"/>
          <w:lang w:val="en-US"/>
        </w:rPr>
      </w:pPr>
    </w:p>
    <w:p w:rsidR="002875DF" w:rsidRDefault="002875DF" w:rsidP="00FC7EF1">
      <w:pPr>
        <w:pStyle w:val="Bodytext20"/>
        <w:shd w:val="clear" w:color="auto" w:fill="auto"/>
        <w:spacing w:before="0" w:after="0" w:line="240" w:lineRule="auto"/>
        <w:ind w:left="426" w:firstLine="0"/>
        <w:jc w:val="both"/>
        <w:rPr>
          <w:noProof/>
          <w:sz w:val="24"/>
        </w:rPr>
      </w:pPr>
      <w:r>
        <w:rPr>
          <w:sz w:val="24"/>
        </w:rPr>
        <w:t>Tāpēc noteiktas kanabisa jeb kaņepju šķirnes, kurām nepiemīt narkotiska iedarbība, varētu izmantot rūpnieciskiem un komerciāliem mērķiem, ja tiek izpildīti trīs kumulatīvi nosacījumi:</w:t>
      </w:r>
    </w:p>
    <w:p w:rsidR="00600AFF" w:rsidRPr="00D02CE0" w:rsidRDefault="00600AFF" w:rsidP="00B540B1">
      <w:pPr>
        <w:pStyle w:val="Bodytext20"/>
        <w:shd w:val="clear" w:color="auto" w:fill="auto"/>
        <w:spacing w:before="0" w:after="0" w:line="240" w:lineRule="auto"/>
        <w:ind w:firstLine="0"/>
        <w:jc w:val="both"/>
        <w:rPr>
          <w:noProof/>
          <w:sz w:val="24"/>
          <w:lang w:val="en-US"/>
        </w:rPr>
      </w:pPr>
    </w:p>
    <w:p w:rsidR="002875DF" w:rsidRPr="00D02CE0" w:rsidRDefault="002875DF" w:rsidP="00600AFF">
      <w:pPr>
        <w:pStyle w:val="Bodytext20"/>
        <w:numPr>
          <w:ilvl w:val="0"/>
          <w:numId w:val="5"/>
        </w:numPr>
        <w:shd w:val="clear" w:color="auto" w:fill="auto"/>
        <w:spacing w:before="0" w:after="0" w:line="240" w:lineRule="auto"/>
        <w:ind w:left="709" w:hanging="283"/>
        <w:jc w:val="both"/>
        <w:rPr>
          <w:noProof/>
          <w:sz w:val="24"/>
        </w:rPr>
      </w:pPr>
      <w:r>
        <w:rPr>
          <w:sz w:val="24"/>
        </w:rPr>
        <w:t>atļautās kaņepju šķirnes ir uzskaitītas sarakstā</w:t>
      </w:r>
      <w:r>
        <w:rPr>
          <w:sz w:val="24"/>
          <w:vertAlign w:val="superscript"/>
        </w:rPr>
        <w:t>2</w:t>
      </w:r>
      <w:r>
        <w:rPr>
          <w:sz w:val="24"/>
        </w:rPr>
        <w:t>;</w:t>
      </w:r>
    </w:p>
    <w:p w:rsidR="002875DF" w:rsidRPr="00D02CE0" w:rsidRDefault="002875DF" w:rsidP="00600AFF">
      <w:pPr>
        <w:pStyle w:val="Bodytext20"/>
        <w:numPr>
          <w:ilvl w:val="0"/>
          <w:numId w:val="5"/>
        </w:numPr>
        <w:shd w:val="clear" w:color="auto" w:fill="auto"/>
        <w:spacing w:before="0" w:after="0" w:line="240" w:lineRule="auto"/>
        <w:ind w:left="709" w:hanging="283"/>
        <w:jc w:val="both"/>
        <w:rPr>
          <w:noProof/>
          <w:sz w:val="24"/>
        </w:rPr>
      </w:pPr>
      <w:r>
        <w:rPr>
          <w:sz w:val="24"/>
        </w:rPr>
        <w:t>drīkst izmantot tikai sēklas un šķiedras. Ziedu izmantošana ir aizliegta;</w:t>
      </w:r>
    </w:p>
    <w:p w:rsidR="002875DF" w:rsidRPr="00D02CE0" w:rsidRDefault="002875DF" w:rsidP="00600AFF">
      <w:pPr>
        <w:pStyle w:val="Bodytext20"/>
        <w:numPr>
          <w:ilvl w:val="0"/>
          <w:numId w:val="5"/>
        </w:numPr>
        <w:shd w:val="clear" w:color="auto" w:fill="auto"/>
        <w:spacing w:before="0" w:after="0" w:line="240" w:lineRule="auto"/>
        <w:ind w:left="709" w:hanging="283"/>
        <w:jc w:val="both"/>
        <w:rPr>
          <w:noProof/>
          <w:sz w:val="24"/>
        </w:rPr>
      </w:pPr>
      <w:r>
        <w:rPr>
          <w:i/>
          <w:iCs/>
          <w:sz w:val="24"/>
        </w:rPr>
        <w:t>THC</w:t>
      </w:r>
      <w:r>
        <w:rPr>
          <w:sz w:val="24"/>
        </w:rPr>
        <w:t xml:space="preserve"> saturs augā nedrīkst pārsniegt 0,2 %.</w:t>
      </w:r>
    </w:p>
    <w:p w:rsidR="00600AFF" w:rsidRDefault="00600AFF" w:rsidP="00B540B1">
      <w:pPr>
        <w:pStyle w:val="Bodytext20"/>
        <w:shd w:val="clear" w:color="auto" w:fill="auto"/>
        <w:spacing w:before="0" w:after="0" w:line="240" w:lineRule="auto"/>
        <w:ind w:firstLine="0"/>
        <w:jc w:val="both"/>
        <w:rPr>
          <w:noProof/>
          <w:sz w:val="24"/>
          <w:lang w:val="en-US"/>
        </w:rPr>
      </w:pPr>
    </w:p>
    <w:p w:rsidR="002875DF" w:rsidRPr="00D02CE0" w:rsidRDefault="002875DF" w:rsidP="00C25640">
      <w:pPr>
        <w:pStyle w:val="Bodytext20"/>
        <w:shd w:val="clear" w:color="auto" w:fill="auto"/>
        <w:spacing w:before="0" w:after="0" w:line="240" w:lineRule="auto"/>
        <w:ind w:left="426" w:firstLine="0"/>
        <w:jc w:val="both"/>
        <w:rPr>
          <w:noProof/>
          <w:sz w:val="24"/>
        </w:rPr>
      </w:pPr>
      <w:r>
        <w:rPr>
          <w:i/>
          <w:iCs/>
          <w:sz w:val="24"/>
        </w:rPr>
        <w:t>THC</w:t>
      </w:r>
      <w:r>
        <w:rPr>
          <w:sz w:val="24"/>
        </w:rPr>
        <w:t xml:space="preserve"> saturs 0,2 % ir nevis </w:t>
      </w:r>
      <w:r>
        <w:rPr>
          <w:i/>
          <w:iCs/>
          <w:sz w:val="24"/>
        </w:rPr>
        <w:t>THC</w:t>
      </w:r>
      <w:r>
        <w:rPr>
          <w:sz w:val="24"/>
        </w:rPr>
        <w:t xml:space="preserve"> robežvērtība gala produktā, bet gan tā robežvērtība pašā augā. Tomēr, veicot pārbaudes noteiktiem produktiem, kas iesniegti, lai noteiktu </w:t>
      </w:r>
      <w:r>
        <w:rPr>
          <w:i/>
          <w:iCs/>
          <w:sz w:val="24"/>
        </w:rPr>
        <w:t>CBD</w:t>
      </w:r>
      <w:r>
        <w:rPr>
          <w:sz w:val="24"/>
        </w:rPr>
        <w:t xml:space="preserve"> saturu, tika atklāta </w:t>
      </w:r>
      <w:r>
        <w:rPr>
          <w:i/>
          <w:iCs/>
          <w:sz w:val="24"/>
        </w:rPr>
        <w:t>THC</w:t>
      </w:r>
      <w:r>
        <w:rPr>
          <w:sz w:val="24"/>
        </w:rPr>
        <w:t xml:space="preserve"> klātbūtne.</w:t>
      </w:r>
    </w:p>
    <w:p w:rsidR="00C25640" w:rsidRDefault="00C25640" w:rsidP="00C25640">
      <w:pPr>
        <w:pStyle w:val="Bodytext20"/>
        <w:shd w:val="clear" w:color="auto" w:fill="auto"/>
        <w:spacing w:before="0" w:after="0" w:line="240" w:lineRule="auto"/>
        <w:ind w:left="426" w:firstLine="0"/>
        <w:jc w:val="both"/>
        <w:rPr>
          <w:noProof/>
          <w:sz w:val="24"/>
          <w:lang w:val="en-US"/>
        </w:rPr>
      </w:pPr>
    </w:p>
    <w:p w:rsidR="002875DF" w:rsidRPr="00D02CE0" w:rsidRDefault="002875DF" w:rsidP="00C25640">
      <w:pPr>
        <w:pStyle w:val="Bodytext20"/>
        <w:shd w:val="clear" w:color="auto" w:fill="auto"/>
        <w:spacing w:before="0" w:after="0" w:line="240" w:lineRule="auto"/>
        <w:ind w:left="426" w:firstLine="0"/>
        <w:jc w:val="both"/>
        <w:rPr>
          <w:noProof/>
          <w:sz w:val="24"/>
        </w:rPr>
      </w:pPr>
      <w:r>
        <w:rPr>
          <w:sz w:val="24"/>
        </w:rPr>
        <w:t xml:space="preserve">Šie produkti un jo īpaši elektronisko cigarešu šķidrumi uz </w:t>
      </w:r>
      <w:r>
        <w:rPr>
          <w:i/>
          <w:iCs/>
          <w:sz w:val="24"/>
        </w:rPr>
        <w:t>CBD</w:t>
      </w:r>
      <w:r>
        <w:rPr>
          <w:sz w:val="24"/>
        </w:rPr>
        <w:t xml:space="preserve"> bāzes ir aizliegti, ja tajos ir </w:t>
      </w:r>
      <w:r>
        <w:rPr>
          <w:i/>
          <w:iCs/>
          <w:sz w:val="24"/>
        </w:rPr>
        <w:t>THC</w:t>
      </w:r>
      <w:r>
        <w:rPr>
          <w:sz w:val="24"/>
        </w:rPr>
        <w:t>, lai arī kāds būtu tā saturs, un ja tie nav iegūti no atļauto augu šķirnēm un šo augu atļautajām daļām.</w:t>
      </w:r>
    </w:p>
    <w:p w:rsidR="00C25640" w:rsidRDefault="00C25640" w:rsidP="00C25640">
      <w:pPr>
        <w:pStyle w:val="Bodytext20"/>
        <w:shd w:val="clear" w:color="auto" w:fill="auto"/>
        <w:spacing w:before="0" w:after="0" w:line="240" w:lineRule="auto"/>
        <w:ind w:left="426" w:firstLine="0"/>
        <w:jc w:val="both"/>
        <w:rPr>
          <w:noProof/>
          <w:sz w:val="24"/>
          <w:lang w:val="en-US"/>
        </w:rPr>
      </w:pPr>
    </w:p>
    <w:p w:rsidR="002875DF" w:rsidRPr="00D02CE0" w:rsidRDefault="002875DF" w:rsidP="00C25640">
      <w:pPr>
        <w:pStyle w:val="Bodytext20"/>
        <w:shd w:val="clear" w:color="auto" w:fill="auto"/>
        <w:spacing w:before="0" w:after="0" w:line="240" w:lineRule="auto"/>
        <w:ind w:left="426" w:firstLine="0"/>
        <w:jc w:val="both"/>
        <w:rPr>
          <w:noProof/>
          <w:sz w:val="24"/>
        </w:rPr>
      </w:pPr>
      <w:r>
        <w:rPr>
          <w:sz w:val="24"/>
        </w:rPr>
        <w:t xml:space="preserve">Turklāt ir norādīts, ka Francijā vienīgie produkti, kuru sastāvā ir tetrahidrokanabinoli un </w:t>
      </w:r>
      <w:r>
        <w:rPr>
          <w:i/>
          <w:iCs/>
          <w:sz w:val="24"/>
        </w:rPr>
        <w:t>CBD</w:t>
      </w:r>
      <w:r>
        <w:rPr>
          <w:sz w:val="24"/>
        </w:rPr>
        <w:t xml:space="preserve"> un kurus var atzīt par terapeitiskiem, ir medikamenti, kurus ir atļāvusi </w:t>
      </w:r>
      <w:r>
        <w:rPr>
          <w:i/>
          <w:iCs/>
          <w:sz w:val="24"/>
        </w:rPr>
        <w:t>ANSM</w:t>
      </w:r>
      <w:r>
        <w:rPr>
          <w:sz w:val="24"/>
        </w:rPr>
        <w:t xml:space="preserve"> vai Eiropas Komisija, pamatojoties uz dokumentiem, kuros tie novērtēti saskaņā ar zinātniskiem kvalitātes, nekaitīguma un iedarbīguma kritērijiem. Par šo tiesību normu neievērošanu ir piemērojams kriminālsods.</w:t>
      </w:r>
    </w:p>
    <w:p w:rsidR="00C25640" w:rsidRDefault="00C25640" w:rsidP="00C25640">
      <w:pPr>
        <w:pStyle w:val="Bodytext20"/>
        <w:shd w:val="clear" w:color="auto" w:fill="auto"/>
        <w:spacing w:before="0" w:after="0" w:line="240" w:lineRule="auto"/>
        <w:ind w:left="426" w:firstLine="0"/>
        <w:jc w:val="both"/>
        <w:rPr>
          <w:noProof/>
          <w:sz w:val="24"/>
          <w:lang w:val="en-US"/>
        </w:rPr>
      </w:pPr>
    </w:p>
    <w:p w:rsidR="002875DF" w:rsidRDefault="002875DF" w:rsidP="00C25640">
      <w:pPr>
        <w:pStyle w:val="Bodytext20"/>
        <w:shd w:val="clear" w:color="auto" w:fill="auto"/>
        <w:spacing w:before="0" w:after="0" w:line="240" w:lineRule="auto"/>
        <w:ind w:left="426" w:firstLine="0"/>
        <w:jc w:val="both"/>
        <w:rPr>
          <w:noProof/>
          <w:sz w:val="24"/>
        </w:rPr>
      </w:pPr>
      <w:r>
        <w:rPr>
          <w:sz w:val="24"/>
        </w:rPr>
        <w:t xml:space="preserve">Visbeidzot, dažos materiālos, kas reklamē </w:t>
      </w:r>
      <w:r>
        <w:rPr>
          <w:i/>
          <w:iCs/>
          <w:sz w:val="24"/>
        </w:rPr>
        <w:t>CBD</w:t>
      </w:r>
      <w:r>
        <w:rPr>
          <w:sz w:val="24"/>
        </w:rPr>
        <w:t xml:space="preserve"> saturošus produktus, kanabiss tiek jaukts ar </w:t>
      </w:r>
      <w:r>
        <w:rPr>
          <w:i/>
          <w:iCs/>
          <w:sz w:val="24"/>
        </w:rPr>
        <w:t>CBD</w:t>
      </w:r>
      <w:r>
        <w:rPr>
          <w:sz w:val="24"/>
        </w:rPr>
        <w:t>, un tādējādi tiek reklamēts kanabiss. Šāda prakse var būt traktējama kā mudinājums lietot narkotiskas vielas, kas ir sodāms pārkāpums.”</w:t>
      </w:r>
    </w:p>
    <w:p w:rsidR="00C25640" w:rsidRPr="00D02CE0" w:rsidRDefault="00C25640" w:rsidP="00B540B1">
      <w:pPr>
        <w:pStyle w:val="Bodytext20"/>
        <w:shd w:val="clear" w:color="auto" w:fill="auto"/>
        <w:spacing w:before="0" w:after="0" w:line="240" w:lineRule="auto"/>
        <w:ind w:firstLine="0"/>
        <w:jc w:val="both"/>
        <w:rPr>
          <w:noProof/>
          <w:sz w:val="24"/>
          <w:lang w:val="en-US"/>
        </w:rPr>
      </w:pPr>
    </w:p>
    <w:p w:rsidR="002875DF" w:rsidRDefault="00C25640" w:rsidP="00C25640">
      <w:pPr>
        <w:pStyle w:val="Bodytext20"/>
        <w:shd w:val="clear" w:color="auto" w:fill="auto"/>
        <w:tabs>
          <w:tab w:val="left" w:pos="1635"/>
        </w:tabs>
        <w:spacing w:before="0" w:after="0" w:line="240" w:lineRule="auto"/>
        <w:ind w:firstLine="0"/>
        <w:jc w:val="both"/>
        <w:rPr>
          <w:noProof/>
          <w:sz w:val="24"/>
        </w:rPr>
      </w:pPr>
      <w:bookmarkStart w:id="10" w:name="bookmark5"/>
      <w:r>
        <w:rPr>
          <w:sz w:val="24"/>
        </w:rPr>
        <w:t>18. Visbeidzot, 2018. gada 23. jūlijā Francijas Tieslietu ministrija prokuroriem un tiesu priekšsēdētājiem nosūtīja paziņojumu, kurā tika paskaidrots, kāds regulējums ir piemērojams uzņēmumiem, kas pārdod no kanabisa iegūtus produktus (</w:t>
      </w:r>
      <w:r>
        <w:rPr>
          <w:b/>
          <w:bCs/>
          <w:sz w:val="24"/>
          <w:szCs w:val="24"/>
        </w:rPr>
        <w:t>B1. pielikums. Tieslietu ministrijas 2018. gada 23. jūlija paziņojums</w:t>
      </w:r>
      <w:r>
        <w:t>).</w:t>
      </w:r>
      <w:bookmarkEnd w:id="10"/>
      <w:r>
        <w:rPr>
          <w:sz w:val="24"/>
        </w:rPr>
        <w:t xml:space="preserve"> Saskaņā ar šo paziņojumu “izņēmuma attiecībā uz delta-9-tetrahidrokanabinolu, kas norādīts Sabiedrības veselības kodeksa R5132-86. panta 2. punktā mērķis ir tikai ļaut piešķirt pagaidu atļaujas delta-9-tetrahidrokanabinolu saturošu patentētu medikamentu lietošanai”. Šajā paziņojumā ir arī precizēts:</w:t>
      </w:r>
    </w:p>
    <w:p w:rsidR="00C25640" w:rsidRPr="00D02CE0" w:rsidRDefault="00C25640" w:rsidP="00C25640">
      <w:pPr>
        <w:pStyle w:val="Bodytext20"/>
        <w:shd w:val="clear" w:color="auto" w:fill="auto"/>
        <w:tabs>
          <w:tab w:val="left" w:pos="1635"/>
        </w:tabs>
        <w:spacing w:before="0" w:after="0" w:line="240" w:lineRule="auto"/>
        <w:ind w:firstLine="0"/>
        <w:jc w:val="both"/>
        <w:rPr>
          <w:noProof/>
          <w:sz w:val="24"/>
          <w:lang w:val="en-US"/>
        </w:rPr>
      </w:pPr>
    </w:p>
    <w:p w:rsidR="002875DF" w:rsidRDefault="002875DF" w:rsidP="00C25640">
      <w:pPr>
        <w:pStyle w:val="Bodytext20"/>
        <w:shd w:val="clear" w:color="auto" w:fill="auto"/>
        <w:spacing w:before="0" w:after="0" w:line="240" w:lineRule="auto"/>
        <w:ind w:left="426" w:firstLine="0"/>
        <w:jc w:val="both"/>
        <w:rPr>
          <w:noProof/>
          <w:sz w:val="24"/>
        </w:rPr>
      </w:pPr>
      <w:r>
        <w:rPr>
          <w:sz w:val="24"/>
        </w:rPr>
        <w:t xml:space="preserve">“Pretēji apgalvojumam, ko dažkārt min uzņēmumi, kas piedāvā pārdošanai produktus uz kanabidiola bāzes, atļautais delta-9-tetrahidrokanabinola saturs 0,20 % ir piemērojams kaņepju </w:t>
      </w:r>
      <w:r>
        <w:rPr>
          <w:sz w:val="24"/>
          <w:u w:val="single"/>
        </w:rPr>
        <w:t>augam</w:t>
      </w:r>
      <w:r>
        <w:rPr>
          <w:sz w:val="24"/>
        </w:rPr>
        <w:t>, nevis galaproduktam, kas no tā izgatavots.” (Pasvītrojums oriģināltekstā)</w:t>
      </w:r>
    </w:p>
    <w:p w:rsidR="00C25640" w:rsidRPr="00D02CE0" w:rsidRDefault="00C25640" w:rsidP="00B540B1">
      <w:pPr>
        <w:pStyle w:val="Bodytext20"/>
        <w:shd w:val="clear" w:color="auto" w:fill="auto"/>
        <w:spacing w:before="0" w:after="0" w:line="240" w:lineRule="auto"/>
        <w:ind w:firstLine="0"/>
        <w:jc w:val="both"/>
        <w:rPr>
          <w:noProof/>
          <w:sz w:val="24"/>
          <w:lang w:val="en-US"/>
        </w:rPr>
      </w:pPr>
    </w:p>
    <w:p w:rsidR="002875DF" w:rsidRPr="00D02CE0" w:rsidRDefault="00B24B34" w:rsidP="00B24B34">
      <w:pPr>
        <w:pStyle w:val="Bodytext20"/>
        <w:shd w:val="clear" w:color="auto" w:fill="auto"/>
        <w:tabs>
          <w:tab w:val="left" w:pos="1635"/>
        </w:tabs>
        <w:spacing w:before="0" w:after="0" w:line="240" w:lineRule="auto"/>
        <w:ind w:firstLine="0"/>
        <w:jc w:val="both"/>
        <w:rPr>
          <w:noProof/>
          <w:sz w:val="24"/>
        </w:rPr>
      </w:pPr>
      <w:r>
        <w:rPr>
          <w:sz w:val="24"/>
        </w:rPr>
        <w:t>19. Francijā, uzdodot virkni parlamentāru jautājumu, atbildīgajiem ministriem bija iespēja sniegt Francijas iestāžu interpretāciju par tiesību normām šajā lietā:</w:t>
      </w:r>
    </w:p>
    <w:p w:rsidR="00B24B34" w:rsidRDefault="00B24B34" w:rsidP="00B540B1">
      <w:pPr>
        <w:pStyle w:val="Bodytext20"/>
        <w:shd w:val="clear" w:color="auto" w:fill="auto"/>
        <w:spacing w:before="0" w:after="0" w:line="240" w:lineRule="auto"/>
        <w:ind w:firstLine="0"/>
        <w:jc w:val="both"/>
        <w:rPr>
          <w:noProof/>
          <w:sz w:val="24"/>
          <w:lang w:val="en-US"/>
        </w:rPr>
      </w:pPr>
    </w:p>
    <w:p w:rsidR="002875DF" w:rsidRPr="00D02CE0" w:rsidRDefault="002875DF" w:rsidP="00B24B34">
      <w:pPr>
        <w:pStyle w:val="Bodytext20"/>
        <w:shd w:val="clear" w:color="auto" w:fill="auto"/>
        <w:spacing w:before="0" w:after="0" w:line="240" w:lineRule="auto"/>
        <w:ind w:left="426" w:firstLine="0"/>
        <w:jc w:val="both"/>
        <w:rPr>
          <w:noProof/>
          <w:sz w:val="24"/>
        </w:rPr>
      </w:pPr>
      <w:r>
        <w:rPr>
          <w:sz w:val="24"/>
        </w:rPr>
        <w:t>“Francijas tiesību normas paredz, ka ir aizliegtas visas darbības, kas attiecas uz kanabisu, jo īpaši tā ražošana, turēšana un izmantošana. Kanabiss ir klasificēts narkotisko vielu sarakstā. Tādējādi visi produkti, kas satur no kanabisa auga ekstrahētu kanabidiolu (</w:t>
      </w:r>
      <w:r>
        <w:rPr>
          <w:i/>
          <w:iCs/>
          <w:sz w:val="24"/>
        </w:rPr>
        <w:t>CBD</w:t>
      </w:r>
      <w:r>
        <w:rPr>
          <w:sz w:val="24"/>
        </w:rPr>
        <w:t>) vai tetrahidrokanabinolu (</w:t>
      </w:r>
      <w:r>
        <w:rPr>
          <w:i/>
          <w:iCs/>
          <w:sz w:val="24"/>
        </w:rPr>
        <w:t>THC</w:t>
      </w:r>
      <w:r>
        <w:rPr>
          <w:sz w:val="24"/>
        </w:rPr>
        <w:t xml:space="preserve">), ir aizliegti, ja vien uz tiem neattiecas turpmāk minētā </w:t>
      </w:r>
      <w:r>
        <w:rPr>
          <w:sz w:val="24"/>
        </w:rPr>
        <w:lastRenderedPageBreak/>
        <w:t xml:space="preserve">atkāpe. Šī atkāpe no aizlieguma principa pastāv, lai ļautu izmantot kaņepes rūpnieciskiem un tirdzniecības mērķiem, jo īpaši tekstilrūpniecībā, automobiļu rūpniecībā, būvniecībā, rakstāmpapīra un iespiedpapīra nozarē, putnu un zivju nozarē, kosmētikā, cilvēku uzturā un dārzniecībā. Tāpēc noteiktas kanabisa jeb kaņepju šķirnes, kurām nepiemīt narkotiska iedarbība, varētu izmantot rūpnieciskiem un komerciāliem mērķiem, ja tiek izpildīti trīs kumulatīvi nosacījumi, proti, atļautās kaņepju šķirnes ir uzskaitītas sarakstā, kas apstiprināts ar rīkojumu; drīkst izmantot tikai sēklas un šķiedru. Ziedu un lapu izmantošana ir aizliegta; </w:t>
      </w:r>
      <w:r>
        <w:rPr>
          <w:i/>
          <w:iCs/>
          <w:sz w:val="24"/>
        </w:rPr>
        <w:t>THC</w:t>
      </w:r>
      <w:r>
        <w:rPr>
          <w:sz w:val="24"/>
        </w:rPr>
        <w:t xml:space="preserve"> saturs augā nedrīkst pārsniegt 0,2 %. Šis </w:t>
      </w:r>
      <w:r>
        <w:rPr>
          <w:i/>
          <w:iCs/>
          <w:sz w:val="24"/>
        </w:rPr>
        <w:t>THC</w:t>
      </w:r>
      <w:r>
        <w:rPr>
          <w:sz w:val="24"/>
        </w:rPr>
        <w:t xml:space="preserve"> saturs 0,2 % ir nevis </w:t>
      </w:r>
      <w:r>
        <w:rPr>
          <w:i/>
          <w:iCs/>
          <w:sz w:val="24"/>
        </w:rPr>
        <w:t>THC</w:t>
      </w:r>
      <w:r>
        <w:rPr>
          <w:sz w:val="24"/>
        </w:rPr>
        <w:t xml:space="preserve"> robežvērtība gala produktā, bet gan tā robežvērtība pašā augā. Turklāt Francijā vienīgie produkti, kuru sastāvā ir tetrahidrokanabinoli un </w:t>
      </w:r>
      <w:r>
        <w:rPr>
          <w:i/>
          <w:iCs/>
          <w:sz w:val="24"/>
        </w:rPr>
        <w:t>CBD</w:t>
      </w:r>
      <w:r>
        <w:rPr>
          <w:sz w:val="24"/>
        </w:rPr>
        <w:t xml:space="preserve"> un kurus var atzīt par terapeitiskiem, ir medikamenti, kurus ir atļāvusi Francijas Zāļu un ārstniecisko līdzekļu nekaitīguma valsts aģentūra (</w:t>
      </w:r>
      <w:r>
        <w:rPr>
          <w:i/>
          <w:iCs/>
          <w:sz w:val="24"/>
        </w:rPr>
        <w:t>ANSM</w:t>
      </w:r>
      <w:r>
        <w:rPr>
          <w:sz w:val="24"/>
        </w:rPr>
        <w:t>) vai Eiropas Komisija, pamatojoties uz dokumentiem, kuros tie novērtēti saskaņā ar zinātniskiem kvalitātes, nekaitīguma un iedarbīguma kritērijiem. Starpministriju misija cīņai pret narkotikām un atkarību veicinošām darbībām izveidoja starpministriju darba grupu ar kanabisu saistīto problēmu kopuma risināšanai.”</w:t>
      </w:r>
      <w:r w:rsidR="00B24B34">
        <w:rPr>
          <w:rStyle w:val="Vresatsauce"/>
          <w:noProof/>
          <w:sz w:val="24"/>
          <w:lang w:val="en-US"/>
        </w:rPr>
        <w:footnoteReference w:id="7"/>
      </w:r>
    </w:p>
    <w:p w:rsidR="00B24B34" w:rsidRDefault="00B24B34" w:rsidP="00B540B1">
      <w:pPr>
        <w:pStyle w:val="Bodytext90"/>
        <w:shd w:val="clear" w:color="auto" w:fill="auto"/>
        <w:spacing w:line="240" w:lineRule="auto"/>
        <w:rPr>
          <w:noProof/>
          <w:sz w:val="24"/>
          <w:szCs w:val="24"/>
        </w:rPr>
      </w:pPr>
      <w:bookmarkStart w:id="11" w:name="bookmark6"/>
    </w:p>
    <w:p w:rsidR="002875DF" w:rsidRPr="00D02CE0" w:rsidRDefault="002875DF" w:rsidP="00477B4A">
      <w:pPr>
        <w:pStyle w:val="Virsraksts1"/>
        <w:rPr>
          <w:noProof/>
        </w:rPr>
      </w:pPr>
      <w:bookmarkStart w:id="12" w:name="_Toc13863325"/>
      <w:r>
        <w:rPr>
          <w:szCs w:val="24"/>
        </w:rPr>
        <w:t xml:space="preserve">3. </w:t>
      </w:r>
      <w:r>
        <w:t>Uzdotais jautājums</w:t>
      </w:r>
      <w:bookmarkEnd w:id="11"/>
      <w:bookmarkEnd w:id="12"/>
    </w:p>
    <w:p w:rsidR="00B24B34" w:rsidRDefault="00B24B34" w:rsidP="00B24B34">
      <w:pPr>
        <w:pStyle w:val="Bodytext20"/>
        <w:shd w:val="clear" w:color="auto" w:fill="auto"/>
        <w:tabs>
          <w:tab w:val="left" w:pos="1640"/>
        </w:tabs>
        <w:spacing w:before="0" w:after="0" w:line="240" w:lineRule="auto"/>
        <w:ind w:firstLine="0"/>
        <w:jc w:val="both"/>
        <w:rPr>
          <w:noProof/>
          <w:sz w:val="24"/>
          <w:lang w:val="en-US"/>
        </w:rPr>
      </w:pPr>
    </w:p>
    <w:p w:rsidR="002875DF" w:rsidRPr="00D02CE0" w:rsidRDefault="00B24B34" w:rsidP="00B24B34">
      <w:pPr>
        <w:pStyle w:val="Bodytext20"/>
        <w:shd w:val="clear" w:color="auto" w:fill="auto"/>
        <w:tabs>
          <w:tab w:val="left" w:pos="1640"/>
        </w:tabs>
        <w:spacing w:before="0" w:after="0" w:line="240" w:lineRule="auto"/>
        <w:ind w:firstLine="0"/>
        <w:jc w:val="both"/>
        <w:rPr>
          <w:noProof/>
          <w:sz w:val="24"/>
        </w:rPr>
      </w:pPr>
      <w:r>
        <w:rPr>
          <w:sz w:val="24"/>
        </w:rPr>
        <w:t>20. Iesniedzējtiesa ir uzdevusi šādu jautājumu:</w:t>
      </w:r>
    </w:p>
    <w:p w:rsidR="00B24B34" w:rsidRDefault="00B24B34" w:rsidP="00B540B1">
      <w:pPr>
        <w:pStyle w:val="Bodytext20"/>
        <w:shd w:val="clear" w:color="auto" w:fill="auto"/>
        <w:spacing w:before="0" w:after="0" w:line="240" w:lineRule="auto"/>
        <w:ind w:firstLine="0"/>
        <w:jc w:val="both"/>
        <w:rPr>
          <w:noProof/>
          <w:sz w:val="24"/>
          <w:lang w:val="en-US"/>
        </w:rPr>
      </w:pPr>
    </w:p>
    <w:p w:rsidR="002875DF" w:rsidRDefault="002875DF" w:rsidP="00B24B34">
      <w:pPr>
        <w:pStyle w:val="Bodytext20"/>
        <w:shd w:val="clear" w:color="auto" w:fill="auto"/>
        <w:spacing w:before="0" w:after="0" w:line="240" w:lineRule="auto"/>
        <w:ind w:left="426" w:firstLine="0"/>
        <w:jc w:val="both"/>
        <w:rPr>
          <w:noProof/>
          <w:sz w:val="24"/>
        </w:rPr>
      </w:pPr>
      <w:r>
        <w:rPr>
          <w:sz w:val="24"/>
        </w:rPr>
        <w:t>“Vai Regula Nr. 1307/2013 un Nr. 1308/2013, kā arī preču brīvas aprites princips ir interpretējami tādējādi, ka ar 1990. gada 22. augusta rīkojumu izdarītās atkāpes, saskaņā ar kurām kaņepju audzēšana, to rūpnieciska pārstrāde un tirdzniecība tiek atļauta tikai attiecībā uz šķiedrām un sēklām, ir ar Kopienas tiesībām nesaderīgs ierobežojums?”</w:t>
      </w:r>
    </w:p>
    <w:p w:rsidR="00B24B34" w:rsidRPr="00D02CE0" w:rsidRDefault="00B24B34" w:rsidP="00B540B1">
      <w:pPr>
        <w:pStyle w:val="Bodytext20"/>
        <w:shd w:val="clear" w:color="auto" w:fill="auto"/>
        <w:spacing w:before="0" w:after="0" w:line="240" w:lineRule="auto"/>
        <w:ind w:firstLine="0"/>
        <w:jc w:val="both"/>
        <w:rPr>
          <w:noProof/>
          <w:sz w:val="24"/>
          <w:lang w:val="en-US"/>
        </w:rPr>
      </w:pPr>
    </w:p>
    <w:p w:rsidR="002875DF" w:rsidRPr="00D02CE0" w:rsidRDefault="00B24B34" w:rsidP="00B24B34">
      <w:pPr>
        <w:pStyle w:val="Bodytext20"/>
        <w:shd w:val="clear" w:color="auto" w:fill="auto"/>
        <w:tabs>
          <w:tab w:val="left" w:pos="1640"/>
        </w:tabs>
        <w:spacing w:before="0" w:after="0" w:line="240" w:lineRule="auto"/>
        <w:ind w:firstLine="0"/>
        <w:jc w:val="both"/>
        <w:rPr>
          <w:noProof/>
          <w:sz w:val="24"/>
        </w:rPr>
      </w:pPr>
      <w:r>
        <w:rPr>
          <w:sz w:val="24"/>
        </w:rPr>
        <w:t>21. Jautājuma formulējums Apelācijas tiesas sprieduma beigās nedaudz atšķiras no formulējuma, kas atrodams šā rīkojuma pielikumā. Apelācijas tiesas spriedumā ir minēts LESD 28., 29., 30. un 32. pants, savukārt rīkojuma pielikumā sniegtajā jautājumā ir minēts tikai “preču brīvas aprites princips”. LESD 28., 29., 30. un 32. pants attiecas uz muitas nodokļiem, pasākumiem, kuru iedarbība ir līdzvērtīga muitas nodokļiem, un muitas savienības izvedi.</w:t>
      </w:r>
    </w:p>
    <w:p w:rsidR="00B24B34" w:rsidRDefault="00B24B34" w:rsidP="00B24B34">
      <w:pPr>
        <w:pStyle w:val="Bodytext20"/>
        <w:shd w:val="clear" w:color="auto" w:fill="auto"/>
        <w:tabs>
          <w:tab w:val="left" w:pos="1640"/>
        </w:tabs>
        <w:spacing w:before="0" w:after="0" w:line="240" w:lineRule="auto"/>
        <w:ind w:firstLine="0"/>
        <w:jc w:val="both"/>
        <w:rPr>
          <w:noProof/>
          <w:sz w:val="24"/>
          <w:lang w:val="en-US"/>
        </w:rPr>
      </w:pPr>
    </w:p>
    <w:p w:rsidR="00D02CE0" w:rsidRPr="00D02CE0" w:rsidRDefault="00B24B34" w:rsidP="00B24B34">
      <w:pPr>
        <w:pStyle w:val="Bodytext20"/>
        <w:shd w:val="clear" w:color="auto" w:fill="auto"/>
        <w:tabs>
          <w:tab w:val="left" w:pos="1640"/>
        </w:tabs>
        <w:spacing w:before="0" w:after="0" w:line="240" w:lineRule="auto"/>
        <w:ind w:firstLine="0"/>
        <w:jc w:val="both"/>
        <w:rPr>
          <w:noProof/>
          <w:sz w:val="24"/>
        </w:rPr>
      </w:pPr>
      <w:r>
        <w:rPr>
          <w:sz w:val="24"/>
        </w:rPr>
        <w:t>22. Komisija uzskata, ka pasākumus, kas īstenoti ar 1990. gada 22. augusta rīkojumu, nevar kvalificēt kā muitas nodokļus vai kā pasākumus, kuru iedarbība ir līdzvērtīga muitas nodokļiem. Gluži pretēji, ar 1990. gada 22. augusta rīkojumu drīzāk tiek īstenots pasākums, kura iedarbība ir līdzvērtīga importa kvantitatīvam ierobežojumam LESD 34. panta izpratnē. Tāpēc Komisija ierosina pārbaudīt 1990. gada 22. augusta rīkojumu saistībā ar LESD 34. un 36. pantu.</w:t>
      </w:r>
    </w:p>
    <w:p w:rsidR="00600AFF" w:rsidRDefault="00600AFF" w:rsidP="00B540B1">
      <w:pPr>
        <w:pStyle w:val="Bodytext90"/>
        <w:shd w:val="clear" w:color="auto" w:fill="auto"/>
        <w:spacing w:line="240" w:lineRule="auto"/>
        <w:rPr>
          <w:noProof/>
          <w:sz w:val="24"/>
          <w:szCs w:val="24"/>
          <w:lang w:val="en-US" w:eastAsia="en-US" w:bidi="en-US"/>
        </w:rPr>
      </w:pPr>
    </w:p>
    <w:p w:rsidR="00600AFF" w:rsidRPr="00477B4A" w:rsidRDefault="00600AFF" w:rsidP="00477B4A">
      <w:pPr>
        <w:pStyle w:val="Virsraksts1"/>
      </w:pPr>
      <w:bookmarkStart w:id="13" w:name="bookmark7"/>
      <w:bookmarkStart w:id="14" w:name="_Toc13863326"/>
      <w:r w:rsidRPr="00477B4A">
        <w:t xml:space="preserve">4. </w:t>
      </w:r>
      <w:r w:rsidRPr="00477B4A">
        <w:rPr>
          <w:rStyle w:val="Bodytext9SmallCaps"/>
          <w:rFonts w:eastAsiaTheme="majorEastAsia" w:cstheme="majorBidi"/>
          <w:b/>
          <w:bCs w:val="0"/>
          <w:smallCaps w:val="0"/>
          <w:color w:val="auto"/>
          <w:sz w:val="24"/>
          <w:szCs w:val="32"/>
        </w:rPr>
        <w:t>Piedāvātā atbilde</w:t>
      </w:r>
      <w:bookmarkEnd w:id="13"/>
      <w:bookmarkEnd w:id="14"/>
    </w:p>
    <w:p w:rsidR="00600AFF" w:rsidRDefault="00600AFF" w:rsidP="00600AFF">
      <w:pPr>
        <w:pStyle w:val="Bodytext20"/>
        <w:shd w:val="clear" w:color="auto" w:fill="auto"/>
        <w:tabs>
          <w:tab w:val="left" w:pos="1684"/>
        </w:tabs>
        <w:spacing w:before="0" w:after="0" w:line="240" w:lineRule="auto"/>
        <w:ind w:firstLine="0"/>
        <w:jc w:val="both"/>
        <w:rPr>
          <w:noProof/>
          <w:sz w:val="24"/>
          <w:lang w:val="en-US"/>
        </w:rPr>
      </w:pPr>
    </w:p>
    <w:p w:rsidR="002875DF" w:rsidRDefault="00B24B34" w:rsidP="00600AFF">
      <w:pPr>
        <w:pStyle w:val="Bodytext20"/>
        <w:shd w:val="clear" w:color="auto" w:fill="auto"/>
        <w:tabs>
          <w:tab w:val="left" w:pos="1684"/>
        </w:tabs>
        <w:spacing w:before="0" w:after="0" w:line="240" w:lineRule="auto"/>
        <w:ind w:firstLine="0"/>
        <w:jc w:val="both"/>
        <w:rPr>
          <w:noProof/>
          <w:sz w:val="24"/>
        </w:rPr>
      </w:pPr>
      <w:r>
        <w:rPr>
          <w:sz w:val="24"/>
        </w:rPr>
        <w:t xml:space="preserve">23. Šī lieta attiecas uz Francijas Sabiedrības veselības kodeksa R5132-86. pantā noteikto aizliegumu importēt, turēt un piedāvāt </w:t>
      </w:r>
      <w:r>
        <w:rPr>
          <w:i/>
          <w:iCs/>
          <w:sz w:val="24"/>
        </w:rPr>
        <w:t>CBD</w:t>
      </w:r>
      <w:r>
        <w:rPr>
          <w:sz w:val="24"/>
        </w:rPr>
        <w:t xml:space="preserve">, kas ir no kaņepju auga iegūts produkts. Uz šīm </w:t>
      </w:r>
      <w:r>
        <w:rPr>
          <w:i/>
          <w:iCs/>
          <w:sz w:val="24"/>
        </w:rPr>
        <w:t>à priori</w:t>
      </w:r>
      <w:r>
        <w:rPr>
          <w:sz w:val="24"/>
        </w:rPr>
        <w:t xml:space="preserve"> aizliegtajām darbībām neattiecas 1990. gada 22. augusta rīkojumā paredzētās atkāpes. Šis rīkojums, kā to interpretē un piemēro Francijas iestādes, ir piemērojams tikai kaņepju šķiedrām un sēklām un nav piemērojams produktiem, kas iegūti no visa auga, kā tas ir šajā gadījumā.</w:t>
      </w:r>
    </w:p>
    <w:p w:rsidR="00B24B34" w:rsidRPr="00D02CE0" w:rsidRDefault="00B24B34" w:rsidP="00600AFF">
      <w:pPr>
        <w:pStyle w:val="Bodytext20"/>
        <w:shd w:val="clear" w:color="auto" w:fill="auto"/>
        <w:tabs>
          <w:tab w:val="left" w:pos="1684"/>
        </w:tabs>
        <w:spacing w:before="0" w:after="0" w:line="240" w:lineRule="auto"/>
        <w:ind w:firstLine="0"/>
        <w:jc w:val="both"/>
        <w:rPr>
          <w:noProof/>
          <w:sz w:val="24"/>
          <w:lang w:val="en-US"/>
        </w:rPr>
      </w:pPr>
    </w:p>
    <w:p w:rsidR="002875DF" w:rsidRPr="00D02CE0" w:rsidRDefault="00B24B34" w:rsidP="00B24B34">
      <w:pPr>
        <w:pStyle w:val="Bodytext20"/>
        <w:shd w:val="clear" w:color="auto" w:fill="auto"/>
        <w:tabs>
          <w:tab w:val="left" w:pos="1684"/>
        </w:tabs>
        <w:spacing w:before="0" w:after="0" w:line="240" w:lineRule="auto"/>
        <w:ind w:firstLine="0"/>
        <w:jc w:val="both"/>
        <w:rPr>
          <w:noProof/>
          <w:sz w:val="24"/>
        </w:rPr>
      </w:pPr>
      <w:r>
        <w:rPr>
          <w:sz w:val="24"/>
        </w:rPr>
        <w:lastRenderedPageBreak/>
        <w:t xml:space="preserve">24. Komisija norāda, ka kopējā lauksaimniecības politika ietver virkni noteikumu, kas attiecas uz kaņepju audzēšanu. Pretstatā tam ne kopējā lauksaimniecības politika, ne ES tiesības kopumā nereglamentē to, kādā tiešā un konkrētā veidā rūpnieciski un komerciāli izmantot </w:t>
      </w:r>
      <w:r>
        <w:rPr>
          <w:i/>
          <w:iCs/>
          <w:sz w:val="24"/>
        </w:rPr>
        <w:t>Cannabis sativa L</w:t>
      </w:r>
      <w:r>
        <w:rPr>
          <w:sz w:val="24"/>
        </w:rPr>
        <w:t xml:space="preserve">. šķirnes, no kurām iegūts atvasinātais </w:t>
      </w:r>
      <w:r>
        <w:rPr>
          <w:i/>
          <w:iCs/>
          <w:sz w:val="24"/>
        </w:rPr>
        <w:t>CBD</w:t>
      </w:r>
      <w:r>
        <w:rPr>
          <w:sz w:val="24"/>
        </w:rPr>
        <w:t xml:space="preserve"> produkts.</w:t>
      </w:r>
    </w:p>
    <w:p w:rsidR="00B24B34" w:rsidRDefault="00B24B34" w:rsidP="00B24B34">
      <w:pPr>
        <w:pStyle w:val="Bodytext70"/>
        <w:shd w:val="clear" w:color="auto" w:fill="auto"/>
        <w:tabs>
          <w:tab w:val="left" w:pos="1945"/>
        </w:tabs>
        <w:spacing w:before="0" w:after="0" w:line="240" w:lineRule="auto"/>
        <w:jc w:val="both"/>
        <w:rPr>
          <w:noProof/>
        </w:rPr>
      </w:pPr>
      <w:bookmarkStart w:id="15" w:name="bookmark8"/>
    </w:p>
    <w:p w:rsidR="002875DF" w:rsidRPr="00D02CE0" w:rsidRDefault="00B24B34" w:rsidP="00477B4A">
      <w:pPr>
        <w:pStyle w:val="Virsraksts2"/>
        <w:rPr>
          <w:noProof/>
        </w:rPr>
      </w:pPr>
      <w:bookmarkStart w:id="16" w:name="_Toc13863327"/>
      <w:r>
        <w:t>4.1. Kopējā lauksaimniecības politika</w:t>
      </w:r>
      <w:bookmarkEnd w:id="15"/>
      <w:bookmarkEnd w:id="16"/>
    </w:p>
    <w:p w:rsidR="00B24B34" w:rsidRDefault="00B24B34" w:rsidP="00B24B34">
      <w:pPr>
        <w:pStyle w:val="Bodytext20"/>
        <w:shd w:val="clear" w:color="auto" w:fill="auto"/>
        <w:tabs>
          <w:tab w:val="left" w:pos="1684"/>
        </w:tabs>
        <w:spacing w:before="0" w:after="0" w:line="240" w:lineRule="auto"/>
        <w:ind w:firstLine="0"/>
        <w:jc w:val="both"/>
        <w:rPr>
          <w:noProof/>
          <w:sz w:val="24"/>
        </w:rPr>
      </w:pPr>
      <w:bookmarkStart w:id="17" w:name="bookmark9"/>
    </w:p>
    <w:p w:rsidR="002875DF" w:rsidRPr="00D02CE0" w:rsidRDefault="00B24B34" w:rsidP="00B24B34">
      <w:pPr>
        <w:pStyle w:val="Bodytext20"/>
        <w:shd w:val="clear" w:color="auto" w:fill="auto"/>
        <w:tabs>
          <w:tab w:val="left" w:pos="1684"/>
        </w:tabs>
        <w:spacing w:before="0" w:after="0" w:line="240" w:lineRule="auto"/>
        <w:ind w:firstLine="0"/>
        <w:jc w:val="both"/>
        <w:rPr>
          <w:noProof/>
          <w:sz w:val="24"/>
        </w:rPr>
      </w:pPr>
      <w:r>
        <w:rPr>
          <w:sz w:val="24"/>
        </w:rPr>
        <w:t>25. Kaņepes ir iekļautas LESD 1. pielikumā, kurā sniegta atsauce uz Kombinētās nomenklatūras 57. nodaļu (57.01.)</w:t>
      </w:r>
      <w:r w:rsidR="002875DF" w:rsidRPr="00D02CE0">
        <w:rPr>
          <w:noProof/>
          <w:sz w:val="24"/>
          <w:vertAlign w:val="superscript"/>
          <w:lang w:val="en-US"/>
        </w:rPr>
        <w:footnoteReference w:id="8"/>
      </w:r>
      <w:r>
        <w:rPr>
          <w:sz w:val="24"/>
        </w:rPr>
        <w:t>.</w:t>
      </w:r>
      <w:r>
        <w:rPr>
          <w:sz w:val="24"/>
          <w:vertAlign w:val="superscript"/>
        </w:rPr>
        <w:t xml:space="preserve"> </w:t>
      </w:r>
      <w:r>
        <w:rPr>
          <w:sz w:val="24"/>
        </w:rPr>
        <w:t>Tādējādi “kaņepāju šķiedra (</w:t>
      </w:r>
      <w:r>
        <w:rPr>
          <w:i/>
          <w:iCs/>
          <w:sz w:val="24"/>
        </w:rPr>
        <w:t>Cannabis sativa</w:t>
      </w:r>
      <w:r>
        <w:rPr>
          <w:sz w:val="24"/>
        </w:rPr>
        <w:t>), neapstrādāta vai apstrādāta, bet nevērpta; kaņepāju šķiedru atsukas un atbiras (tostarp plucinātas lupatas vai virves)” saskaņā ar LESD 38. panta 3. punktu ir produkts, uz kuru attiecas LESD 39.–44. pants.</w:t>
      </w:r>
      <w:bookmarkEnd w:id="17"/>
    </w:p>
    <w:p w:rsidR="00B24B34" w:rsidRDefault="00B24B34" w:rsidP="00B24B34">
      <w:pPr>
        <w:pStyle w:val="Bodytext20"/>
        <w:shd w:val="clear" w:color="auto" w:fill="auto"/>
        <w:tabs>
          <w:tab w:val="left" w:pos="1684"/>
        </w:tabs>
        <w:spacing w:before="0" w:after="0" w:line="240" w:lineRule="auto"/>
        <w:ind w:firstLine="0"/>
        <w:jc w:val="both"/>
        <w:rPr>
          <w:noProof/>
          <w:sz w:val="24"/>
          <w:lang w:val="en-US"/>
        </w:rPr>
      </w:pPr>
    </w:p>
    <w:p w:rsidR="002875DF" w:rsidRPr="00D02CE0" w:rsidRDefault="00B24B34" w:rsidP="00B24B34">
      <w:pPr>
        <w:pStyle w:val="Bodytext20"/>
        <w:shd w:val="clear" w:color="auto" w:fill="auto"/>
        <w:tabs>
          <w:tab w:val="left" w:pos="1684"/>
        </w:tabs>
        <w:spacing w:before="0" w:after="0" w:line="240" w:lineRule="auto"/>
        <w:ind w:firstLine="0"/>
        <w:jc w:val="both"/>
        <w:rPr>
          <w:noProof/>
          <w:sz w:val="24"/>
        </w:rPr>
      </w:pPr>
      <w:r>
        <w:rPr>
          <w:sz w:val="24"/>
        </w:rPr>
        <w:t>26. Saskaņā ar 1. panta 2. punkta h) apakšpunktu Eiropas Parlamenta un Padomes Regulā (ES) Nr. 1308/2013 (2013. gada 17. decembris), ar ko izveido lauksaimniecības produktu tirgu kopīgu organizāciju un atceļ Padomes Regulas (EEK) Nr. 922/72, (EEK) Nr. 234/79, (EK) Nr. 1037/2001 un (EK) Nr. 1234/2007</w:t>
      </w:r>
      <w:r>
        <w:rPr>
          <w:rStyle w:val="Vresatsauce"/>
          <w:noProof/>
          <w:sz w:val="24"/>
          <w:lang w:val="en-US"/>
        </w:rPr>
        <w:footnoteReference w:id="9"/>
      </w:r>
      <w:r>
        <w:rPr>
          <w:sz w:val="24"/>
        </w:rPr>
        <w:t>, kaņepes ir produkts, uz kuru attiecas vienota tirgu kopīgā organizācija. Šis noteikums apvienojumā ar LESD 1. pielikuma 57. nodaļu nozīmē, ka tirgu kopīgā organizācija attiecas ne vien uz kaņepju šķiedru un sēklām, bet arī uz neapstrādātām vai apstrādātām kaņepēm. Tādējādi ar Francijas 1990. gada 22. augusta rīkojumu, šķiet, Francijā tiek ierobežota tirgu kopīgās organizācijas piemērošanas joma, jo tā tiek attiecināta vien uz kaņepju šķiedras un sēklu audzēšanu utt.</w:t>
      </w:r>
    </w:p>
    <w:p w:rsidR="00B24B34" w:rsidRDefault="00B24B34" w:rsidP="00B24B34">
      <w:pPr>
        <w:pStyle w:val="Bodytext20"/>
        <w:shd w:val="clear" w:color="auto" w:fill="auto"/>
        <w:tabs>
          <w:tab w:val="left" w:pos="1638"/>
        </w:tabs>
        <w:spacing w:before="0" w:after="0" w:line="240" w:lineRule="auto"/>
        <w:ind w:firstLine="0"/>
        <w:jc w:val="both"/>
        <w:rPr>
          <w:noProof/>
          <w:sz w:val="24"/>
          <w:lang w:val="en-US"/>
        </w:rPr>
      </w:pPr>
    </w:p>
    <w:p w:rsidR="002875DF" w:rsidRPr="00D02CE0" w:rsidRDefault="00B24B34" w:rsidP="00B24B34">
      <w:pPr>
        <w:pStyle w:val="Bodytext20"/>
        <w:shd w:val="clear" w:color="auto" w:fill="auto"/>
        <w:tabs>
          <w:tab w:val="left" w:pos="1638"/>
        </w:tabs>
        <w:spacing w:before="0" w:after="0" w:line="240" w:lineRule="auto"/>
        <w:ind w:firstLine="0"/>
        <w:jc w:val="both"/>
        <w:rPr>
          <w:noProof/>
          <w:sz w:val="24"/>
        </w:rPr>
      </w:pPr>
      <w:r>
        <w:rPr>
          <w:sz w:val="24"/>
        </w:rPr>
        <w:t>27. Katrā ziņā Regulas Nr. 1308/2013 189. pantā ir noteikti ierobežojoši noteikumi kaņepju importam no trešām valstīm, kas attiecīgi neattiecas uz šo lietu. Izņemot šo noteikumu, Regulā Nr. 1308/2013 vairs nav citu noteikumu, kas attiektos uz kaņepēm.</w:t>
      </w:r>
    </w:p>
    <w:p w:rsidR="00B24B34" w:rsidRDefault="00B24B34" w:rsidP="00B24B34">
      <w:pPr>
        <w:pStyle w:val="Bodytext20"/>
        <w:shd w:val="clear" w:color="auto" w:fill="auto"/>
        <w:tabs>
          <w:tab w:val="left" w:pos="1638"/>
        </w:tabs>
        <w:spacing w:before="0" w:after="0" w:line="240" w:lineRule="auto"/>
        <w:ind w:firstLine="0"/>
        <w:jc w:val="both"/>
        <w:rPr>
          <w:noProof/>
          <w:sz w:val="24"/>
          <w:lang w:val="en-US"/>
        </w:rPr>
      </w:pPr>
    </w:p>
    <w:p w:rsidR="002875DF" w:rsidRPr="00D02CE0" w:rsidRDefault="00B24B34" w:rsidP="00B24B34">
      <w:pPr>
        <w:pStyle w:val="Bodytext20"/>
        <w:shd w:val="clear" w:color="auto" w:fill="auto"/>
        <w:tabs>
          <w:tab w:val="left" w:pos="1638"/>
        </w:tabs>
        <w:spacing w:before="0" w:after="0" w:line="240" w:lineRule="auto"/>
        <w:ind w:firstLine="0"/>
        <w:jc w:val="both"/>
        <w:rPr>
          <w:noProof/>
          <w:sz w:val="24"/>
        </w:rPr>
      </w:pPr>
      <w:r>
        <w:rPr>
          <w:sz w:val="24"/>
        </w:rPr>
        <w:t>28. Eiropas Parlamenta un Padomes Regulā (ES) Nr. 1307/2013 (2013. gada 17. decembris), ar ko izveido noteikumus par lauksaimniekiem paredzētiem tiešajiem maksājumiem, kurus veic saskaņā ar kopējās lauksaimniecības politikas atbalsta shēmām, un ar ko atceļ Padomes Regulu (EK) Nr. 637/2008 un Padomes Regulu (EK) Nr. 73/2009</w:t>
      </w:r>
      <w:r>
        <w:rPr>
          <w:rStyle w:val="Vresatsauce"/>
          <w:noProof/>
          <w:sz w:val="24"/>
          <w:lang w:val="en-US"/>
        </w:rPr>
        <w:footnoteReference w:id="10"/>
      </w:r>
      <w:r>
        <w:rPr>
          <w:sz w:val="24"/>
        </w:rPr>
        <w:t>, savukārt ir ietverti noteikumi, kuros precizēta finansiālā atbalsta piešķiršana kaņepju audzēšanai. Proti, 32. panta 6. punktā ir noteikts:</w:t>
      </w:r>
    </w:p>
    <w:p w:rsidR="00B24B34" w:rsidRDefault="00B24B34" w:rsidP="00B540B1">
      <w:pPr>
        <w:pStyle w:val="Bodytext20"/>
        <w:shd w:val="clear" w:color="auto" w:fill="auto"/>
        <w:spacing w:before="0" w:after="0" w:line="240" w:lineRule="auto"/>
        <w:ind w:firstLine="0"/>
        <w:jc w:val="both"/>
        <w:rPr>
          <w:noProof/>
          <w:sz w:val="24"/>
          <w:lang w:val="en-US"/>
        </w:rPr>
      </w:pPr>
    </w:p>
    <w:p w:rsidR="002875DF" w:rsidRDefault="002875DF" w:rsidP="00B24B34">
      <w:pPr>
        <w:pStyle w:val="Bodytext20"/>
        <w:shd w:val="clear" w:color="auto" w:fill="auto"/>
        <w:spacing w:before="0" w:after="0" w:line="240" w:lineRule="auto"/>
        <w:ind w:left="426" w:firstLine="0"/>
        <w:jc w:val="both"/>
        <w:rPr>
          <w:noProof/>
          <w:sz w:val="24"/>
        </w:rPr>
      </w:pPr>
      <w:r>
        <w:rPr>
          <w:sz w:val="24"/>
        </w:rPr>
        <w:t>“Platības, ko izmanto kaņepju audzēšanai, ir atbalsttiesīgas tikai tad, ja izmantoto šķirņu tetrahidrokanabinola saturs nepārsniedz 0,2 %.”</w:t>
      </w:r>
    </w:p>
    <w:p w:rsidR="00B24B34" w:rsidRPr="00D02CE0" w:rsidRDefault="00B24B34" w:rsidP="00B540B1">
      <w:pPr>
        <w:pStyle w:val="Bodytext20"/>
        <w:shd w:val="clear" w:color="auto" w:fill="auto"/>
        <w:spacing w:before="0" w:after="0" w:line="240" w:lineRule="auto"/>
        <w:ind w:firstLine="0"/>
        <w:jc w:val="both"/>
        <w:rPr>
          <w:noProof/>
          <w:sz w:val="24"/>
          <w:lang w:val="en-US"/>
        </w:rPr>
      </w:pPr>
    </w:p>
    <w:p w:rsidR="002875DF" w:rsidRPr="00D02CE0" w:rsidRDefault="00B24B34" w:rsidP="00B24B34">
      <w:pPr>
        <w:pStyle w:val="Bodytext20"/>
        <w:shd w:val="clear" w:color="auto" w:fill="auto"/>
        <w:tabs>
          <w:tab w:val="left" w:pos="1638"/>
        </w:tabs>
        <w:spacing w:before="0" w:after="0" w:line="240" w:lineRule="auto"/>
        <w:ind w:firstLine="0"/>
        <w:jc w:val="both"/>
        <w:rPr>
          <w:noProof/>
          <w:sz w:val="24"/>
        </w:rPr>
      </w:pPr>
      <w:r>
        <w:rPr>
          <w:sz w:val="24"/>
        </w:rPr>
        <w:t>29. Minētās regulas 35. panta 3. punktā ir noteikts:</w:t>
      </w:r>
    </w:p>
    <w:p w:rsidR="00B24B34" w:rsidRDefault="00B24B34" w:rsidP="00B540B1">
      <w:pPr>
        <w:pStyle w:val="Bodytext20"/>
        <w:shd w:val="clear" w:color="auto" w:fill="auto"/>
        <w:spacing w:before="0" w:after="0" w:line="240" w:lineRule="auto"/>
        <w:ind w:firstLine="0"/>
        <w:jc w:val="both"/>
        <w:rPr>
          <w:noProof/>
          <w:sz w:val="24"/>
          <w:lang w:val="en-US"/>
        </w:rPr>
      </w:pPr>
    </w:p>
    <w:p w:rsidR="002875DF" w:rsidRDefault="002875DF" w:rsidP="00B24B34">
      <w:pPr>
        <w:pStyle w:val="Bodytext20"/>
        <w:shd w:val="clear" w:color="auto" w:fill="auto"/>
        <w:spacing w:before="0" w:after="0" w:line="240" w:lineRule="auto"/>
        <w:ind w:left="426" w:firstLine="0"/>
        <w:jc w:val="both"/>
        <w:rPr>
          <w:noProof/>
          <w:sz w:val="24"/>
        </w:rPr>
      </w:pPr>
      <w:r>
        <w:rPr>
          <w:sz w:val="24"/>
        </w:rPr>
        <w:t>“Lai nodrošinātu sabiedrības veselības aizsardzību, Komisija tiek pilnvarota pieņemt deleģētos aktus saskaņā ar 70. pantu, paredzot noteikumus, ar kuriem paredz, ka maksājumu piešķiršanas priekšnoteikums ir konkrētu kaņepju šķirņu sertificētu sēklu izmantošana, un procedūru kaņepju šķirņu noteikšanai un 32. panta 6. punktā minētā tetrahidrokanabinola satura pārbaudei.”</w:t>
      </w:r>
    </w:p>
    <w:p w:rsidR="00B24B34" w:rsidRPr="00D02CE0" w:rsidRDefault="00B24B34" w:rsidP="00B540B1">
      <w:pPr>
        <w:pStyle w:val="Bodytext20"/>
        <w:shd w:val="clear" w:color="auto" w:fill="auto"/>
        <w:spacing w:before="0" w:after="0" w:line="240" w:lineRule="auto"/>
        <w:ind w:firstLine="0"/>
        <w:jc w:val="both"/>
        <w:rPr>
          <w:noProof/>
          <w:sz w:val="24"/>
          <w:lang w:val="en-US"/>
        </w:rPr>
      </w:pPr>
    </w:p>
    <w:p w:rsidR="002875DF" w:rsidRDefault="00B24B34" w:rsidP="00B24B34">
      <w:pPr>
        <w:pStyle w:val="Bodytext20"/>
        <w:shd w:val="clear" w:color="auto" w:fill="auto"/>
        <w:tabs>
          <w:tab w:val="left" w:pos="1640"/>
        </w:tabs>
        <w:spacing w:before="0" w:after="0" w:line="240" w:lineRule="auto"/>
        <w:ind w:firstLine="0"/>
        <w:jc w:val="both"/>
        <w:rPr>
          <w:noProof/>
          <w:sz w:val="24"/>
        </w:rPr>
      </w:pPr>
      <w:r>
        <w:rPr>
          <w:sz w:val="24"/>
        </w:rPr>
        <w:t>30. Komisijas Deleģētās regulas (ES) Nr. 639/2014 (2014. gada 11. marts), ar ko papildina Eiropas Parlamenta un Padomes Regulu (ES) Nr. 1307/2013, ar ko izveido noteikumus par lauksaimniekiem paredzētiem tiešajiem maksājumiem, kurus veic saskaņā ar kopējās lauksaimniecības politikas atbalsta shēmām, un ar kuru groza minētās regulas X pielikumu</w:t>
      </w:r>
      <w:r>
        <w:rPr>
          <w:rStyle w:val="Vresatsauce"/>
          <w:noProof/>
          <w:sz w:val="24"/>
          <w:lang w:val="en-US"/>
        </w:rPr>
        <w:footnoteReference w:id="11"/>
      </w:r>
      <w:r>
        <w:rPr>
          <w:sz w:val="24"/>
        </w:rPr>
        <w:t xml:space="preserve">, 9. pantā ir iekļauti noteikumi, kas konkrēti attiecas uz kaņepju audzēšanu. Šīs regulas 9. panta pirmajā punktā ir noteikts, ka kaņepju audzēšanai ir jāizmanto sertificētas sēklas. Turpmākajos punktos sniegti noteikumi par </w:t>
      </w:r>
      <w:r>
        <w:rPr>
          <w:i/>
          <w:iCs/>
          <w:sz w:val="24"/>
        </w:rPr>
        <w:t>THC</w:t>
      </w:r>
      <w:r>
        <w:rPr>
          <w:sz w:val="24"/>
        </w:rPr>
        <w:t xml:space="preserve"> satura noteikšanu.</w:t>
      </w:r>
    </w:p>
    <w:p w:rsidR="00B24B34" w:rsidRPr="00D02CE0" w:rsidRDefault="00B24B34" w:rsidP="00B24B34">
      <w:pPr>
        <w:pStyle w:val="Bodytext20"/>
        <w:shd w:val="clear" w:color="auto" w:fill="auto"/>
        <w:tabs>
          <w:tab w:val="left" w:pos="1640"/>
        </w:tabs>
        <w:spacing w:before="0" w:after="0" w:line="240" w:lineRule="auto"/>
        <w:ind w:firstLine="0"/>
        <w:jc w:val="both"/>
        <w:rPr>
          <w:noProof/>
          <w:sz w:val="24"/>
          <w:lang w:val="en-US"/>
        </w:rPr>
      </w:pPr>
    </w:p>
    <w:p w:rsidR="002875DF" w:rsidRPr="00D02CE0" w:rsidRDefault="00B24B34" w:rsidP="00B24B34">
      <w:pPr>
        <w:pStyle w:val="Bodytext20"/>
        <w:shd w:val="clear" w:color="auto" w:fill="auto"/>
        <w:tabs>
          <w:tab w:val="left" w:pos="1640"/>
        </w:tabs>
        <w:spacing w:before="0" w:after="0" w:line="240" w:lineRule="auto"/>
        <w:ind w:firstLine="0"/>
        <w:jc w:val="both"/>
        <w:rPr>
          <w:noProof/>
          <w:sz w:val="24"/>
        </w:rPr>
      </w:pPr>
      <w:bookmarkStart w:id="18" w:name="bookmark10"/>
      <w:r>
        <w:rPr>
          <w:sz w:val="24"/>
        </w:rPr>
        <w:t>31. Tiesa ir divas reizes skatījusi jautājumu, vai valsts tiesību akti, kas aizliedz kaņepju audzēšanu un turēšanu, ir saderīgi ar ES tiesībām. Pirmajā lietā, “Ulfs Hammaštens [</w:t>
      </w:r>
      <w:r>
        <w:rPr>
          <w:i/>
          <w:iCs/>
          <w:sz w:val="24"/>
          <w:szCs w:val="24"/>
        </w:rPr>
        <w:t>Ulf Hammersten</w:t>
      </w:r>
      <w:r>
        <w:rPr>
          <w:sz w:val="24"/>
        </w:rPr>
        <w:t>]” C</w:t>
      </w:r>
      <w:r>
        <w:rPr>
          <w:sz w:val="24"/>
        </w:rPr>
        <w:noBreakHyphen/>
        <w:t>462/01, Tiesa ir nospriedusi, ka valsts tiesību akti, kuros noteikts aizliegums audzēt un turēt rūpnieciskās kaņepes, ir pretrunā attiecīgā laika ES tiesību normām par kaņepju audzēšanu</w:t>
      </w:r>
      <w:r>
        <w:rPr>
          <w:rStyle w:val="Vresatsauce"/>
          <w:noProof/>
          <w:sz w:val="24"/>
          <w:lang w:val="en-US"/>
        </w:rPr>
        <w:footnoteReference w:id="12"/>
      </w:r>
      <w:r>
        <w:rPr>
          <w:sz w:val="24"/>
        </w:rPr>
        <w:t>. Tiesa šo secinājumu ir atkārtoti izdarījusi jaunākā spriedumā, “Edgars Babanovs [</w:t>
      </w:r>
      <w:r>
        <w:rPr>
          <w:i/>
          <w:iCs/>
          <w:sz w:val="24"/>
          <w:szCs w:val="24"/>
        </w:rPr>
        <w:t>Edgar Babanov</w:t>
      </w:r>
      <w:r>
        <w:rPr>
          <w:sz w:val="24"/>
        </w:rPr>
        <w:t>]” C</w:t>
      </w:r>
      <w:r>
        <w:rPr>
          <w:sz w:val="24"/>
        </w:rPr>
        <w:noBreakHyphen/>
        <w:t>207/08.</w:t>
      </w:r>
      <w:bookmarkEnd w:id="18"/>
      <w:r>
        <w:rPr>
          <w:rStyle w:val="Vresatsauce"/>
          <w:noProof/>
          <w:sz w:val="24"/>
          <w:lang w:val="en-US"/>
        </w:rPr>
        <w:footnoteReference w:id="13"/>
      </w:r>
    </w:p>
    <w:p w:rsidR="00B24B34" w:rsidRDefault="00B24B34" w:rsidP="00B24B34">
      <w:pPr>
        <w:pStyle w:val="Bodytext20"/>
        <w:shd w:val="clear" w:color="auto" w:fill="auto"/>
        <w:tabs>
          <w:tab w:val="left" w:pos="1640"/>
        </w:tabs>
        <w:spacing w:before="0" w:after="0" w:line="240" w:lineRule="auto"/>
        <w:ind w:firstLine="0"/>
        <w:jc w:val="both"/>
        <w:rPr>
          <w:noProof/>
          <w:sz w:val="24"/>
        </w:rPr>
      </w:pPr>
      <w:bookmarkStart w:id="19" w:name="bookmark11"/>
    </w:p>
    <w:p w:rsidR="002875DF" w:rsidRPr="00D02CE0" w:rsidRDefault="00B24B34" w:rsidP="00B24B34">
      <w:pPr>
        <w:pStyle w:val="Bodytext20"/>
        <w:shd w:val="clear" w:color="auto" w:fill="auto"/>
        <w:tabs>
          <w:tab w:val="left" w:pos="1640"/>
        </w:tabs>
        <w:spacing w:before="0" w:after="0" w:line="240" w:lineRule="auto"/>
        <w:ind w:firstLine="0"/>
        <w:jc w:val="both"/>
        <w:rPr>
          <w:noProof/>
          <w:sz w:val="24"/>
          <w:vertAlign w:val="superscript"/>
        </w:rPr>
      </w:pPr>
      <w:r>
        <w:rPr>
          <w:sz w:val="24"/>
        </w:rPr>
        <w:t>32. Šajās abās lietās Tiesa norāda, ka saskaņā ar tās iedibināto judikatūru, “(..) ja konkrētā nozarē pastāv regulējums tirgu kopīgas organizācijas jomā, dalībvalstīm ir jāatturas no tādu pasākumu pieņemšanas, kas varētu radīt atkāpes no regulējuma vai mazināt tā darbību (..)”</w:t>
      </w:r>
      <w:r>
        <w:rPr>
          <w:rStyle w:val="Vresatsauce"/>
          <w:noProof/>
          <w:sz w:val="24"/>
          <w:lang w:val="en-US"/>
        </w:rPr>
        <w:footnoteReference w:id="14"/>
      </w:r>
      <w:r>
        <w:rPr>
          <w:sz w:val="24"/>
        </w:rPr>
        <w:t xml:space="preserve">. </w:t>
      </w:r>
      <w:r>
        <w:t xml:space="preserve">Tiesa arī norāda, ka “(..) tirgu kopīgas organizācijas izveide neliedz dalībvalstīm piemērot valsts tiesību normas, kurām ir vispārējo interešu mērķis, kas nav šīs tirgu kopīgās organizācijas mērķis, pat ja šīs tiesību normas var ietekmēt kopējā tirgus darbību </w:t>
      </w:r>
      <w:bookmarkEnd w:id="19"/>
      <w:r>
        <w:t>attiecīgajā nozarē (..)”.</w:t>
      </w:r>
      <w:r>
        <w:rPr>
          <w:rStyle w:val="Vresatsauce"/>
          <w:noProof/>
          <w:sz w:val="24"/>
          <w:lang w:val="en-US"/>
        </w:rPr>
        <w:footnoteReference w:id="15"/>
      </w:r>
      <w:r>
        <w:rPr>
          <w:sz w:val="24"/>
        </w:rPr>
        <w:t xml:space="preserve"> Visbeidzot, Tiesa šajās divās lietās ir nospriedusi, ka ES tiesību normas paredz, ka tetrahidrokanabinola (</w:t>
      </w:r>
      <w:r>
        <w:rPr>
          <w:i/>
          <w:iCs/>
          <w:sz w:val="24"/>
        </w:rPr>
        <w:t>THC</w:t>
      </w:r>
      <w:r>
        <w:rPr>
          <w:sz w:val="24"/>
        </w:rPr>
        <w:t>) maksimālais pieļaujamais saturs kaņepēs, kas ir tiesīgas saņemt kopienas atbalstu, nedrīkst pārsniegt 0,2 [%] (ieskaitot). Tāpēc cilvēka veselības riski, ko rada narkotisko vielu lietošana, tika konkrēti ņemti vērā tirgu kopīgas organizācijas ietvaros</w:t>
      </w:r>
      <w:r>
        <w:rPr>
          <w:rStyle w:val="Vresatsauce"/>
          <w:noProof/>
          <w:sz w:val="24"/>
          <w:lang w:val="en-US"/>
        </w:rPr>
        <w:footnoteReference w:id="16"/>
      </w:r>
      <w:r>
        <w:rPr>
          <w:sz w:val="24"/>
        </w:rPr>
        <w:t>.</w:t>
      </w:r>
    </w:p>
    <w:p w:rsidR="00B24B34" w:rsidRDefault="00B24B34" w:rsidP="00B24B34">
      <w:pPr>
        <w:pStyle w:val="Bodytext20"/>
        <w:shd w:val="clear" w:color="auto" w:fill="auto"/>
        <w:tabs>
          <w:tab w:val="left" w:pos="1638"/>
        </w:tabs>
        <w:spacing w:before="0" w:after="0" w:line="240" w:lineRule="auto"/>
        <w:ind w:firstLine="0"/>
        <w:jc w:val="both"/>
        <w:rPr>
          <w:noProof/>
          <w:sz w:val="24"/>
        </w:rPr>
      </w:pPr>
      <w:bookmarkStart w:id="20" w:name="bookmark12"/>
    </w:p>
    <w:p w:rsidR="002875DF" w:rsidRDefault="00B24B34" w:rsidP="00B24B34">
      <w:pPr>
        <w:pStyle w:val="Bodytext20"/>
        <w:shd w:val="clear" w:color="auto" w:fill="auto"/>
        <w:tabs>
          <w:tab w:val="left" w:pos="1638"/>
        </w:tabs>
        <w:spacing w:before="0" w:after="0" w:line="240" w:lineRule="auto"/>
        <w:ind w:firstLine="0"/>
        <w:jc w:val="both"/>
        <w:rPr>
          <w:noProof/>
          <w:sz w:val="24"/>
        </w:rPr>
      </w:pPr>
      <w:r>
        <w:rPr>
          <w:sz w:val="24"/>
        </w:rPr>
        <w:t>33. Tādējādi var domāt, ka Francijas tiesību normas kaņepju jomā, kas liedz ražot, importēt un piedāvāt visas kaņepju auga daļas, piemēram, lapas vai ziedus, kā arī visu augu kopumā (kas attiecas uz kombinētās nomenklatūras 53.02. nodaļu</w:t>
      </w:r>
      <w:r>
        <w:rPr>
          <w:rStyle w:val="Vresatsauce"/>
          <w:noProof/>
          <w:sz w:val="24"/>
          <w:lang w:val="en-US"/>
        </w:rPr>
        <w:footnoteReference w:id="17"/>
      </w:r>
      <w:r>
        <w:rPr>
          <w:sz w:val="24"/>
        </w:rPr>
        <w:t>), izņemot šķiedras un sēklas, uz ko attiecas 1990. gada 22. augusta rīkojumā iekļautais izņēmums, ir nesaderīgas ar Regulu Nr. 1307/2013 un Nr. 1308/2018.</w:t>
      </w:r>
      <w:bookmarkEnd w:id="20"/>
    </w:p>
    <w:p w:rsidR="00B24B34" w:rsidRPr="00D02CE0" w:rsidRDefault="00B24B34" w:rsidP="00B24B34">
      <w:pPr>
        <w:pStyle w:val="Bodytext20"/>
        <w:shd w:val="clear" w:color="auto" w:fill="auto"/>
        <w:tabs>
          <w:tab w:val="left" w:pos="1638"/>
        </w:tabs>
        <w:spacing w:before="0" w:after="0" w:line="240" w:lineRule="auto"/>
        <w:ind w:firstLine="0"/>
        <w:jc w:val="both"/>
        <w:rPr>
          <w:noProof/>
          <w:sz w:val="24"/>
          <w:lang w:val="en-US"/>
        </w:rPr>
      </w:pPr>
    </w:p>
    <w:p w:rsidR="00D02CE0" w:rsidRDefault="00B24B34" w:rsidP="00B24B34">
      <w:pPr>
        <w:pStyle w:val="Bodytext20"/>
        <w:shd w:val="clear" w:color="auto" w:fill="auto"/>
        <w:tabs>
          <w:tab w:val="left" w:pos="1638"/>
        </w:tabs>
        <w:spacing w:before="0" w:after="0" w:line="240" w:lineRule="auto"/>
        <w:ind w:firstLine="0"/>
        <w:jc w:val="both"/>
        <w:rPr>
          <w:noProof/>
          <w:sz w:val="24"/>
        </w:rPr>
      </w:pPr>
      <w:r>
        <w:rPr>
          <w:sz w:val="24"/>
        </w:rPr>
        <w:t>34. Tomēr šajā lietā divi elementi atšķiras no lietām “Ulfs Hammaštens” un “Edgars Babanovs”.</w:t>
      </w:r>
      <w:r>
        <w:rPr>
          <w:i/>
          <w:iCs/>
          <w:sz w:val="24"/>
          <w:szCs w:val="24"/>
        </w:rPr>
        <w:t xml:space="preserve"> </w:t>
      </w:r>
      <w:r>
        <w:rPr>
          <w:sz w:val="24"/>
        </w:rPr>
        <w:t xml:space="preserve">Pirmkārt, šajā lietā apsūdzētie B. S. un C. A. nav kaņepju audzētāji pretstatā Hammaštenam un Babanovam, proti, B. S. un C. A. nav audzētāji, kas var saņemt atbalstu saskaņā ar kopējo lauksaimniecības politiku. Francijas tiesību normas šajā gadījumā neliedz iespēju saņemt paredzēto atbalstu lauksaimniekiem. Otrkārt, šajā lietā apskatītais produkts, uz kuru attiecas brīva aprite, ir </w:t>
      </w:r>
      <w:r>
        <w:rPr>
          <w:i/>
          <w:iCs/>
          <w:sz w:val="24"/>
        </w:rPr>
        <w:t>CBD</w:t>
      </w:r>
      <w:r>
        <w:rPr>
          <w:sz w:val="24"/>
        </w:rPr>
        <w:t xml:space="preserve"> jeb kanabidiols, kas iegūts no auga un kam drīzāk ir </w:t>
      </w:r>
      <w:r>
        <w:rPr>
          <w:sz w:val="24"/>
        </w:rPr>
        <w:lastRenderedPageBreak/>
        <w:t>piemērojams kombinētās nomenklatūras kods 2932 99 00.</w:t>
      </w:r>
    </w:p>
    <w:p w:rsidR="00600AFF" w:rsidRDefault="00600AFF" w:rsidP="00600AFF">
      <w:pPr>
        <w:pStyle w:val="Bodytext20"/>
        <w:shd w:val="clear" w:color="auto" w:fill="auto"/>
        <w:tabs>
          <w:tab w:val="left" w:pos="1638"/>
        </w:tabs>
        <w:spacing w:before="0" w:after="0" w:line="240" w:lineRule="auto"/>
        <w:ind w:firstLine="0"/>
        <w:jc w:val="both"/>
        <w:rPr>
          <w:noProof/>
          <w:sz w:val="24"/>
          <w:lang w:val="en-US"/>
        </w:rPr>
      </w:pPr>
    </w:p>
    <w:p w:rsidR="00600AFF" w:rsidRPr="00600AFF" w:rsidRDefault="00B24B34" w:rsidP="00600AFF">
      <w:pPr>
        <w:pStyle w:val="Bodytext70"/>
        <w:shd w:val="clear" w:color="auto" w:fill="auto"/>
        <w:tabs>
          <w:tab w:val="left" w:pos="1945"/>
        </w:tabs>
        <w:spacing w:before="0" w:after="0" w:line="240" w:lineRule="auto"/>
        <w:jc w:val="both"/>
        <w:rPr>
          <w:b w:val="0"/>
          <w:noProof/>
        </w:rPr>
      </w:pPr>
      <w:bookmarkStart w:id="21" w:name="bookmark13"/>
      <w:r>
        <w:rPr>
          <w:b w:val="0"/>
          <w:bCs w:val="0"/>
          <w:szCs w:val="26"/>
        </w:rPr>
        <w:t xml:space="preserve">35. </w:t>
      </w:r>
      <w:r>
        <w:rPr>
          <w:b w:val="0"/>
        </w:rPr>
        <w:t>Tādējādi apsūdzēto B. S. un C. A. darbības, šķiet, stingri runājot, ir visai attālinātas no lauksaimniecības darbībām, un produktu, kas ir viņu darbības objekts, nevar kvalificēt kā lauksaimniecības produktu. Attiecīgi Francijas tiesību normas šajā gadījumā jāanalizē, ņemot vērā LESD 34. un 36. pantu.</w:t>
      </w:r>
    </w:p>
    <w:p w:rsidR="00600AFF" w:rsidRDefault="00600AFF" w:rsidP="00600AFF">
      <w:pPr>
        <w:pStyle w:val="Bodytext70"/>
        <w:shd w:val="clear" w:color="auto" w:fill="auto"/>
        <w:tabs>
          <w:tab w:val="left" w:pos="1945"/>
        </w:tabs>
        <w:spacing w:before="0" w:after="0" w:line="240" w:lineRule="auto"/>
        <w:jc w:val="both"/>
        <w:rPr>
          <w:noProof/>
          <w:lang w:val="en-US"/>
        </w:rPr>
      </w:pPr>
    </w:p>
    <w:p w:rsidR="002875DF" w:rsidRPr="00D02CE0" w:rsidRDefault="00B24B34" w:rsidP="00477B4A">
      <w:pPr>
        <w:pStyle w:val="Virsraksts2"/>
        <w:rPr>
          <w:noProof/>
        </w:rPr>
      </w:pPr>
      <w:bookmarkStart w:id="22" w:name="_Toc13863328"/>
      <w:r>
        <w:t>4.2. LESD 34. un 36. pants</w:t>
      </w:r>
      <w:bookmarkEnd w:id="21"/>
      <w:bookmarkEnd w:id="22"/>
    </w:p>
    <w:p w:rsidR="00600AFF" w:rsidRDefault="00600AFF" w:rsidP="00600AFF">
      <w:pPr>
        <w:pStyle w:val="Bodytext20"/>
        <w:shd w:val="clear" w:color="auto" w:fill="auto"/>
        <w:tabs>
          <w:tab w:val="left" w:pos="1639"/>
        </w:tabs>
        <w:spacing w:before="0" w:after="0" w:line="240" w:lineRule="auto"/>
        <w:ind w:firstLine="0"/>
        <w:jc w:val="both"/>
        <w:rPr>
          <w:noProof/>
          <w:sz w:val="24"/>
          <w:lang w:val="en-US"/>
        </w:rPr>
      </w:pPr>
    </w:p>
    <w:p w:rsidR="002875DF" w:rsidRPr="00D02CE0" w:rsidRDefault="00B24B34" w:rsidP="00600AFF">
      <w:pPr>
        <w:pStyle w:val="Bodytext20"/>
        <w:shd w:val="clear" w:color="auto" w:fill="auto"/>
        <w:tabs>
          <w:tab w:val="left" w:pos="1639"/>
        </w:tabs>
        <w:spacing w:before="0" w:after="0" w:line="240" w:lineRule="auto"/>
        <w:ind w:firstLine="0"/>
        <w:jc w:val="both"/>
        <w:rPr>
          <w:noProof/>
          <w:sz w:val="24"/>
        </w:rPr>
      </w:pPr>
      <w:r>
        <w:rPr>
          <w:sz w:val="24"/>
        </w:rPr>
        <w:t xml:space="preserve">36. Šajā lietā kaņepju augi tika audzēti un novākti Čehijas Republikā, un tur tika ekstrahēts </w:t>
      </w:r>
      <w:r>
        <w:rPr>
          <w:i/>
          <w:iCs/>
          <w:sz w:val="24"/>
        </w:rPr>
        <w:t>CBD</w:t>
      </w:r>
      <w:r>
        <w:rPr>
          <w:sz w:val="24"/>
        </w:rPr>
        <w:t>.</w:t>
      </w:r>
    </w:p>
    <w:p w:rsidR="00B24B34" w:rsidRDefault="00B24B34" w:rsidP="00B24B34">
      <w:pPr>
        <w:pStyle w:val="Bodytext20"/>
        <w:shd w:val="clear" w:color="auto" w:fill="auto"/>
        <w:tabs>
          <w:tab w:val="left" w:pos="1639"/>
        </w:tabs>
        <w:spacing w:before="0" w:after="0" w:line="240" w:lineRule="auto"/>
        <w:ind w:firstLine="0"/>
        <w:jc w:val="both"/>
        <w:rPr>
          <w:noProof/>
          <w:sz w:val="24"/>
          <w:lang w:val="en-US"/>
        </w:rPr>
      </w:pPr>
    </w:p>
    <w:p w:rsidR="002875DF" w:rsidRPr="00D02CE0" w:rsidRDefault="00B24B34" w:rsidP="00B24B34">
      <w:pPr>
        <w:pStyle w:val="Bodytext20"/>
        <w:shd w:val="clear" w:color="auto" w:fill="auto"/>
        <w:tabs>
          <w:tab w:val="left" w:pos="1639"/>
        </w:tabs>
        <w:spacing w:before="0" w:after="0" w:line="240" w:lineRule="auto"/>
        <w:ind w:firstLine="0"/>
        <w:jc w:val="both"/>
        <w:rPr>
          <w:noProof/>
          <w:sz w:val="24"/>
        </w:rPr>
      </w:pPr>
      <w:r>
        <w:rPr>
          <w:sz w:val="24"/>
        </w:rPr>
        <w:t xml:space="preserve">37. No šo apsvērumu 25.–33. punkta izriet, ka šajā lietā apskatītās kaņepes tika likumīgi audzētas, ievērojot noteikumus, kas piemērojami saskaņā ar kopējo lauksaimniecības politiku. Šķiet, nav strīda par to, ka </w:t>
      </w:r>
      <w:r>
        <w:rPr>
          <w:i/>
          <w:iCs/>
          <w:sz w:val="24"/>
        </w:rPr>
        <w:t>THC</w:t>
      </w:r>
      <w:r>
        <w:rPr>
          <w:sz w:val="24"/>
        </w:rPr>
        <w:t xml:space="preserve"> saturs izmantotajās kaņepēs nepārsniedz Regulas Nr. 1307/2013 32. panta 6. punktā noteikto robežvērtību. Tādējādi, pamatojoties uz pieteikumā sniegtajiem pierādījumiem, var secināt, ka šajā lietā apskatītās kaņepes tika likumīgi audzētas un iegūtas Čehijas Republikā.</w:t>
      </w:r>
    </w:p>
    <w:p w:rsidR="00B24B34" w:rsidRDefault="00B24B34" w:rsidP="00B24B34">
      <w:pPr>
        <w:pStyle w:val="Bodytext20"/>
        <w:shd w:val="clear" w:color="auto" w:fill="auto"/>
        <w:tabs>
          <w:tab w:val="left" w:pos="1639"/>
        </w:tabs>
        <w:spacing w:before="0" w:after="0" w:line="240" w:lineRule="auto"/>
        <w:ind w:firstLine="0"/>
        <w:jc w:val="both"/>
        <w:rPr>
          <w:noProof/>
          <w:sz w:val="24"/>
          <w:lang w:val="en-US"/>
        </w:rPr>
      </w:pPr>
    </w:p>
    <w:p w:rsidR="002875DF" w:rsidRPr="00D02CE0" w:rsidRDefault="00B24B34" w:rsidP="00B24B34">
      <w:pPr>
        <w:pStyle w:val="Bodytext20"/>
        <w:shd w:val="clear" w:color="auto" w:fill="auto"/>
        <w:tabs>
          <w:tab w:val="left" w:pos="1639"/>
        </w:tabs>
        <w:spacing w:before="0" w:after="0" w:line="240" w:lineRule="auto"/>
        <w:ind w:firstLine="0"/>
        <w:jc w:val="both"/>
        <w:rPr>
          <w:noProof/>
          <w:sz w:val="24"/>
        </w:rPr>
      </w:pPr>
      <w:r>
        <w:rPr>
          <w:sz w:val="24"/>
        </w:rPr>
        <w:t xml:space="preserve">38. Turklāt no kaņepēm iegūtais </w:t>
      </w:r>
      <w:r>
        <w:rPr>
          <w:i/>
          <w:iCs/>
          <w:sz w:val="24"/>
        </w:rPr>
        <w:t>CBD</w:t>
      </w:r>
      <w:r>
        <w:rPr>
          <w:sz w:val="24"/>
        </w:rPr>
        <w:t>, šķiet, arī bija likumīgi iegūts un ražots Čehijas Republikā.</w:t>
      </w:r>
    </w:p>
    <w:p w:rsidR="00B24B34" w:rsidRDefault="00B24B34" w:rsidP="00B24B34">
      <w:pPr>
        <w:pStyle w:val="Bodytext20"/>
        <w:shd w:val="clear" w:color="auto" w:fill="auto"/>
        <w:tabs>
          <w:tab w:val="left" w:pos="1639"/>
        </w:tabs>
        <w:spacing w:before="0" w:after="0" w:line="240" w:lineRule="auto"/>
        <w:ind w:firstLine="0"/>
        <w:jc w:val="both"/>
        <w:rPr>
          <w:noProof/>
          <w:sz w:val="24"/>
          <w:lang w:val="en-US"/>
        </w:rPr>
      </w:pPr>
    </w:p>
    <w:p w:rsidR="00D02CE0" w:rsidRPr="00D02CE0" w:rsidRDefault="00B24B34" w:rsidP="00B24B34">
      <w:pPr>
        <w:pStyle w:val="Bodytext20"/>
        <w:shd w:val="clear" w:color="auto" w:fill="auto"/>
        <w:tabs>
          <w:tab w:val="left" w:pos="1639"/>
        </w:tabs>
        <w:spacing w:before="0" w:after="0" w:line="240" w:lineRule="auto"/>
        <w:ind w:firstLine="0"/>
        <w:jc w:val="both"/>
        <w:rPr>
          <w:noProof/>
          <w:sz w:val="24"/>
        </w:rPr>
      </w:pPr>
      <w:r>
        <w:rPr>
          <w:sz w:val="24"/>
        </w:rPr>
        <w:t>39. Tādējādi Sabiedrības veselības kodeksa R5132-86. panta un 1990. gada 22. augusta rīkojuma kopējā ietekme ir tāda, ka Francijā ir ieviests pasākums, kura ietekme ir līdzvērtīga kvantitatīvam ierobežojumam, kas ir aizliegts saskaņā ar LESD 34. pantu. Saskaņā ar klasisko judikatūru jebkurš pasākums, kas var tieši vai netieši, faktiski vai iespējami ietekmēt tirdzniecību starp dalībvalstīm, ir šķērslis tirdzniecībai</w:t>
      </w:r>
      <w:r>
        <w:rPr>
          <w:rStyle w:val="Vresatsauce"/>
          <w:noProof/>
          <w:sz w:val="24"/>
          <w:lang w:val="en-US"/>
        </w:rPr>
        <w:footnoteReference w:id="18"/>
      </w:r>
      <w:r>
        <w:rPr>
          <w:sz w:val="24"/>
        </w:rPr>
        <w:t>. Tas, ka tirdzniecība notiek ar produktiem, kas tiek uzskatīti par narkotiskām vielām, neko nemaina. Saskaņā ar iedibināto judikatūru:</w:t>
      </w:r>
    </w:p>
    <w:p w:rsidR="00B24B34" w:rsidRDefault="00B24B34" w:rsidP="00B540B1">
      <w:pPr>
        <w:pStyle w:val="Bodytext20"/>
        <w:shd w:val="clear" w:color="auto" w:fill="auto"/>
        <w:spacing w:before="0" w:after="0" w:line="240" w:lineRule="auto"/>
        <w:ind w:firstLine="0"/>
        <w:jc w:val="both"/>
        <w:rPr>
          <w:noProof/>
          <w:sz w:val="24"/>
          <w:lang w:val="en-US"/>
        </w:rPr>
      </w:pPr>
    </w:p>
    <w:p w:rsidR="002875DF" w:rsidRPr="00D02CE0" w:rsidRDefault="002875DF" w:rsidP="00B24B34">
      <w:pPr>
        <w:pStyle w:val="Bodytext20"/>
        <w:shd w:val="clear" w:color="auto" w:fill="auto"/>
        <w:spacing w:before="0" w:after="0" w:line="240" w:lineRule="auto"/>
        <w:ind w:left="426" w:firstLine="0"/>
        <w:jc w:val="both"/>
        <w:rPr>
          <w:noProof/>
          <w:sz w:val="24"/>
        </w:rPr>
      </w:pPr>
      <w:r>
        <w:rPr>
          <w:sz w:val="24"/>
        </w:rPr>
        <w:t>“[uz produktiem], kas pārvesti pāri robežai komerciālu darījumu nolūkā, attiecas Līguma [34.] pants, neatkarīgi no tā, kāda ir šo darījumu būtība (..)”</w:t>
      </w:r>
      <w:r w:rsidR="00485824">
        <w:rPr>
          <w:rStyle w:val="Vresatsauce"/>
          <w:noProof/>
          <w:sz w:val="24"/>
          <w:lang w:val="en-US"/>
        </w:rPr>
        <w:footnoteReference w:id="19"/>
      </w:r>
    </w:p>
    <w:p w:rsidR="00B24B34" w:rsidRDefault="00B24B34" w:rsidP="00B24B34">
      <w:pPr>
        <w:pStyle w:val="Bodytext20"/>
        <w:shd w:val="clear" w:color="auto" w:fill="auto"/>
        <w:tabs>
          <w:tab w:val="left" w:pos="1645"/>
        </w:tabs>
        <w:spacing w:before="0" w:after="0" w:line="240" w:lineRule="auto"/>
        <w:ind w:firstLine="0"/>
        <w:jc w:val="both"/>
        <w:rPr>
          <w:noProof/>
          <w:sz w:val="24"/>
          <w:lang w:val="en-US"/>
        </w:rPr>
      </w:pPr>
    </w:p>
    <w:p w:rsidR="002875DF" w:rsidRPr="00D02CE0" w:rsidRDefault="00B24B34" w:rsidP="00B24B34">
      <w:pPr>
        <w:pStyle w:val="Bodytext20"/>
        <w:shd w:val="clear" w:color="auto" w:fill="auto"/>
        <w:tabs>
          <w:tab w:val="left" w:pos="1645"/>
        </w:tabs>
        <w:spacing w:before="0" w:after="0" w:line="240" w:lineRule="auto"/>
        <w:ind w:firstLine="0"/>
        <w:jc w:val="both"/>
        <w:rPr>
          <w:noProof/>
          <w:sz w:val="24"/>
        </w:rPr>
      </w:pPr>
      <w:r>
        <w:rPr>
          <w:sz w:val="24"/>
        </w:rPr>
        <w:t>40. Tiesa precizēja, ka:</w:t>
      </w:r>
    </w:p>
    <w:p w:rsidR="00B24B34" w:rsidRDefault="00B24B34" w:rsidP="00B540B1">
      <w:pPr>
        <w:pStyle w:val="Bodytext20"/>
        <w:shd w:val="clear" w:color="auto" w:fill="auto"/>
        <w:spacing w:before="0" w:after="0" w:line="240" w:lineRule="auto"/>
        <w:ind w:firstLine="0"/>
        <w:jc w:val="both"/>
        <w:rPr>
          <w:noProof/>
          <w:sz w:val="24"/>
          <w:lang w:val="en-US"/>
        </w:rPr>
      </w:pPr>
    </w:p>
    <w:p w:rsidR="002875DF" w:rsidRPr="00D02CE0" w:rsidRDefault="002875DF" w:rsidP="00B540B1">
      <w:pPr>
        <w:pStyle w:val="Bodytext20"/>
        <w:shd w:val="clear" w:color="auto" w:fill="auto"/>
        <w:spacing w:before="0" w:after="0" w:line="240" w:lineRule="auto"/>
        <w:ind w:firstLine="0"/>
        <w:jc w:val="both"/>
        <w:rPr>
          <w:noProof/>
          <w:sz w:val="24"/>
        </w:rPr>
      </w:pPr>
      <w:r>
        <w:rPr>
          <w:sz w:val="24"/>
        </w:rPr>
        <w:t>“(..) valsts prakse, kas ietver aizliegumu importēt narkotiskās vielas, attiecas uz Līguma [34.] panta piemērošanas jomu, jo ietekmē tirdzniecību [starp dalībvalstīm].”</w:t>
      </w:r>
      <w:r w:rsidR="00485824">
        <w:rPr>
          <w:rStyle w:val="Vresatsauce"/>
          <w:noProof/>
          <w:sz w:val="24"/>
          <w:lang w:val="en-US"/>
        </w:rPr>
        <w:footnoteReference w:id="20"/>
      </w:r>
    </w:p>
    <w:p w:rsidR="00B24B34" w:rsidRDefault="00B24B34" w:rsidP="00B24B34">
      <w:pPr>
        <w:pStyle w:val="Bodytext20"/>
        <w:shd w:val="clear" w:color="auto" w:fill="auto"/>
        <w:tabs>
          <w:tab w:val="left" w:pos="1645"/>
        </w:tabs>
        <w:spacing w:before="0" w:after="0" w:line="240" w:lineRule="auto"/>
        <w:ind w:firstLine="0"/>
        <w:jc w:val="both"/>
        <w:rPr>
          <w:noProof/>
          <w:sz w:val="24"/>
          <w:lang w:val="en-US"/>
        </w:rPr>
      </w:pPr>
    </w:p>
    <w:p w:rsidR="002875DF" w:rsidRDefault="00B24B34" w:rsidP="00B24B34">
      <w:pPr>
        <w:pStyle w:val="Bodytext20"/>
        <w:shd w:val="clear" w:color="auto" w:fill="auto"/>
        <w:tabs>
          <w:tab w:val="left" w:pos="1645"/>
        </w:tabs>
        <w:spacing w:before="0" w:after="0" w:line="240" w:lineRule="auto"/>
        <w:ind w:firstLine="0"/>
        <w:jc w:val="both"/>
        <w:rPr>
          <w:noProof/>
          <w:sz w:val="24"/>
        </w:rPr>
      </w:pPr>
      <w:r>
        <w:rPr>
          <w:sz w:val="24"/>
        </w:rPr>
        <w:t>41. Tomēr Francija saskaņā ar LESD 36. pantu var paturēt spēkā valsts pasākumus, kas ir pretrunā LESD 34. pantam, lai aizsargātu cilvēku veselību.</w:t>
      </w:r>
      <w:r w:rsidR="00485824">
        <w:rPr>
          <w:rStyle w:val="Vresatsauce"/>
          <w:noProof/>
          <w:sz w:val="24"/>
          <w:lang w:val="en-US"/>
        </w:rPr>
        <w:footnoteReference w:id="21"/>
      </w:r>
      <w:r>
        <w:rPr>
          <w:sz w:val="24"/>
          <w:vertAlign w:val="superscript"/>
        </w:rPr>
        <w:t xml:space="preserve"> </w:t>
      </w:r>
      <w:r>
        <w:rPr>
          <w:sz w:val="24"/>
        </w:rPr>
        <w:t>Šādā gadījumā saskaņā ar vispāratzīto judikatūru:</w:t>
      </w:r>
    </w:p>
    <w:p w:rsidR="00B24B34" w:rsidRPr="00D02CE0" w:rsidRDefault="00B24B34" w:rsidP="00B24B34">
      <w:pPr>
        <w:pStyle w:val="Bodytext20"/>
        <w:shd w:val="clear" w:color="auto" w:fill="auto"/>
        <w:tabs>
          <w:tab w:val="left" w:pos="1645"/>
        </w:tabs>
        <w:spacing w:before="0" w:after="0" w:line="240" w:lineRule="auto"/>
        <w:ind w:firstLine="0"/>
        <w:jc w:val="both"/>
        <w:rPr>
          <w:noProof/>
          <w:sz w:val="24"/>
          <w:lang w:val="en-US"/>
        </w:rPr>
      </w:pPr>
    </w:p>
    <w:p w:rsidR="002875DF" w:rsidRPr="00D02CE0" w:rsidRDefault="002875DF" w:rsidP="00B540B1">
      <w:pPr>
        <w:pStyle w:val="Bodytext20"/>
        <w:shd w:val="clear" w:color="auto" w:fill="auto"/>
        <w:spacing w:before="0" w:after="0" w:line="240" w:lineRule="auto"/>
        <w:ind w:firstLine="0"/>
        <w:jc w:val="both"/>
        <w:rPr>
          <w:noProof/>
          <w:sz w:val="24"/>
        </w:rPr>
      </w:pPr>
      <w:r>
        <w:rPr>
          <w:sz w:val="24"/>
        </w:rPr>
        <w:t xml:space="preserve">“(..) ir jāatgādina, ka valsts iestādēm, veicot tādu pasākumu, kas ietver atkāpi no kāda </w:t>
      </w:r>
      <w:r>
        <w:rPr>
          <w:sz w:val="24"/>
        </w:rPr>
        <w:lastRenderedPageBreak/>
        <w:t>Savienības tiesībās paredzēta principa, katrā konkrētajā gadījumā ir jāpierāda, ka šis pasākums ir piemērots izvirzītā mērķa sasniegšanai un nepārsniedz to, kas tā sasniegšanai nepieciešams. Attaisnojošajiem iemesliem, uz ko dalībvalsts var atsaukties, ir jābūt papildinātiem ar šīs valsts veiktā pasākuma piemērotības un samērīguma analīzi, kā arī ar precīzu informāciju, kas var pamatot tās argumentāciju (..)”</w:t>
      </w:r>
      <w:r w:rsidR="00485824">
        <w:rPr>
          <w:rStyle w:val="Vresatsauce"/>
          <w:noProof/>
          <w:sz w:val="24"/>
          <w:lang w:val="en-US"/>
        </w:rPr>
        <w:footnoteReference w:id="22"/>
      </w:r>
    </w:p>
    <w:p w:rsidR="00B24B34" w:rsidRDefault="00B24B34" w:rsidP="00B24B34">
      <w:pPr>
        <w:pStyle w:val="Bodytext20"/>
        <w:shd w:val="clear" w:color="auto" w:fill="auto"/>
        <w:tabs>
          <w:tab w:val="left" w:pos="1645"/>
        </w:tabs>
        <w:spacing w:before="0" w:after="0" w:line="240" w:lineRule="auto"/>
        <w:ind w:firstLine="0"/>
        <w:jc w:val="both"/>
        <w:rPr>
          <w:noProof/>
          <w:sz w:val="24"/>
          <w:lang w:val="en-US"/>
        </w:rPr>
      </w:pPr>
    </w:p>
    <w:p w:rsidR="002875DF" w:rsidRPr="00485824" w:rsidRDefault="00B24B34" w:rsidP="00485824">
      <w:pPr>
        <w:pStyle w:val="Bodytext20"/>
        <w:shd w:val="clear" w:color="auto" w:fill="auto"/>
        <w:tabs>
          <w:tab w:val="left" w:pos="1645"/>
        </w:tabs>
        <w:spacing w:before="0" w:after="0" w:line="240" w:lineRule="auto"/>
        <w:ind w:firstLine="0"/>
        <w:jc w:val="both"/>
        <w:rPr>
          <w:noProof/>
          <w:sz w:val="24"/>
        </w:rPr>
      </w:pPr>
      <w:r>
        <w:rPr>
          <w:sz w:val="24"/>
        </w:rPr>
        <w:t>42. Jākonstatē, ka šajā lietas posmā ierobežojošajam pasākumam nav nekāda pamatojuma. Tāpēc iesniedzējtiesai jāpārliecinās, vai šķērslis preču brīvai apritei, ko rada Sabiedrības veselības kodeksa R5132-86. panta un 1990. gada 22. augusta rīkojuma kopējā ietekme, ir attaisnojams ar mērķi aizsargāt cilvēku veselību, un vai šīs tiesību normas ir piemērotas un samērīgas</w:t>
      </w:r>
      <w:r w:rsidR="00485824">
        <w:rPr>
          <w:rStyle w:val="Vresatsauce"/>
          <w:noProof/>
          <w:sz w:val="24"/>
          <w:lang w:val="en-US"/>
        </w:rPr>
        <w:footnoteReference w:id="23"/>
      </w:r>
      <w:r>
        <w:rPr>
          <w:sz w:val="24"/>
        </w:rPr>
        <w:t>.</w:t>
      </w:r>
    </w:p>
    <w:p w:rsidR="00485824" w:rsidRDefault="00485824" w:rsidP="00485824">
      <w:pPr>
        <w:pStyle w:val="Bodytext20"/>
        <w:shd w:val="clear" w:color="auto" w:fill="auto"/>
        <w:tabs>
          <w:tab w:val="left" w:pos="485"/>
        </w:tabs>
        <w:spacing w:before="0" w:after="0" w:line="240" w:lineRule="auto"/>
        <w:ind w:firstLine="0"/>
        <w:jc w:val="both"/>
        <w:rPr>
          <w:noProof/>
          <w:sz w:val="24"/>
          <w:lang w:val="en-US"/>
        </w:rPr>
      </w:pPr>
    </w:p>
    <w:p w:rsidR="002875DF" w:rsidRPr="00D02CE0" w:rsidRDefault="00485824" w:rsidP="00485824">
      <w:pPr>
        <w:pStyle w:val="Bodytext20"/>
        <w:shd w:val="clear" w:color="auto" w:fill="auto"/>
        <w:tabs>
          <w:tab w:val="left" w:pos="485"/>
        </w:tabs>
        <w:spacing w:before="0" w:after="0" w:line="240" w:lineRule="auto"/>
        <w:ind w:firstLine="0"/>
        <w:jc w:val="both"/>
        <w:rPr>
          <w:noProof/>
          <w:sz w:val="24"/>
        </w:rPr>
      </w:pPr>
      <w:r>
        <w:rPr>
          <w:sz w:val="24"/>
        </w:rPr>
        <w:t>43. Komisija uzskata, ka šajā lietā ir grūti šaurā nozīmē pamatot Francijas tiesību normas saskaņā ar LESD 36. pantu ar mērķi aizsargāt cilvēku veselību.</w:t>
      </w:r>
    </w:p>
    <w:p w:rsidR="00485824" w:rsidRDefault="00485824" w:rsidP="00485824">
      <w:pPr>
        <w:pStyle w:val="Bodytext20"/>
        <w:shd w:val="clear" w:color="auto" w:fill="auto"/>
        <w:tabs>
          <w:tab w:val="left" w:pos="485"/>
        </w:tabs>
        <w:spacing w:before="0" w:after="0" w:line="240" w:lineRule="auto"/>
        <w:ind w:firstLine="0"/>
        <w:jc w:val="both"/>
        <w:rPr>
          <w:noProof/>
          <w:sz w:val="24"/>
          <w:lang w:val="en-US"/>
        </w:rPr>
      </w:pPr>
    </w:p>
    <w:p w:rsidR="002875DF" w:rsidRPr="00D02CE0" w:rsidRDefault="00485824" w:rsidP="00485824">
      <w:pPr>
        <w:pStyle w:val="Bodytext20"/>
        <w:shd w:val="clear" w:color="auto" w:fill="auto"/>
        <w:tabs>
          <w:tab w:val="left" w:pos="485"/>
        </w:tabs>
        <w:spacing w:before="0" w:after="0" w:line="240" w:lineRule="auto"/>
        <w:ind w:firstLine="0"/>
        <w:jc w:val="both"/>
        <w:rPr>
          <w:noProof/>
          <w:sz w:val="24"/>
        </w:rPr>
      </w:pPr>
      <w:r>
        <w:rPr>
          <w:sz w:val="24"/>
        </w:rPr>
        <w:t xml:space="preserve">44. Ir taisnība, ka saskaņā ar iedibināto judikatūru jautājumā par sabiedrības veselības aizsardzību, </w:t>
      </w:r>
      <w:r>
        <w:rPr>
          <w:rStyle w:val="Bodytext21"/>
          <w:sz w:val="24"/>
        </w:rPr>
        <w:t>tā kā pašlaik zinātniskajā izpētē vēl ir neskaidrības un nesaskaņotība</w:t>
      </w:r>
      <w:r>
        <w:rPr>
          <w:sz w:val="24"/>
        </w:rPr>
        <w:t>, dalībvalstīm jāpieņem lēmumi par līmeni, kādā tās paredzējušas nodrošināt cilvēku veselības un dzīvības aizsardzību, vienlaikus ņemot vērā noteikumu par preču brīvu apriti ES iekšējā tirgū</w:t>
      </w:r>
      <w:r>
        <w:rPr>
          <w:rStyle w:val="Vresatsauce"/>
          <w:noProof/>
          <w:sz w:val="24"/>
          <w:lang w:val="en-US"/>
        </w:rPr>
        <w:footnoteReference w:id="24"/>
      </w:r>
      <w:r>
        <w:rPr>
          <w:sz w:val="24"/>
        </w:rPr>
        <w:t>.</w:t>
      </w:r>
      <w:r>
        <w:rPr>
          <w:sz w:val="24"/>
          <w:vertAlign w:val="superscript"/>
        </w:rPr>
        <w:t xml:space="preserve"> </w:t>
      </w:r>
      <w:r>
        <w:rPr>
          <w:sz w:val="24"/>
        </w:rPr>
        <w:t>Dalībvalstīm ir zināma brīvība, lai izlemtu, kādā līmenī tās vēlas nodrošināt sabiedrības veselības aizsardzību, kuras svarīgums ir apstiprināts LESD 168. panta 1. punktā un Eiropas Savienības Pamattiesību hartas 35. pantā</w:t>
      </w:r>
      <w:r>
        <w:rPr>
          <w:rStyle w:val="Vresatsauce"/>
          <w:noProof/>
          <w:sz w:val="24"/>
          <w:lang w:val="en-US"/>
        </w:rPr>
        <w:footnoteReference w:id="25"/>
      </w:r>
      <w:r>
        <w:rPr>
          <w:sz w:val="24"/>
        </w:rPr>
        <w:t>.</w:t>
      </w:r>
    </w:p>
    <w:p w:rsidR="00485824" w:rsidRDefault="00485824" w:rsidP="00485824">
      <w:pPr>
        <w:pStyle w:val="Bodytext20"/>
        <w:shd w:val="clear" w:color="auto" w:fill="auto"/>
        <w:tabs>
          <w:tab w:val="left" w:pos="485"/>
        </w:tabs>
        <w:spacing w:before="0" w:after="0" w:line="240" w:lineRule="auto"/>
        <w:ind w:firstLine="0"/>
        <w:jc w:val="both"/>
        <w:rPr>
          <w:noProof/>
          <w:sz w:val="24"/>
          <w:lang w:val="en-US"/>
        </w:rPr>
      </w:pPr>
    </w:p>
    <w:p w:rsidR="002875DF" w:rsidRPr="00D02CE0" w:rsidRDefault="00485824" w:rsidP="00485824">
      <w:pPr>
        <w:pStyle w:val="Bodytext20"/>
        <w:shd w:val="clear" w:color="auto" w:fill="auto"/>
        <w:tabs>
          <w:tab w:val="left" w:pos="485"/>
        </w:tabs>
        <w:spacing w:before="0" w:after="0" w:line="240" w:lineRule="auto"/>
        <w:ind w:firstLine="0"/>
        <w:jc w:val="both"/>
        <w:rPr>
          <w:noProof/>
          <w:sz w:val="24"/>
        </w:rPr>
      </w:pPr>
      <w:r>
        <w:rPr>
          <w:sz w:val="24"/>
        </w:rPr>
        <w:t>45. Lai arī Regulas Nr. 1307/2013 32. panta 6. punktā nav ietverts tetrahidrokanabinola maksimālā pieļaujamā satura saskaņošanas pasākums tiešā nozīmē, šāds noteikums liecina atbilstoši iepriekš 31. un 32. punktā minētajai judikatūrai, ka ir jāņem vērā riski cilvēka veselībai, ko rada kanabisa lietošana.</w:t>
      </w:r>
    </w:p>
    <w:p w:rsidR="00485824" w:rsidRDefault="00485824" w:rsidP="00485824">
      <w:pPr>
        <w:pStyle w:val="Bodytext20"/>
        <w:shd w:val="clear" w:color="auto" w:fill="auto"/>
        <w:tabs>
          <w:tab w:val="left" w:pos="485"/>
        </w:tabs>
        <w:spacing w:before="0" w:after="0" w:line="240" w:lineRule="auto"/>
        <w:ind w:firstLine="0"/>
        <w:jc w:val="both"/>
        <w:rPr>
          <w:noProof/>
          <w:sz w:val="24"/>
          <w:lang w:val="en-US"/>
        </w:rPr>
      </w:pPr>
    </w:p>
    <w:p w:rsidR="002875DF" w:rsidRDefault="00485824" w:rsidP="00485824">
      <w:pPr>
        <w:pStyle w:val="Bodytext20"/>
        <w:shd w:val="clear" w:color="auto" w:fill="auto"/>
        <w:tabs>
          <w:tab w:val="left" w:pos="485"/>
        </w:tabs>
        <w:spacing w:before="0" w:after="0" w:line="240" w:lineRule="auto"/>
        <w:ind w:firstLine="0"/>
        <w:jc w:val="both"/>
        <w:rPr>
          <w:noProof/>
          <w:sz w:val="24"/>
        </w:rPr>
      </w:pPr>
      <w:r>
        <w:rPr>
          <w:sz w:val="24"/>
        </w:rPr>
        <w:t xml:space="preserve">46. Turklāt šā brīža zinātniskie pētījumi liecina, ka, šķiet, gandrīz nav šaubu par </w:t>
      </w:r>
      <w:r>
        <w:rPr>
          <w:i/>
          <w:iCs/>
          <w:sz w:val="24"/>
        </w:rPr>
        <w:t>CBD</w:t>
      </w:r>
      <w:r>
        <w:rPr>
          <w:sz w:val="24"/>
        </w:rPr>
        <w:t xml:space="preserve"> nekaitīgumu. No vienas puses, Francijas tiesību aktos </w:t>
      </w:r>
      <w:r>
        <w:rPr>
          <w:i/>
          <w:iCs/>
          <w:sz w:val="24"/>
        </w:rPr>
        <w:t>CBD</w:t>
      </w:r>
      <w:r>
        <w:rPr>
          <w:sz w:val="24"/>
        </w:rPr>
        <w:t xml:space="preserve"> netiek klasificēts aizliegto narkotisko vielu sarakstā. Ar Francijas 2018. gada 27. decembra Dekrētu Nr. 2018-1283, kurā publicēti Starptautiskās konvencijas pret dopingu sportā I pielikuma grozījumi, kanabidiols (</w:t>
      </w:r>
      <w:r>
        <w:rPr>
          <w:i/>
          <w:iCs/>
          <w:sz w:val="24"/>
        </w:rPr>
        <w:t>CBD</w:t>
      </w:r>
      <w:r>
        <w:rPr>
          <w:sz w:val="24"/>
        </w:rPr>
        <w:t>) ir izņemts no dopinga vielu saraksta.</w:t>
      </w:r>
    </w:p>
    <w:p w:rsidR="00485824" w:rsidRPr="00D02CE0" w:rsidRDefault="00485824" w:rsidP="00485824">
      <w:pPr>
        <w:pStyle w:val="Bodytext20"/>
        <w:shd w:val="clear" w:color="auto" w:fill="auto"/>
        <w:tabs>
          <w:tab w:val="left" w:pos="485"/>
        </w:tabs>
        <w:spacing w:before="0" w:after="0" w:line="240" w:lineRule="auto"/>
        <w:ind w:firstLine="0"/>
        <w:jc w:val="both"/>
        <w:rPr>
          <w:noProof/>
          <w:sz w:val="24"/>
          <w:lang w:val="en-US"/>
        </w:rPr>
      </w:pPr>
    </w:p>
    <w:p w:rsidR="002875DF" w:rsidRPr="00D02CE0" w:rsidRDefault="00485824" w:rsidP="00485824">
      <w:pPr>
        <w:pStyle w:val="Bodytext20"/>
        <w:shd w:val="clear" w:color="auto" w:fill="auto"/>
        <w:tabs>
          <w:tab w:val="left" w:pos="485"/>
        </w:tabs>
        <w:spacing w:before="0" w:after="0" w:line="240" w:lineRule="auto"/>
        <w:ind w:firstLine="0"/>
        <w:jc w:val="both"/>
        <w:rPr>
          <w:noProof/>
          <w:sz w:val="24"/>
        </w:rPr>
      </w:pPr>
      <w:r>
        <w:rPr>
          <w:sz w:val="24"/>
        </w:rPr>
        <w:t>47. No otras puses, Pasaules Veselības organizācija 2017. gadā uzskatīja, ka:</w:t>
      </w:r>
    </w:p>
    <w:p w:rsidR="00485824" w:rsidRDefault="00485824" w:rsidP="00B540B1">
      <w:pPr>
        <w:pStyle w:val="Bodytext20"/>
        <w:shd w:val="clear" w:color="auto" w:fill="auto"/>
        <w:spacing w:before="0" w:after="0" w:line="240" w:lineRule="auto"/>
        <w:ind w:firstLine="0"/>
        <w:jc w:val="both"/>
        <w:rPr>
          <w:noProof/>
          <w:sz w:val="24"/>
          <w:lang w:val="en-US"/>
        </w:rPr>
      </w:pPr>
    </w:p>
    <w:p w:rsidR="002875DF" w:rsidRPr="00D02CE0" w:rsidRDefault="002875DF" w:rsidP="00B540B1">
      <w:pPr>
        <w:pStyle w:val="Bodytext20"/>
        <w:shd w:val="clear" w:color="auto" w:fill="auto"/>
        <w:spacing w:before="0" w:after="0" w:line="240" w:lineRule="auto"/>
        <w:ind w:firstLine="0"/>
        <w:jc w:val="both"/>
        <w:rPr>
          <w:noProof/>
          <w:sz w:val="24"/>
        </w:rPr>
      </w:pPr>
      <w:r>
        <w:rPr>
          <w:sz w:val="24"/>
        </w:rPr>
        <w:t>“Savā 2017. gada novembra sanāksmē PVO Ekspertu komiteja narkotisko vielu atkarības jautājumos ir secinājusi, ka tīrā veidā kanabidiols (</w:t>
      </w:r>
      <w:r>
        <w:rPr>
          <w:i/>
          <w:iCs/>
          <w:sz w:val="24"/>
        </w:rPr>
        <w:t>CBD</w:t>
      </w:r>
      <w:r>
        <w:rPr>
          <w:sz w:val="24"/>
        </w:rPr>
        <w:t xml:space="preserve">), šķiet, nerada ne ļaunprātīgas izmantošanas risku, ne kaitējumu veselībai. Tādējādi, tā kā pats kanabidiols šobrīd nav klasificēto vielu sarakstā (tikai kā kanabisa ekstraktu komponents), šā brīža informācija nedod </w:t>
      </w:r>
      <w:r>
        <w:rPr>
          <w:sz w:val="24"/>
        </w:rPr>
        <w:lastRenderedPageBreak/>
        <w:t>pamatu mainīt tā statusu, ne arī klasificēt šo vielu. (..)”</w:t>
      </w:r>
      <w:r w:rsidR="00485824">
        <w:rPr>
          <w:rStyle w:val="Vresatsauce"/>
          <w:noProof/>
          <w:sz w:val="24"/>
          <w:lang w:val="en-US"/>
        </w:rPr>
        <w:footnoteReference w:id="26"/>
      </w:r>
      <w:r>
        <w:rPr>
          <w:sz w:val="24"/>
          <w:vertAlign w:val="superscript"/>
        </w:rPr>
        <w:t xml:space="preserve"> </w:t>
      </w:r>
      <w:r w:rsidR="00485824">
        <w:rPr>
          <w:rStyle w:val="Vresatsauce"/>
          <w:noProof/>
          <w:sz w:val="24"/>
          <w:lang w:val="en-US"/>
        </w:rPr>
        <w:footnoteReference w:id="27"/>
      </w:r>
    </w:p>
    <w:p w:rsidR="00485824" w:rsidRDefault="00485824" w:rsidP="00485824">
      <w:pPr>
        <w:pStyle w:val="Bodytext20"/>
        <w:shd w:val="clear" w:color="auto" w:fill="auto"/>
        <w:tabs>
          <w:tab w:val="left" w:pos="485"/>
        </w:tabs>
        <w:spacing w:before="0" w:after="0" w:line="240" w:lineRule="auto"/>
        <w:ind w:firstLine="0"/>
        <w:jc w:val="both"/>
        <w:rPr>
          <w:noProof/>
          <w:sz w:val="24"/>
          <w:lang w:val="en-US"/>
        </w:rPr>
      </w:pPr>
    </w:p>
    <w:p w:rsidR="002875DF" w:rsidRPr="00D02CE0" w:rsidRDefault="00485824" w:rsidP="00485824">
      <w:pPr>
        <w:pStyle w:val="Bodytext20"/>
        <w:shd w:val="clear" w:color="auto" w:fill="auto"/>
        <w:tabs>
          <w:tab w:val="left" w:pos="485"/>
        </w:tabs>
        <w:spacing w:before="0" w:after="0" w:line="240" w:lineRule="auto"/>
        <w:ind w:firstLine="0"/>
        <w:jc w:val="both"/>
        <w:rPr>
          <w:noProof/>
          <w:sz w:val="24"/>
          <w:vertAlign w:val="superscript"/>
        </w:rPr>
      </w:pPr>
      <w:r>
        <w:rPr>
          <w:sz w:val="24"/>
        </w:rPr>
        <w:t xml:space="preserve">48. Komisija ar zināmu minstināšanos sākusi šaubīties, vai metodoloģija, ko izmantojušas Francijas iestādes, saskaņā ar kuru pieļaujamo </w:t>
      </w:r>
      <w:r>
        <w:rPr>
          <w:i/>
          <w:iCs/>
          <w:sz w:val="24"/>
        </w:rPr>
        <w:t>THC</w:t>
      </w:r>
      <w:r>
        <w:rPr>
          <w:sz w:val="24"/>
        </w:rPr>
        <w:t xml:space="preserve"> saturu 0,20 % piemēro kaņepju augam, nevis galaproduktam, kas no tā izgatavots</w:t>
      </w:r>
      <w:r>
        <w:rPr>
          <w:rStyle w:val="Vresatsauce"/>
          <w:noProof/>
          <w:sz w:val="24"/>
          <w:lang w:val="en-US"/>
        </w:rPr>
        <w:footnoteReference w:id="28"/>
      </w:r>
      <w:r>
        <w:rPr>
          <w:sz w:val="24"/>
        </w:rPr>
        <w:t xml:space="preserve">, ir piemērotākā metode, ko izmantot, lai novērtētu sabiedrības veselības riskus, ko varētu radīt produkts, kas satur </w:t>
      </w:r>
      <w:r>
        <w:rPr>
          <w:i/>
          <w:iCs/>
          <w:sz w:val="24"/>
        </w:rPr>
        <w:t>CBD</w:t>
      </w:r>
      <w:r>
        <w:rPr>
          <w:rStyle w:val="Vresatsauce"/>
          <w:noProof/>
          <w:sz w:val="24"/>
          <w:lang w:val="en-US"/>
        </w:rPr>
        <w:footnoteReference w:id="29"/>
      </w:r>
      <w:r>
        <w:rPr>
          <w:sz w:val="24"/>
        </w:rPr>
        <w:t>.</w:t>
      </w:r>
    </w:p>
    <w:p w:rsidR="00485824" w:rsidRDefault="00485824" w:rsidP="00485824">
      <w:pPr>
        <w:pStyle w:val="Bodytext20"/>
        <w:shd w:val="clear" w:color="auto" w:fill="auto"/>
        <w:tabs>
          <w:tab w:val="left" w:pos="485"/>
        </w:tabs>
        <w:spacing w:before="0" w:after="0" w:line="240" w:lineRule="auto"/>
        <w:ind w:firstLine="0"/>
        <w:jc w:val="both"/>
        <w:rPr>
          <w:noProof/>
          <w:sz w:val="24"/>
        </w:rPr>
      </w:pPr>
      <w:bookmarkStart w:id="23" w:name="bookmark14"/>
    </w:p>
    <w:p w:rsidR="002875DF" w:rsidRPr="00600AFF" w:rsidRDefault="00485824" w:rsidP="00485824">
      <w:pPr>
        <w:pStyle w:val="Bodytext20"/>
        <w:shd w:val="clear" w:color="auto" w:fill="auto"/>
        <w:tabs>
          <w:tab w:val="left" w:pos="485"/>
        </w:tabs>
        <w:spacing w:before="0" w:after="0" w:line="240" w:lineRule="auto"/>
        <w:ind w:firstLine="0"/>
        <w:jc w:val="both"/>
        <w:rPr>
          <w:noProof/>
          <w:sz w:val="24"/>
        </w:rPr>
      </w:pPr>
      <w:r>
        <w:rPr>
          <w:sz w:val="24"/>
        </w:rPr>
        <w:t xml:space="preserve">49. Francija savu tiesību normu varēja pamatot citādi, nevis ar cilvēka veselības aizsardzības mērķi. Visu kanabisam radniecīgu vielu vispārējs aizliegums </w:t>
      </w:r>
      <w:bookmarkEnd w:id="23"/>
      <w:r>
        <w:rPr>
          <w:sz w:val="24"/>
        </w:rPr>
        <w:t>varētu būt piemērotāks, lai novērstu, ka patērētāji jauc narkotiskās vielas, kas ir nepārprotami aizliegtas, ar citām no kaņepēm iegūtām vielām. No pieteikuma pielikuma 13. punkta izriet, ka B. S. un C. A. tika apsūdzēti narkotisko vielu nelikumīgas lietošanas kūdīšanā, pārkāpjot Sabiedrības veselības kodeksa L.3421-4. pantu, taču šīs apsūdzības tika noņemtas. Tādējādi lietā nav neviena pierādījuma, kas varētu atbalstīt šādu pamatojumu. Proti, kūdīšana nelegāli lietot narkotiskas vielas, pret ko ir vērsts L.3421-4. pants, Tieslietu ministrijas 2018. gada 23. jūlija paziņojumā (</w:t>
      </w:r>
      <w:r>
        <w:rPr>
          <w:b/>
          <w:bCs/>
          <w:sz w:val="24"/>
          <w:szCs w:val="24"/>
        </w:rPr>
        <w:t>B1. pielikums. Tieslietu ministrijas 2018. gada 23. jūlija paziņojums</w:t>
      </w:r>
      <w:r>
        <w:rPr>
          <w:sz w:val="24"/>
        </w:rPr>
        <w:t>) nav minēta to pārkāpumu sarakstā, kas varētu tikt konstatēti uzņēmumiem, kuri piedāvā publiskā pārdošanā kanabidiolu saturošus produktus.</w:t>
      </w:r>
    </w:p>
    <w:p w:rsidR="00485824" w:rsidRDefault="00485824" w:rsidP="00485824">
      <w:pPr>
        <w:pStyle w:val="Bodytext20"/>
        <w:shd w:val="clear" w:color="auto" w:fill="auto"/>
        <w:tabs>
          <w:tab w:val="left" w:pos="797"/>
        </w:tabs>
        <w:spacing w:before="0" w:after="0" w:line="240" w:lineRule="auto"/>
        <w:ind w:firstLine="0"/>
        <w:jc w:val="both"/>
        <w:rPr>
          <w:noProof/>
          <w:sz w:val="24"/>
          <w:lang w:val="en-US"/>
        </w:rPr>
      </w:pPr>
    </w:p>
    <w:p w:rsidR="002875DF" w:rsidRPr="00D02CE0" w:rsidRDefault="00485824" w:rsidP="00485824">
      <w:pPr>
        <w:pStyle w:val="Bodytext20"/>
        <w:shd w:val="clear" w:color="auto" w:fill="auto"/>
        <w:tabs>
          <w:tab w:val="left" w:pos="797"/>
        </w:tabs>
        <w:spacing w:before="0" w:after="0" w:line="240" w:lineRule="auto"/>
        <w:ind w:firstLine="0"/>
        <w:jc w:val="both"/>
        <w:rPr>
          <w:noProof/>
          <w:sz w:val="24"/>
        </w:rPr>
      </w:pPr>
      <w:r>
        <w:rPr>
          <w:sz w:val="24"/>
        </w:rPr>
        <w:t xml:space="preserve">50. Tādējādi Komisija uzskata, ka jāatbild iesniedzējtiesai, ka LESD 34. pants jāinterpretē tādējādi, ka valsts tiesību norma, kas tiek skatīta pamata lietā un kas aizliedz importēt, turēt un piedāvāt kanabidiolu jeb </w:t>
      </w:r>
      <w:r>
        <w:rPr>
          <w:i/>
          <w:iCs/>
          <w:sz w:val="24"/>
        </w:rPr>
        <w:t>CBD</w:t>
      </w:r>
      <w:r>
        <w:rPr>
          <w:sz w:val="24"/>
        </w:rPr>
        <w:t xml:space="preserve">, kurš iegūts no citā dalībvalstī likumīgi audzētu </w:t>
      </w:r>
      <w:r>
        <w:rPr>
          <w:i/>
          <w:iCs/>
          <w:sz w:val="24"/>
        </w:rPr>
        <w:t>cannabis sativa</w:t>
      </w:r>
      <w:r>
        <w:rPr>
          <w:sz w:val="24"/>
        </w:rPr>
        <w:t xml:space="preserve"> augu daļām, kas nav šķiedras un sēklas, ir pretrunā šim pantam.</w:t>
      </w:r>
    </w:p>
    <w:p w:rsidR="00485824" w:rsidRDefault="00485824" w:rsidP="00485824">
      <w:pPr>
        <w:pStyle w:val="Bodytext20"/>
        <w:shd w:val="clear" w:color="auto" w:fill="auto"/>
        <w:tabs>
          <w:tab w:val="left" w:pos="797"/>
        </w:tabs>
        <w:spacing w:before="0" w:after="0" w:line="240" w:lineRule="auto"/>
        <w:ind w:firstLine="0"/>
        <w:jc w:val="both"/>
        <w:rPr>
          <w:noProof/>
          <w:sz w:val="24"/>
          <w:lang w:val="en-US"/>
        </w:rPr>
      </w:pPr>
    </w:p>
    <w:p w:rsidR="002875DF" w:rsidRPr="00D02CE0" w:rsidRDefault="00485824" w:rsidP="00485824">
      <w:pPr>
        <w:pStyle w:val="Bodytext20"/>
        <w:shd w:val="clear" w:color="auto" w:fill="auto"/>
        <w:tabs>
          <w:tab w:val="left" w:pos="797"/>
        </w:tabs>
        <w:spacing w:before="0" w:after="0" w:line="240" w:lineRule="auto"/>
        <w:ind w:firstLine="0"/>
        <w:jc w:val="both"/>
        <w:rPr>
          <w:noProof/>
          <w:sz w:val="24"/>
        </w:rPr>
      </w:pPr>
      <w:r>
        <w:rPr>
          <w:sz w:val="24"/>
        </w:rPr>
        <w:t>51. Tāpēc iesniedzējtiesai ir jāpārliecinās, vai pamata lietā skatītā valsts tiesību norma ir pienācīga un samērīga LESD 36. panta nozīmē, skatot to kopīgi ar Regulas Nr. 1307/2013 32. panta 6. punktu, attiecībā uz cilvēku veselības un dzīvības aizsardzības nodrošināšanu.</w:t>
      </w:r>
    </w:p>
    <w:p w:rsidR="00485824" w:rsidRDefault="00485824" w:rsidP="00B540B1">
      <w:pPr>
        <w:pStyle w:val="Bodytext90"/>
        <w:shd w:val="clear" w:color="auto" w:fill="auto"/>
        <w:tabs>
          <w:tab w:val="left" w:pos="461"/>
        </w:tabs>
        <w:spacing w:line="240" w:lineRule="auto"/>
        <w:rPr>
          <w:noProof/>
          <w:sz w:val="24"/>
          <w:szCs w:val="24"/>
        </w:rPr>
      </w:pPr>
      <w:bookmarkStart w:id="24" w:name="bookmark15"/>
    </w:p>
    <w:p w:rsidR="002875DF" w:rsidRPr="00477B4A" w:rsidRDefault="00485824" w:rsidP="00477B4A">
      <w:pPr>
        <w:pStyle w:val="Virsraksts1"/>
      </w:pPr>
      <w:bookmarkStart w:id="25" w:name="_Toc13863329"/>
      <w:r w:rsidRPr="00477B4A">
        <w:t xml:space="preserve">5. </w:t>
      </w:r>
      <w:r w:rsidRPr="00477B4A">
        <w:rPr>
          <w:rStyle w:val="Bodytext9SmallCaps"/>
          <w:rFonts w:eastAsiaTheme="majorEastAsia" w:cstheme="majorBidi"/>
          <w:b/>
          <w:bCs w:val="0"/>
          <w:smallCaps w:val="0"/>
          <w:color w:val="auto"/>
          <w:sz w:val="24"/>
          <w:szCs w:val="32"/>
        </w:rPr>
        <w:t>Secinājumi</w:t>
      </w:r>
      <w:bookmarkEnd w:id="24"/>
      <w:bookmarkEnd w:id="25"/>
    </w:p>
    <w:p w:rsidR="00485824" w:rsidRDefault="00485824" w:rsidP="00485824">
      <w:pPr>
        <w:pStyle w:val="Bodytext20"/>
        <w:shd w:val="clear" w:color="auto" w:fill="auto"/>
        <w:tabs>
          <w:tab w:val="left" w:pos="797"/>
        </w:tabs>
        <w:spacing w:before="0" w:after="0" w:line="240" w:lineRule="auto"/>
        <w:ind w:firstLine="0"/>
        <w:jc w:val="both"/>
        <w:rPr>
          <w:noProof/>
          <w:sz w:val="24"/>
          <w:lang w:val="en-US"/>
        </w:rPr>
      </w:pPr>
    </w:p>
    <w:p w:rsidR="002875DF" w:rsidRPr="00D02CE0" w:rsidRDefault="00485824" w:rsidP="00485824">
      <w:pPr>
        <w:pStyle w:val="Bodytext20"/>
        <w:shd w:val="clear" w:color="auto" w:fill="auto"/>
        <w:tabs>
          <w:tab w:val="left" w:pos="797"/>
        </w:tabs>
        <w:spacing w:before="0" w:after="0" w:line="240" w:lineRule="auto"/>
        <w:ind w:firstLine="0"/>
        <w:jc w:val="both"/>
        <w:rPr>
          <w:noProof/>
          <w:sz w:val="24"/>
        </w:rPr>
      </w:pPr>
      <w:r>
        <w:rPr>
          <w:sz w:val="24"/>
        </w:rPr>
        <w:t>52. Komisija piedāvā Tiesai atbildēt uz iesniegto jautājumu šādi:</w:t>
      </w:r>
    </w:p>
    <w:p w:rsidR="00485824" w:rsidRDefault="00485824" w:rsidP="00B540B1">
      <w:pPr>
        <w:pStyle w:val="Bodytext20"/>
        <w:shd w:val="clear" w:color="auto" w:fill="auto"/>
        <w:spacing w:before="0" w:after="0" w:line="240" w:lineRule="auto"/>
        <w:ind w:firstLine="0"/>
        <w:jc w:val="both"/>
        <w:rPr>
          <w:noProof/>
          <w:sz w:val="24"/>
          <w:lang w:val="en-US"/>
        </w:rPr>
      </w:pPr>
    </w:p>
    <w:p w:rsidR="002875DF" w:rsidRPr="00D02CE0" w:rsidRDefault="002875DF" w:rsidP="00485824">
      <w:pPr>
        <w:pStyle w:val="Bodytext20"/>
        <w:shd w:val="clear" w:color="auto" w:fill="auto"/>
        <w:spacing w:before="0" w:after="0" w:line="240" w:lineRule="auto"/>
        <w:ind w:left="426" w:firstLine="0"/>
        <w:jc w:val="both"/>
        <w:rPr>
          <w:noProof/>
          <w:sz w:val="24"/>
        </w:rPr>
      </w:pPr>
      <w:r>
        <w:rPr>
          <w:sz w:val="24"/>
        </w:rPr>
        <w:t>i) LESD 34. pants jāinterpretē tādējādi, ka valsts tiesību norma, kas tiek skatīta pamata lietā un kas aizliedz importēt, turēt un piedāvāt kanabidiolu jeb</w:t>
      </w:r>
      <w:r w:rsidR="003C0204">
        <w:rPr>
          <w:sz w:val="24"/>
        </w:rPr>
        <w:t xml:space="preserve"> </w:t>
      </w:r>
      <w:r>
        <w:rPr>
          <w:i/>
          <w:iCs/>
          <w:sz w:val="24"/>
        </w:rPr>
        <w:t>CBD</w:t>
      </w:r>
      <w:r>
        <w:rPr>
          <w:sz w:val="24"/>
        </w:rPr>
        <w:t xml:space="preserve">, kurš iegūts no citā dalībvalstī likumīgi audzētu </w:t>
      </w:r>
      <w:r>
        <w:rPr>
          <w:i/>
          <w:iCs/>
          <w:sz w:val="24"/>
        </w:rPr>
        <w:t>cannabis sativa L.</w:t>
      </w:r>
      <w:r>
        <w:rPr>
          <w:sz w:val="24"/>
        </w:rPr>
        <w:t xml:space="preserve"> augu daļām, kas nav šķiedra un sēklas, ir pretrunā šim pantam.</w:t>
      </w:r>
    </w:p>
    <w:p w:rsidR="00485824" w:rsidRDefault="00485824" w:rsidP="00485824">
      <w:pPr>
        <w:pStyle w:val="Bodytext20"/>
        <w:shd w:val="clear" w:color="auto" w:fill="auto"/>
        <w:spacing w:before="0" w:after="0" w:line="240" w:lineRule="auto"/>
        <w:ind w:left="426" w:firstLine="0"/>
        <w:jc w:val="both"/>
        <w:rPr>
          <w:noProof/>
          <w:sz w:val="24"/>
          <w:lang w:val="en-US"/>
        </w:rPr>
      </w:pPr>
    </w:p>
    <w:p w:rsidR="002875DF" w:rsidRPr="00D02CE0" w:rsidRDefault="002875DF" w:rsidP="00485824">
      <w:pPr>
        <w:pStyle w:val="Bodytext20"/>
        <w:shd w:val="clear" w:color="auto" w:fill="auto"/>
        <w:spacing w:before="0" w:after="0" w:line="240" w:lineRule="auto"/>
        <w:ind w:left="426" w:firstLine="0"/>
        <w:jc w:val="both"/>
        <w:rPr>
          <w:noProof/>
          <w:sz w:val="24"/>
        </w:rPr>
      </w:pPr>
      <w:r>
        <w:rPr>
          <w:sz w:val="24"/>
        </w:rPr>
        <w:t xml:space="preserve">ii) Iesniedzējtiesai ir jāpārliecinās, vai pamata lietā skatītā valsts tiesību norma ir pienācīga un samērīga LESD 36. panta nozīmē, skatot to kopīgi ar 32. panta 6. punktu Eiropas Parlamenta un Padomes Regulā (ES) Nr. 1307/2013 (2013. gada 17. decembris), ar ko izveido noteikumus par lauksaimniekiem paredzētiem tiešajiem maksājumiem, kurus veic </w:t>
      </w:r>
      <w:r>
        <w:rPr>
          <w:sz w:val="24"/>
        </w:rPr>
        <w:lastRenderedPageBreak/>
        <w:t>saskaņā ar kopējās lauksaimniecības politikas atbalsta shēmām, un ar ko atceļ Padomes Regulu (EK) Nr. 637/2008 un Padomes Regulu (EK) Nr. 73/2009, attiecībā uz cilvēku veselības un dzīvības aizsardzības nodrošināšanu.</w:t>
      </w:r>
    </w:p>
    <w:p w:rsidR="00485824" w:rsidRDefault="00485824" w:rsidP="00B540B1">
      <w:pPr>
        <w:pStyle w:val="Bodytext20"/>
        <w:shd w:val="clear" w:color="auto" w:fill="auto"/>
        <w:spacing w:before="0" w:after="0" w:line="240" w:lineRule="auto"/>
        <w:ind w:firstLine="0"/>
        <w:jc w:val="both"/>
        <w:rPr>
          <w:noProof/>
          <w:sz w:val="24"/>
          <w:lang w:val="en-US"/>
        </w:rPr>
      </w:pPr>
    </w:p>
    <w:p w:rsidR="00485824" w:rsidRDefault="00485824" w:rsidP="00B540B1">
      <w:pPr>
        <w:pStyle w:val="Bodytext20"/>
        <w:shd w:val="clear" w:color="auto" w:fill="auto"/>
        <w:spacing w:before="0" w:after="0" w:line="240" w:lineRule="auto"/>
        <w:ind w:firstLine="0"/>
        <w:jc w:val="both"/>
        <w:rPr>
          <w:noProof/>
          <w:sz w:val="24"/>
          <w:lang w:val="en-US"/>
        </w:rPr>
      </w:pPr>
    </w:p>
    <w:p w:rsidR="00477B4A" w:rsidRDefault="00477B4A" w:rsidP="00B540B1">
      <w:pPr>
        <w:pStyle w:val="Bodytext20"/>
        <w:shd w:val="clear" w:color="auto" w:fill="auto"/>
        <w:spacing w:before="0" w:after="0" w:line="240" w:lineRule="auto"/>
        <w:ind w:firstLine="0"/>
        <w:jc w:val="both"/>
        <w:rPr>
          <w:noProof/>
          <w:sz w:val="24"/>
          <w:lang w:val="en-US"/>
        </w:rPr>
      </w:pPr>
    </w:p>
    <w:p w:rsidR="002875DF" w:rsidRPr="00D02CE0" w:rsidRDefault="002875DF" w:rsidP="00485824">
      <w:pPr>
        <w:pStyle w:val="Bodytext20"/>
        <w:shd w:val="clear" w:color="auto" w:fill="auto"/>
        <w:spacing w:before="0" w:after="0" w:line="240" w:lineRule="auto"/>
        <w:ind w:firstLine="0"/>
        <w:jc w:val="center"/>
        <w:rPr>
          <w:noProof/>
          <w:sz w:val="24"/>
        </w:rPr>
      </w:pPr>
      <w:r>
        <w:rPr>
          <w:sz w:val="24"/>
        </w:rPr>
        <w:t>Miko Hutunens, Gzavjē Leviss un Mareks Kadučaks</w:t>
      </w:r>
    </w:p>
    <w:p w:rsidR="00485824" w:rsidRDefault="00485824" w:rsidP="00485824">
      <w:pPr>
        <w:pStyle w:val="Bodytext20"/>
        <w:shd w:val="clear" w:color="auto" w:fill="auto"/>
        <w:spacing w:before="0" w:after="0" w:line="240" w:lineRule="auto"/>
        <w:ind w:firstLine="0"/>
        <w:jc w:val="center"/>
        <w:rPr>
          <w:noProof/>
          <w:sz w:val="24"/>
          <w:lang w:val="en-US"/>
        </w:rPr>
      </w:pPr>
    </w:p>
    <w:p w:rsidR="002875DF" w:rsidRPr="00D02CE0" w:rsidRDefault="002875DF" w:rsidP="00485824">
      <w:pPr>
        <w:pStyle w:val="Bodytext20"/>
        <w:shd w:val="clear" w:color="auto" w:fill="auto"/>
        <w:spacing w:before="0" w:after="0" w:line="240" w:lineRule="auto"/>
        <w:ind w:firstLine="0"/>
        <w:jc w:val="center"/>
        <w:rPr>
          <w:noProof/>
          <w:sz w:val="24"/>
        </w:rPr>
      </w:pPr>
      <w:r>
        <w:rPr>
          <w:sz w:val="24"/>
        </w:rPr>
        <w:t>Komisijas pārstāvji</w:t>
      </w:r>
    </w:p>
    <w:p w:rsidR="002875DF" w:rsidRDefault="002875DF" w:rsidP="00B540B1">
      <w:pPr>
        <w:jc w:val="both"/>
        <w:rPr>
          <w:rFonts w:ascii="Times New Roman" w:hAnsi="Times New Roman"/>
          <w:noProof/>
          <w:szCs w:val="2"/>
          <w:lang w:val="en-US"/>
        </w:rPr>
      </w:pPr>
    </w:p>
    <w:p w:rsidR="00485824" w:rsidRDefault="00485824" w:rsidP="00B540B1">
      <w:pPr>
        <w:jc w:val="both"/>
        <w:rPr>
          <w:rFonts w:ascii="Times New Roman" w:hAnsi="Times New Roman"/>
          <w:noProof/>
          <w:szCs w:val="2"/>
          <w:lang w:val="en-US"/>
        </w:rPr>
      </w:pPr>
    </w:p>
    <w:p w:rsidR="00485824" w:rsidRPr="00D02CE0" w:rsidRDefault="00485824" w:rsidP="00B540B1">
      <w:pPr>
        <w:jc w:val="both"/>
        <w:rPr>
          <w:rFonts w:ascii="Times New Roman" w:hAnsi="Times New Roman"/>
          <w:noProof/>
          <w:szCs w:val="2"/>
          <w:lang w:val="en-US"/>
        </w:rPr>
      </w:pPr>
    </w:p>
    <w:p w:rsidR="00485824" w:rsidRPr="00D02CE0" w:rsidRDefault="00485824" w:rsidP="00485824">
      <w:pPr>
        <w:pStyle w:val="Tablecaption0"/>
        <w:shd w:val="clear" w:color="auto" w:fill="auto"/>
        <w:spacing w:line="240" w:lineRule="auto"/>
        <w:jc w:val="both"/>
        <w:rPr>
          <w:noProof/>
        </w:rPr>
      </w:pPr>
      <w:r>
        <w:t>Pielikumu saraksts</w:t>
      </w:r>
    </w:p>
    <w:p w:rsidR="00600AFF" w:rsidRDefault="00600AFF" w:rsidP="00485824">
      <w:pPr>
        <w:jc w:val="both"/>
        <w:rPr>
          <w:rFonts w:ascii="Times New Roman" w:hAnsi="Times New Roman"/>
          <w:noProof/>
          <w:szCs w:val="2"/>
          <w:lang w:val="en-US"/>
        </w:rPr>
      </w:pPr>
    </w:p>
    <w:tbl>
      <w:tblPr>
        <w:tblpPr w:leftFromText="180" w:rightFromText="180" w:vertAnchor="text" w:horzAnchor="margin" w:tblpY="170"/>
        <w:tblOverlap w:val="never"/>
        <w:tblW w:w="5000" w:type="pct"/>
        <w:tblCellMar>
          <w:top w:w="28" w:type="dxa"/>
          <w:left w:w="28" w:type="dxa"/>
          <w:bottom w:w="28" w:type="dxa"/>
          <w:right w:w="28" w:type="dxa"/>
        </w:tblCellMar>
        <w:tblLook w:val="04A0" w:firstRow="1" w:lastRow="0" w:firstColumn="1" w:lastColumn="0" w:noHBand="0" w:noVBand="1"/>
      </w:tblPr>
      <w:tblGrid>
        <w:gridCol w:w="1213"/>
        <w:gridCol w:w="3711"/>
        <w:gridCol w:w="1894"/>
        <w:gridCol w:w="1270"/>
        <w:gridCol w:w="967"/>
      </w:tblGrid>
      <w:tr w:rsidR="00600AFF" w:rsidRPr="00D02CE0" w:rsidTr="003C0204">
        <w:tc>
          <w:tcPr>
            <w:tcW w:w="670" w:type="pct"/>
            <w:tcBorders>
              <w:top w:val="single" w:sz="4" w:space="0" w:color="auto"/>
              <w:left w:val="single" w:sz="4" w:space="0" w:color="auto"/>
            </w:tcBorders>
            <w:shd w:val="clear" w:color="auto" w:fill="FFFFFF"/>
            <w:vAlign w:val="center"/>
          </w:tcPr>
          <w:p w:rsidR="00600AFF" w:rsidRPr="00D02CE0" w:rsidRDefault="00600AFF" w:rsidP="00485824">
            <w:pPr>
              <w:pStyle w:val="Bodytext20"/>
              <w:shd w:val="clear" w:color="auto" w:fill="auto"/>
              <w:spacing w:before="0" w:after="0" w:line="240" w:lineRule="auto"/>
              <w:ind w:firstLine="0"/>
              <w:jc w:val="center"/>
              <w:rPr>
                <w:b/>
                <w:bCs/>
                <w:noProof/>
                <w:sz w:val="24"/>
                <w:szCs w:val="24"/>
              </w:rPr>
            </w:pPr>
            <w:r>
              <w:rPr>
                <w:b/>
                <w:bCs/>
                <w:sz w:val="24"/>
                <w:szCs w:val="24"/>
              </w:rPr>
              <w:t>Pielikums Nr.</w:t>
            </w:r>
          </w:p>
        </w:tc>
        <w:tc>
          <w:tcPr>
            <w:tcW w:w="2049" w:type="pct"/>
            <w:tcBorders>
              <w:top w:val="single" w:sz="4" w:space="0" w:color="auto"/>
              <w:left w:val="single" w:sz="4" w:space="0" w:color="auto"/>
            </w:tcBorders>
            <w:shd w:val="clear" w:color="auto" w:fill="FFFFFF"/>
            <w:vAlign w:val="center"/>
          </w:tcPr>
          <w:p w:rsidR="00600AFF" w:rsidRPr="00D02CE0" w:rsidRDefault="00600AFF" w:rsidP="00485824">
            <w:pPr>
              <w:pStyle w:val="Bodytext20"/>
              <w:shd w:val="clear" w:color="auto" w:fill="auto"/>
              <w:spacing w:before="0" w:after="0" w:line="240" w:lineRule="auto"/>
              <w:ind w:firstLine="0"/>
              <w:jc w:val="center"/>
              <w:rPr>
                <w:b/>
                <w:bCs/>
                <w:noProof/>
                <w:sz w:val="24"/>
                <w:szCs w:val="24"/>
              </w:rPr>
            </w:pPr>
            <w:r>
              <w:rPr>
                <w:b/>
                <w:bCs/>
                <w:sz w:val="24"/>
                <w:szCs w:val="24"/>
              </w:rPr>
              <w:t>Apraksts</w:t>
            </w:r>
          </w:p>
        </w:tc>
        <w:tc>
          <w:tcPr>
            <w:tcW w:w="1046" w:type="pct"/>
            <w:tcBorders>
              <w:top w:val="single" w:sz="4" w:space="0" w:color="auto"/>
              <w:left w:val="single" w:sz="4" w:space="0" w:color="auto"/>
            </w:tcBorders>
            <w:shd w:val="clear" w:color="auto" w:fill="FFFFFF"/>
            <w:vAlign w:val="center"/>
          </w:tcPr>
          <w:p w:rsidR="00600AFF" w:rsidRPr="00D02CE0" w:rsidRDefault="00600AFF" w:rsidP="00485824">
            <w:pPr>
              <w:pStyle w:val="Bodytext20"/>
              <w:shd w:val="clear" w:color="auto" w:fill="auto"/>
              <w:spacing w:before="0" w:after="0" w:line="240" w:lineRule="auto"/>
              <w:ind w:firstLine="0"/>
              <w:jc w:val="center"/>
              <w:rPr>
                <w:b/>
                <w:bCs/>
                <w:noProof/>
                <w:sz w:val="24"/>
                <w:szCs w:val="24"/>
              </w:rPr>
            </w:pPr>
            <w:r>
              <w:rPr>
                <w:b/>
                <w:bCs/>
                <w:sz w:val="24"/>
                <w:szCs w:val="24"/>
              </w:rPr>
              <w:t>Atsauce tekstā</w:t>
            </w:r>
          </w:p>
        </w:tc>
        <w:tc>
          <w:tcPr>
            <w:tcW w:w="701" w:type="pct"/>
            <w:tcBorders>
              <w:top w:val="single" w:sz="4" w:space="0" w:color="auto"/>
              <w:left w:val="single" w:sz="4" w:space="0" w:color="auto"/>
            </w:tcBorders>
            <w:shd w:val="clear" w:color="auto" w:fill="FFFFFF"/>
            <w:vAlign w:val="center"/>
          </w:tcPr>
          <w:p w:rsidR="00600AFF" w:rsidRPr="00D02CE0" w:rsidRDefault="00600AFF" w:rsidP="00485824">
            <w:pPr>
              <w:pStyle w:val="Bodytext20"/>
              <w:shd w:val="clear" w:color="auto" w:fill="auto"/>
              <w:spacing w:before="0" w:after="0" w:line="240" w:lineRule="auto"/>
              <w:ind w:firstLine="0"/>
              <w:jc w:val="center"/>
              <w:rPr>
                <w:b/>
                <w:bCs/>
                <w:noProof/>
                <w:sz w:val="24"/>
                <w:szCs w:val="24"/>
              </w:rPr>
            </w:pPr>
            <w:r>
              <w:rPr>
                <w:b/>
                <w:bCs/>
                <w:sz w:val="24"/>
                <w:szCs w:val="24"/>
              </w:rPr>
              <w:t>Lapu skaits</w:t>
            </w:r>
          </w:p>
        </w:tc>
        <w:tc>
          <w:tcPr>
            <w:tcW w:w="534" w:type="pct"/>
            <w:tcBorders>
              <w:top w:val="single" w:sz="4" w:space="0" w:color="auto"/>
              <w:left w:val="single" w:sz="4" w:space="0" w:color="auto"/>
              <w:right w:val="single" w:sz="4" w:space="0" w:color="auto"/>
            </w:tcBorders>
            <w:shd w:val="clear" w:color="auto" w:fill="FFFFFF"/>
            <w:vAlign w:val="center"/>
          </w:tcPr>
          <w:p w:rsidR="00600AFF" w:rsidRPr="00D02CE0" w:rsidRDefault="00600AFF" w:rsidP="00485824">
            <w:pPr>
              <w:pStyle w:val="Bodytext20"/>
              <w:shd w:val="clear" w:color="auto" w:fill="auto"/>
              <w:spacing w:before="0" w:after="0" w:line="240" w:lineRule="auto"/>
              <w:ind w:firstLine="0"/>
              <w:jc w:val="center"/>
              <w:rPr>
                <w:b/>
                <w:bCs/>
                <w:noProof/>
                <w:sz w:val="24"/>
                <w:szCs w:val="24"/>
              </w:rPr>
            </w:pPr>
            <w:r>
              <w:rPr>
                <w:b/>
                <w:bCs/>
                <w:sz w:val="24"/>
                <w:szCs w:val="24"/>
              </w:rPr>
              <w:t>Lapas</w:t>
            </w:r>
          </w:p>
        </w:tc>
      </w:tr>
      <w:tr w:rsidR="003C0204" w:rsidRPr="00D02CE0" w:rsidTr="003C0204">
        <w:tc>
          <w:tcPr>
            <w:tcW w:w="670" w:type="pct"/>
            <w:vMerge w:val="restart"/>
            <w:tcBorders>
              <w:top w:val="single" w:sz="4" w:space="0" w:color="auto"/>
              <w:left w:val="single" w:sz="4" w:space="0" w:color="auto"/>
            </w:tcBorders>
            <w:shd w:val="clear" w:color="auto" w:fill="FFFFFF"/>
            <w:vAlign w:val="center"/>
          </w:tcPr>
          <w:p w:rsidR="003C0204" w:rsidRPr="00D02CE0" w:rsidRDefault="003C0204" w:rsidP="00485824">
            <w:pPr>
              <w:pStyle w:val="Bodytext20"/>
              <w:shd w:val="clear" w:color="auto" w:fill="auto"/>
              <w:spacing w:before="0" w:after="0" w:line="240" w:lineRule="auto"/>
              <w:ind w:firstLine="0"/>
              <w:jc w:val="center"/>
              <w:rPr>
                <w:b/>
                <w:bCs/>
                <w:noProof/>
                <w:sz w:val="24"/>
                <w:szCs w:val="24"/>
              </w:rPr>
            </w:pPr>
            <w:r>
              <w:rPr>
                <w:b/>
                <w:bCs/>
                <w:sz w:val="24"/>
                <w:szCs w:val="24"/>
              </w:rPr>
              <w:t>B1</w:t>
            </w:r>
          </w:p>
        </w:tc>
        <w:tc>
          <w:tcPr>
            <w:tcW w:w="2049" w:type="pct"/>
            <w:vMerge w:val="restart"/>
            <w:tcBorders>
              <w:top w:val="single" w:sz="4" w:space="0" w:color="auto"/>
              <w:left w:val="single" w:sz="4" w:space="0" w:color="auto"/>
            </w:tcBorders>
            <w:shd w:val="clear" w:color="auto" w:fill="FFFFFF"/>
            <w:vAlign w:val="bottom"/>
          </w:tcPr>
          <w:p w:rsidR="003C0204" w:rsidRPr="00D02CE0" w:rsidRDefault="003C0204" w:rsidP="003C0204">
            <w:pPr>
              <w:pStyle w:val="Bodytext20"/>
              <w:shd w:val="clear" w:color="auto" w:fill="auto"/>
              <w:spacing w:before="0" w:after="0" w:line="240" w:lineRule="auto"/>
              <w:ind w:firstLine="0"/>
              <w:jc w:val="both"/>
              <w:rPr>
                <w:noProof/>
                <w:sz w:val="24"/>
              </w:rPr>
            </w:pPr>
            <w:r>
              <w:rPr>
                <w:sz w:val="24"/>
              </w:rPr>
              <w:t>Tieslietu ministrijas 2018. gada 23. jūlija paziņojums</w:t>
            </w:r>
            <w:bookmarkStart w:id="26" w:name="_GoBack"/>
            <w:bookmarkEnd w:id="26"/>
          </w:p>
        </w:tc>
        <w:tc>
          <w:tcPr>
            <w:tcW w:w="1046" w:type="pct"/>
            <w:tcBorders>
              <w:top w:val="single" w:sz="4" w:space="0" w:color="auto"/>
              <w:left w:val="single" w:sz="4" w:space="0" w:color="auto"/>
            </w:tcBorders>
            <w:shd w:val="clear" w:color="auto" w:fill="FFFFFF"/>
            <w:vAlign w:val="center"/>
          </w:tcPr>
          <w:p w:rsidR="003C0204" w:rsidRPr="00D02CE0" w:rsidRDefault="003C0204" w:rsidP="00485824">
            <w:pPr>
              <w:pStyle w:val="Bodytext20"/>
              <w:shd w:val="clear" w:color="auto" w:fill="auto"/>
              <w:spacing w:before="0" w:after="0" w:line="240" w:lineRule="auto"/>
              <w:ind w:firstLine="0"/>
              <w:jc w:val="both"/>
              <w:rPr>
                <w:noProof/>
                <w:sz w:val="24"/>
              </w:rPr>
            </w:pPr>
            <w:r>
              <w:rPr>
                <w:rStyle w:val="Bodytext23"/>
                <w:sz w:val="24"/>
              </w:rPr>
              <w:t>18. punkts, 9. lpp.</w:t>
            </w:r>
          </w:p>
        </w:tc>
        <w:tc>
          <w:tcPr>
            <w:tcW w:w="701" w:type="pct"/>
            <w:vMerge w:val="restart"/>
            <w:tcBorders>
              <w:top w:val="single" w:sz="4" w:space="0" w:color="auto"/>
              <w:left w:val="single" w:sz="4" w:space="0" w:color="auto"/>
            </w:tcBorders>
            <w:shd w:val="clear" w:color="auto" w:fill="FFFFFF"/>
            <w:vAlign w:val="center"/>
          </w:tcPr>
          <w:p w:rsidR="003C0204" w:rsidRPr="00D02CE0" w:rsidRDefault="003C0204" w:rsidP="00485824">
            <w:pPr>
              <w:pStyle w:val="Bodytext20"/>
              <w:shd w:val="clear" w:color="auto" w:fill="auto"/>
              <w:spacing w:before="0" w:after="0" w:line="240" w:lineRule="auto"/>
              <w:ind w:firstLine="0"/>
              <w:jc w:val="center"/>
              <w:rPr>
                <w:noProof/>
                <w:sz w:val="24"/>
              </w:rPr>
            </w:pPr>
            <w:r>
              <w:rPr>
                <w:sz w:val="24"/>
              </w:rPr>
              <w:t>4</w:t>
            </w:r>
          </w:p>
        </w:tc>
        <w:tc>
          <w:tcPr>
            <w:tcW w:w="534" w:type="pct"/>
            <w:vMerge w:val="restart"/>
            <w:tcBorders>
              <w:top w:val="single" w:sz="4" w:space="0" w:color="auto"/>
              <w:left w:val="single" w:sz="4" w:space="0" w:color="auto"/>
              <w:right w:val="single" w:sz="4" w:space="0" w:color="auto"/>
            </w:tcBorders>
            <w:shd w:val="clear" w:color="auto" w:fill="FFFFFF"/>
            <w:vAlign w:val="center"/>
          </w:tcPr>
          <w:p w:rsidR="003C0204" w:rsidRPr="00D02CE0" w:rsidRDefault="003C0204" w:rsidP="00485824">
            <w:pPr>
              <w:pStyle w:val="Bodytext20"/>
              <w:shd w:val="clear" w:color="auto" w:fill="auto"/>
              <w:spacing w:before="0" w:after="0" w:line="240" w:lineRule="auto"/>
              <w:ind w:firstLine="0"/>
              <w:jc w:val="center"/>
              <w:rPr>
                <w:noProof/>
                <w:sz w:val="24"/>
              </w:rPr>
            </w:pPr>
            <w:r>
              <w:rPr>
                <w:sz w:val="24"/>
              </w:rPr>
              <w:t>1.–5.</w:t>
            </w:r>
          </w:p>
        </w:tc>
      </w:tr>
      <w:tr w:rsidR="003C0204" w:rsidRPr="00D02CE0" w:rsidTr="003C0204">
        <w:tc>
          <w:tcPr>
            <w:tcW w:w="670" w:type="pct"/>
            <w:vMerge/>
            <w:tcBorders>
              <w:left w:val="single" w:sz="4" w:space="0" w:color="auto"/>
              <w:bottom w:val="single" w:sz="4" w:space="0" w:color="auto"/>
            </w:tcBorders>
            <w:shd w:val="clear" w:color="auto" w:fill="FFFFFF"/>
            <w:vAlign w:val="center"/>
          </w:tcPr>
          <w:p w:rsidR="003C0204" w:rsidRPr="00D02CE0" w:rsidRDefault="003C0204" w:rsidP="00485824">
            <w:pPr>
              <w:jc w:val="both"/>
              <w:rPr>
                <w:rFonts w:ascii="Times New Roman" w:hAnsi="Times New Roman"/>
                <w:noProof/>
                <w:lang w:val="en-US"/>
              </w:rPr>
            </w:pPr>
          </w:p>
        </w:tc>
        <w:tc>
          <w:tcPr>
            <w:tcW w:w="2049" w:type="pct"/>
            <w:vMerge/>
            <w:tcBorders>
              <w:left w:val="single" w:sz="4" w:space="0" w:color="auto"/>
              <w:bottom w:val="single" w:sz="4" w:space="0" w:color="auto"/>
            </w:tcBorders>
            <w:shd w:val="clear" w:color="auto" w:fill="FFFFFF"/>
          </w:tcPr>
          <w:p w:rsidR="003C0204" w:rsidRPr="00D02CE0" w:rsidRDefault="003C0204" w:rsidP="00485824">
            <w:pPr>
              <w:pStyle w:val="Bodytext20"/>
              <w:shd w:val="clear" w:color="auto" w:fill="auto"/>
              <w:spacing w:before="0" w:after="0" w:line="240" w:lineRule="auto"/>
              <w:ind w:firstLine="0"/>
              <w:jc w:val="both"/>
              <w:rPr>
                <w:noProof/>
                <w:sz w:val="24"/>
              </w:rPr>
            </w:pPr>
          </w:p>
        </w:tc>
        <w:tc>
          <w:tcPr>
            <w:tcW w:w="1046" w:type="pct"/>
            <w:tcBorders>
              <w:left w:val="single" w:sz="4" w:space="0" w:color="auto"/>
              <w:bottom w:val="single" w:sz="4" w:space="0" w:color="auto"/>
            </w:tcBorders>
            <w:shd w:val="clear" w:color="auto" w:fill="FFFFFF"/>
            <w:vAlign w:val="center"/>
          </w:tcPr>
          <w:p w:rsidR="003C0204" w:rsidRPr="00D02CE0" w:rsidRDefault="003C0204" w:rsidP="00485824">
            <w:pPr>
              <w:pStyle w:val="Bodytext20"/>
              <w:shd w:val="clear" w:color="auto" w:fill="auto"/>
              <w:spacing w:before="0" w:after="0" w:line="240" w:lineRule="auto"/>
              <w:ind w:firstLine="0"/>
              <w:jc w:val="both"/>
              <w:rPr>
                <w:noProof/>
                <w:sz w:val="24"/>
              </w:rPr>
            </w:pPr>
            <w:r>
              <w:rPr>
                <w:rStyle w:val="Bodytext23"/>
                <w:sz w:val="24"/>
              </w:rPr>
              <w:t>49. punkts, 19. lpp.</w:t>
            </w:r>
          </w:p>
        </w:tc>
        <w:tc>
          <w:tcPr>
            <w:tcW w:w="701" w:type="pct"/>
            <w:vMerge/>
            <w:tcBorders>
              <w:left w:val="single" w:sz="4" w:space="0" w:color="auto"/>
              <w:bottom w:val="single" w:sz="4" w:space="0" w:color="auto"/>
            </w:tcBorders>
            <w:shd w:val="clear" w:color="auto" w:fill="FFFFFF"/>
            <w:vAlign w:val="center"/>
          </w:tcPr>
          <w:p w:rsidR="003C0204" w:rsidRPr="00D02CE0" w:rsidRDefault="003C0204" w:rsidP="00485824">
            <w:pPr>
              <w:jc w:val="both"/>
              <w:rPr>
                <w:rFonts w:ascii="Times New Roman" w:hAnsi="Times New Roman"/>
                <w:noProof/>
                <w:lang w:val="en-US"/>
              </w:rPr>
            </w:pPr>
          </w:p>
        </w:tc>
        <w:tc>
          <w:tcPr>
            <w:tcW w:w="534" w:type="pct"/>
            <w:vMerge/>
            <w:tcBorders>
              <w:left w:val="single" w:sz="4" w:space="0" w:color="auto"/>
              <w:bottom w:val="single" w:sz="4" w:space="0" w:color="auto"/>
              <w:right w:val="single" w:sz="4" w:space="0" w:color="auto"/>
            </w:tcBorders>
            <w:shd w:val="clear" w:color="auto" w:fill="FFFFFF"/>
            <w:vAlign w:val="center"/>
          </w:tcPr>
          <w:p w:rsidR="003C0204" w:rsidRPr="00D02CE0" w:rsidRDefault="003C0204" w:rsidP="00485824">
            <w:pPr>
              <w:jc w:val="both"/>
              <w:rPr>
                <w:rFonts w:ascii="Times New Roman" w:hAnsi="Times New Roman"/>
                <w:noProof/>
                <w:lang w:val="en-US"/>
              </w:rPr>
            </w:pPr>
          </w:p>
        </w:tc>
      </w:tr>
    </w:tbl>
    <w:p w:rsidR="00B540B1" w:rsidRPr="00D02CE0" w:rsidRDefault="00B540B1">
      <w:pPr>
        <w:jc w:val="both"/>
        <w:rPr>
          <w:rFonts w:ascii="Times New Roman" w:hAnsi="Times New Roman"/>
          <w:noProof/>
          <w:szCs w:val="2"/>
          <w:lang w:val="en-US"/>
        </w:rPr>
      </w:pPr>
    </w:p>
    <w:p w:rsidR="00600AFF" w:rsidRPr="00D02CE0" w:rsidRDefault="00600AFF">
      <w:pPr>
        <w:jc w:val="both"/>
        <w:rPr>
          <w:rFonts w:ascii="Times New Roman" w:hAnsi="Times New Roman"/>
          <w:noProof/>
          <w:szCs w:val="2"/>
          <w:lang w:val="en-US"/>
        </w:rPr>
      </w:pPr>
    </w:p>
    <w:sectPr w:rsidR="00600AFF" w:rsidRPr="00D02CE0" w:rsidSect="00D02CE0">
      <w:headerReference w:type="default" r:id="rId10"/>
      <w:footerReference w:type="default" r:id="rId11"/>
      <w:headerReference w:type="first" r:id="rId12"/>
      <w:footerReference w:type="first" r:id="rId13"/>
      <w:pgSz w:w="11900" w:h="16840" w:code="9"/>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5AD" w:rsidRPr="002875DF" w:rsidRDefault="00B540B1">
      <w:pPr>
        <w:rPr>
          <w:noProof/>
          <w:lang w:val="en-US"/>
        </w:rPr>
      </w:pPr>
      <w:r w:rsidRPr="002875DF">
        <w:rPr>
          <w:noProof/>
          <w:lang w:val="en-US"/>
        </w:rPr>
        <w:separator/>
      </w:r>
    </w:p>
  </w:endnote>
  <w:endnote w:type="continuationSeparator" w:id="0">
    <w:p w:rsidR="002205AD" w:rsidRPr="002875DF" w:rsidRDefault="00B540B1">
      <w:pPr>
        <w:rPr>
          <w:noProof/>
          <w:lang w:val="en-US"/>
        </w:rPr>
      </w:pPr>
      <w:r w:rsidRPr="002875D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B4A" w:rsidRPr="00477B4A" w:rsidRDefault="00477B4A" w:rsidP="00477B4A">
    <w:pPr>
      <w:pStyle w:val="Galvene"/>
      <w:tabs>
        <w:tab w:val="clear" w:pos="4153"/>
        <w:tab w:val="clear" w:pos="8306"/>
        <w:tab w:val="left" w:pos="9072"/>
      </w:tabs>
      <w:rPr>
        <w:rStyle w:val="Lappusesnumurs"/>
        <w:rFonts w:ascii="Times New Roman" w:hAnsi="Times New Roman" w:cs="Times New Roman"/>
        <w:sz w:val="20"/>
      </w:rPr>
    </w:pPr>
  </w:p>
  <w:p w:rsidR="00477B4A" w:rsidRPr="00477B4A" w:rsidRDefault="00477B4A" w:rsidP="00477B4A">
    <w:pPr>
      <w:pStyle w:val="Galvene"/>
      <w:tabs>
        <w:tab w:val="clear" w:pos="4153"/>
        <w:tab w:val="clear" w:pos="8306"/>
        <w:tab w:val="right" w:leader="underscore" w:pos="9072"/>
      </w:tabs>
      <w:rPr>
        <w:rStyle w:val="Lappusesnumurs"/>
        <w:rFonts w:ascii="Times New Roman" w:hAnsi="Times New Roman" w:cs="Times New Roman"/>
        <w:sz w:val="20"/>
      </w:rPr>
    </w:pPr>
    <w:r w:rsidRPr="00477B4A">
      <w:rPr>
        <w:rStyle w:val="Lappusesnumurs"/>
        <w:rFonts w:ascii="Times New Roman" w:hAnsi="Times New Roman" w:cs="Times New Roman"/>
        <w:sz w:val="20"/>
      </w:rPr>
      <w:tab/>
    </w:r>
  </w:p>
  <w:p w:rsidR="00477B4A" w:rsidRPr="00477B4A" w:rsidRDefault="00477B4A" w:rsidP="00477B4A">
    <w:pPr>
      <w:pStyle w:val="Galvene"/>
      <w:tabs>
        <w:tab w:val="clear" w:pos="4153"/>
        <w:tab w:val="clear" w:pos="8306"/>
        <w:tab w:val="right" w:pos="9072"/>
      </w:tabs>
      <w:rPr>
        <w:rStyle w:val="Lappusesnumurs"/>
        <w:rFonts w:ascii="Times New Roman" w:hAnsi="Times New Roman" w:cs="Times New Roman"/>
        <w:sz w:val="20"/>
      </w:rPr>
    </w:pPr>
  </w:p>
  <w:p w:rsidR="00477B4A" w:rsidRPr="00477B4A" w:rsidRDefault="00477B4A" w:rsidP="00477B4A">
    <w:pPr>
      <w:pStyle w:val="Kjene"/>
      <w:tabs>
        <w:tab w:val="clear" w:pos="4153"/>
        <w:tab w:val="clear" w:pos="8306"/>
        <w:tab w:val="right" w:pos="9072"/>
      </w:tabs>
      <w:rPr>
        <w:rFonts w:ascii="Times New Roman" w:hAnsi="Times New Roman" w:cs="Times New Roman"/>
        <w:sz w:val="20"/>
        <w:szCs w:val="18"/>
      </w:rPr>
    </w:pPr>
    <w:r w:rsidRPr="00477B4A">
      <w:rPr>
        <w:rFonts w:ascii="Times New Roman" w:hAnsi="Times New Roman" w:cs="Times New Roman"/>
        <w:noProof/>
        <w:sz w:val="20"/>
        <w:szCs w:val="18"/>
      </w:rPr>
      <w:t xml:space="preserve">Tulkojums </w:t>
    </w:r>
    <w:r w:rsidRPr="00477B4A">
      <w:rPr>
        <w:rFonts w:ascii="Times New Roman" w:hAnsi="Times New Roman" w:cs="Times New Roman"/>
        <w:noProof/>
        <w:sz w:val="20"/>
        <w:szCs w:val="18"/>
      </w:rPr>
      <w:fldChar w:fldCharType="begin"/>
    </w:r>
    <w:r w:rsidRPr="00477B4A">
      <w:rPr>
        <w:rFonts w:ascii="Times New Roman" w:hAnsi="Times New Roman" w:cs="Times New Roman"/>
        <w:noProof/>
        <w:sz w:val="20"/>
        <w:szCs w:val="18"/>
      </w:rPr>
      <w:instrText>symbol 211 \f "Symbol" \s 9</w:instrText>
    </w:r>
    <w:r w:rsidRPr="00477B4A">
      <w:rPr>
        <w:rFonts w:ascii="Times New Roman" w:hAnsi="Times New Roman" w:cs="Times New Roman"/>
        <w:noProof/>
        <w:sz w:val="20"/>
        <w:szCs w:val="18"/>
      </w:rPr>
      <w:fldChar w:fldCharType="separate"/>
    </w:r>
    <w:r w:rsidRPr="00477B4A">
      <w:rPr>
        <w:rFonts w:ascii="Times New Roman" w:hAnsi="Times New Roman" w:cs="Times New Roman"/>
        <w:noProof/>
        <w:sz w:val="20"/>
        <w:szCs w:val="18"/>
      </w:rPr>
      <w:t>Ó</w:t>
    </w:r>
    <w:r w:rsidRPr="00477B4A">
      <w:rPr>
        <w:rFonts w:ascii="Times New Roman" w:hAnsi="Times New Roman" w:cs="Times New Roman"/>
        <w:noProof/>
        <w:sz w:val="20"/>
        <w:szCs w:val="18"/>
      </w:rPr>
      <w:fldChar w:fldCharType="end"/>
    </w:r>
    <w:r w:rsidRPr="00477B4A">
      <w:rPr>
        <w:rFonts w:ascii="Times New Roman" w:hAnsi="Times New Roman" w:cs="Times New Roman"/>
        <w:noProof/>
        <w:sz w:val="20"/>
        <w:szCs w:val="18"/>
      </w:rPr>
      <w:t xml:space="preserve"> Valsts valodas centrs, 2019</w:t>
    </w:r>
    <w:r w:rsidRPr="00477B4A">
      <w:rPr>
        <w:rFonts w:ascii="Times New Roman" w:hAnsi="Times New Roman" w:cs="Times New Roman"/>
        <w:sz w:val="20"/>
        <w:szCs w:val="18"/>
      </w:rPr>
      <w:tab/>
    </w:r>
    <w:r w:rsidRPr="00477B4A">
      <w:rPr>
        <w:rStyle w:val="Lappusesnumurs"/>
        <w:rFonts w:ascii="Times New Roman" w:hAnsi="Times New Roman" w:cs="Times New Roman"/>
        <w:sz w:val="20"/>
      </w:rPr>
      <w:fldChar w:fldCharType="begin"/>
    </w:r>
    <w:r w:rsidRPr="00477B4A">
      <w:rPr>
        <w:rStyle w:val="Lappusesnumurs"/>
        <w:rFonts w:ascii="Times New Roman" w:hAnsi="Times New Roman" w:cs="Times New Roman"/>
        <w:sz w:val="20"/>
      </w:rPr>
      <w:instrText xml:space="preserve">page </w:instrText>
    </w:r>
    <w:r w:rsidRPr="00477B4A">
      <w:rPr>
        <w:rStyle w:val="Lappusesnumurs"/>
        <w:rFonts w:ascii="Times New Roman" w:hAnsi="Times New Roman" w:cs="Times New Roman"/>
        <w:sz w:val="20"/>
      </w:rPr>
      <w:fldChar w:fldCharType="separate"/>
    </w:r>
    <w:r w:rsidR="003C0204">
      <w:rPr>
        <w:rStyle w:val="Lappusesnumurs"/>
        <w:rFonts w:ascii="Times New Roman" w:hAnsi="Times New Roman" w:cs="Times New Roman"/>
        <w:noProof/>
        <w:sz w:val="20"/>
      </w:rPr>
      <w:t>13</w:t>
    </w:r>
    <w:r w:rsidRPr="00477B4A">
      <w:rPr>
        <w:rStyle w:val="Lappusesnumurs"/>
        <w:rFonts w:ascii="Times New Roman" w:hAnsi="Times New Roman" w:cs="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B4A" w:rsidRPr="00477B4A" w:rsidRDefault="00477B4A" w:rsidP="00477B4A">
    <w:pPr>
      <w:pStyle w:val="Galvene"/>
      <w:tabs>
        <w:tab w:val="clear" w:pos="4153"/>
        <w:tab w:val="clear" w:pos="8306"/>
        <w:tab w:val="left" w:pos="9072"/>
      </w:tabs>
      <w:rPr>
        <w:rStyle w:val="Lappusesnumurs"/>
        <w:rFonts w:ascii="Times New Roman" w:hAnsi="Times New Roman" w:cs="Times New Roman"/>
        <w:sz w:val="20"/>
      </w:rPr>
    </w:pPr>
    <w:bookmarkStart w:id="37" w:name="_Hlk496261764"/>
    <w:bookmarkStart w:id="38" w:name="_Hlk496261765"/>
    <w:bookmarkStart w:id="39" w:name="_Hlk496261766"/>
  </w:p>
  <w:p w:rsidR="00477B4A" w:rsidRPr="00477B4A" w:rsidRDefault="00477B4A" w:rsidP="00477B4A">
    <w:pPr>
      <w:pStyle w:val="Galvene"/>
      <w:tabs>
        <w:tab w:val="clear" w:pos="4153"/>
        <w:tab w:val="clear" w:pos="8306"/>
        <w:tab w:val="left" w:leader="underscore" w:pos="9072"/>
      </w:tabs>
      <w:rPr>
        <w:rStyle w:val="Lappusesnumurs"/>
        <w:rFonts w:ascii="Times New Roman" w:hAnsi="Times New Roman" w:cs="Times New Roman"/>
        <w:sz w:val="20"/>
      </w:rPr>
    </w:pPr>
    <w:r w:rsidRPr="00477B4A">
      <w:rPr>
        <w:rStyle w:val="Lappusesnumurs"/>
        <w:rFonts w:ascii="Times New Roman" w:hAnsi="Times New Roman" w:cs="Times New Roman"/>
        <w:sz w:val="20"/>
      </w:rPr>
      <w:tab/>
    </w:r>
  </w:p>
  <w:p w:rsidR="00477B4A" w:rsidRPr="00477B4A" w:rsidRDefault="00477B4A" w:rsidP="00477B4A">
    <w:pPr>
      <w:pStyle w:val="Galvene"/>
      <w:tabs>
        <w:tab w:val="clear" w:pos="4153"/>
        <w:tab w:val="clear" w:pos="8306"/>
        <w:tab w:val="left" w:pos="9072"/>
      </w:tabs>
      <w:rPr>
        <w:rStyle w:val="Lappusesnumurs"/>
        <w:rFonts w:ascii="Times New Roman" w:hAnsi="Times New Roman" w:cs="Times New Roman"/>
        <w:sz w:val="20"/>
      </w:rPr>
    </w:pPr>
  </w:p>
  <w:p w:rsidR="00477B4A" w:rsidRPr="00477B4A" w:rsidRDefault="00477B4A" w:rsidP="00477B4A">
    <w:pPr>
      <w:pStyle w:val="Kjene"/>
      <w:rPr>
        <w:rFonts w:ascii="Times New Roman" w:hAnsi="Times New Roman" w:cs="Times New Roman"/>
        <w:sz w:val="20"/>
        <w:szCs w:val="18"/>
      </w:rPr>
    </w:pPr>
    <w:r w:rsidRPr="00477B4A">
      <w:rPr>
        <w:rFonts w:ascii="Times New Roman" w:hAnsi="Times New Roman" w:cs="Times New Roman"/>
        <w:noProof/>
        <w:sz w:val="20"/>
        <w:szCs w:val="18"/>
      </w:rPr>
      <w:t xml:space="preserve">Tulkojums </w:t>
    </w:r>
    <w:r w:rsidRPr="00477B4A">
      <w:rPr>
        <w:rFonts w:ascii="Times New Roman" w:hAnsi="Times New Roman" w:cs="Times New Roman"/>
        <w:noProof/>
        <w:sz w:val="20"/>
        <w:szCs w:val="18"/>
      </w:rPr>
      <w:fldChar w:fldCharType="begin"/>
    </w:r>
    <w:r w:rsidRPr="00477B4A">
      <w:rPr>
        <w:rFonts w:ascii="Times New Roman" w:hAnsi="Times New Roman" w:cs="Times New Roman"/>
        <w:noProof/>
        <w:sz w:val="20"/>
        <w:szCs w:val="18"/>
      </w:rPr>
      <w:instrText>symbol 211 \f "Symbol" \s 9</w:instrText>
    </w:r>
    <w:r w:rsidRPr="00477B4A">
      <w:rPr>
        <w:rFonts w:ascii="Times New Roman" w:hAnsi="Times New Roman" w:cs="Times New Roman"/>
        <w:noProof/>
        <w:sz w:val="20"/>
        <w:szCs w:val="18"/>
      </w:rPr>
      <w:fldChar w:fldCharType="separate"/>
    </w:r>
    <w:r w:rsidRPr="00477B4A">
      <w:rPr>
        <w:rFonts w:ascii="Times New Roman" w:hAnsi="Times New Roman" w:cs="Times New Roman"/>
        <w:noProof/>
        <w:sz w:val="20"/>
        <w:szCs w:val="18"/>
      </w:rPr>
      <w:t>Ó</w:t>
    </w:r>
    <w:r w:rsidRPr="00477B4A">
      <w:rPr>
        <w:rFonts w:ascii="Times New Roman" w:hAnsi="Times New Roman" w:cs="Times New Roman"/>
        <w:noProof/>
        <w:sz w:val="20"/>
        <w:szCs w:val="18"/>
      </w:rPr>
      <w:fldChar w:fldCharType="end"/>
    </w:r>
    <w:r w:rsidRPr="00477B4A">
      <w:rPr>
        <w:rFonts w:ascii="Times New Roman" w:hAnsi="Times New Roman" w:cs="Times New Roman"/>
        <w:noProof/>
        <w:sz w:val="20"/>
        <w:szCs w:val="18"/>
      </w:rPr>
      <w:t xml:space="preserve"> Valsts valodas centrs, 201</w:t>
    </w:r>
    <w:bookmarkEnd w:id="37"/>
    <w:bookmarkEnd w:id="38"/>
    <w:bookmarkEnd w:id="39"/>
    <w:r w:rsidRPr="00477B4A">
      <w:rPr>
        <w:rFonts w:ascii="Times New Roman" w:hAnsi="Times New Roman" w:cs="Times New Roman"/>
        <w:noProof/>
        <w:sz w:val="20"/>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318" w:rsidRPr="002875DF" w:rsidRDefault="00B540B1">
      <w:pPr>
        <w:rPr>
          <w:noProof/>
          <w:lang w:val="en-US"/>
        </w:rPr>
      </w:pPr>
      <w:r w:rsidRPr="002875DF">
        <w:rPr>
          <w:noProof/>
          <w:lang w:val="en-US"/>
        </w:rPr>
        <w:separator/>
      </w:r>
    </w:p>
  </w:footnote>
  <w:footnote w:type="continuationSeparator" w:id="0">
    <w:p w:rsidR="009C4318" w:rsidRPr="002875DF" w:rsidRDefault="00B540B1">
      <w:pPr>
        <w:rPr>
          <w:noProof/>
          <w:lang w:val="en-US"/>
        </w:rPr>
      </w:pPr>
      <w:r w:rsidRPr="002875DF">
        <w:rPr>
          <w:noProof/>
          <w:lang w:val="en-US"/>
        </w:rPr>
        <w:continuationSeparator/>
      </w:r>
    </w:p>
  </w:footnote>
  <w:footnote w:id="1">
    <w:p w:rsidR="002875DF" w:rsidRPr="00695746" w:rsidRDefault="002875DF" w:rsidP="00B540B1">
      <w:pPr>
        <w:pStyle w:val="Footnote0"/>
        <w:shd w:val="clear" w:color="auto" w:fill="auto"/>
        <w:spacing w:line="240" w:lineRule="auto"/>
        <w:ind w:firstLine="0"/>
        <w:rPr>
          <w:b w:val="0"/>
          <w:noProof/>
          <w:sz w:val="20"/>
          <w:szCs w:val="20"/>
        </w:rPr>
      </w:pPr>
      <w:r>
        <w:rPr>
          <w:b w:val="0"/>
          <w:noProof/>
          <w:sz w:val="20"/>
          <w:szCs w:val="20"/>
          <w:vertAlign w:val="superscript"/>
          <w:lang w:val="en-US"/>
        </w:rPr>
        <w:footnoteRef/>
      </w:r>
      <w:r>
        <w:rPr>
          <w:b w:val="0"/>
          <w:sz w:val="20"/>
          <w:szCs w:val="20"/>
        </w:rPr>
        <w:t xml:space="preserve"> Turklāt ar Francijas 2018. gada 27. decembra Dekrētu Nr. 2018-1283, kurā publicēti Starptautiskās konvencijas pret dopingu sportā I pielikuma grozījumi (Francijas Republikas Oficiālais Vēstnesis Nr.°0301, 2018. gada 29. decembris, dokuments Nr. 16), kanabidiols (</w:t>
      </w:r>
      <w:r>
        <w:rPr>
          <w:b w:val="0"/>
          <w:i/>
          <w:iCs/>
          <w:sz w:val="20"/>
          <w:szCs w:val="20"/>
        </w:rPr>
        <w:t>CBD</w:t>
      </w:r>
      <w:r>
        <w:rPr>
          <w:b w:val="0"/>
          <w:sz w:val="20"/>
          <w:szCs w:val="20"/>
        </w:rPr>
        <w:t>) atkal jau ir izņemts no dopinga vielu saraksta.</w:t>
      </w:r>
    </w:p>
  </w:footnote>
  <w:footnote w:id="2">
    <w:p w:rsidR="002875DF" w:rsidRPr="00695746" w:rsidRDefault="002875DF" w:rsidP="00B540B1">
      <w:pPr>
        <w:pStyle w:val="Footnote0"/>
        <w:shd w:val="clear" w:color="auto" w:fill="auto"/>
        <w:spacing w:line="240" w:lineRule="auto"/>
        <w:ind w:firstLine="0"/>
        <w:rPr>
          <w:b w:val="0"/>
          <w:noProof/>
          <w:sz w:val="20"/>
          <w:szCs w:val="20"/>
        </w:rPr>
      </w:pPr>
      <w:r>
        <w:rPr>
          <w:b w:val="0"/>
          <w:noProof/>
          <w:sz w:val="20"/>
          <w:szCs w:val="20"/>
          <w:vertAlign w:val="superscript"/>
          <w:lang w:val="en-US"/>
        </w:rPr>
        <w:footnoteRef/>
      </w:r>
      <w:r>
        <w:rPr>
          <w:rStyle w:val="Hipersaite"/>
          <w:b w:val="0"/>
          <w:sz w:val="20"/>
          <w:szCs w:val="20"/>
        </w:rPr>
        <w:t xml:space="preserve"> </w:t>
      </w:r>
      <w:r>
        <w:rPr>
          <w:rStyle w:val="Hipersaite"/>
          <w:b w:val="0"/>
          <w:color w:val="auto"/>
          <w:sz w:val="20"/>
          <w:szCs w:val="20"/>
          <w:u w:val="none"/>
        </w:rPr>
        <w:t>http://ec.europa.eu/growth/tools</w:t>
      </w:r>
      <w:r>
        <w:rPr>
          <w:rStyle w:val="Hipersaite"/>
          <w:b w:val="0"/>
          <w:color w:val="auto"/>
          <w:sz w:val="20"/>
          <w:szCs w:val="20"/>
          <w:u w:val="none"/>
        </w:rPr>
        <w:noBreakHyphen/>
      </w:r>
      <w:r>
        <w:rPr>
          <w:b w:val="0"/>
          <w:color w:val="auto"/>
          <w:sz w:val="20"/>
          <w:szCs w:val="20"/>
        </w:rPr>
        <w:t>databases</w:t>
      </w:r>
      <w:r>
        <w:rPr>
          <w:b w:val="0"/>
          <w:sz w:val="20"/>
          <w:szCs w:val="20"/>
        </w:rPr>
        <w:t>/cosing/index.cfm?fuseaction=search.details_v2&amp;id=93486&amp;locale=fr</w:t>
      </w:r>
    </w:p>
  </w:footnote>
  <w:footnote w:id="3">
    <w:p w:rsidR="002875DF" w:rsidRPr="00695746" w:rsidRDefault="002875DF" w:rsidP="00695746">
      <w:pPr>
        <w:pStyle w:val="Footnote0"/>
        <w:shd w:val="clear" w:color="auto" w:fill="auto"/>
        <w:spacing w:line="240" w:lineRule="auto"/>
        <w:ind w:firstLine="0"/>
        <w:rPr>
          <w:b w:val="0"/>
          <w:noProof/>
          <w:sz w:val="20"/>
          <w:szCs w:val="20"/>
        </w:rPr>
      </w:pPr>
      <w:r>
        <w:rPr>
          <w:b w:val="0"/>
          <w:noProof/>
          <w:sz w:val="20"/>
          <w:szCs w:val="20"/>
          <w:vertAlign w:val="superscript"/>
          <w:lang w:val="en-US"/>
        </w:rPr>
        <w:footnoteRef/>
      </w:r>
      <w:r>
        <w:rPr>
          <w:b w:val="0"/>
          <w:sz w:val="20"/>
          <w:szCs w:val="20"/>
        </w:rPr>
        <w:t xml:space="preserve"> Iekļauts 3. pielikumā Komisijas Īstenošanas regulā Nr. 2018/1602 (2018. gada 11. oktobris), ar ko groza I pielikumu Padomes Regulā (EEK) Nr. 2658/87 par tarifu un statistikas nomenklatūru un kopējo muitas tarifu, OV, 2018, L 273, 1. lpp.</w:t>
      </w:r>
    </w:p>
  </w:footnote>
  <w:footnote w:id="4">
    <w:p w:rsidR="00695746" w:rsidRPr="00695746" w:rsidRDefault="00695746" w:rsidP="00695746">
      <w:pPr>
        <w:pStyle w:val="Vresteksts"/>
        <w:jc w:val="both"/>
      </w:pPr>
      <w:r>
        <w:rPr>
          <w:rStyle w:val="Vresatsauce"/>
          <w:rFonts w:ascii="Times New Roman" w:hAnsi="Times New Roman" w:cs="Times New Roman"/>
        </w:rPr>
        <w:footnoteRef/>
      </w:r>
      <w:r>
        <w:rPr>
          <w:rFonts w:ascii="Times New Roman" w:hAnsi="Times New Roman"/>
        </w:rPr>
        <w:t xml:space="preserve"> Arī 1961. gada 30. marta Vienotajā konvencijā par narkotiskajām vielām </w:t>
      </w:r>
      <w:r>
        <w:rPr>
          <w:rFonts w:ascii="Times New Roman" w:hAnsi="Times New Roman"/>
          <w:i/>
          <w:iCs/>
        </w:rPr>
        <w:t>CBD</w:t>
      </w:r>
      <w:r>
        <w:rPr>
          <w:rFonts w:ascii="Times New Roman" w:hAnsi="Times New Roman"/>
        </w:rPr>
        <w:t xml:space="preserve"> nav klasificēts kā narkotiska viela, skat.:</w:t>
      </w:r>
      <w:r>
        <w:rPr>
          <w:rStyle w:val="Hipersaite"/>
          <w:rFonts w:ascii="Times New Roman" w:hAnsi="Times New Roman"/>
        </w:rPr>
        <w:t xml:space="preserve"> https://www.unodc.org/pdf/convention 1961 fr.pdf.</w:t>
      </w:r>
    </w:p>
  </w:footnote>
  <w:footnote w:id="5">
    <w:p w:rsidR="00600AFF" w:rsidRPr="00600AFF" w:rsidRDefault="00600AFF" w:rsidP="00600AFF">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Style w:val="Hipersaite"/>
          <w:rFonts w:ascii="Times New Roman" w:hAnsi="Times New Roman"/>
          <w:color w:val="auto"/>
          <w:u w:val="none"/>
        </w:rPr>
        <w:t>https://www.legifrance.gouv.fr/affïchTexte.do?cidTexte=JORFTEXT000000351447</w:t>
      </w:r>
    </w:p>
  </w:footnote>
  <w:footnote w:id="6">
    <w:p w:rsidR="00600AFF" w:rsidRPr="00600AFF" w:rsidRDefault="00600AFF" w:rsidP="00600AFF">
      <w:pPr>
        <w:pStyle w:val="Vresteksts"/>
        <w:jc w:val="both"/>
      </w:pPr>
      <w:r>
        <w:rPr>
          <w:rStyle w:val="Vresatsauce"/>
          <w:rFonts w:ascii="Times New Roman" w:hAnsi="Times New Roman" w:cs="Times New Roman"/>
        </w:rPr>
        <w:footnoteRef/>
      </w:r>
      <w:r>
        <w:rPr>
          <w:rFonts w:ascii="Times New Roman" w:hAnsi="Times New Roman"/>
        </w:rPr>
        <w:t xml:space="preserve"> </w:t>
      </w:r>
      <w:r>
        <w:rPr>
          <w:rStyle w:val="Hipersaite"/>
          <w:rFonts w:ascii="Times New Roman" w:hAnsi="Times New Roman"/>
          <w:color w:val="auto"/>
          <w:u w:val="none"/>
        </w:rPr>
        <w:t>https://www.drogues.gouv.fr/actualites/cannabidiol-cbd-point-legislation</w:t>
      </w:r>
    </w:p>
  </w:footnote>
  <w:footnote w:id="7">
    <w:p w:rsidR="00B24B34" w:rsidRPr="00B24B34" w:rsidRDefault="00B24B34" w:rsidP="00B24B3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 piemēram, 2018. gada 4. septembra rakstveida jautājumu Nr. 11900, uz kuru 2019. gada 15. janvārī atbildi sniegusi Francijas Solidaritātes un veselības ministrija.</w:t>
      </w:r>
    </w:p>
  </w:footnote>
  <w:footnote w:id="8">
    <w:p w:rsidR="002875DF" w:rsidRPr="00B24B34" w:rsidRDefault="002875DF" w:rsidP="00B24B34">
      <w:pPr>
        <w:pStyle w:val="Footnote0"/>
        <w:shd w:val="clear" w:color="auto" w:fill="auto"/>
        <w:spacing w:line="240" w:lineRule="auto"/>
        <w:ind w:firstLine="0"/>
        <w:rPr>
          <w:b w:val="0"/>
          <w:noProof/>
          <w:sz w:val="20"/>
          <w:szCs w:val="20"/>
        </w:rPr>
      </w:pPr>
      <w:r>
        <w:rPr>
          <w:b w:val="0"/>
          <w:noProof/>
          <w:sz w:val="20"/>
          <w:szCs w:val="20"/>
          <w:vertAlign w:val="superscript"/>
          <w:lang w:val="en-US"/>
        </w:rPr>
        <w:footnoteRef/>
      </w:r>
      <w:r>
        <w:rPr>
          <w:b w:val="0"/>
          <w:sz w:val="20"/>
          <w:szCs w:val="20"/>
        </w:rPr>
        <w:t xml:space="preserve"> Kombinētās nomenklatūras nodaļas numerācija ir mainīta, tagad tā ir 53.02. nodaļa, skat. Komisijas Īstenošanas regulu Nr. 2018/1602 (2018. gada 11. oktobris), ar ko groza I pielikumu Padomes Regulā (EEK) Nr. 2658/87 par tarifu un statistikas nomenklatūru un kopējo muitas tarifu, OV, 2018, L 273, 1. lpp. Šīm izmaiņām nav praktisku seku.</w:t>
      </w:r>
    </w:p>
  </w:footnote>
  <w:footnote w:id="9">
    <w:p w:rsidR="00B24B34" w:rsidRPr="00B24B34" w:rsidRDefault="00B24B34" w:rsidP="00B24B3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OV, 2013, L 347, 671. lpp.</w:t>
      </w:r>
    </w:p>
  </w:footnote>
  <w:footnote w:id="10">
    <w:p w:rsidR="00B24B34" w:rsidRPr="00B24B34" w:rsidRDefault="00B24B34" w:rsidP="00B24B34">
      <w:pPr>
        <w:pStyle w:val="Vresteksts"/>
        <w:jc w:val="both"/>
      </w:pPr>
      <w:r>
        <w:rPr>
          <w:rStyle w:val="Vresatsauce"/>
          <w:rFonts w:ascii="Times New Roman" w:hAnsi="Times New Roman" w:cs="Times New Roman"/>
        </w:rPr>
        <w:footnoteRef/>
      </w:r>
      <w:r>
        <w:rPr>
          <w:rFonts w:ascii="Times New Roman" w:hAnsi="Times New Roman"/>
        </w:rPr>
        <w:t xml:space="preserve"> OV, 2013, L 347, 608. lpp.</w:t>
      </w:r>
    </w:p>
  </w:footnote>
  <w:footnote w:id="11">
    <w:p w:rsidR="00B24B34" w:rsidRPr="00B24B34" w:rsidRDefault="00B24B34" w:rsidP="00B24B3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OV, 2014, L 181, 1. lpp.</w:t>
      </w:r>
    </w:p>
  </w:footnote>
  <w:footnote w:id="12">
    <w:p w:rsidR="00B24B34" w:rsidRPr="00B24B34" w:rsidRDefault="00B24B34" w:rsidP="00B24B3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2003. gada 16. janvāra sprieduma lietā “</w:t>
      </w:r>
      <w:r>
        <w:rPr>
          <w:rStyle w:val="Footnote95ptNotBoldItalic"/>
          <w:rFonts w:eastAsia="Arial Unicode MS"/>
          <w:sz w:val="20"/>
          <w:szCs w:val="20"/>
        </w:rPr>
        <w:t>Ulfs Hammaštens</w:t>
      </w:r>
      <w:r>
        <w:rPr>
          <w:rFonts w:ascii="Times New Roman" w:hAnsi="Times New Roman"/>
        </w:rPr>
        <w:t>” C</w:t>
      </w:r>
      <w:r>
        <w:rPr>
          <w:rFonts w:ascii="Times New Roman" w:hAnsi="Times New Roman"/>
        </w:rPr>
        <w:noBreakHyphen/>
        <w:t>462/01, EU:C:2003:33, 38. punkts.</w:t>
      </w:r>
    </w:p>
  </w:footnote>
  <w:footnote w:id="13">
    <w:p w:rsidR="00B24B34" w:rsidRPr="00B24B34" w:rsidRDefault="00B24B34" w:rsidP="00B24B3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2008. gada 11. jūlija rīkojuma lietā “</w:t>
      </w:r>
      <w:r>
        <w:rPr>
          <w:rStyle w:val="Footnote95ptNotBoldItalic"/>
          <w:rFonts w:eastAsia="Arial Unicode MS"/>
          <w:sz w:val="20"/>
          <w:szCs w:val="20"/>
        </w:rPr>
        <w:t>Edgars Babanovs</w:t>
      </w:r>
      <w:r>
        <w:rPr>
          <w:rFonts w:ascii="Times New Roman" w:hAnsi="Times New Roman"/>
        </w:rPr>
        <w:t>” C</w:t>
      </w:r>
      <w:r>
        <w:rPr>
          <w:rFonts w:ascii="Times New Roman" w:hAnsi="Times New Roman"/>
        </w:rPr>
        <w:noBreakHyphen/>
        <w:t>207/08, EU:C:2008:407, 36. punkts.</w:t>
      </w:r>
    </w:p>
  </w:footnote>
  <w:footnote w:id="14">
    <w:p w:rsidR="00B24B34" w:rsidRPr="00B24B34" w:rsidRDefault="00B24B34" w:rsidP="00B24B34">
      <w:pPr>
        <w:pStyle w:val="Footnote0"/>
        <w:shd w:val="clear" w:color="auto" w:fill="auto"/>
        <w:spacing w:line="240" w:lineRule="auto"/>
        <w:ind w:firstLine="0"/>
        <w:rPr>
          <w:b w:val="0"/>
          <w:noProof/>
          <w:sz w:val="20"/>
          <w:szCs w:val="20"/>
        </w:rPr>
      </w:pPr>
      <w:r>
        <w:rPr>
          <w:rStyle w:val="Vresatsauce"/>
          <w:sz w:val="20"/>
          <w:szCs w:val="20"/>
        </w:rPr>
        <w:footnoteRef/>
      </w:r>
      <w:r>
        <w:rPr>
          <w:b w:val="0"/>
        </w:rPr>
        <w:t xml:space="preserve"> 2003. gada 16. janvāra sprieduma lietā “</w:t>
      </w:r>
      <w:r>
        <w:rPr>
          <w:rStyle w:val="Footnote95ptNotBoldItalic"/>
        </w:rPr>
        <w:t>Ulfs Hammaštens</w:t>
      </w:r>
      <w:r>
        <w:rPr>
          <w:b w:val="0"/>
        </w:rPr>
        <w:t>” C</w:t>
      </w:r>
      <w:r>
        <w:rPr>
          <w:b w:val="0"/>
        </w:rPr>
        <w:noBreakHyphen/>
        <w:t>462/01, EU:C:2003:33, 28. punkts;</w:t>
      </w:r>
    </w:p>
    <w:p w:rsidR="00B24B34" w:rsidRPr="00B24B34" w:rsidRDefault="00B24B34" w:rsidP="00B24B34">
      <w:pPr>
        <w:pStyle w:val="Vresteksts"/>
        <w:jc w:val="both"/>
        <w:rPr>
          <w:rFonts w:ascii="Times New Roman" w:hAnsi="Times New Roman" w:cs="Times New Roman"/>
        </w:rPr>
      </w:pPr>
      <w:r>
        <w:rPr>
          <w:rFonts w:ascii="Times New Roman" w:hAnsi="Times New Roman"/>
        </w:rPr>
        <w:t>2008. gada 11. jūlija rīkojuma lietā “</w:t>
      </w:r>
      <w:r>
        <w:rPr>
          <w:rStyle w:val="Footnote95ptNotBoldItalic"/>
          <w:rFonts w:eastAsia="Arial Unicode MS"/>
          <w:sz w:val="20"/>
          <w:szCs w:val="20"/>
        </w:rPr>
        <w:t>Edgars Babanovs</w:t>
      </w:r>
      <w:r>
        <w:rPr>
          <w:rFonts w:ascii="Times New Roman" w:hAnsi="Times New Roman"/>
        </w:rPr>
        <w:t>” C</w:t>
      </w:r>
      <w:r>
        <w:rPr>
          <w:rFonts w:ascii="Times New Roman" w:hAnsi="Times New Roman"/>
        </w:rPr>
        <w:noBreakHyphen/>
        <w:t>207/08, EU:C:2008:407, 24. punkts.</w:t>
      </w:r>
    </w:p>
  </w:footnote>
  <w:footnote w:id="15">
    <w:p w:rsidR="00B24B34" w:rsidRPr="00B24B34" w:rsidRDefault="00B24B34" w:rsidP="00B24B3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2003. gada 16. janvāra sprieduma lietā “</w:t>
      </w:r>
      <w:r>
        <w:rPr>
          <w:rStyle w:val="Footnote95ptNotBoldItalic"/>
          <w:rFonts w:eastAsia="Arial Unicode MS"/>
          <w:sz w:val="20"/>
          <w:szCs w:val="20"/>
        </w:rPr>
        <w:t>Ulfs Hammaštens</w:t>
      </w:r>
      <w:r>
        <w:rPr>
          <w:rFonts w:ascii="Times New Roman" w:hAnsi="Times New Roman"/>
        </w:rPr>
        <w:t>” C</w:t>
      </w:r>
      <w:r>
        <w:rPr>
          <w:rFonts w:ascii="Times New Roman" w:hAnsi="Times New Roman"/>
        </w:rPr>
        <w:noBreakHyphen/>
        <w:t>462/01, EU:C:2003:33, 29. punkts, 2008. gada 11. jūlija rīkojuma lietā “</w:t>
      </w:r>
      <w:r>
        <w:rPr>
          <w:rStyle w:val="Footnote95ptNotBoldItalic"/>
          <w:rFonts w:eastAsia="Arial Unicode MS"/>
          <w:sz w:val="20"/>
          <w:szCs w:val="20"/>
        </w:rPr>
        <w:t>Edgars Babanovs</w:t>
      </w:r>
      <w:r>
        <w:rPr>
          <w:rFonts w:ascii="Times New Roman" w:hAnsi="Times New Roman"/>
        </w:rPr>
        <w:t>” C</w:t>
      </w:r>
      <w:r>
        <w:rPr>
          <w:rFonts w:ascii="Times New Roman" w:hAnsi="Times New Roman"/>
        </w:rPr>
        <w:noBreakHyphen/>
        <w:t>207/08, EU:C:2008:407, 25. punkts.</w:t>
      </w:r>
    </w:p>
  </w:footnote>
  <w:footnote w:id="16">
    <w:p w:rsidR="00B24B34" w:rsidRPr="00B24B34" w:rsidRDefault="00B24B34" w:rsidP="00B24B3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2003. gada 16. janvāra sprieduma lietā “</w:t>
      </w:r>
      <w:r>
        <w:rPr>
          <w:rStyle w:val="Footnote95ptNotBoldItalic"/>
          <w:rFonts w:eastAsia="Arial Unicode MS"/>
          <w:sz w:val="20"/>
          <w:szCs w:val="20"/>
        </w:rPr>
        <w:t>Ulfs Hammaštens</w:t>
      </w:r>
      <w:r>
        <w:rPr>
          <w:rFonts w:ascii="Times New Roman" w:hAnsi="Times New Roman"/>
        </w:rPr>
        <w:t>” C</w:t>
      </w:r>
      <w:r>
        <w:rPr>
          <w:rFonts w:ascii="Times New Roman" w:hAnsi="Times New Roman"/>
        </w:rPr>
        <w:noBreakHyphen/>
        <w:t>462/01, EU:C:2003:33, 34. punkts, 2008. gada 11. jūlija rīkojuma lietā “</w:t>
      </w:r>
      <w:r>
        <w:rPr>
          <w:rStyle w:val="Footnote95ptNotBoldItalic"/>
          <w:rFonts w:eastAsia="Arial Unicode MS"/>
          <w:sz w:val="20"/>
          <w:szCs w:val="20"/>
        </w:rPr>
        <w:t>Edgars Babanovs</w:t>
      </w:r>
      <w:r>
        <w:rPr>
          <w:rFonts w:ascii="Times New Roman" w:hAnsi="Times New Roman"/>
        </w:rPr>
        <w:t>” C</w:t>
      </w:r>
      <w:r>
        <w:rPr>
          <w:rFonts w:ascii="Times New Roman" w:hAnsi="Times New Roman"/>
        </w:rPr>
        <w:noBreakHyphen/>
        <w:t>207/08, EU:C:2008:407, 30. punkts.</w:t>
      </w:r>
    </w:p>
  </w:footnote>
  <w:footnote w:id="17">
    <w:p w:rsidR="00B24B34" w:rsidRPr="00B24B34" w:rsidRDefault="00B24B34" w:rsidP="00B24B3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Komisijas Īstenošanas regula Nr. 2018/1602 (2018. gada 11. oktobris), ar ko groza I pielikumu Padomes Regulā (EEK) Nr. 2658/87 par tarifu un statistikas nomenklatūru un kopējo muitas tarifu, OV, 2018, L 273, 1. lpp.</w:t>
      </w:r>
    </w:p>
  </w:footnote>
  <w:footnote w:id="18">
    <w:p w:rsidR="00B24B34" w:rsidRPr="00485824" w:rsidRDefault="00B24B34" w:rsidP="00485824">
      <w:pPr>
        <w:pStyle w:val="Footnote0"/>
        <w:shd w:val="clear" w:color="auto" w:fill="auto"/>
        <w:spacing w:line="240" w:lineRule="auto"/>
        <w:ind w:firstLine="0"/>
        <w:rPr>
          <w:b w:val="0"/>
          <w:noProof/>
          <w:sz w:val="20"/>
          <w:szCs w:val="20"/>
        </w:rPr>
      </w:pPr>
      <w:r>
        <w:rPr>
          <w:rStyle w:val="Vresatsauce"/>
          <w:sz w:val="20"/>
          <w:szCs w:val="20"/>
        </w:rPr>
        <w:footnoteRef/>
      </w:r>
      <w:r>
        <w:rPr>
          <w:sz w:val="20"/>
          <w:szCs w:val="20"/>
        </w:rPr>
        <w:t xml:space="preserve"> </w:t>
      </w:r>
      <w:r>
        <w:rPr>
          <w:b w:val="0"/>
          <w:sz w:val="20"/>
          <w:szCs w:val="20"/>
        </w:rPr>
        <w:t>Tiesas 1974. gada 11. jūlija spriedums lietā “</w:t>
      </w:r>
      <w:r>
        <w:rPr>
          <w:rStyle w:val="Footnote95ptNotBoldItalic"/>
          <w:sz w:val="20"/>
          <w:szCs w:val="20"/>
        </w:rPr>
        <w:t>Dasonvils [Dassonville]</w:t>
      </w:r>
      <w:r>
        <w:rPr>
          <w:b w:val="0"/>
          <w:sz w:val="20"/>
          <w:szCs w:val="20"/>
        </w:rPr>
        <w:t>”, 8/74, EU:C:1974:82</w:t>
      </w:r>
      <w:r>
        <w:rPr>
          <w:rStyle w:val="Footnote2"/>
          <w:bCs/>
          <w:sz w:val="20"/>
          <w:szCs w:val="20"/>
        </w:rPr>
        <w:t xml:space="preserve">, </w:t>
      </w:r>
      <w:r>
        <w:rPr>
          <w:b w:val="0"/>
          <w:sz w:val="20"/>
          <w:szCs w:val="20"/>
        </w:rPr>
        <w:t>Krājums, 837. lpp.</w:t>
      </w:r>
    </w:p>
  </w:footnote>
  <w:footnote w:id="19">
    <w:p w:rsidR="00485824" w:rsidRPr="00485824" w:rsidRDefault="00485824" w:rsidP="00485824">
      <w:pPr>
        <w:pStyle w:val="Bodytext11"/>
        <w:shd w:val="clear" w:color="auto" w:fill="auto"/>
        <w:spacing w:after="0" w:line="240" w:lineRule="auto"/>
        <w:rPr>
          <w:b/>
          <w:bCs/>
          <w:i w:val="0"/>
          <w:iCs w:val="0"/>
          <w:noProof/>
          <w:sz w:val="20"/>
          <w:szCs w:val="20"/>
        </w:rPr>
      </w:pPr>
      <w:r>
        <w:rPr>
          <w:rStyle w:val="Vresatsauce"/>
          <w:sz w:val="20"/>
          <w:szCs w:val="20"/>
        </w:rPr>
        <w:footnoteRef/>
      </w:r>
      <w:r>
        <w:rPr>
          <w:sz w:val="20"/>
          <w:szCs w:val="20"/>
        </w:rPr>
        <w:t xml:space="preserve"> </w:t>
      </w:r>
      <w:r>
        <w:rPr>
          <w:b/>
          <w:bCs/>
          <w:i w:val="0"/>
          <w:iCs w:val="0"/>
          <w:sz w:val="20"/>
          <w:szCs w:val="20"/>
        </w:rPr>
        <w:t xml:space="preserve">Skat. Tiesas 1995. gada 28. marta sprieduma lietā </w:t>
      </w:r>
      <w:r>
        <w:rPr>
          <w:i w:val="0"/>
          <w:iCs w:val="0"/>
          <w:sz w:val="20"/>
          <w:szCs w:val="20"/>
        </w:rPr>
        <w:t xml:space="preserve">“Karaliene pret iekšlietu ministru, </w:t>
      </w:r>
      <w:r>
        <w:rPr>
          <w:sz w:val="20"/>
          <w:szCs w:val="20"/>
        </w:rPr>
        <w:t>ex parte</w:t>
      </w:r>
      <w:r>
        <w:rPr>
          <w:i w:val="0"/>
          <w:iCs w:val="0"/>
          <w:sz w:val="20"/>
          <w:szCs w:val="20"/>
        </w:rPr>
        <w:t xml:space="preserve"> “Evans Medical Ltd” un “Macfarlan Smith Ltd.””</w:t>
      </w:r>
      <w:r>
        <w:rPr>
          <w:sz w:val="20"/>
          <w:szCs w:val="20"/>
        </w:rPr>
        <w:t xml:space="preserve"> </w:t>
      </w:r>
      <w:r>
        <w:rPr>
          <w:b/>
          <w:bCs/>
          <w:i w:val="0"/>
          <w:iCs w:val="0"/>
          <w:sz w:val="20"/>
          <w:szCs w:val="20"/>
        </w:rPr>
        <w:t>C</w:t>
      </w:r>
      <w:r>
        <w:rPr>
          <w:b/>
          <w:bCs/>
          <w:i w:val="0"/>
          <w:iCs w:val="0"/>
          <w:sz w:val="20"/>
          <w:szCs w:val="20"/>
        </w:rPr>
        <w:noBreakHyphen/>
        <w:t>324/94, EU:C:1995:84, 20. punktu</w:t>
      </w:r>
      <w:r>
        <w:rPr>
          <w:sz w:val="20"/>
          <w:szCs w:val="20"/>
        </w:rPr>
        <w:t>.</w:t>
      </w:r>
    </w:p>
  </w:footnote>
  <w:footnote w:id="20">
    <w:p w:rsidR="00485824" w:rsidRPr="00485824" w:rsidRDefault="00485824" w:rsidP="00485824">
      <w:pPr>
        <w:pStyle w:val="Bodytext11"/>
        <w:shd w:val="clear" w:color="auto" w:fill="auto"/>
        <w:spacing w:after="0" w:line="240" w:lineRule="auto"/>
        <w:rPr>
          <w:b/>
          <w:bCs/>
          <w:i w:val="0"/>
          <w:iCs w:val="0"/>
          <w:noProof/>
          <w:sz w:val="20"/>
          <w:szCs w:val="20"/>
        </w:rPr>
      </w:pPr>
      <w:r>
        <w:rPr>
          <w:rStyle w:val="Vresatsauce"/>
          <w:sz w:val="20"/>
          <w:szCs w:val="20"/>
        </w:rPr>
        <w:footnoteRef/>
      </w:r>
      <w:r>
        <w:rPr>
          <w:sz w:val="20"/>
          <w:szCs w:val="20"/>
        </w:rPr>
        <w:t xml:space="preserve"> </w:t>
      </w:r>
      <w:r>
        <w:rPr>
          <w:b/>
          <w:bCs/>
          <w:i w:val="0"/>
          <w:iCs w:val="0"/>
          <w:sz w:val="20"/>
          <w:szCs w:val="20"/>
        </w:rPr>
        <w:t xml:space="preserve">Skat. Tiesas 1995. gada 28. marta sprieduma lietā </w:t>
      </w:r>
      <w:r>
        <w:rPr>
          <w:i w:val="0"/>
          <w:iCs w:val="0"/>
          <w:sz w:val="20"/>
          <w:szCs w:val="20"/>
        </w:rPr>
        <w:t xml:space="preserve">“Karaliene pret iekšlietu ministru, </w:t>
      </w:r>
      <w:r>
        <w:rPr>
          <w:sz w:val="20"/>
          <w:szCs w:val="20"/>
        </w:rPr>
        <w:t>ex parte</w:t>
      </w:r>
      <w:r>
        <w:rPr>
          <w:i w:val="0"/>
          <w:iCs w:val="0"/>
          <w:sz w:val="20"/>
          <w:szCs w:val="20"/>
        </w:rPr>
        <w:t xml:space="preserve"> “Evans Medical Ltd” un “Macfarlan Smith Ltd.””</w:t>
      </w:r>
      <w:r>
        <w:rPr>
          <w:sz w:val="20"/>
          <w:szCs w:val="20"/>
        </w:rPr>
        <w:t xml:space="preserve"> </w:t>
      </w:r>
      <w:r>
        <w:rPr>
          <w:b/>
          <w:bCs/>
          <w:i w:val="0"/>
          <w:iCs w:val="0"/>
          <w:sz w:val="20"/>
          <w:szCs w:val="20"/>
        </w:rPr>
        <w:t>C</w:t>
      </w:r>
      <w:r>
        <w:rPr>
          <w:b/>
          <w:bCs/>
          <w:i w:val="0"/>
          <w:iCs w:val="0"/>
          <w:sz w:val="20"/>
          <w:szCs w:val="20"/>
        </w:rPr>
        <w:noBreakHyphen/>
        <w:t>324/94, EU:C:1995:84, 22. punktu</w:t>
      </w:r>
      <w:r>
        <w:rPr>
          <w:sz w:val="20"/>
          <w:szCs w:val="20"/>
        </w:rPr>
        <w:t>.</w:t>
      </w:r>
    </w:p>
  </w:footnote>
  <w:footnote w:id="21">
    <w:p w:rsidR="00485824" w:rsidRPr="00485824" w:rsidRDefault="00485824" w:rsidP="0048582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b/>
        </w:rPr>
        <w:t>Skat., piemēram, Tiesas 2019. gada 30. janvāra sprieduma lietā</w:t>
      </w:r>
      <w:r>
        <w:rPr>
          <w:rFonts w:ascii="Times New Roman" w:hAnsi="Times New Roman"/>
        </w:rPr>
        <w:t xml:space="preserve"> ““Planta Tabak-Manufaktur Dr. Manfred Obermann GmbH &amp; Co. KG” pret Berlīnes federālo zemi”</w:t>
      </w:r>
      <w:r>
        <w:rPr>
          <w:rFonts w:ascii="Times New Roman" w:hAnsi="Times New Roman"/>
          <w:i/>
          <w:iCs/>
        </w:rPr>
        <w:t xml:space="preserve"> </w:t>
      </w:r>
      <w:r>
        <w:rPr>
          <w:rFonts w:ascii="Times New Roman" w:hAnsi="Times New Roman"/>
          <w:b/>
        </w:rPr>
        <w:t>C</w:t>
      </w:r>
      <w:r>
        <w:rPr>
          <w:rFonts w:ascii="Times New Roman" w:hAnsi="Times New Roman"/>
          <w:b/>
        </w:rPr>
        <w:noBreakHyphen/>
        <w:t>220/17, EU:C:2019:76, 82. punktu</w:t>
      </w:r>
      <w:r>
        <w:rPr>
          <w:rFonts w:ascii="Times New Roman" w:hAnsi="Times New Roman"/>
        </w:rPr>
        <w:t>.</w:t>
      </w:r>
    </w:p>
  </w:footnote>
  <w:footnote w:id="22">
    <w:p w:rsidR="00485824" w:rsidRPr="00485824" w:rsidRDefault="00485824" w:rsidP="0048582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b/>
        </w:rPr>
        <w:t>Tiesas 2012. gada 26. aprīļa sprieduma lietā</w:t>
      </w:r>
      <w:r>
        <w:rPr>
          <w:rFonts w:ascii="Times New Roman" w:hAnsi="Times New Roman"/>
        </w:rPr>
        <w:t xml:space="preserve"> ““Asociación Nacional de Expendedores de Tabaco y Timbre” (</w:t>
      </w:r>
      <w:r>
        <w:rPr>
          <w:rFonts w:ascii="Times New Roman" w:hAnsi="Times New Roman"/>
          <w:i/>
          <w:iCs/>
        </w:rPr>
        <w:t>ANETT</w:t>
      </w:r>
      <w:r>
        <w:rPr>
          <w:rFonts w:ascii="Times New Roman" w:hAnsi="Times New Roman"/>
        </w:rPr>
        <w:t xml:space="preserve">)” </w:t>
      </w:r>
      <w:r>
        <w:rPr>
          <w:rFonts w:ascii="Times New Roman" w:hAnsi="Times New Roman"/>
          <w:b/>
        </w:rPr>
        <w:t>C</w:t>
      </w:r>
      <w:r>
        <w:rPr>
          <w:rFonts w:ascii="Times New Roman" w:hAnsi="Times New Roman"/>
          <w:b/>
        </w:rPr>
        <w:noBreakHyphen/>
        <w:t>456/10, EU:C:2012:241, 50. punkts</w:t>
      </w:r>
      <w:r>
        <w:rPr>
          <w:rFonts w:ascii="Times New Roman" w:hAnsi="Times New Roman"/>
        </w:rPr>
        <w:t>.</w:t>
      </w:r>
    </w:p>
  </w:footnote>
  <w:footnote w:id="23">
    <w:p w:rsidR="00485824" w:rsidRPr="00485824" w:rsidRDefault="00485824" w:rsidP="0048582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Tiesas 2008. gada 13. marta sprieduma lietā “</w:t>
      </w:r>
      <w:r>
        <w:rPr>
          <w:rStyle w:val="Footnote95ptNotBoldItalic"/>
          <w:rFonts w:eastAsia="Arial Unicode MS"/>
          <w:sz w:val="20"/>
          <w:szCs w:val="20"/>
        </w:rPr>
        <w:t>Komisija pret Beļģiju</w:t>
      </w:r>
      <w:r>
        <w:rPr>
          <w:rFonts w:ascii="Times New Roman" w:hAnsi="Times New Roman"/>
        </w:rPr>
        <w:t>” C</w:t>
      </w:r>
      <w:r>
        <w:rPr>
          <w:rFonts w:ascii="Times New Roman" w:hAnsi="Times New Roman"/>
        </w:rPr>
        <w:noBreakHyphen/>
        <w:t>227/06, EU:C:2008:160, 62. un 63. punkts un 1997. gada 13. marta sprieduma lietā “</w:t>
      </w:r>
      <w:r>
        <w:rPr>
          <w:rStyle w:val="Footnote95ptNotBoldItalic"/>
          <w:rFonts w:eastAsia="Arial Unicode MS"/>
          <w:sz w:val="20"/>
          <w:szCs w:val="20"/>
        </w:rPr>
        <w:t>Morellato [Morellato]</w:t>
      </w:r>
      <w:r>
        <w:rPr>
          <w:rFonts w:ascii="Times New Roman" w:hAnsi="Times New Roman"/>
        </w:rPr>
        <w:t>” C</w:t>
      </w:r>
      <w:r>
        <w:rPr>
          <w:rFonts w:ascii="Times New Roman" w:hAnsi="Times New Roman"/>
        </w:rPr>
        <w:noBreakHyphen/>
        <w:t>358/95, EU:C:1997:149, 14. punkts.</w:t>
      </w:r>
    </w:p>
  </w:footnote>
  <w:footnote w:id="24">
    <w:p w:rsidR="00485824" w:rsidRPr="00485824" w:rsidRDefault="00485824" w:rsidP="0048582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Tiesas 2008. gada 13. marta sprieduma lietā “</w:t>
      </w:r>
      <w:r>
        <w:rPr>
          <w:rStyle w:val="Footnote95ptNotBoldItalic"/>
          <w:rFonts w:eastAsia="Arial Unicode MS"/>
          <w:sz w:val="20"/>
          <w:szCs w:val="20"/>
        </w:rPr>
        <w:t>Komisija pret Beļģiju</w:t>
      </w:r>
      <w:r>
        <w:rPr>
          <w:rFonts w:ascii="Times New Roman" w:hAnsi="Times New Roman"/>
        </w:rPr>
        <w:t>” C</w:t>
      </w:r>
      <w:r>
        <w:rPr>
          <w:rFonts w:ascii="Times New Roman" w:hAnsi="Times New Roman"/>
        </w:rPr>
        <w:noBreakHyphen/>
        <w:t>227/06, EU:C:2008:160, 60. punkts</w:t>
      </w:r>
      <w:r>
        <w:t>.</w:t>
      </w:r>
    </w:p>
  </w:footnote>
  <w:footnote w:id="25">
    <w:p w:rsidR="00485824" w:rsidRPr="00485824" w:rsidRDefault="00485824" w:rsidP="003C0204">
      <w:pPr>
        <w:pStyle w:val="Footnote21"/>
        <w:shd w:val="clear" w:color="auto" w:fill="auto"/>
        <w:spacing w:line="240" w:lineRule="auto"/>
        <w:jc w:val="both"/>
      </w:pPr>
      <w:r>
        <w:rPr>
          <w:rStyle w:val="Vresatsauce"/>
          <w:sz w:val="20"/>
          <w:szCs w:val="20"/>
        </w:rPr>
        <w:footnoteRef/>
      </w:r>
      <w:r>
        <w:rPr>
          <w:sz w:val="20"/>
          <w:szCs w:val="20"/>
        </w:rPr>
        <w:t xml:space="preserve"> </w:t>
      </w:r>
      <w:r>
        <w:rPr>
          <w:rStyle w:val="Footnote29ptBoldNotItalic"/>
          <w:b w:val="0"/>
          <w:sz w:val="20"/>
          <w:szCs w:val="20"/>
        </w:rPr>
        <w:t>Tiesas 2010. gada 1. jūnija sprieduma apvienotajās lietās</w:t>
      </w:r>
      <w:r>
        <w:t xml:space="preserve"> </w:t>
      </w:r>
      <w:r>
        <w:rPr>
          <w:i w:val="0"/>
          <w:iCs w:val="0"/>
        </w:rPr>
        <w:t>“Hosē Manuels Blanko Peress [</w:t>
      </w:r>
      <w:r>
        <w:t>José Manuel Blanco Pérez</w:t>
      </w:r>
      <w:r>
        <w:rPr>
          <w:i w:val="0"/>
          <w:iCs w:val="0"/>
        </w:rPr>
        <w:t>] un Marija del Pilara Čau Gomesa [</w:t>
      </w:r>
      <w:r>
        <w:t>Maria del Pilar Chao Gômez</w:t>
      </w:r>
      <w:r>
        <w:rPr>
          <w:i w:val="0"/>
          <w:iCs w:val="0"/>
        </w:rPr>
        <w:t>]”</w:t>
      </w:r>
      <w:r w:rsidR="003C0204">
        <w:rPr>
          <w:i w:val="0"/>
          <w:iCs w:val="0"/>
        </w:rPr>
        <w:t xml:space="preserve"> </w:t>
      </w:r>
      <w:r>
        <w:t>C</w:t>
      </w:r>
      <w:r>
        <w:noBreakHyphen/>
        <w:t>570/07 un C</w:t>
      </w:r>
      <w:r>
        <w:noBreakHyphen/>
        <w:t>571/07, EU:C:2010:300, 44. un 65. punkts.</w:t>
      </w:r>
    </w:p>
  </w:footnote>
  <w:footnote w:id="26">
    <w:p w:rsidR="00485824" w:rsidRPr="00485824" w:rsidRDefault="00485824" w:rsidP="0048582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color w:val="auto"/>
        </w:rPr>
        <w:t>https://</w:t>
      </w:r>
      <w:r>
        <w:rPr>
          <w:rStyle w:val="Hipersaite"/>
          <w:rFonts w:ascii="Times New Roman" w:hAnsi="Times New Roman"/>
          <w:color w:val="auto"/>
          <w:u w:val="none"/>
        </w:rPr>
        <w:t>www.who.int/features/qa/cannabidiol/fr/</w:t>
      </w:r>
    </w:p>
  </w:footnote>
  <w:footnote w:id="27">
    <w:p w:rsidR="00485824" w:rsidRPr="00485824" w:rsidRDefault="00485824" w:rsidP="00485824">
      <w:pPr>
        <w:pStyle w:val="Footnote0"/>
        <w:shd w:val="clear" w:color="auto" w:fill="auto"/>
        <w:tabs>
          <w:tab w:val="left" w:pos="1680"/>
          <w:tab w:val="left" w:pos="3509"/>
        </w:tabs>
        <w:spacing w:line="240" w:lineRule="auto"/>
        <w:ind w:firstLine="0"/>
        <w:rPr>
          <w:b w:val="0"/>
          <w:noProof/>
          <w:sz w:val="20"/>
          <w:szCs w:val="20"/>
        </w:rPr>
      </w:pPr>
      <w:r>
        <w:rPr>
          <w:rStyle w:val="Vresatsauce"/>
          <w:sz w:val="20"/>
          <w:szCs w:val="20"/>
        </w:rPr>
        <w:footnoteRef/>
      </w:r>
      <w:r>
        <w:rPr>
          <w:sz w:val="20"/>
          <w:szCs w:val="20"/>
        </w:rPr>
        <w:t xml:space="preserve"> </w:t>
      </w:r>
      <w:r>
        <w:rPr>
          <w:b w:val="0"/>
          <w:sz w:val="20"/>
          <w:szCs w:val="20"/>
        </w:rPr>
        <w:t xml:space="preserve">Šī pati PVO komiteja 2018. gada jūnijā padziļināti skatīja </w:t>
      </w:r>
      <w:r>
        <w:rPr>
          <w:b w:val="0"/>
          <w:i/>
          <w:iCs/>
          <w:sz w:val="20"/>
          <w:szCs w:val="20"/>
        </w:rPr>
        <w:t>CBD</w:t>
      </w:r>
      <w:r>
        <w:rPr>
          <w:b w:val="0"/>
          <w:sz w:val="20"/>
          <w:szCs w:val="20"/>
        </w:rPr>
        <w:t xml:space="preserve"> kā terapeitiskas vielas izmantošanu un secināja: “</w:t>
      </w:r>
      <w:r>
        <w:rPr>
          <w:b w:val="0"/>
          <w:i/>
          <w:iCs/>
          <w:sz w:val="20"/>
          <w:szCs w:val="20"/>
        </w:rPr>
        <w:t>To date, there is no evidence of recreational use of CBD or any public health-related problems associated with the use of pure CBD</w:t>
      </w:r>
      <w:r>
        <w:rPr>
          <w:b w:val="0"/>
          <w:sz w:val="20"/>
          <w:szCs w:val="20"/>
        </w:rPr>
        <w:t xml:space="preserve">.” </w:t>
      </w:r>
      <w:r>
        <w:rPr>
          <w:rStyle w:val="Hipersaite"/>
          <w:b w:val="0"/>
          <w:color w:val="auto"/>
          <w:sz w:val="20"/>
          <w:szCs w:val="20"/>
          <w:u w:val="none"/>
        </w:rPr>
        <w:t>https://www.who.int/medicines/access/controlled-</w:t>
      </w:r>
      <w:r>
        <w:rPr>
          <w:b w:val="0"/>
          <w:color w:val="auto"/>
          <w:sz w:val="20"/>
          <w:szCs w:val="20"/>
        </w:rPr>
        <w:t>substances/CannabidiolCriticalReview.pdf</w:t>
      </w:r>
    </w:p>
  </w:footnote>
  <w:footnote w:id="28">
    <w:p w:rsidR="00485824" w:rsidRPr="00485824" w:rsidRDefault="00485824" w:rsidP="0048582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Izklāstīts iepriekš 18. punktā.</w:t>
      </w:r>
    </w:p>
  </w:footnote>
  <w:footnote w:id="29">
    <w:p w:rsidR="00485824" w:rsidRPr="00485824" w:rsidRDefault="00485824" w:rsidP="00485824">
      <w:pPr>
        <w:pStyle w:val="Vresteksts"/>
        <w:jc w:val="both"/>
      </w:pPr>
      <w:r>
        <w:rPr>
          <w:rStyle w:val="Vresatsauce"/>
          <w:rFonts w:ascii="Times New Roman" w:hAnsi="Times New Roman" w:cs="Times New Roman"/>
        </w:rPr>
        <w:footnoteRef/>
      </w:r>
      <w:r>
        <w:rPr>
          <w:rFonts w:ascii="Times New Roman" w:hAnsi="Times New Roman"/>
        </w:rPr>
        <w:t xml:space="preserve"> Kopumā kā piemēru skat. Komisijas Regulu (EK) Nr. 401/2006 (2006. gada 23. februāris), ar ko nosaka paraugu ņemšanas un analīzes metodes mikotoksīnu līmeņu oficiālai kontrolei pārtikas produktos (OV, 2006, L 70, 12. lpp.), un Komisijas Ieteikumu (ES) Nr. 2016/2115 (2016. gada 1. decembris) par monitoringu attiecībā uz Δ9-tetrahidrokanabinola, tā prekursoru un citu kanabinoīdu klātbūtni pārtikā (OV, 2016, L 327, 103.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B4A" w:rsidRPr="00477B4A" w:rsidRDefault="00477B4A" w:rsidP="00477B4A">
    <w:pPr>
      <w:pStyle w:val="Galvene"/>
      <w:tabs>
        <w:tab w:val="clear" w:pos="4153"/>
        <w:tab w:val="clear" w:pos="8306"/>
      </w:tabs>
      <w:rPr>
        <w:rStyle w:val="Lappusesnumurs"/>
        <w:rFonts w:ascii="Times New Roman" w:hAnsi="Times New Roman" w:cs="Times New Roman"/>
        <w:sz w:val="20"/>
        <w:szCs w:val="20"/>
      </w:rPr>
    </w:pPr>
    <w:bookmarkStart w:id="27" w:name="_Hlk496261784"/>
    <w:bookmarkStart w:id="28" w:name="_Hlk496261785"/>
    <w:bookmarkStart w:id="29" w:name="_Hlk496261786"/>
    <w:bookmarkStart w:id="30" w:name="_Hlk502757728"/>
    <w:bookmarkStart w:id="31" w:name="_Hlk502757729"/>
    <w:bookmarkStart w:id="32" w:name="_Hlk502757738"/>
    <w:bookmarkStart w:id="33" w:name="_Hlk502757739"/>
  </w:p>
  <w:p w:rsidR="00477B4A" w:rsidRPr="00477B4A" w:rsidRDefault="00477B4A" w:rsidP="00477B4A">
    <w:pPr>
      <w:pStyle w:val="Galvene"/>
      <w:tabs>
        <w:tab w:val="clear" w:pos="4153"/>
        <w:tab w:val="clear" w:pos="8306"/>
        <w:tab w:val="right" w:leader="underscore" w:pos="9072"/>
      </w:tabs>
      <w:rPr>
        <w:rStyle w:val="Lappusesnumurs"/>
        <w:rFonts w:ascii="Times New Roman" w:hAnsi="Times New Roman" w:cs="Times New Roman"/>
        <w:sz w:val="20"/>
        <w:szCs w:val="20"/>
      </w:rPr>
    </w:pPr>
    <w:r w:rsidRPr="00477B4A">
      <w:rPr>
        <w:rStyle w:val="Lappusesnumurs"/>
        <w:rFonts w:ascii="Times New Roman" w:hAnsi="Times New Roman" w:cs="Times New Roman"/>
        <w:sz w:val="20"/>
        <w:szCs w:val="20"/>
      </w:rPr>
      <w:tab/>
    </w:r>
  </w:p>
  <w:bookmarkEnd w:id="27"/>
  <w:bookmarkEnd w:id="28"/>
  <w:bookmarkEnd w:id="29"/>
  <w:bookmarkEnd w:id="30"/>
  <w:bookmarkEnd w:id="31"/>
  <w:bookmarkEnd w:id="32"/>
  <w:bookmarkEnd w:id="33"/>
  <w:p w:rsidR="00477B4A" w:rsidRPr="00477B4A" w:rsidRDefault="00477B4A" w:rsidP="00477B4A">
    <w:pPr>
      <w:pStyle w:val="Galvene"/>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B4A" w:rsidRPr="00477B4A" w:rsidRDefault="00477B4A" w:rsidP="00477B4A">
    <w:pPr>
      <w:pBdr>
        <w:bottom w:val="single" w:sz="12" w:space="5" w:color="auto"/>
      </w:pBdr>
      <w:rPr>
        <w:rFonts w:ascii="Times New Roman" w:hAnsi="Times New Roman" w:cs="Times New Roman"/>
        <w:spacing w:val="-2"/>
        <w:sz w:val="20"/>
        <w:szCs w:val="20"/>
      </w:rPr>
    </w:pPr>
    <w:bookmarkStart w:id="34" w:name="_Hlk496261745"/>
    <w:bookmarkStart w:id="35" w:name="_Hlk496261746"/>
    <w:bookmarkStart w:id="36" w:name="_Hlk496261747"/>
  </w:p>
  <w:bookmarkEnd w:id="34"/>
  <w:bookmarkEnd w:id="35"/>
  <w:bookmarkEnd w:id="36"/>
  <w:p w:rsidR="00477B4A" w:rsidRPr="00477B4A" w:rsidRDefault="00477B4A" w:rsidP="00477B4A">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C546A"/>
    <w:multiLevelType w:val="multilevel"/>
    <w:tmpl w:val="48A44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F7316F"/>
    <w:multiLevelType w:val="multilevel"/>
    <w:tmpl w:val="59C2F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8F2A96"/>
    <w:multiLevelType w:val="multilevel"/>
    <w:tmpl w:val="0868FFFA"/>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392980"/>
    <w:multiLevelType w:val="multilevel"/>
    <w:tmpl w:val="82B861EA"/>
    <w:lvl w:ilvl="0">
      <w:start w:val="1"/>
      <w:numFmt w:val="decimal"/>
      <w:lvlText w:val="%1."/>
      <w:lvlJc w:val="left"/>
      <w:pPr>
        <w:ind w:left="519" w:hanging="401"/>
      </w:pPr>
      <w:rPr>
        <w:rFonts w:ascii="Tahoma" w:eastAsia="Tahoma" w:hAnsi="Tahoma" w:hint="default"/>
        <w:w w:val="99"/>
        <w:sz w:val="18"/>
        <w:szCs w:val="18"/>
      </w:rPr>
    </w:lvl>
    <w:lvl w:ilvl="1">
      <w:start w:val="1"/>
      <w:numFmt w:val="decimal"/>
      <w:lvlText w:val="%1.%2"/>
      <w:lvlJc w:val="left"/>
      <w:pPr>
        <w:ind w:left="999" w:hanging="881"/>
      </w:pPr>
      <w:rPr>
        <w:rFonts w:ascii="Tahoma" w:eastAsia="Tahoma" w:hAnsi="Tahoma" w:hint="default"/>
        <w:w w:val="99"/>
        <w:sz w:val="18"/>
        <w:szCs w:val="18"/>
      </w:rPr>
    </w:lvl>
    <w:lvl w:ilvl="2">
      <w:start w:val="1"/>
      <w:numFmt w:val="bullet"/>
      <w:lvlText w:val="•"/>
      <w:lvlJc w:val="left"/>
      <w:pPr>
        <w:ind w:left="999" w:hanging="881"/>
      </w:pPr>
      <w:rPr>
        <w:rFonts w:hint="default"/>
      </w:rPr>
    </w:lvl>
    <w:lvl w:ilvl="3">
      <w:start w:val="1"/>
      <w:numFmt w:val="bullet"/>
      <w:lvlText w:val="•"/>
      <w:lvlJc w:val="left"/>
      <w:pPr>
        <w:ind w:left="999" w:hanging="881"/>
      </w:pPr>
      <w:rPr>
        <w:rFonts w:hint="default"/>
      </w:rPr>
    </w:lvl>
    <w:lvl w:ilvl="4">
      <w:start w:val="1"/>
      <w:numFmt w:val="bullet"/>
      <w:lvlText w:val="•"/>
      <w:lvlJc w:val="left"/>
      <w:pPr>
        <w:ind w:left="999" w:hanging="881"/>
      </w:pPr>
      <w:rPr>
        <w:rFonts w:hint="default"/>
      </w:rPr>
    </w:lvl>
    <w:lvl w:ilvl="5">
      <w:start w:val="1"/>
      <w:numFmt w:val="bullet"/>
      <w:lvlText w:val="•"/>
      <w:lvlJc w:val="left"/>
      <w:pPr>
        <w:ind w:left="999" w:hanging="881"/>
      </w:pPr>
      <w:rPr>
        <w:rFonts w:hint="default"/>
      </w:rPr>
    </w:lvl>
    <w:lvl w:ilvl="6">
      <w:start w:val="1"/>
      <w:numFmt w:val="bullet"/>
      <w:lvlText w:val="•"/>
      <w:lvlJc w:val="left"/>
      <w:pPr>
        <w:ind w:left="999" w:hanging="881"/>
      </w:pPr>
      <w:rPr>
        <w:rFonts w:hint="default"/>
      </w:rPr>
    </w:lvl>
    <w:lvl w:ilvl="7">
      <w:start w:val="1"/>
      <w:numFmt w:val="bullet"/>
      <w:lvlText w:val="•"/>
      <w:lvlJc w:val="left"/>
      <w:pPr>
        <w:ind w:left="3214" w:hanging="881"/>
      </w:pPr>
      <w:rPr>
        <w:rFonts w:hint="default"/>
      </w:rPr>
    </w:lvl>
    <w:lvl w:ilvl="8">
      <w:start w:val="1"/>
      <w:numFmt w:val="bullet"/>
      <w:lvlText w:val="•"/>
      <w:lvlJc w:val="left"/>
      <w:pPr>
        <w:ind w:left="5429" w:hanging="881"/>
      </w:pPr>
      <w:rPr>
        <w:rFonts w:hint="default"/>
      </w:rPr>
    </w:lvl>
  </w:abstractNum>
  <w:abstractNum w:abstractNumId="4" w15:restartNumberingAfterBreak="0">
    <w:nsid w:val="4F0E24D0"/>
    <w:multiLevelType w:val="multilevel"/>
    <w:tmpl w:val="0B46D41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655BAE"/>
    <w:multiLevelType w:val="multilevel"/>
    <w:tmpl w:val="B1EA10CA"/>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2E460D"/>
    <w:multiLevelType w:val="multilevel"/>
    <w:tmpl w:val="6150A1E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5D176B"/>
    <w:multiLevelType w:val="hybridMultilevel"/>
    <w:tmpl w:val="C6C4E060"/>
    <w:lvl w:ilvl="0" w:tplc="E9F8586E">
      <w:start w:val="3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15E736D"/>
    <w:multiLevelType w:val="multilevel"/>
    <w:tmpl w:val="EE4443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
  </w:num>
  <w:num w:numId="4">
    <w:abstractNumId w:val="4"/>
  </w:num>
  <w:num w:numId="5">
    <w:abstractNumId w:val="8"/>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18"/>
    <w:rsid w:val="002205AD"/>
    <w:rsid w:val="002875DF"/>
    <w:rsid w:val="00361307"/>
    <w:rsid w:val="003C0204"/>
    <w:rsid w:val="00477B4A"/>
    <w:rsid w:val="00485824"/>
    <w:rsid w:val="00600AFF"/>
    <w:rsid w:val="00685308"/>
    <w:rsid w:val="00695746"/>
    <w:rsid w:val="009C4318"/>
    <w:rsid w:val="00B24B34"/>
    <w:rsid w:val="00B540B1"/>
    <w:rsid w:val="00C25640"/>
    <w:rsid w:val="00D02CE0"/>
    <w:rsid w:val="00FC7E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v-LV"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Pr>
      <w:color w:val="000000"/>
    </w:rPr>
  </w:style>
  <w:style w:type="paragraph" w:styleId="Virsraksts1">
    <w:name w:val="heading 1"/>
    <w:basedOn w:val="Parasts"/>
    <w:next w:val="Parasts"/>
    <w:link w:val="Virsraksts1Rakstz"/>
    <w:uiPriority w:val="9"/>
    <w:qFormat/>
    <w:rsid w:val="00477B4A"/>
    <w:pPr>
      <w:outlineLvl w:val="0"/>
    </w:pPr>
    <w:rPr>
      <w:rFonts w:ascii="Times New Roman" w:eastAsiaTheme="majorEastAsia" w:hAnsi="Times New Roman" w:cstheme="majorBidi"/>
      <w:b/>
      <w:color w:val="auto"/>
      <w:szCs w:val="32"/>
    </w:rPr>
  </w:style>
  <w:style w:type="paragraph" w:styleId="Virsraksts2">
    <w:name w:val="heading 2"/>
    <w:basedOn w:val="Parasts"/>
    <w:next w:val="Parasts"/>
    <w:link w:val="Virsraksts2Rakstz"/>
    <w:uiPriority w:val="9"/>
    <w:unhideWhenUsed/>
    <w:qFormat/>
    <w:rsid w:val="00477B4A"/>
    <w:pPr>
      <w:outlineLvl w:val="1"/>
    </w:pPr>
    <w:rPr>
      <w:rFonts w:ascii="Times New Roman" w:eastAsiaTheme="majorEastAsia" w:hAnsi="Times New Roman" w:cstheme="majorBidi"/>
      <w:b/>
      <w:color w:val="auto"/>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Pr>
      <w:color w:val="0066CC"/>
      <w:u w:val="single"/>
    </w:rPr>
  </w:style>
  <w:style w:type="character" w:customStyle="1" w:styleId="Footnote">
    <w:name w:val="Footnote_"/>
    <w:basedOn w:val="Noklusjumarindkopasfonts"/>
    <w:link w:val="Footnote0"/>
    <w:rPr>
      <w:rFonts w:ascii="Times New Roman" w:eastAsia="Times New Roman" w:hAnsi="Times New Roman" w:cs="Times New Roman"/>
      <w:b/>
      <w:bCs/>
      <w:i w:val="0"/>
      <w:iCs w:val="0"/>
      <w:smallCaps w:val="0"/>
      <w:strike w:val="0"/>
      <w:sz w:val="18"/>
      <w:szCs w:val="18"/>
      <w:u w:val="none"/>
    </w:rPr>
  </w:style>
  <w:style w:type="character" w:customStyle="1" w:styleId="Footnote1">
    <w:name w:val="Footnote"/>
    <w:basedOn w:val="Footnote"/>
    <w:rPr>
      <w:rFonts w:ascii="Times New Roman" w:eastAsia="Times New Roman" w:hAnsi="Times New Roman" w:cs="Times New Roman"/>
      <w:b/>
      <w:bCs/>
      <w:i w:val="0"/>
      <w:iCs w:val="0"/>
      <w:smallCaps w:val="0"/>
      <w:strike w:val="0"/>
      <w:color w:val="000000"/>
      <w:spacing w:val="0"/>
      <w:w w:val="100"/>
      <w:position w:val="0"/>
      <w:sz w:val="18"/>
      <w:szCs w:val="18"/>
      <w:u w:val="single"/>
      <w:lang w:val="lv-LV" w:eastAsia="en-US" w:bidi="en-US"/>
    </w:rPr>
  </w:style>
  <w:style w:type="character" w:customStyle="1" w:styleId="Footnote95ptNotBoldItalic">
    <w:name w:val="Footnote + 9;5 pt;Not Bold;Italic"/>
    <w:basedOn w:val="Footnote"/>
    <w:rPr>
      <w:rFonts w:ascii="Times New Roman" w:eastAsia="Times New Roman" w:hAnsi="Times New Roman" w:cs="Times New Roman"/>
      <w:b/>
      <w:bCs/>
      <w:i/>
      <w:iCs/>
      <w:smallCaps w:val="0"/>
      <w:strike w:val="0"/>
      <w:color w:val="000000"/>
      <w:spacing w:val="0"/>
      <w:w w:val="100"/>
      <w:position w:val="0"/>
      <w:sz w:val="19"/>
      <w:szCs w:val="19"/>
      <w:u w:val="none"/>
      <w:lang w:val="lv-LV" w:eastAsia="fr-FR" w:bidi="fr-FR"/>
    </w:rPr>
  </w:style>
  <w:style w:type="character" w:customStyle="1" w:styleId="Footnote2">
    <w:name w:val="Footnote"/>
    <w:basedOn w:val="Footnote"/>
    <w:rPr>
      <w:rFonts w:ascii="Times New Roman" w:eastAsia="Times New Roman" w:hAnsi="Times New Roman" w:cs="Times New Roman"/>
      <w:b/>
      <w:bCs/>
      <w:i w:val="0"/>
      <w:iCs w:val="0"/>
      <w:smallCaps w:val="0"/>
      <w:strike w:val="0"/>
      <w:color w:val="000000"/>
      <w:spacing w:val="0"/>
      <w:w w:val="100"/>
      <w:position w:val="0"/>
      <w:sz w:val="18"/>
      <w:szCs w:val="18"/>
      <w:u w:val="none"/>
      <w:lang w:val="lv-LV" w:eastAsia="fr-FR" w:bidi="fr-FR"/>
    </w:rPr>
  </w:style>
  <w:style w:type="character" w:customStyle="1" w:styleId="Footnote20">
    <w:name w:val="Footnote (2)_"/>
    <w:basedOn w:val="Noklusjumarindkopasfonts"/>
    <w:link w:val="Footnote21"/>
    <w:rPr>
      <w:rFonts w:ascii="Times New Roman" w:eastAsia="Times New Roman" w:hAnsi="Times New Roman" w:cs="Times New Roman"/>
      <w:b w:val="0"/>
      <w:bCs w:val="0"/>
      <w:i/>
      <w:iCs/>
      <w:smallCaps w:val="0"/>
      <w:strike w:val="0"/>
      <w:sz w:val="19"/>
      <w:szCs w:val="19"/>
      <w:u w:val="none"/>
    </w:rPr>
  </w:style>
  <w:style w:type="character" w:customStyle="1" w:styleId="Footnote29ptBoldNotItalic">
    <w:name w:val="Footnote (2) + 9 pt;Bold;Not Italic"/>
    <w:basedOn w:val="Footnote20"/>
    <w:rPr>
      <w:rFonts w:ascii="Times New Roman" w:eastAsia="Times New Roman" w:hAnsi="Times New Roman" w:cs="Times New Roman"/>
      <w:b/>
      <w:bCs/>
      <w:i/>
      <w:iCs/>
      <w:smallCaps w:val="0"/>
      <w:strike w:val="0"/>
      <w:color w:val="000000"/>
      <w:spacing w:val="0"/>
      <w:w w:val="100"/>
      <w:position w:val="0"/>
      <w:sz w:val="18"/>
      <w:szCs w:val="18"/>
      <w:u w:val="none"/>
      <w:lang w:val="lv-LV" w:eastAsia="fr-FR" w:bidi="fr-FR"/>
    </w:rPr>
  </w:style>
  <w:style w:type="character" w:customStyle="1" w:styleId="Bodytext4Exact">
    <w:name w:val="Body text (4) Exact"/>
    <w:basedOn w:val="Noklusjumarindkopasfonts"/>
    <w:link w:val="Bodytext4"/>
    <w:rPr>
      <w:b w:val="0"/>
      <w:bCs w:val="0"/>
      <w:i w:val="0"/>
      <w:iCs w:val="0"/>
      <w:smallCaps w:val="0"/>
      <w:strike w:val="0"/>
      <w:sz w:val="24"/>
      <w:szCs w:val="24"/>
      <w:u w:val="none"/>
      <w:lang w:val="lv-LV" w:eastAsia="lv-LV" w:bidi="lv-LV"/>
    </w:rPr>
  </w:style>
  <w:style w:type="character" w:customStyle="1" w:styleId="Bodytext3">
    <w:name w:val="Body text (3)_"/>
    <w:basedOn w:val="Noklusjumarindkopasfonts"/>
    <w:link w:val="Bodytext30"/>
    <w:rPr>
      <w:rFonts w:ascii="Book Antiqua" w:eastAsia="Book Antiqua" w:hAnsi="Book Antiqua" w:cs="Book Antiqua"/>
      <w:b/>
      <w:bCs/>
      <w:i w:val="0"/>
      <w:iCs w:val="0"/>
      <w:smallCaps w:val="0"/>
      <w:strike w:val="0"/>
      <w:sz w:val="30"/>
      <w:szCs w:val="30"/>
      <w:u w:val="none"/>
      <w:lang w:val="lv-LV" w:eastAsia="lv-LV" w:bidi="lv-LV"/>
    </w:rPr>
  </w:style>
  <w:style w:type="character" w:customStyle="1" w:styleId="Bodytext2">
    <w:name w:val="Body text (2)_"/>
    <w:basedOn w:val="Noklusjumarindkopasfonts"/>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ArialUnicodeMS12pt">
    <w:name w:val="Body text (2) + Arial Unicode MS;12 pt"/>
    <w:basedOn w:val="Bodytext2"/>
    <w:rPr>
      <w:rFonts w:ascii="Arial Unicode MS" w:eastAsia="Arial Unicode MS" w:hAnsi="Arial Unicode MS" w:cs="Arial Unicode MS"/>
      <w:b/>
      <w:bCs/>
      <w:i w:val="0"/>
      <w:iCs w:val="0"/>
      <w:smallCaps w:val="0"/>
      <w:strike w:val="0"/>
      <w:color w:val="000000"/>
      <w:spacing w:val="0"/>
      <w:w w:val="100"/>
      <w:position w:val="0"/>
      <w:sz w:val="24"/>
      <w:szCs w:val="24"/>
      <w:u w:val="none"/>
      <w:lang w:val="lv-LV" w:eastAsia="fr-FR" w:bidi="fr-FR"/>
    </w:rPr>
  </w:style>
  <w:style w:type="character" w:customStyle="1" w:styleId="Headerorfooter">
    <w:name w:val="Header or footer_"/>
    <w:basedOn w:val="Noklusjumarindkopasfonts"/>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fr-FR" w:bidi="fr-FR"/>
    </w:rPr>
  </w:style>
  <w:style w:type="character" w:customStyle="1" w:styleId="Heading1">
    <w:name w:val="Heading #1_"/>
    <w:basedOn w:val="Noklusjumarindkopasfonts"/>
    <w:link w:val="Heading10"/>
    <w:rPr>
      <w:b w:val="0"/>
      <w:bCs w:val="0"/>
      <w:i w:val="0"/>
      <w:iCs w:val="0"/>
      <w:smallCaps w:val="0"/>
      <w:strike w:val="0"/>
      <w:sz w:val="24"/>
      <w:szCs w:val="24"/>
      <w:u w:val="none"/>
    </w:rPr>
  </w:style>
  <w:style w:type="character" w:customStyle="1" w:styleId="Bodytext29ptBold">
    <w:name w:val="Body text (2) + 9 pt;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lv-LV" w:eastAsia="fr-FR" w:bidi="fr-FR"/>
    </w:rPr>
  </w:style>
  <w:style w:type="character" w:customStyle="1" w:styleId="Bodytext29ptBold0">
    <w:name w:val="Body text (2) + 9 pt;Bold"/>
    <w:basedOn w:val="Bodytext2"/>
    <w:rPr>
      <w:rFonts w:ascii="Times New Roman" w:eastAsia="Times New Roman" w:hAnsi="Times New Roman" w:cs="Times New Roman"/>
      <w:b/>
      <w:bCs/>
      <w:i w:val="0"/>
      <w:iCs w:val="0"/>
      <w:smallCaps w:val="0"/>
      <w:strike w:val="0"/>
      <w:color w:val="000000"/>
      <w:spacing w:val="0"/>
      <w:w w:val="100"/>
      <w:position w:val="0"/>
      <w:sz w:val="18"/>
      <w:szCs w:val="18"/>
      <w:u w:val="single"/>
      <w:lang w:val="lv-LV" w:eastAsia="fr-FR" w:bidi="fr-FR"/>
    </w:rPr>
  </w:style>
  <w:style w:type="character" w:customStyle="1" w:styleId="Bodytext5">
    <w:name w:val="Body text (5)_"/>
    <w:basedOn w:val="Noklusjumarindkopasfonts"/>
    <w:link w:val="Bodytext50"/>
    <w:rPr>
      <w:rFonts w:ascii="Times New Roman" w:eastAsia="Times New Roman" w:hAnsi="Times New Roman" w:cs="Times New Roman"/>
      <w:b w:val="0"/>
      <w:bCs w:val="0"/>
      <w:i/>
      <w:iCs/>
      <w:smallCaps w:val="0"/>
      <w:strike w:val="0"/>
      <w:sz w:val="24"/>
      <w:szCs w:val="24"/>
      <w:u w:val="none"/>
    </w:rPr>
  </w:style>
  <w:style w:type="character" w:customStyle="1" w:styleId="Bodytext6">
    <w:name w:val="Body text (6)_"/>
    <w:basedOn w:val="Noklusjumarindkopasfonts"/>
    <w:link w:val="Bodytext60"/>
    <w:rPr>
      <w:rFonts w:ascii="Times New Roman" w:eastAsia="Times New Roman" w:hAnsi="Times New Roman" w:cs="Times New Roman"/>
      <w:b/>
      <w:bCs/>
      <w:i w:val="0"/>
      <w:iCs w:val="0"/>
      <w:smallCaps w:val="0"/>
      <w:strike w:val="0"/>
      <w:sz w:val="22"/>
      <w:szCs w:val="22"/>
      <w:u w:val="none"/>
    </w:rPr>
  </w:style>
  <w:style w:type="character" w:customStyle="1" w:styleId="Bodytext7">
    <w:name w:val="Body text (7)_"/>
    <w:basedOn w:val="Noklusjumarindkopasfonts"/>
    <w:link w:val="Bodytext70"/>
    <w:rPr>
      <w:rFonts w:ascii="Times New Roman" w:eastAsia="Times New Roman" w:hAnsi="Times New Roman" w:cs="Times New Roman"/>
      <w:b/>
      <w:bCs/>
      <w:i w:val="0"/>
      <w:iCs w:val="0"/>
      <w:smallCaps w:val="0"/>
      <w:strike w:val="0"/>
      <w:u w:val="none"/>
    </w:rPr>
  </w:style>
  <w:style w:type="character" w:customStyle="1" w:styleId="Bodytext2BookAntiqua15ptBold">
    <w:name w:val="Body text (2) + Book Antiqua;15 pt;Bold"/>
    <w:basedOn w:val="Bodytext2"/>
    <w:rPr>
      <w:rFonts w:ascii="Book Antiqua" w:eastAsia="Book Antiqua" w:hAnsi="Book Antiqua" w:cs="Book Antiqua"/>
      <w:b/>
      <w:bCs/>
      <w:i w:val="0"/>
      <w:iCs w:val="0"/>
      <w:smallCaps w:val="0"/>
      <w:strike w:val="0"/>
      <w:color w:val="000000"/>
      <w:spacing w:val="0"/>
      <w:w w:val="100"/>
      <w:position w:val="0"/>
      <w:sz w:val="30"/>
      <w:szCs w:val="30"/>
      <w:u w:val="none"/>
      <w:lang w:val="lv-LV" w:eastAsia="fr-FR" w:bidi="fr-FR"/>
    </w:rPr>
  </w:style>
  <w:style w:type="character" w:customStyle="1" w:styleId="Bodytext8">
    <w:name w:val="Body text (8)_"/>
    <w:basedOn w:val="Noklusjumarindkopasfonts"/>
    <w:link w:val="Bodytext80"/>
    <w:rPr>
      <w:b w:val="0"/>
      <w:bCs w:val="0"/>
      <w:i w:val="0"/>
      <w:iCs w:val="0"/>
      <w:smallCaps w:val="0"/>
      <w:strike w:val="0"/>
      <w:sz w:val="16"/>
      <w:szCs w:val="16"/>
      <w:u w:val="none"/>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en-US" w:bidi="en-US"/>
    </w:rPr>
  </w:style>
  <w:style w:type="character" w:customStyle="1" w:styleId="Tableofcontents">
    <w:name w:val="Table of contents_"/>
    <w:basedOn w:val="Noklusjumarindkopasfonts"/>
    <w:link w:val="Tableofcontents0"/>
    <w:rPr>
      <w:rFonts w:ascii="Times New Roman" w:eastAsia="Times New Roman" w:hAnsi="Times New Roman" w:cs="Times New Roman"/>
      <w:b w:val="0"/>
      <w:bCs w:val="0"/>
      <w:i w:val="0"/>
      <w:iCs w:val="0"/>
      <w:smallCaps w:val="0"/>
      <w:strike w:val="0"/>
      <w:sz w:val="26"/>
      <w:szCs w:val="26"/>
      <w:u w:val="none"/>
    </w:rPr>
  </w:style>
  <w:style w:type="character" w:customStyle="1" w:styleId="Bodytext9">
    <w:name w:val="Body text (9)_"/>
    <w:basedOn w:val="Noklusjumarindkopasfonts"/>
    <w:link w:val="Bodytext90"/>
    <w:rPr>
      <w:rFonts w:ascii="Times New Roman" w:eastAsia="Times New Roman" w:hAnsi="Times New Roman" w:cs="Times New Roman"/>
      <w:b/>
      <w:bCs/>
      <w:i w:val="0"/>
      <w:iCs w:val="0"/>
      <w:smallCaps w:val="0"/>
      <w:strike w:val="0"/>
      <w:sz w:val="18"/>
      <w:szCs w:val="18"/>
      <w:u w:val="none"/>
    </w:rPr>
  </w:style>
  <w:style w:type="character" w:customStyle="1" w:styleId="Bodytext912pt">
    <w:name w:val="Body text (9) + 12 pt"/>
    <w:basedOn w:val="Bodytext9"/>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fr-FR" w:bidi="fr-FR"/>
    </w:rPr>
  </w:style>
  <w:style w:type="character" w:customStyle="1" w:styleId="Bodytext9SmallCaps">
    <w:name w:val="Body text (9) + Small Caps"/>
    <w:basedOn w:val="Bodytext9"/>
    <w:rPr>
      <w:rFonts w:ascii="Times New Roman" w:eastAsia="Times New Roman" w:hAnsi="Times New Roman" w:cs="Times New Roman"/>
      <w:b/>
      <w:bCs/>
      <w:i w:val="0"/>
      <w:iCs w:val="0"/>
      <w:smallCaps/>
      <w:strike w:val="0"/>
      <w:color w:val="000000"/>
      <w:spacing w:val="0"/>
      <w:w w:val="100"/>
      <w:position w:val="0"/>
      <w:sz w:val="18"/>
      <w:szCs w:val="18"/>
      <w:u w:val="none"/>
      <w:lang w:val="lv-LV" w:eastAsia="fr-FR" w:bidi="fr-FR"/>
    </w:rPr>
  </w:style>
  <w:style w:type="character" w:customStyle="1" w:styleId="Headerorfooter6pt">
    <w:name w:val="Header or footer + 6 pt"/>
    <w:basedOn w:val="Headerorfooter"/>
    <w:rPr>
      <w:rFonts w:ascii="Times New Roman" w:eastAsia="Times New Roman" w:hAnsi="Times New Roman" w:cs="Times New Roman"/>
      <w:b w:val="0"/>
      <w:bCs w:val="0"/>
      <w:i w:val="0"/>
      <w:iCs w:val="0"/>
      <w:smallCaps w:val="0"/>
      <w:strike w:val="0"/>
      <w:color w:val="000000"/>
      <w:spacing w:val="0"/>
      <w:w w:val="100"/>
      <w:position w:val="0"/>
      <w:sz w:val="12"/>
      <w:szCs w:val="12"/>
      <w:u w:val="none"/>
      <w:lang w:val="lv-LV" w:eastAsia="de-DE" w:bidi="de-DE"/>
    </w:rPr>
  </w:style>
  <w:style w:type="character" w:customStyle="1" w:styleId="Bodytext913ptNotBold">
    <w:name w:val="Body text (9) + 13 pt;Not Bold"/>
    <w:basedOn w:val="Bodytext9"/>
    <w:rPr>
      <w:rFonts w:ascii="Times New Roman" w:eastAsia="Times New Roman" w:hAnsi="Times New Roman" w:cs="Times New Roman"/>
      <w:b/>
      <w:bCs/>
      <w:i w:val="0"/>
      <w:iCs w:val="0"/>
      <w:smallCaps w:val="0"/>
      <w:strike w:val="0"/>
      <w:color w:val="000000"/>
      <w:spacing w:val="0"/>
      <w:w w:val="100"/>
      <w:position w:val="0"/>
      <w:sz w:val="26"/>
      <w:szCs w:val="26"/>
      <w:u w:val="none"/>
      <w:lang w:val="lv-LV" w:eastAsia="fr-FR" w:bidi="fr-FR"/>
    </w:rPr>
  </w:style>
  <w:style w:type="character" w:customStyle="1" w:styleId="Bodytext10Exact">
    <w:name w:val="Body text (10) Exact"/>
    <w:basedOn w:val="Noklusjumarindkopasfonts"/>
    <w:link w:val="Bodytext10"/>
    <w:rPr>
      <w:rFonts w:ascii="Times New Roman" w:eastAsia="Times New Roman" w:hAnsi="Times New Roman" w:cs="Times New Roman"/>
      <w:b w:val="0"/>
      <w:bCs w:val="0"/>
      <w:i w:val="0"/>
      <w:iCs w:val="0"/>
      <w:smallCaps w:val="0"/>
      <w:strike w:val="0"/>
      <w:sz w:val="12"/>
      <w:szCs w:val="12"/>
      <w:u w:val="none"/>
    </w:rPr>
  </w:style>
  <w:style w:type="character" w:customStyle="1" w:styleId="Bodytext212ptBold">
    <w:name w:val="Body text (2) + 12 pt;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fr-FR" w:bidi="fr-FR"/>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lv-LV" w:eastAsia="fr-FR" w:bidi="fr-FR"/>
    </w:rPr>
  </w:style>
  <w:style w:type="character" w:customStyle="1" w:styleId="Bodytext2BookAntiqua12ptItalic">
    <w:name w:val="Body text (2) + Book Antiqua;12 pt;Italic"/>
    <w:basedOn w:val="Bodytext2"/>
    <w:rPr>
      <w:rFonts w:ascii="Book Antiqua" w:eastAsia="Book Antiqua" w:hAnsi="Book Antiqua" w:cs="Book Antiqua"/>
      <w:b w:val="0"/>
      <w:bCs w:val="0"/>
      <w:i/>
      <w:iCs/>
      <w:smallCaps w:val="0"/>
      <w:strike w:val="0"/>
      <w:color w:val="000000"/>
      <w:spacing w:val="0"/>
      <w:w w:val="100"/>
      <w:position w:val="0"/>
      <w:sz w:val="24"/>
      <w:szCs w:val="24"/>
      <w:u w:val="none"/>
      <w:lang w:val="lv-LV" w:eastAsia="fr-FR" w:bidi="fr-FR"/>
    </w:rPr>
  </w:style>
  <w:style w:type="character" w:customStyle="1" w:styleId="Bodytext11Exact">
    <w:name w:val="Body text (11) Exact"/>
    <w:basedOn w:val="Noklusjumarindkopasfonts"/>
    <w:link w:val="Bodytext11"/>
    <w:rPr>
      <w:rFonts w:ascii="Times New Roman" w:eastAsia="Times New Roman" w:hAnsi="Times New Roman" w:cs="Times New Roman"/>
      <w:b w:val="0"/>
      <w:bCs w:val="0"/>
      <w:i/>
      <w:iCs/>
      <w:smallCaps w:val="0"/>
      <w:strike w:val="0"/>
      <w:sz w:val="19"/>
      <w:szCs w:val="19"/>
      <w:u w:val="none"/>
    </w:rPr>
  </w:style>
  <w:style w:type="character" w:customStyle="1" w:styleId="Bodytext119ptBoldNotItalicExact">
    <w:name w:val="Body text (11) + 9 pt;Bold;Not Italic Exact"/>
    <w:basedOn w:val="Bodytext11Exact"/>
    <w:rPr>
      <w:rFonts w:ascii="Times New Roman" w:eastAsia="Times New Roman" w:hAnsi="Times New Roman" w:cs="Times New Roman"/>
      <w:b/>
      <w:bCs/>
      <w:i/>
      <w:iCs/>
      <w:smallCaps w:val="0"/>
      <w:strike w:val="0"/>
      <w:color w:val="000000"/>
      <w:spacing w:val="0"/>
      <w:w w:val="100"/>
      <w:position w:val="0"/>
      <w:sz w:val="18"/>
      <w:szCs w:val="18"/>
      <w:u w:val="none"/>
      <w:lang w:val="lv-LV" w:eastAsia="fr-FR" w:bidi="fr-FR"/>
    </w:rPr>
  </w:style>
  <w:style w:type="character" w:customStyle="1" w:styleId="Bodytext9Exact">
    <w:name w:val="Body text (9) Exact"/>
    <w:basedOn w:val="Noklusjumarindkopasfonts"/>
    <w:rPr>
      <w:rFonts w:ascii="Times New Roman" w:eastAsia="Times New Roman" w:hAnsi="Times New Roman" w:cs="Times New Roman"/>
      <w:b/>
      <w:bCs/>
      <w:i w:val="0"/>
      <w:iCs w:val="0"/>
      <w:smallCaps w:val="0"/>
      <w:strike w:val="0"/>
      <w:sz w:val="18"/>
      <w:szCs w:val="18"/>
      <w:u w:val="none"/>
    </w:rPr>
  </w:style>
  <w:style w:type="character" w:customStyle="1" w:styleId="Bodytext995ptNotBoldItalicExact">
    <w:name w:val="Body text (9) + 9;5 pt;Not Bold;Italic Exact"/>
    <w:basedOn w:val="Bodytext9"/>
    <w:rPr>
      <w:rFonts w:ascii="Times New Roman" w:eastAsia="Times New Roman" w:hAnsi="Times New Roman" w:cs="Times New Roman"/>
      <w:b/>
      <w:bCs/>
      <w:i/>
      <w:iCs/>
      <w:smallCaps w:val="0"/>
      <w:strike w:val="0"/>
      <w:color w:val="000000"/>
      <w:spacing w:val="0"/>
      <w:w w:val="100"/>
      <w:position w:val="0"/>
      <w:sz w:val="19"/>
      <w:szCs w:val="19"/>
      <w:u w:val="none"/>
      <w:lang w:val="lv-LV" w:eastAsia="fr-FR" w:bidi="fr-FR"/>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fr-FR" w:bidi="fr-FR"/>
    </w:rPr>
  </w:style>
  <w:style w:type="character" w:customStyle="1" w:styleId="Tablecaption">
    <w:name w:val="Table caption_"/>
    <w:basedOn w:val="Noklusjumarindkopasfonts"/>
    <w:link w:val="Tablecaption0"/>
    <w:rPr>
      <w:rFonts w:ascii="Times New Roman" w:eastAsia="Times New Roman" w:hAnsi="Times New Roman" w:cs="Times New Roman"/>
      <w:b w:val="0"/>
      <w:bCs w:val="0"/>
      <w:i w:val="0"/>
      <w:iCs w:val="0"/>
      <w:smallCaps w:val="0"/>
      <w:strike w:val="0"/>
      <w:sz w:val="24"/>
      <w:szCs w:val="24"/>
      <w:u w:val="none"/>
    </w:rPr>
  </w:style>
  <w:style w:type="character" w:customStyle="1" w:styleId="Bodytext212ptBold0">
    <w:name w:val="Body text (2) + 12 pt;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fr-FR" w:bidi="fr-FR"/>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fr-FR" w:bidi="fr-FR"/>
    </w:rPr>
  </w:style>
  <w:style w:type="paragraph" w:customStyle="1" w:styleId="Footnote0">
    <w:name w:val="Footnote"/>
    <w:basedOn w:val="Parasts"/>
    <w:link w:val="Footnote"/>
    <w:pPr>
      <w:shd w:val="clear" w:color="auto" w:fill="FFFFFF"/>
      <w:spacing w:line="230" w:lineRule="exact"/>
      <w:ind w:hanging="340"/>
      <w:jc w:val="both"/>
    </w:pPr>
    <w:rPr>
      <w:rFonts w:ascii="Times New Roman" w:eastAsia="Times New Roman" w:hAnsi="Times New Roman" w:cs="Times New Roman"/>
      <w:b/>
      <w:bCs/>
      <w:sz w:val="18"/>
      <w:szCs w:val="18"/>
    </w:rPr>
  </w:style>
  <w:style w:type="paragraph" w:customStyle="1" w:styleId="Footnote21">
    <w:name w:val="Footnote (2)"/>
    <w:basedOn w:val="Parasts"/>
    <w:link w:val="Footnote20"/>
    <w:pPr>
      <w:shd w:val="clear" w:color="auto" w:fill="FFFFFF"/>
      <w:spacing w:line="470" w:lineRule="exact"/>
    </w:pPr>
    <w:rPr>
      <w:rFonts w:ascii="Times New Roman" w:eastAsia="Times New Roman" w:hAnsi="Times New Roman" w:cs="Times New Roman"/>
      <w:i/>
      <w:iCs/>
      <w:sz w:val="19"/>
      <w:szCs w:val="19"/>
    </w:rPr>
  </w:style>
  <w:style w:type="paragraph" w:customStyle="1" w:styleId="Bodytext4">
    <w:name w:val="Body text (4)"/>
    <w:basedOn w:val="Parasts"/>
    <w:link w:val="Bodytext4Exact"/>
    <w:pPr>
      <w:shd w:val="clear" w:color="auto" w:fill="FFFFFF"/>
      <w:spacing w:line="0" w:lineRule="atLeast"/>
    </w:pPr>
    <w:rPr>
      <w:lang w:eastAsia="lv-LV" w:bidi="lv-LV"/>
    </w:rPr>
  </w:style>
  <w:style w:type="paragraph" w:customStyle="1" w:styleId="Bodytext30">
    <w:name w:val="Body text (3)"/>
    <w:basedOn w:val="Parasts"/>
    <w:link w:val="Bodytext3"/>
    <w:pPr>
      <w:shd w:val="clear" w:color="auto" w:fill="FFFFFF"/>
      <w:spacing w:line="0" w:lineRule="atLeast"/>
    </w:pPr>
    <w:rPr>
      <w:rFonts w:ascii="Book Antiqua" w:eastAsia="Book Antiqua" w:hAnsi="Book Antiqua" w:cs="Book Antiqua"/>
      <w:b/>
      <w:bCs/>
      <w:sz w:val="30"/>
      <w:szCs w:val="30"/>
      <w:lang w:eastAsia="lv-LV" w:bidi="lv-LV"/>
    </w:rPr>
  </w:style>
  <w:style w:type="paragraph" w:customStyle="1" w:styleId="Bodytext20">
    <w:name w:val="Body text (2)"/>
    <w:basedOn w:val="Parasts"/>
    <w:link w:val="Bodytext2"/>
    <w:pPr>
      <w:shd w:val="clear" w:color="auto" w:fill="FFFFFF"/>
      <w:spacing w:before="1140" w:after="240" w:line="240" w:lineRule="exact"/>
      <w:ind w:hanging="520"/>
    </w:pPr>
    <w:rPr>
      <w:rFonts w:ascii="Times New Roman" w:eastAsia="Times New Roman" w:hAnsi="Times New Roman" w:cs="Times New Roman"/>
      <w:sz w:val="26"/>
      <w:szCs w:val="26"/>
    </w:rPr>
  </w:style>
  <w:style w:type="paragraph" w:customStyle="1" w:styleId="Headerorfooter0">
    <w:name w:val="Header or footer"/>
    <w:basedOn w:val="Parasts"/>
    <w:link w:val="Headerorfooter"/>
    <w:pPr>
      <w:shd w:val="clear" w:color="auto" w:fill="FFFFFF"/>
      <w:spacing w:line="0" w:lineRule="atLeast"/>
    </w:pPr>
    <w:rPr>
      <w:rFonts w:ascii="Times New Roman" w:eastAsia="Times New Roman" w:hAnsi="Times New Roman" w:cs="Times New Roman"/>
      <w:sz w:val="20"/>
      <w:szCs w:val="20"/>
    </w:rPr>
  </w:style>
  <w:style w:type="paragraph" w:customStyle="1" w:styleId="Heading10">
    <w:name w:val="Heading #1"/>
    <w:basedOn w:val="Parasts"/>
    <w:link w:val="Heading1"/>
    <w:pPr>
      <w:shd w:val="clear" w:color="auto" w:fill="FFFFFF"/>
      <w:spacing w:after="1140" w:line="0" w:lineRule="atLeast"/>
      <w:jc w:val="center"/>
      <w:outlineLvl w:val="0"/>
    </w:pPr>
  </w:style>
  <w:style w:type="paragraph" w:customStyle="1" w:styleId="Bodytext50">
    <w:name w:val="Body text (5)"/>
    <w:basedOn w:val="Parasts"/>
    <w:link w:val="Bodytext5"/>
    <w:pPr>
      <w:shd w:val="clear" w:color="auto" w:fill="FFFFFF"/>
      <w:spacing w:before="240" w:after="900" w:line="317" w:lineRule="exact"/>
    </w:pPr>
    <w:rPr>
      <w:rFonts w:ascii="Times New Roman" w:eastAsia="Times New Roman" w:hAnsi="Times New Roman" w:cs="Times New Roman"/>
      <w:i/>
      <w:iCs/>
    </w:rPr>
  </w:style>
  <w:style w:type="paragraph" w:customStyle="1" w:styleId="Bodytext60">
    <w:name w:val="Body text (6)"/>
    <w:basedOn w:val="Parasts"/>
    <w:link w:val="Bodytext6"/>
    <w:pPr>
      <w:shd w:val="clear" w:color="auto" w:fill="FFFFFF"/>
      <w:spacing w:before="900" w:after="660" w:line="278" w:lineRule="exact"/>
      <w:jc w:val="center"/>
    </w:pPr>
    <w:rPr>
      <w:rFonts w:ascii="Times New Roman" w:eastAsia="Times New Roman" w:hAnsi="Times New Roman" w:cs="Times New Roman"/>
      <w:b/>
      <w:bCs/>
      <w:sz w:val="22"/>
      <w:szCs w:val="22"/>
    </w:rPr>
  </w:style>
  <w:style w:type="paragraph" w:customStyle="1" w:styleId="Bodytext70">
    <w:name w:val="Body text (7)"/>
    <w:basedOn w:val="Parasts"/>
    <w:link w:val="Bodytext7"/>
    <w:pPr>
      <w:shd w:val="clear" w:color="auto" w:fill="FFFFFF"/>
      <w:spacing w:before="660" w:after="540" w:line="0" w:lineRule="atLeast"/>
      <w:jc w:val="center"/>
    </w:pPr>
    <w:rPr>
      <w:rFonts w:ascii="Times New Roman" w:eastAsia="Times New Roman" w:hAnsi="Times New Roman" w:cs="Times New Roman"/>
      <w:b/>
      <w:bCs/>
    </w:rPr>
  </w:style>
  <w:style w:type="paragraph" w:customStyle="1" w:styleId="Bodytext80">
    <w:name w:val="Body text (8)"/>
    <w:basedOn w:val="Parasts"/>
    <w:link w:val="Bodytext8"/>
    <w:pPr>
      <w:shd w:val="clear" w:color="auto" w:fill="FFFFFF"/>
      <w:spacing w:before="660" w:after="120" w:line="182" w:lineRule="exact"/>
    </w:pPr>
    <w:rPr>
      <w:sz w:val="16"/>
      <w:szCs w:val="16"/>
    </w:rPr>
  </w:style>
  <w:style w:type="paragraph" w:customStyle="1" w:styleId="Tableofcontents0">
    <w:name w:val="Table of contents"/>
    <w:basedOn w:val="Parasts"/>
    <w:link w:val="Tableofcontents"/>
    <w:pPr>
      <w:shd w:val="clear" w:color="auto" w:fill="FFFFFF"/>
      <w:spacing w:before="180" w:after="240" w:line="0" w:lineRule="atLeast"/>
      <w:jc w:val="both"/>
    </w:pPr>
    <w:rPr>
      <w:rFonts w:ascii="Times New Roman" w:eastAsia="Times New Roman" w:hAnsi="Times New Roman" w:cs="Times New Roman"/>
      <w:sz w:val="26"/>
      <w:szCs w:val="26"/>
    </w:rPr>
  </w:style>
  <w:style w:type="paragraph" w:customStyle="1" w:styleId="Bodytext90">
    <w:name w:val="Body text (9)"/>
    <w:basedOn w:val="Parasts"/>
    <w:link w:val="Bodytext9"/>
    <w:pPr>
      <w:shd w:val="clear" w:color="auto" w:fill="FFFFFF"/>
      <w:spacing w:line="677" w:lineRule="exact"/>
      <w:jc w:val="both"/>
    </w:pPr>
    <w:rPr>
      <w:rFonts w:ascii="Times New Roman" w:eastAsia="Times New Roman" w:hAnsi="Times New Roman" w:cs="Times New Roman"/>
      <w:b/>
      <w:bCs/>
      <w:sz w:val="18"/>
      <w:szCs w:val="18"/>
    </w:rPr>
  </w:style>
  <w:style w:type="paragraph" w:customStyle="1" w:styleId="Bodytext10">
    <w:name w:val="Body text (10)"/>
    <w:basedOn w:val="Parasts"/>
    <w:link w:val="Bodytext10Exact"/>
    <w:pPr>
      <w:shd w:val="clear" w:color="auto" w:fill="FFFFFF"/>
      <w:spacing w:line="0" w:lineRule="atLeast"/>
    </w:pPr>
    <w:rPr>
      <w:rFonts w:ascii="Times New Roman" w:eastAsia="Times New Roman" w:hAnsi="Times New Roman" w:cs="Times New Roman"/>
      <w:sz w:val="12"/>
      <w:szCs w:val="12"/>
    </w:rPr>
  </w:style>
  <w:style w:type="paragraph" w:customStyle="1" w:styleId="Bodytext11">
    <w:name w:val="Body text (11)"/>
    <w:basedOn w:val="Parasts"/>
    <w:link w:val="Bodytext11Exact"/>
    <w:pPr>
      <w:shd w:val="clear" w:color="auto" w:fill="FFFFFF"/>
      <w:spacing w:after="180" w:line="230" w:lineRule="exact"/>
      <w:jc w:val="both"/>
    </w:pPr>
    <w:rPr>
      <w:rFonts w:ascii="Times New Roman" w:eastAsia="Times New Roman" w:hAnsi="Times New Roman" w:cs="Times New Roman"/>
      <w:i/>
      <w:iCs/>
      <w:sz w:val="19"/>
      <w:szCs w:val="19"/>
    </w:rPr>
  </w:style>
  <w:style w:type="paragraph" w:customStyle="1" w:styleId="Tablecaption0">
    <w:name w:val="Table caption"/>
    <w:basedOn w:val="Parasts"/>
    <w:link w:val="Tablecaption"/>
    <w:pPr>
      <w:shd w:val="clear" w:color="auto" w:fill="FFFFFF"/>
      <w:spacing w:line="0" w:lineRule="atLeast"/>
    </w:pPr>
    <w:rPr>
      <w:rFonts w:ascii="Times New Roman" w:eastAsia="Times New Roman" w:hAnsi="Times New Roman" w:cs="Times New Roman"/>
    </w:rPr>
  </w:style>
  <w:style w:type="paragraph" w:styleId="Galvene">
    <w:name w:val="header"/>
    <w:basedOn w:val="Parasts"/>
    <w:link w:val="GalveneRakstz"/>
    <w:unhideWhenUsed/>
    <w:rsid w:val="002875DF"/>
    <w:pPr>
      <w:tabs>
        <w:tab w:val="center" w:pos="4153"/>
        <w:tab w:val="right" w:pos="8306"/>
      </w:tabs>
    </w:pPr>
  </w:style>
  <w:style w:type="character" w:customStyle="1" w:styleId="GalveneRakstz">
    <w:name w:val="Galvene Rakstz."/>
    <w:basedOn w:val="Noklusjumarindkopasfonts"/>
    <w:link w:val="Galvene"/>
    <w:uiPriority w:val="99"/>
    <w:rsid w:val="002875DF"/>
    <w:rPr>
      <w:color w:val="000000"/>
    </w:rPr>
  </w:style>
  <w:style w:type="paragraph" w:styleId="Kjene">
    <w:name w:val="footer"/>
    <w:basedOn w:val="Parasts"/>
    <w:link w:val="KjeneRakstz"/>
    <w:unhideWhenUsed/>
    <w:rsid w:val="002875DF"/>
    <w:pPr>
      <w:tabs>
        <w:tab w:val="center" w:pos="4153"/>
        <w:tab w:val="right" w:pos="8306"/>
      </w:tabs>
    </w:pPr>
  </w:style>
  <w:style w:type="character" w:customStyle="1" w:styleId="KjeneRakstz">
    <w:name w:val="Kājene Rakstz."/>
    <w:basedOn w:val="Noklusjumarindkopasfonts"/>
    <w:link w:val="Kjene"/>
    <w:uiPriority w:val="99"/>
    <w:rsid w:val="002875DF"/>
    <w:rPr>
      <w:color w:val="000000"/>
    </w:rPr>
  </w:style>
  <w:style w:type="paragraph" w:styleId="Saturs2">
    <w:name w:val="toc 2"/>
    <w:basedOn w:val="Parasts"/>
    <w:next w:val="Parasts"/>
    <w:uiPriority w:val="39"/>
    <w:rsid w:val="002875DF"/>
    <w:pPr>
      <w:widowControl/>
      <w:tabs>
        <w:tab w:val="right" w:leader="dot" w:pos="9072"/>
      </w:tabs>
      <w:ind w:left="198" w:right="510"/>
    </w:pPr>
    <w:rPr>
      <w:rFonts w:ascii="Times New Roman" w:eastAsiaTheme="minorHAnsi" w:hAnsi="Times New Roman" w:cs="Times New Roman"/>
      <w:noProof/>
      <w:color w:val="auto"/>
      <w:sz w:val="22"/>
      <w:szCs w:val="20"/>
      <w:lang w:eastAsia="en-US" w:bidi="ar-SA"/>
    </w:rPr>
  </w:style>
  <w:style w:type="paragraph" w:styleId="Saturs1">
    <w:name w:val="toc 1"/>
    <w:basedOn w:val="Parasts"/>
    <w:next w:val="Parasts"/>
    <w:uiPriority w:val="39"/>
    <w:rsid w:val="002875DF"/>
    <w:pPr>
      <w:widowControl/>
      <w:tabs>
        <w:tab w:val="right" w:leader="dot" w:pos="9072"/>
      </w:tabs>
      <w:spacing w:before="120" w:after="120"/>
      <w:ind w:right="510"/>
    </w:pPr>
    <w:rPr>
      <w:rFonts w:ascii="Times New Roman" w:eastAsiaTheme="minorHAnsi" w:hAnsi="Times New Roman" w:cs="Times New Roman"/>
      <w:b/>
      <w:noProof/>
      <w:color w:val="auto"/>
      <w:sz w:val="22"/>
      <w:szCs w:val="20"/>
      <w:lang w:eastAsia="en-US" w:bidi="ar-SA"/>
    </w:rPr>
  </w:style>
  <w:style w:type="paragraph" w:styleId="Saturs3">
    <w:name w:val="toc 3"/>
    <w:basedOn w:val="Parasts"/>
    <w:next w:val="Parasts"/>
    <w:uiPriority w:val="39"/>
    <w:rsid w:val="002875DF"/>
    <w:pPr>
      <w:widowControl/>
      <w:tabs>
        <w:tab w:val="right" w:leader="dot" w:pos="9072"/>
      </w:tabs>
      <w:ind w:left="397" w:right="510"/>
    </w:pPr>
    <w:rPr>
      <w:rFonts w:ascii="Times New Roman" w:eastAsiaTheme="minorHAnsi" w:hAnsi="Times New Roman" w:cs="Times New Roman"/>
      <w:noProof/>
      <w:color w:val="auto"/>
      <w:sz w:val="22"/>
      <w:szCs w:val="20"/>
      <w:lang w:eastAsia="en-US" w:bidi="ar-SA"/>
    </w:rPr>
  </w:style>
  <w:style w:type="paragraph" w:styleId="Pamatteksts">
    <w:name w:val="Body Text"/>
    <w:basedOn w:val="Parasts"/>
    <w:link w:val="PamattekstsRakstz"/>
    <w:uiPriority w:val="1"/>
    <w:qFormat/>
    <w:rsid w:val="00361307"/>
    <w:pPr>
      <w:autoSpaceDE w:val="0"/>
      <w:autoSpaceDN w:val="0"/>
      <w:adjustRightInd w:val="0"/>
      <w:ind w:left="1900"/>
    </w:pPr>
    <w:rPr>
      <w:rFonts w:ascii="Times New Roman" w:eastAsiaTheme="minorEastAsia" w:hAnsi="Times New Roman" w:cs="Times New Roman"/>
      <w:color w:val="auto"/>
      <w:lang w:eastAsia="lv-LV" w:bidi="ar-SA"/>
    </w:rPr>
  </w:style>
  <w:style w:type="character" w:customStyle="1" w:styleId="PamattekstsRakstz">
    <w:name w:val="Pamatteksts Rakstz."/>
    <w:basedOn w:val="Noklusjumarindkopasfonts"/>
    <w:link w:val="Pamatteksts"/>
    <w:uiPriority w:val="1"/>
    <w:rsid w:val="00361307"/>
    <w:rPr>
      <w:rFonts w:ascii="Times New Roman" w:eastAsiaTheme="minorEastAsia" w:hAnsi="Times New Roman" w:cs="Times New Roman"/>
      <w:lang w:val="lv-LV" w:eastAsia="lv-LV" w:bidi="ar-SA"/>
    </w:rPr>
  </w:style>
  <w:style w:type="table" w:styleId="Reatabula">
    <w:name w:val="Table Grid"/>
    <w:basedOn w:val="Parastatabula"/>
    <w:uiPriority w:val="39"/>
    <w:rsid w:val="00361307"/>
    <w:pPr>
      <w:widowControl/>
    </w:pPr>
    <w:rPr>
      <w:rFonts w:asciiTheme="minorHAnsi" w:eastAsiaTheme="minorEastAsia" w:hAnsiTheme="minorHAnsi" w:cstheme="minorBidi"/>
      <w:sz w:val="22"/>
      <w:szCs w:val="22"/>
      <w:lang w:eastAsia="lv-LV"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695746"/>
    <w:rPr>
      <w:sz w:val="20"/>
      <w:szCs w:val="20"/>
    </w:rPr>
  </w:style>
  <w:style w:type="character" w:customStyle="1" w:styleId="VrestekstsRakstz">
    <w:name w:val="Vēres teksts Rakstz."/>
    <w:basedOn w:val="Noklusjumarindkopasfonts"/>
    <w:link w:val="Vresteksts"/>
    <w:uiPriority w:val="99"/>
    <w:semiHidden/>
    <w:rsid w:val="00695746"/>
    <w:rPr>
      <w:color w:val="000000"/>
      <w:sz w:val="20"/>
      <w:szCs w:val="20"/>
    </w:rPr>
  </w:style>
  <w:style w:type="character" w:styleId="Vresatsauce">
    <w:name w:val="footnote reference"/>
    <w:basedOn w:val="Noklusjumarindkopasfonts"/>
    <w:uiPriority w:val="99"/>
    <w:semiHidden/>
    <w:unhideWhenUsed/>
    <w:rsid w:val="00695746"/>
    <w:rPr>
      <w:vertAlign w:val="superscript"/>
    </w:rPr>
  </w:style>
  <w:style w:type="character" w:styleId="Lappusesnumurs">
    <w:name w:val="page number"/>
    <w:basedOn w:val="Noklusjumarindkopasfonts"/>
    <w:semiHidden/>
    <w:rsid w:val="00477B4A"/>
  </w:style>
  <w:style w:type="character" w:customStyle="1" w:styleId="Virsraksts1Rakstz">
    <w:name w:val="Virsraksts 1 Rakstz."/>
    <w:basedOn w:val="Noklusjumarindkopasfonts"/>
    <w:link w:val="Virsraksts1"/>
    <w:uiPriority w:val="9"/>
    <w:rsid w:val="00477B4A"/>
    <w:rPr>
      <w:rFonts w:ascii="Times New Roman" w:eastAsiaTheme="majorEastAsia" w:hAnsi="Times New Roman" w:cstheme="majorBidi"/>
      <w:b/>
      <w:szCs w:val="32"/>
    </w:rPr>
  </w:style>
  <w:style w:type="character" w:customStyle="1" w:styleId="Virsraksts2Rakstz">
    <w:name w:val="Virsraksts 2 Rakstz."/>
    <w:basedOn w:val="Noklusjumarindkopasfonts"/>
    <w:link w:val="Virsraksts2"/>
    <w:uiPriority w:val="9"/>
    <w:rsid w:val="00477B4A"/>
    <w:rPr>
      <w:rFonts w:ascii="Times New Roman" w:eastAsiaTheme="majorEastAsia" w:hAnsi="Times New Roman" w:cstheme="majorBidi"/>
      <w:b/>
      <w:szCs w:val="26"/>
    </w:rPr>
  </w:style>
  <w:style w:type="paragraph" w:styleId="Saturardtjavirsraksts">
    <w:name w:val="TOC Heading"/>
    <w:basedOn w:val="Virsraksts1"/>
    <w:next w:val="Parasts"/>
    <w:uiPriority w:val="39"/>
    <w:unhideWhenUsed/>
    <w:qFormat/>
    <w:rsid w:val="00477B4A"/>
    <w:pPr>
      <w:keepNext/>
      <w:keepLines/>
      <w:widowControl/>
      <w:spacing w:before="240" w:line="259" w:lineRule="auto"/>
      <w:outlineLvl w:val="9"/>
    </w:pPr>
    <w:rPr>
      <w:rFonts w:asciiTheme="majorHAnsi" w:hAnsiTheme="majorHAnsi"/>
      <w:b w:val="0"/>
      <w:color w:val="2E74B5" w:themeColor="accent1" w:themeShade="BF"/>
      <w:sz w:val="32"/>
      <w:lang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370C-ADAF-4FF4-886E-64EAFDBB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19322</Words>
  <Characters>11015</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2019-06-18T07:02:00Z</dcterms:created>
  <dcterms:modified xsi:type="dcterms:W3CDTF">2019-07-12T19:48:00Z</dcterms:modified>
</cp:coreProperties>
</file>