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06576" w14:textId="77777777" w:rsidR="007120AC" w:rsidRPr="00FD4805" w:rsidRDefault="007120AC" w:rsidP="00FD4805">
      <w:pPr>
        <w:jc w:val="both"/>
        <w:rPr>
          <w:rFonts w:ascii="Times New Roman" w:eastAsia="Times New Roman" w:hAnsi="Times New Roman" w:cs="Times New Roman"/>
          <w:noProof/>
          <w:sz w:val="24"/>
          <w:szCs w:val="7"/>
        </w:rPr>
      </w:pPr>
    </w:p>
    <w:p w14:paraId="40B11BBD" w14:textId="77777777" w:rsidR="007120AC" w:rsidRPr="00FD4805" w:rsidRDefault="007120AC" w:rsidP="00FD4805">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084DD92F" wp14:editId="2D91955A">
            <wp:extent cx="877919" cy="9113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77919" cy="911351"/>
                    </a:xfrm>
                    <a:prstGeom prst="rect">
                      <a:avLst/>
                    </a:prstGeom>
                  </pic:spPr>
                </pic:pic>
              </a:graphicData>
            </a:graphic>
          </wp:inline>
        </w:drawing>
      </w:r>
    </w:p>
    <w:p w14:paraId="6581F128" w14:textId="5050CDE3" w:rsidR="007120AC" w:rsidRDefault="007120AC" w:rsidP="00FD4805">
      <w:pPr>
        <w:jc w:val="both"/>
        <w:rPr>
          <w:rFonts w:ascii="Times New Roman" w:eastAsia="Times New Roman" w:hAnsi="Times New Roman" w:cs="Times New Roman"/>
          <w:noProof/>
          <w:sz w:val="24"/>
          <w:szCs w:val="20"/>
        </w:rPr>
      </w:pPr>
    </w:p>
    <w:p w14:paraId="46F76637" w14:textId="22D3387A" w:rsidR="005D7542" w:rsidRDefault="005D7542" w:rsidP="00FD4805">
      <w:pPr>
        <w:jc w:val="both"/>
        <w:rPr>
          <w:rFonts w:ascii="Times New Roman" w:eastAsia="Times New Roman" w:hAnsi="Times New Roman" w:cs="Times New Roman"/>
          <w:noProof/>
          <w:sz w:val="24"/>
          <w:szCs w:val="20"/>
        </w:rPr>
      </w:pPr>
    </w:p>
    <w:p w14:paraId="1C2A61CF" w14:textId="20F71299" w:rsidR="005D7542" w:rsidRDefault="005D7542" w:rsidP="00FD4805">
      <w:pPr>
        <w:jc w:val="both"/>
        <w:rPr>
          <w:rFonts w:ascii="Times New Roman" w:eastAsia="Times New Roman" w:hAnsi="Times New Roman" w:cs="Times New Roman"/>
          <w:noProof/>
          <w:sz w:val="24"/>
          <w:szCs w:val="20"/>
        </w:rPr>
      </w:pPr>
    </w:p>
    <w:p w14:paraId="41914D9A" w14:textId="7E5AD480" w:rsidR="005D7542" w:rsidRDefault="005D7542" w:rsidP="00FD4805">
      <w:pPr>
        <w:jc w:val="both"/>
        <w:rPr>
          <w:rFonts w:ascii="Times New Roman" w:eastAsia="Times New Roman" w:hAnsi="Times New Roman" w:cs="Times New Roman"/>
          <w:noProof/>
          <w:sz w:val="24"/>
          <w:szCs w:val="20"/>
        </w:rPr>
      </w:pPr>
    </w:p>
    <w:p w14:paraId="7D971E3E" w14:textId="29703885" w:rsidR="005D7542" w:rsidRDefault="005D7542" w:rsidP="00FD4805">
      <w:pPr>
        <w:jc w:val="both"/>
        <w:rPr>
          <w:rFonts w:ascii="Times New Roman" w:eastAsia="Times New Roman" w:hAnsi="Times New Roman" w:cs="Times New Roman"/>
          <w:noProof/>
          <w:sz w:val="24"/>
          <w:szCs w:val="20"/>
        </w:rPr>
      </w:pPr>
    </w:p>
    <w:p w14:paraId="513513DE" w14:textId="7C480569" w:rsidR="005D7542" w:rsidRDefault="005D7542" w:rsidP="00FD4805">
      <w:pPr>
        <w:jc w:val="both"/>
        <w:rPr>
          <w:rFonts w:ascii="Times New Roman" w:eastAsia="Times New Roman" w:hAnsi="Times New Roman" w:cs="Times New Roman"/>
          <w:noProof/>
          <w:sz w:val="24"/>
          <w:szCs w:val="20"/>
        </w:rPr>
      </w:pPr>
    </w:p>
    <w:p w14:paraId="72047E35" w14:textId="316ABB34" w:rsidR="005D7542" w:rsidRDefault="005D7542" w:rsidP="00FD4805">
      <w:pPr>
        <w:jc w:val="both"/>
        <w:rPr>
          <w:rFonts w:ascii="Times New Roman" w:eastAsia="Times New Roman" w:hAnsi="Times New Roman" w:cs="Times New Roman"/>
          <w:noProof/>
          <w:sz w:val="24"/>
          <w:szCs w:val="20"/>
        </w:rPr>
      </w:pPr>
    </w:p>
    <w:p w14:paraId="669C8EC8" w14:textId="1F1E8725" w:rsidR="005D7542" w:rsidRDefault="005D7542" w:rsidP="00FD4805">
      <w:pPr>
        <w:jc w:val="both"/>
        <w:rPr>
          <w:rFonts w:ascii="Times New Roman" w:eastAsia="Times New Roman" w:hAnsi="Times New Roman" w:cs="Times New Roman"/>
          <w:noProof/>
          <w:sz w:val="24"/>
          <w:szCs w:val="20"/>
        </w:rPr>
      </w:pPr>
    </w:p>
    <w:p w14:paraId="71334CE9" w14:textId="581A88DE" w:rsidR="005D7542" w:rsidRDefault="005D7542" w:rsidP="00FD4805">
      <w:pPr>
        <w:jc w:val="both"/>
        <w:rPr>
          <w:rFonts w:ascii="Times New Roman" w:eastAsia="Times New Roman" w:hAnsi="Times New Roman" w:cs="Times New Roman"/>
          <w:noProof/>
          <w:sz w:val="24"/>
          <w:szCs w:val="20"/>
        </w:rPr>
      </w:pPr>
    </w:p>
    <w:p w14:paraId="0D01A12A" w14:textId="12908D0C" w:rsidR="005D7542" w:rsidRDefault="005D7542" w:rsidP="00FD4805">
      <w:pPr>
        <w:jc w:val="both"/>
        <w:rPr>
          <w:rFonts w:ascii="Times New Roman" w:eastAsia="Times New Roman" w:hAnsi="Times New Roman" w:cs="Times New Roman"/>
          <w:noProof/>
          <w:sz w:val="24"/>
          <w:szCs w:val="20"/>
        </w:rPr>
      </w:pPr>
    </w:p>
    <w:p w14:paraId="4E7FAF18" w14:textId="136D0C3B" w:rsidR="005D7542" w:rsidRDefault="005D7542" w:rsidP="00FD4805">
      <w:pPr>
        <w:jc w:val="both"/>
        <w:rPr>
          <w:rFonts w:ascii="Times New Roman" w:eastAsia="Times New Roman" w:hAnsi="Times New Roman" w:cs="Times New Roman"/>
          <w:noProof/>
          <w:sz w:val="24"/>
          <w:szCs w:val="20"/>
        </w:rPr>
      </w:pPr>
    </w:p>
    <w:p w14:paraId="597AE51C" w14:textId="5AB44D6B" w:rsidR="005D7542" w:rsidRDefault="005D7542" w:rsidP="00FD4805">
      <w:pPr>
        <w:jc w:val="both"/>
        <w:rPr>
          <w:rFonts w:ascii="Times New Roman" w:eastAsia="Times New Roman" w:hAnsi="Times New Roman" w:cs="Times New Roman"/>
          <w:noProof/>
          <w:sz w:val="24"/>
          <w:szCs w:val="20"/>
        </w:rPr>
      </w:pPr>
    </w:p>
    <w:p w14:paraId="520AF170" w14:textId="08DD414A" w:rsidR="005D7542" w:rsidRDefault="005D7542" w:rsidP="00FD4805">
      <w:pPr>
        <w:jc w:val="both"/>
        <w:rPr>
          <w:rFonts w:ascii="Times New Roman" w:eastAsia="Times New Roman" w:hAnsi="Times New Roman" w:cs="Times New Roman"/>
          <w:noProof/>
          <w:sz w:val="24"/>
          <w:szCs w:val="20"/>
        </w:rPr>
      </w:pPr>
    </w:p>
    <w:p w14:paraId="2B1E6111" w14:textId="477E90F5" w:rsidR="005D7542" w:rsidRDefault="005D7542" w:rsidP="00FD4805">
      <w:pPr>
        <w:jc w:val="both"/>
        <w:rPr>
          <w:rFonts w:ascii="Times New Roman" w:eastAsia="Times New Roman" w:hAnsi="Times New Roman" w:cs="Times New Roman"/>
          <w:noProof/>
          <w:sz w:val="24"/>
          <w:szCs w:val="20"/>
        </w:rPr>
      </w:pPr>
    </w:p>
    <w:p w14:paraId="5D8BE14B" w14:textId="5A4ECF5D" w:rsidR="005D7542" w:rsidRDefault="005D7542" w:rsidP="00FD4805">
      <w:pPr>
        <w:jc w:val="both"/>
        <w:rPr>
          <w:rFonts w:ascii="Times New Roman" w:eastAsia="Times New Roman" w:hAnsi="Times New Roman" w:cs="Times New Roman"/>
          <w:noProof/>
          <w:sz w:val="24"/>
          <w:szCs w:val="20"/>
        </w:rPr>
      </w:pPr>
    </w:p>
    <w:p w14:paraId="1C7609D0" w14:textId="77777777" w:rsidR="005D7542" w:rsidRPr="00FD4805" w:rsidRDefault="005D7542" w:rsidP="00FD4805">
      <w:pPr>
        <w:jc w:val="both"/>
        <w:rPr>
          <w:rFonts w:ascii="Times New Roman" w:eastAsia="Times New Roman" w:hAnsi="Times New Roman" w:cs="Times New Roman"/>
          <w:noProof/>
          <w:sz w:val="24"/>
          <w:szCs w:val="20"/>
        </w:rPr>
      </w:pPr>
      <w:bookmarkStart w:id="0" w:name="_GoBack"/>
      <w:bookmarkEnd w:id="0"/>
    </w:p>
    <w:p w14:paraId="450D8105" w14:textId="77777777" w:rsidR="007120AC" w:rsidRPr="00FD4805" w:rsidRDefault="007120AC" w:rsidP="00FD4805">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53"/>
        <w:gridCol w:w="2362"/>
        <w:gridCol w:w="3716"/>
      </w:tblGrid>
      <w:tr w:rsidR="00FD4805" w14:paraId="3543B96B" w14:textId="77777777" w:rsidTr="005D7542">
        <w:tc>
          <w:tcPr>
            <w:tcW w:w="3053" w:type="dxa"/>
          </w:tcPr>
          <w:p w14:paraId="321B6F77" w14:textId="77777777" w:rsidR="00FD4805" w:rsidRDefault="00FD4805" w:rsidP="00FD4805">
            <w:pPr>
              <w:jc w:val="both"/>
              <w:rPr>
                <w:rFonts w:ascii="Times New Roman" w:eastAsia="Times New Roman" w:hAnsi="Times New Roman" w:cs="Times New Roman"/>
                <w:noProof/>
                <w:sz w:val="24"/>
                <w:szCs w:val="20"/>
              </w:rPr>
            </w:pPr>
            <w:r>
              <w:rPr>
                <w:rFonts w:ascii="Times New Roman" w:hAnsi="Times New Roman"/>
                <w:sz w:val="24"/>
              </w:rPr>
              <w:t>Saņemšanas datums</w:t>
            </w:r>
          </w:p>
        </w:tc>
        <w:tc>
          <w:tcPr>
            <w:tcW w:w="2362" w:type="dxa"/>
          </w:tcPr>
          <w:p w14:paraId="618FE91E" w14:textId="77777777" w:rsidR="00FD4805" w:rsidRDefault="00FD4805" w:rsidP="00FD4805">
            <w:pPr>
              <w:jc w:val="both"/>
              <w:rPr>
                <w:rFonts w:ascii="Times New Roman" w:eastAsia="Times New Roman" w:hAnsi="Times New Roman" w:cs="Times New Roman"/>
                <w:noProof/>
                <w:sz w:val="24"/>
                <w:szCs w:val="20"/>
              </w:rPr>
            </w:pPr>
            <w:r>
              <w:rPr>
                <w:rFonts w:ascii="Times New Roman" w:hAnsi="Times New Roman"/>
                <w:sz w:val="24"/>
              </w:rPr>
              <w:t>:</w:t>
            </w:r>
          </w:p>
        </w:tc>
        <w:tc>
          <w:tcPr>
            <w:tcW w:w="3716" w:type="dxa"/>
          </w:tcPr>
          <w:p w14:paraId="68EF0946" w14:textId="77777777" w:rsidR="00FD4805" w:rsidRDefault="00FD4805" w:rsidP="00FD4805">
            <w:pPr>
              <w:jc w:val="both"/>
              <w:rPr>
                <w:rFonts w:ascii="Times New Roman" w:eastAsia="Times New Roman" w:hAnsi="Times New Roman" w:cs="Times New Roman"/>
                <w:noProof/>
                <w:sz w:val="24"/>
                <w:szCs w:val="20"/>
              </w:rPr>
            </w:pPr>
            <w:r>
              <w:rPr>
                <w:rFonts w:ascii="Times New Roman" w:hAnsi="Times New Roman"/>
                <w:sz w:val="24"/>
              </w:rPr>
              <w:t>20/12/2019</w:t>
            </w:r>
          </w:p>
        </w:tc>
      </w:tr>
    </w:tbl>
    <w:p w14:paraId="022D026F" w14:textId="77777777" w:rsidR="007120AC" w:rsidRPr="00FD4805" w:rsidRDefault="007120AC" w:rsidP="00FD4805">
      <w:pPr>
        <w:jc w:val="both"/>
        <w:rPr>
          <w:rFonts w:ascii="Times New Roman" w:eastAsia="Times New Roman" w:hAnsi="Times New Roman" w:cs="Times New Roman"/>
          <w:noProof/>
          <w:sz w:val="24"/>
          <w:szCs w:val="20"/>
        </w:rPr>
      </w:pPr>
    </w:p>
    <w:p w14:paraId="13C31785" w14:textId="77777777" w:rsidR="00FD4805" w:rsidRDefault="00FD4805">
      <w:pPr>
        <w:rPr>
          <w:rFonts w:ascii="Times New Roman" w:eastAsia="Times New Roman" w:hAnsi="Times New Roman" w:cs="Times New Roman"/>
          <w:noProof/>
          <w:sz w:val="24"/>
          <w:szCs w:val="20"/>
        </w:rPr>
      </w:pPr>
      <w:r>
        <w:br w:type="page"/>
      </w:r>
    </w:p>
    <w:p w14:paraId="3E6A0FD4" w14:textId="77777777" w:rsidR="007120AC" w:rsidRPr="00FD4805" w:rsidRDefault="007120AC" w:rsidP="00FD4805">
      <w:pPr>
        <w:jc w:val="both"/>
        <w:rPr>
          <w:rFonts w:ascii="Times New Roman" w:eastAsia="Times New Roman" w:hAnsi="Times New Roman" w:cs="Times New Roman"/>
          <w:noProof/>
          <w:sz w:val="24"/>
          <w:szCs w:val="20"/>
        </w:rPr>
      </w:pPr>
    </w:p>
    <w:p w14:paraId="05EDFF93" w14:textId="77777777" w:rsidR="007120AC" w:rsidRPr="00FD4805" w:rsidRDefault="007120AC" w:rsidP="00FD4805">
      <w:pPr>
        <w:pStyle w:val="BodyText"/>
        <w:tabs>
          <w:tab w:val="left" w:pos="7655"/>
        </w:tabs>
        <w:ind w:left="0" w:firstLine="0"/>
        <w:jc w:val="both"/>
        <w:rPr>
          <w:noProof/>
          <w:sz w:val="24"/>
          <w:u w:val="single"/>
        </w:rPr>
      </w:pPr>
      <w:r>
        <w:rPr>
          <w:sz w:val="24"/>
          <w:u w:val="single"/>
        </w:rPr>
        <w:t>Tulkojums</w:t>
      </w:r>
      <w:r>
        <w:rPr>
          <w:sz w:val="24"/>
          <w:u w:val="single"/>
        </w:rPr>
        <w:tab/>
        <w:t>C-450/19 - 12</w:t>
      </w:r>
    </w:p>
    <w:p w14:paraId="16726FCA" w14:textId="77777777" w:rsidR="007120AC" w:rsidRPr="00FD4805" w:rsidRDefault="007120AC" w:rsidP="00FD4805">
      <w:pPr>
        <w:jc w:val="both"/>
        <w:rPr>
          <w:rFonts w:ascii="Times New Roman" w:eastAsia="Times New Roman" w:hAnsi="Times New Roman" w:cs="Times New Roman"/>
          <w:noProof/>
          <w:sz w:val="24"/>
          <w:szCs w:val="14"/>
        </w:rPr>
      </w:pPr>
    </w:p>
    <w:p w14:paraId="3F375380" w14:textId="77777777" w:rsidR="00FD4805" w:rsidRDefault="007120AC" w:rsidP="00FD4805">
      <w:pPr>
        <w:pStyle w:val="BodyText"/>
        <w:ind w:left="0" w:firstLine="0"/>
        <w:jc w:val="center"/>
        <w:rPr>
          <w:noProof/>
          <w:sz w:val="24"/>
        </w:rPr>
      </w:pPr>
      <w:r>
        <w:rPr>
          <w:sz w:val="24"/>
        </w:rPr>
        <w:t>Somijas apsvērumi</w:t>
      </w:r>
    </w:p>
    <w:p w14:paraId="488B3B67" w14:textId="77777777" w:rsidR="00FD4805" w:rsidRDefault="00FD4805" w:rsidP="00FD4805">
      <w:pPr>
        <w:pStyle w:val="BodyText"/>
        <w:ind w:left="0" w:firstLine="0"/>
        <w:jc w:val="center"/>
        <w:rPr>
          <w:noProof/>
          <w:sz w:val="24"/>
        </w:rPr>
      </w:pPr>
    </w:p>
    <w:p w14:paraId="2072B975" w14:textId="77777777" w:rsidR="007120AC" w:rsidRDefault="007120AC" w:rsidP="00FD4805">
      <w:pPr>
        <w:pStyle w:val="BodyText"/>
        <w:ind w:left="0" w:firstLine="0"/>
        <w:jc w:val="center"/>
        <w:rPr>
          <w:noProof/>
          <w:sz w:val="24"/>
        </w:rPr>
      </w:pPr>
      <w:r>
        <w:rPr>
          <w:sz w:val="24"/>
        </w:rPr>
        <w:t>Lieta C-450/19</w:t>
      </w:r>
      <w:r>
        <w:rPr>
          <w:rStyle w:val="FootnoteReference"/>
          <w:noProof/>
          <w:sz w:val="24"/>
        </w:rPr>
        <w:footnoteReference w:customMarkFollows="1" w:id="1"/>
        <w:sym w:font="Symbol" w:char="F02A"/>
      </w:r>
    </w:p>
    <w:p w14:paraId="6C418B94" w14:textId="77777777" w:rsidR="00FD4805" w:rsidRPr="00FD4805" w:rsidRDefault="00FD4805" w:rsidP="00FD4805">
      <w:pPr>
        <w:pStyle w:val="BodyText"/>
        <w:ind w:left="0" w:firstLine="0"/>
        <w:jc w:val="both"/>
        <w:rPr>
          <w:noProof/>
          <w:sz w:val="24"/>
          <w:szCs w:val="20"/>
        </w:rPr>
      </w:pPr>
    </w:p>
    <w:p w14:paraId="299490F2" w14:textId="77777777" w:rsidR="007120AC" w:rsidRPr="00FD4805" w:rsidRDefault="007120AC" w:rsidP="00FD4805">
      <w:pPr>
        <w:pStyle w:val="Heading1"/>
        <w:ind w:left="0"/>
        <w:jc w:val="both"/>
        <w:rPr>
          <w:noProof/>
          <w:sz w:val="24"/>
        </w:rPr>
      </w:pPr>
      <w:r>
        <w:rPr>
          <w:sz w:val="24"/>
        </w:rPr>
        <w:t>Dokumentu iesniedza:</w:t>
      </w:r>
    </w:p>
    <w:p w14:paraId="43896835" w14:textId="77777777" w:rsidR="007120AC" w:rsidRPr="00FD4805" w:rsidRDefault="007120AC" w:rsidP="00FD4805">
      <w:pPr>
        <w:jc w:val="both"/>
        <w:rPr>
          <w:rFonts w:ascii="Times New Roman" w:eastAsia="Times New Roman" w:hAnsi="Times New Roman" w:cs="Times New Roman"/>
          <w:b/>
          <w:bCs/>
          <w:noProof/>
          <w:sz w:val="24"/>
          <w:szCs w:val="20"/>
        </w:rPr>
      </w:pPr>
    </w:p>
    <w:p w14:paraId="096FA05C" w14:textId="77777777" w:rsidR="007120AC" w:rsidRPr="00FD4805" w:rsidRDefault="007120AC" w:rsidP="00FD4805">
      <w:pPr>
        <w:pStyle w:val="BodyText"/>
        <w:ind w:left="709" w:firstLine="0"/>
        <w:jc w:val="both"/>
        <w:rPr>
          <w:noProof/>
          <w:sz w:val="24"/>
        </w:rPr>
      </w:pPr>
      <w:r>
        <w:rPr>
          <w:sz w:val="24"/>
        </w:rPr>
        <w:t>Somijas Republika</w:t>
      </w:r>
    </w:p>
    <w:p w14:paraId="1A679A81" w14:textId="77777777" w:rsidR="007120AC" w:rsidRPr="00FD4805" w:rsidRDefault="007120AC" w:rsidP="00FD4805">
      <w:pPr>
        <w:jc w:val="both"/>
        <w:rPr>
          <w:rFonts w:ascii="Times New Roman" w:eastAsia="Times New Roman" w:hAnsi="Times New Roman" w:cs="Times New Roman"/>
          <w:noProof/>
          <w:sz w:val="24"/>
          <w:szCs w:val="21"/>
        </w:rPr>
      </w:pPr>
    </w:p>
    <w:p w14:paraId="139EF95E" w14:textId="77777777" w:rsidR="007120AC" w:rsidRPr="00FD4805" w:rsidRDefault="007120AC" w:rsidP="00FD4805">
      <w:pPr>
        <w:pStyle w:val="Heading1"/>
        <w:ind w:left="0"/>
        <w:jc w:val="both"/>
        <w:rPr>
          <w:noProof/>
          <w:sz w:val="24"/>
        </w:rPr>
      </w:pPr>
      <w:r>
        <w:rPr>
          <w:sz w:val="24"/>
        </w:rPr>
        <w:t>Lietas parastais nosaukums:</w:t>
      </w:r>
    </w:p>
    <w:p w14:paraId="54D14EF5" w14:textId="77777777" w:rsidR="007120AC" w:rsidRPr="00FD4805" w:rsidRDefault="007120AC" w:rsidP="00FD4805">
      <w:pPr>
        <w:jc w:val="both"/>
        <w:rPr>
          <w:rFonts w:ascii="Times New Roman" w:eastAsia="Times New Roman" w:hAnsi="Times New Roman" w:cs="Times New Roman"/>
          <w:b/>
          <w:bCs/>
          <w:noProof/>
          <w:sz w:val="24"/>
          <w:szCs w:val="20"/>
        </w:rPr>
      </w:pPr>
    </w:p>
    <w:p w14:paraId="7CCEF59A" w14:textId="77777777" w:rsidR="007120AC" w:rsidRPr="00FD4805" w:rsidRDefault="007120AC" w:rsidP="00FD4805">
      <w:pPr>
        <w:pStyle w:val="BodyText"/>
        <w:ind w:left="709" w:firstLine="0"/>
        <w:jc w:val="both"/>
        <w:rPr>
          <w:noProof/>
          <w:sz w:val="24"/>
        </w:rPr>
      </w:pPr>
      <w:r>
        <w:rPr>
          <w:i/>
          <w:iCs/>
          <w:sz w:val="24"/>
        </w:rPr>
        <w:t>KILPAILU</w:t>
      </w:r>
      <w:r>
        <w:rPr>
          <w:i/>
          <w:iCs/>
          <w:sz w:val="24"/>
        </w:rPr>
        <w:noBreakHyphen/>
        <w:t xml:space="preserve"> JA KULUTTAJAVIRASTO</w:t>
      </w:r>
    </w:p>
    <w:p w14:paraId="2AB104AA" w14:textId="77777777" w:rsidR="007120AC" w:rsidRPr="00FD4805" w:rsidRDefault="007120AC" w:rsidP="00FD4805">
      <w:pPr>
        <w:jc w:val="both"/>
        <w:rPr>
          <w:rFonts w:ascii="Times New Roman" w:eastAsia="Times New Roman" w:hAnsi="Times New Roman" w:cs="Times New Roman"/>
          <w:noProof/>
          <w:sz w:val="24"/>
          <w:szCs w:val="21"/>
        </w:rPr>
      </w:pPr>
    </w:p>
    <w:p w14:paraId="640CC100" w14:textId="77777777" w:rsidR="007120AC" w:rsidRPr="00FD4805" w:rsidRDefault="007120AC" w:rsidP="00FD4805">
      <w:pPr>
        <w:pStyle w:val="Heading1"/>
        <w:ind w:left="0"/>
        <w:jc w:val="both"/>
        <w:rPr>
          <w:noProof/>
          <w:sz w:val="24"/>
        </w:rPr>
      </w:pPr>
      <w:r>
        <w:rPr>
          <w:sz w:val="24"/>
        </w:rPr>
        <w:t>Iesniegšanas datums:</w:t>
      </w:r>
    </w:p>
    <w:p w14:paraId="585515A2" w14:textId="77777777" w:rsidR="007120AC" w:rsidRPr="00FD4805" w:rsidRDefault="007120AC" w:rsidP="00FD4805">
      <w:pPr>
        <w:jc w:val="both"/>
        <w:rPr>
          <w:rFonts w:ascii="Times New Roman" w:eastAsia="Times New Roman" w:hAnsi="Times New Roman" w:cs="Times New Roman"/>
          <w:b/>
          <w:bCs/>
          <w:noProof/>
          <w:sz w:val="24"/>
          <w:szCs w:val="20"/>
        </w:rPr>
      </w:pPr>
    </w:p>
    <w:p w14:paraId="532BD2A0" w14:textId="77777777" w:rsidR="007120AC" w:rsidRPr="00FD4805" w:rsidRDefault="007120AC" w:rsidP="00FD4805">
      <w:pPr>
        <w:pStyle w:val="BodyText"/>
        <w:ind w:left="709" w:firstLine="0"/>
        <w:jc w:val="both"/>
        <w:rPr>
          <w:noProof/>
          <w:sz w:val="24"/>
        </w:rPr>
      </w:pPr>
      <w:r>
        <w:rPr>
          <w:sz w:val="24"/>
        </w:rPr>
        <w:t>2019. gada 3. oktobris</w:t>
      </w:r>
    </w:p>
    <w:p w14:paraId="533C17BE" w14:textId="77777777" w:rsidR="007120AC" w:rsidRPr="00FD4805" w:rsidRDefault="007120AC" w:rsidP="00FD4805">
      <w:pPr>
        <w:jc w:val="both"/>
        <w:rPr>
          <w:rFonts w:ascii="Times New Roman" w:eastAsia="Times New Roman" w:hAnsi="Times New Roman" w:cs="Times New Roman"/>
          <w:noProof/>
          <w:sz w:val="24"/>
          <w:szCs w:val="20"/>
        </w:rPr>
      </w:pPr>
    </w:p>
    <w:p w14:paraId="4367C923" w14:textId="77777777" w:rsidR="007120AC" w:rsidRPr="00FD4805" w:rsidRDefault="007120AC" w:rsidP="00FD4805">
      <w:pPr>
        <w:jc w:val="both"/>
        <w:rPr>
          <w:rFonts w:ascii="Times New Roman" w:eastAsia="Times New Roman" w:hAnsi="Times New Roman" w:cs="Times New Roman"/>
          <w:noProof/>
          <w:sz w:val="24"/>
          <w:szCs w:val="28"/>
        </w:rPr>
      </w:pPr>
    </w:p>
    <w:p w14:paraId="7F9C19E1" w14:textId="77777777" w:rsidR="007120AC" w:rsidRPr="00FD4805" w:rsidRDefault="00FD4805" w:rsidP="00FD4805">
      <w:pPr>
        <w:tabs>
          <w:tab w:val="left" w:leader="underscore" w:pos="9072"/>
        </w:tabs>
        <w:ind w:left="709"/>
        <w:jc w:val="both"/>
        <w:rPr>
          <w:rFonts w:ascii="Times New Roman" w:eastAsia="Times New Roman" w:hAnsi="Times New Roman" w:cs="Times New Roman"/>
          <w:noProof/>
          <w:sz w:val="24"/>
          <w:szCs w:val="2"/>
        </w:rPr>
      </w:pPr>
      <w:r>
        <w:rPr>
          <w:rFonts w:ascii="Times New Roman" w:hAnsi="Times New Roman"/>
          <w:sz w:val="24"/>
          <w:szCs w:val="2"/>
        </w:rPr>
        <w:tab/>
      </w:r>
    </w:p>
    <w:p w14:paraId="2299C899" w14:textId="77777777" w:rsidR="007120AC" w:rsidRPr="00FD4805" w:rsidRDefault="007120AC" w:rsidP="00FD4805">
      <w:pPr>
        <w:jc w:val="both"/>
        <w:rPr>
          <w:rFonts w:ascii="Times New Roman" w:eastAsia="Times New Roman" w:hAnsi="Times New Roman" w:cs="Times New Roman"/>
          <w:noProof/>
          <w:sz w:val="24"/>
          <w:szCs w:val="12"/>
        </w:rPr>
      </w:pPr>
    </w:p>
    <w:p w14:paraId="00B152CD" w14:textId="77777777" w:rsidR="007120AC" w:rsidRPr="00FD4805" w:rsidRDefault="007120AC" w:rsidP="00FD4805">
      <w:pPr>
        <w:pStyle w:val="BodyText"/>
        <w:tabs>
          <w:tab w:val="left" w:pos="3626"/>
          <w:tab w:val="left" w:pos="4993"/>
          <w:tab w:val="left" w:pos="5708"/>
          <w:tab w:val="left" w:pos="8145"/>
        </w:tabs>
        <w:ind w:left="0" w:firstLine="0"/>
        <w:jc w:val="both"/>
        <w:rPr>
          <w:noProof/>
          <w:sz w:val="24"/>
        </w:rPr>
      </w:pPr>
      <w:r>
        <w:rPr>
          <w:sz w:val="24"/>
        </w:rPr>
        <w:t>SOMIJAS VALDĪBAS RAKSTVEIDA APSVĒRUMI LIETĀ C</w:t>
      </w:r>
      <w:r>
        <w:rPr>
          <w:sz w:val="24"/>
        </w:rPr>
        <w:noBreakHyphen/>
        <w:t xml:space="preserve">450/19, KO </w:t>
      </w:r>
      <w:r>
        <w:rPr>
          <w:i/>
          <w:iCs/>
          <w:sz w:val="24"/>
        </w:rPr>
        <w:t>Kilpailu- ja kuluttajavirasto</w:t>
      </w:r>
      <w:r>
        <w:rPr>
          <w:sz w:val="24"/>
        </w:rPr>
        <w:t xml:space="preserve"> IEROSINĀJUSI SASKAŅĀ AR LESD 267. PANTU,</w:t>
      </w:r>
    </w:p>
    <w:p w14:paraId="2DC2454F" w14:textId="77777777" w:rsidR="007120AC" w:rsidRPr="00FD4805" w:rsidRDefault="007120AC" w:rsidP="00FD4805">
      <w:pPr>
        <w:jc w:val="both"/>
        <w:rPr>
          <w:rFonts w:ascii="Times New Roman" w:eastAsia="Times New Roman" w:hAnsi="Times New Roman" w:cs="Times New Roman"/>
          <w:noProof/>
          <w:sz w:val="24"/>
          <w:szCs w:val="20"/>
        </w:rPr>
      </w:pPr>
    </w:p>
    <w:p w14:paraId="10E9C271" w14:textId="77777777" w:rsidR="007120AC" w:rsidRPr="00FD4805" w:rsidRDefault="007120AC" w:rsidP="00FD4805">
      <w:pPr>
        <w:pStyle w:val="BodyText"/>
        <w:ind w:left="0" w:firstLine="0"/>
        <w:jc w:val="both"/>
        <w:rPr>
          <w:noProof/>
          <w:sz w:val="24"/>
        </w:rPr>
      </w:pPr>
      <w:r>
        <w:rPr>
          <w:sz w:val="24"/>
        </w:rPr>
        <w:t>iesniegti atbilstoši Eiropas Savienības Tiesas statūtu 23. panta otrajai daļai lietā</w:t>
      </w:r>
    </w:p>
    <w:p w14:paraId="72D526C0" w14:textId="77777777" w:rsidR="007120AC" w:rsidRPr="00FD4805" w:rsidRDefault="007120AC" w:rsidP="00FD4805">
      <w:pPr>
        <w:pStyle w:val="Heading1"/>
        <w:ind w:left="0"/>
        <w:jc w:val="both"/>
        <w:rPr>
          <w:noProof/>
          <w:sz w:val="24"/>
        </w:rPr>
      </w:pPr>
      <w:r>
        <w:rPr>
          <w:sz w:val="24"/>
        </w:rPr>
        <w:t>C-450/19 “Kilpailu- ja kuluttajavirasto”</w:t>
      </w:r>
    </w:p>
    <w:p w14:paraId="763C970F" w14:textId="77777777" w:rsidR="007120AC" w:rsidRPr="00FD4805" w:rsidRDefault="007120AC" w:rsidP="00FD4805">
      <w:pPr>
        <w:jc w:val="both"/>
        <w:rPr>
          <w:rFonts w:ascii="Times New Roman" w:eastAsia="Times New Roman" w:hAnsi="Times New Roman" w:cs="Times New Roman"/>
          <w:b/>
          <w:bCs/>
          <w:noProof/>
          <w:sz w:val="24"/>
          <w:szCs w:val="14"/>
        </w:rPr>
      </w:pPr>
    </w:p>
    <w:p w14:paraId="0D7C1410" w14:textId="77777777" w:rsidR="007120AC" w:rsidRPr="00FD4805" w:rsidRDefault="007120AC" w:rsidP="00FD4805">
      <w:pPr>
        <w:jc w:val="both"/>
        <w:rPr>
          <w:rFonts w:ascii="Times New Roman" w:hAnsi="Times New Roman"/>
          <w:b/>
          <w:noProof/>
          <w:sz w:val="24"/>
        </w:rPr>
      </w:pPr>
      <w:r>
        <w:rPr>
          <w:rFonts w:ascii="Times New Roman" w:hAnsi="Times New Roman"/>
          <w:b/>
          <w:sz w:val="24"/>
          <w:highlight w:val="lightGray"/>
        </w:rPr>
        <w:t>[oriģ. 2. lpp.]</w:t>
      </w:r>
    </w:p>
    <w:p w14:paraId="6C1A55CB" w14:textId="77777777" w:rsidR="007120AC" w:rsidRPr="00FD4805" w:rsidRDefault="007120AC" w:rsidP="00FD4805">
      <w:pPr>
        <w:jc w:val="both"/>
        <w:rPr>
          <w:rFonts w:ascii="Times New Roman" w:eastAsia="Times New Roman" w:hAnsi="Times New Roman" w:cs="Times New Roman"/>
          <w:b/>
          <w:bCs/>
          <w:noProof/>
          <w:sz w:val="24"/>
          <w:szCs w:val="24"/>
        </w:rPr>
      </w:pPr>
    </w:p>
    <w:p w14:paraId="495A3E7D" w14:textId="77777777" w:rsidR="007120AC" w:rsidRPr="00FD4805" w:rsidRDefault="007120AC" w:rsidP="00FD4805">
      <w:pPr>
        <w:tabs>
          <w:tab w:val="left" w:pos="2077"/>
        </w:tabs>
        <w:jc w:val="both"/>
        <w:rPr>
          <w:rFonts w:ascii="Times New Roman" w:eastAsia="Times New Roman" w:hAnsi="Times New Roman" w:cs="Times New Roman"/>
          <w:b/>
          <w:bCs/>
          <w:noProof/>
          <w:sz w:val="24"/>
          <w:szCs w:val="25"/>
        </w:rPr>
      </w:pPr>
      <w:r>
        <w:rPr>
          <w:rFonts w:ascii="Times New Roman" w:hAnsi="Times New Roman"/>
          <w:b/>
          <w:bCs/>
          <w:sz w:val="24"/>
          <w:szCs w:val="25"/>
        </w:rPr>
        <w:t>1. LIETAS KONTEKSTS UN PREJUDICIĀLAIS JAUTĀJUMS</w:t>
      </w:r>
    </w:p>
    <w:p w14:paraId="261C1110" w14:textId="77777777" w:rsidR="007120AC" w:rsidRPr="00FD4805" w:rsidRDefault="007120AC" w:rsidP="00FD4805">
      <w:pPr>
        <w:jc w:val="both"/>
        <w:rPr>
          <w:rFonts w:ascii="Times New Roman" w:eastAsia="Times New Roman" w:hAnsi="Times New Roman" w:cs="Times New Roman"/>
          <w:b/>
          <w:bCs/>
          <w:noProof/>
          <w:sz w:val="24"/>
          <w:szCs w:val="20"/>
        </w:rPr>
      </w:pPr>
    </w:p>
    <w:p w14:paraId="1DC74983" w14:textId="77777777" w:rsidR="007120AC" w:rsidRPr="00FD4805" w:rsidRDefault="007120AC" w:rsidP="00FD4805">
      <w:pPr>
        <w:pStyle w:val="BodyText"/>
        <w:ind w:left="0" w:firstLine="0"/>
        <w:jc w:val="both"/>
        <w:rPr>
          <w:noProof/>
          <w:sz w:val="24"/>
        </w:rPr>
      </w:pPr>
      <w:r>
        <w:rPr>
          <w:sz w:val="24"/>
        </w:rPr>
        <w:t xml:space="preserve">1. Šī lieta attiecas uz iespējamu aizliegtu vienošanos elektropārvades līniju būvdarbu nozarē starp “Eltel Networks Oy” un “Eltel Group Oy” (turpmāk abi kopā saukti – “Eltel”), no vienas puses, un “Empower Oy” un “TPI Holding Oy”, no otras puses, no 2004. līdz 2011. gadam. Konkurences un patērētāju tiesību aizsardzības iestāde 2014. gada 31. oktobra priekšlikumā piemērot naudas sodu lūdz </w:t>
      </w:r>
      <w:r>
        <w:rPr>
          <w:i/>
          <w:iCs/>
          <w:sz w:val="24"/>
        </w:rPr>
        <w:t>markkinaoikeus</w:t>
      </w:r>
      <w:r>
        <w:rPr>
          <w:sz w:val="24"/>
        </w:rPr>
        <w:t xml:space="preserve"> (Tirdzniecības tiesa) piemērot “Eltel” naudas sodu 35 000 000 EUR apmērā par </w:t>
      </w:r>
      <w:r>
        <w:rPr>
          <w:i/>
          <w:iCs/>
          <w:sz w:val="24"/>
        </w:rPr>
        <w:t>kilpailunrajoituslaki</w:t>
      </w:r>
      <w:r>
        <w:rPr>
          <w:sz w:val="24"/>
        </w:rPr>
        <w:t xml:space="preserve"> (Likums par konkurences ierobežojumu novēršanu Nr. 480/1992</w:t>
      </w:r>
      <w:r>
        <w:rPr>
          <w:rStyle w:val="FootnoteReference"/>
          <w:noProof/>
          <w:sz w:val="24"/>
        </w:rPr>
        <w:footnoteReference w:customMarkFollows="1" w:id="2"/>
        <w:t>1</w:t>
      </w:r>
      <w:r>
        <w:rPr>
          <w:sz w:val="24"/>
        </w:rPr>
        <w:t>) 4. panta un LESD 101. panta pārkāpumu.</w:t>
      </w:r>
    </w:p>
    <w:p w14:paraId="015BF0FF" w14:textId="77777777" w:rsidR="007120AC" w:rsidRPr="00FD4805" w:rsidRDefault="007120AC" w:rsidP="00FD4805">
      <w:pPr>
        <w:jc w:val="both"/>
        <w:rPr>
          <w:rFonts w:ascii="Times New Roman" w:eastAsia="Times New Roman" w:hAnsi="Times New Roman" w:cs="Times New Roman"/>
          <w:noProof/>
          <w:sz w:val="24"/>
          <w:szCs w:val="24"/>
        </w:rPr>
      </w:pPr>
    </w:p>
    <w:p w14:paraId="3F392846" w14:textId="77777777" w:rsidR="007120AC" w:rsidRPr="00FD4805" w:rsidRDefault="00FD4805" w:rsidP="00FD4805">
      <w:pPr>
        <w:pStyle w:val="BodyText"/>
        <w:tabs>
          <w:tab w:val="left" w:pos="651"/>
        </w:tabs>
        <w:ind w:left="0" w:firstLine="0"/>
        <w:jc w:val="both"/>
        <w:rPr>
          <w:noProof/>
          <w:sz w:val="24"/>
        </w:rPr>
      </w:pPr>
      <w:r>
        <w:rPr>
          <w:sz w:val="24"/>
        </w:rPr>
        <w:t xml:space="preserve">2. </w:t>
      </w:r>
      <w:r>
        <w:rPr>
          <w:i/>
          <w:iCs/>
          <w:sz w:val="24"/>
        </w:rPr>
        <w:t>Markkinaoikeus</w:t>
      </w:r>
      <w:r>
        <w:rPr>
          <w:sz w:val="24"/>
        </w:rPr>
        <w:t xml:space="preserve"> (Tirdzniecības tiesa) 2016. gada 30. marta lēmumā konstatēja, ka Konkurences un patērētāju tiesību aizsardzības iestāde līdz 2009. gada 31. oktobrim vai pēc šī datuma nebija iesniegusi pierādījumus tiesvedībai par konkurences ierobežojumiem, un noilguma dēļ noraidīja priekšlikumu piemērot naudas sodu.</w:t>
      </w:r>
    </w:p>
    <w:p w14:paraId="0ECAE3C5" w14:textId="77777777" w:rsidR="007120AC" w:rsidRPr="00FD4805" w:rsidRDefault="007120AC" w:rsidP="00FD4805">
      <w:pPr>
        <w:jc w:val="both"/>
        <w:rPr>
          <w:rFonts w:ascii="Times New Roman" w:eastAsia="Times New Roman" w:hAnsi="Times New Roman" w:cs="Times New Roman"/>
          <w:noProof/>
          <w:sz w:val="24"/>
          <w:szCs w:val="20"/>
        </w:rPr>
      </w:pPr>
    </w:p>
    <w:p w14:paraId="1890AF72" w14:textId="77777777" w:rsidR="007120AC" w:rsidRPr="00FD4805" w:rsidRDefault="00FD4805" w:rsidP="00FD4805">
      <w:pPr>
        <w:pStyle w:val="BodyText"/>
        <w:tabs>
          <w:tab w:val="left" w:pos="651"/>
        </w:tabs>
        <w:ind w:left="0" w:firstLine="0"/>
        <w:jc w:val="both"/>
        <w:rPr>
          <w:noProof/>
          <w:sz w:val="24"/>
        </w:rPr>
      </w:pPr>
      <w:r>
        <w:rPr>
          <w:sz w:val="24"/>
        </w:rPr>
        <w:t xml:space="preserve">3. Konkurences un patērētāju tiesību aizsardzības iestāde pārsūdzēja </w:t>
      </w:r>
      <w:r>
        <w:rPr>
          <w:i/>
          <w:iCs/>
          <w:sz w:val="24"/>
        </w:rPr>
        <w:t>Korkein hallinto-oikeus</w:t>
      </w:r>
      <w:r>
        <w:rPr>
          <w:sz w:val="24"/>
        </w:rPr>
        <w:t xml:space="preserve"> (Augstākā administratīvā tiesa, Somija) šo </w:t>
      </w:r>
      <w:r>
        <w:rPr>
          <w:i/>
          <w:iCs/>
          <w:sz w:val="24"/>
        </w:rPr>
        <w:t>markkinaoikeus</w:t>
      </w:r>
      <w:r>
        <w:rPr>
          <w:sz w:val="24"/>
        </w:rPr>
        <w:t xml:space="preserve"> (Tirdzniecības tiesa) lēmumu. Apelācijas sūdzībā Konkurences un patērētāju tiesību aizsardzības iestāde uzskata, ka tā ir pietiekami pierādījusi konkurences ierobežojumus, līdz ar to tās priekšlikums par naudas soda </w:t>
      </w:r>
      <w:r>
        <w:rPr>
          <w:sz w:val="24"/>
        </w:rPr>
        <w:lastRenderedPageBreak/>
        <w:t>piemērošanu ir iesniegts noteiktajā termiņā. Kā piemēru konkurences ierobežojuma ilgumam tā minēja elektropārvades līnijas Keminmā–Petejeskoski būvdarbu līgumu, kuru sadales sistēmas operators “Fingrid Oy” (turpmāk tekstā – “Fingrid”) noslēdza ar “Eltel”, kas uzvarēja, atsaucoties uz uzaicinājumu iesniegt piedāvājumu. Konkurences un patērētāju tiesību aizsardzības iestāde apelācijas sūdzībā norāda, ka šī konkurenci ierobežojošā aizliegtā rīcība, kas attiecas uz līnijas Keminmā–Petejeskoski būvdarbu līgumu, ir turpinājusies līdz 2010. gada 7. janvārim, tas ir, līdz datumam, kurā par darbiem tika veikts pēdējais maksājums, vai vismaz līdz 2009. gada 12. novembrim, tas ir, līdz datumam, kurā darbi tika pabeigti.</w:t>
      </w:r>
    </w:p>
    <w:p w14:paraId="01A768B5" w14:textId="77777777" w:rsidR="007120AC" w:rsidRPr="00FD4805" w:rsidRDefault="007120AC" w:rsidP="00FD4805">
      <w:pPr>
        <w:jc w:val="both"/>
        <w:rPr>
          <w:rFonts w:ascii="Times New Roman" w:eastAsia="Times New Roman" w:hAnsi="Times New Roman" w:cs="Times New Roman"/>
          <w:noProof/>
          <w:sz w:val="24"/>
          <w:szCs w:val="20"/>
        </w:rPr>
      </w:pPr>
    </w:p>
    <w:p w14:paraId="0E689563" w14:textId="77777777" w:rsidR="007120AC" w:rsidRPr="00FD4805" w:rsidRDefault="00FD4805" w:rsidP="00FD4805">
      <w:pPr>
        <w:pStyle w:val="BodyText"/>
        <w:tabs>
          <w:tab w:val="left" w:pos="651"/>
        </w:tabs>
        <w:ind w:left="0" w:firstLine="0"/>
        <w:jc w:val="both"/>
        <w:rPr>
          <w:noProof/>
          <w:sz w:val="24"/>
        </w:rPr>
      </w:pPr>
      <w:r>
        <w:rPr>
          <w:sz w:val="24"/>
        </w:rPr>
        <w:t xml:space="preserve">4. Apstrīdētajā lēmumā </w:t>
      </w:r>
      <w:r>
        <w:rPr>
          <w:i/>
          <w:iCs/>
          <w:sz w:val="24"/>
        </w:rPr>
        <w:t>markkinaoikeus</w:t>
      </w:r>
      <w:r>
        <w:rPr>
          <w:sz w:val="24"/>
        </w:rPr>
        <w:t xml:space="preserve"> (Tirdzniecības tiesa), izvērtējusi lietas apstākļus, savukārt uzskatīja, ka aizliegtā vienošanās noteikti attiecās uz atsevišķajiem plānošanas darbiem, kas notika pirms līnijas Keminmā–Petejeskoski būvdarbiem, bet neattiecās uz vēlākajiem būvdarbiem </w:t>
      </w:r>
      <w:r>
        <w:rPr>
          <w:b/>
          <w:bCs/>
          <w:sz w:val="24"/>
          <w:highlight w:val="lightGray"/>
        </w:rPr>
        <w:t xml:space="preserve">[oriģ. 3. lpp.] </w:t>
      </w:r>
      <w:r>
        <w:rPr>
          <w:sz w:val="24"/>
        </w:rPr>
        <w:t xml:space="preserve">šajā līnijā. Plānošanas darbi tika pabeigti 2007. gada janvārī. Turklāt šajā </w:t>
      </w:r>
      <w:r>
        <w:rPr>
          <w:i/>
          <w:iCs/>
          <w:sz w:val="24"/>
        </w:rPr>
        <w:t>markkinaoikeus</w:t>
      </w:r>
      <w:r>
        <w:rPr>
          <w:sz w:val="24"/>
        </w:rPr>
        <w:t xml:space="preserve"> (Tirdzniecības tiesa) lēmumā netika skarts lūgumā sniegt prejudiciālu nolēmumu uzdotais jautājums.</w:t>
      </w:r>
    </w:p>
    <w:p w14:paraId="5D37C231" w14:textId="77777777" w:rsidR="007120AC" w:rsidRPr="00FD4805" w:rsidRDefault="007120AC" w:rsidP="00FD4805">
      <w:pPr>
        <w:jc w:val="both"/>
        <w:rPr>
          <w:rFonts w:ascii="Times New Roman" w:hAnsi="Times New Roman"/>
          <w:noProof/>
          <w:sz w:val="24"/>
        </w:rPr>
      </w:pPr>
    </w:p>
    <w:p w14:paraId="3F21C53A" w14:textId="77777777" w:rsidR="007120AC" w:rsidRPr="00FD4805" w:rsidRDefault="00FD4805" w:rsidP="00FD4805">
      <w:pPr>
        <w:pStyle w:val="BodyText"/>
        <w:tabs>
          <w:tab w:val="left" w:pos="651"/>
        </w:tabs>
        <w:ind w:left="0" w:firstLine="0"/>
        <w:jc w:val="both"/>
        <w:rPr>
          <w:noProof/>
          <w:sz w:val="24"/>
        </w:rPr>
      </w:pPr>
      <w:r>
        <w:rPr>
          <w:sz w:val="24"/>
        </w:rPr>
        <w:t xml:space="preserve">5. </w:t>
      </w:r>
      <w:r>
        <w:rPr>
          <w:i/>
          <w:iCs/>
          <w:sz w:val="24"/>
        </w:rPr>
        <w:t>Korkein hallinto-oikeus</w:t>
      </w:r>
      <w:r>
        <w:rPr>
          <w:sz w:val="24"/>
        </w:rPr>
        <w:t xml:space="preserve"> [Somijas Augstākajai administratīvajai tiesai] ir jānoskaidro, vai Konkurences un patērētāju tiesību aizsardzības iestāde ir iesniegusi </w:t>
      </w:r>
      <w:r>
        <w:rPr>
          <w:i/>
          <w:iCs/>
          <w:sz w:val="24"/>
        </w:rPr>
        <w:t>markkinaoikeus</w:t>
      </w:r>
      <w:r>
        <w:rPr>
          <w:sz w:val="24"/>
        </w:rPr>
        <w:t xml:space="preserve"> [Tirdzniecības tiesai] priekšlikumu piemērot naudas sodu noteiktajos termiņos. Lai izšķirtu šo lietu, būtiski noteikt, cik ilgi ir notikusi piedāvājumu saskaņošana un cenu nelikumīga noteikšana saistībā ar līnijas Keminmā–Petejeskoski būvdarbu līgumu.</w:t>
      </w:r>
    </w:p>
    <w:p w14:paraId="0D982820" w14:textId="77777777" w:rsidR="007120AC" w:rsidRPr="00FD4805" w:rsidRDefault="007120AC" w:rsidP="00FD4805">
      <w:pPr>
        <w:jc w:val="both"/>
        <w:rPr>
          <w:rFonts w:ascii="Times New Roman" w:eastAsia="Times New Roman" w:hAnsi="Times New Roman" w:cs="Times New Roman"/>
          <w:noProof/>
          <w:sz w:val="24"/>
          <w:szCs w:val="20"/>
        </w:rPr>
      </w:pPr>
    </w:p>
    <w:p w14:paraId="2148163D" w14:textId="77777777" w:rsidR="007120AC" w:rsidRPr="00FD4805" w:rsidRDefault="00FD4805" w:rsidP="00FD4805">
      <w:pPr>
        <w:pStyle w:val="BodyText"/>
        <w:tabs>
          <w:tab w:val="left" w:pos="651"/>
        </w:tabs>
        <w:ind w:left="0" w:firstLine="0"/>
        <w:jc w:val="both"/>
        <w:rPr>
          <w:noProof/>
          <w:sz w:val="24"/>
        </w:rPr>
      </w:pPr>
      <w:r>
        <w:rPr>
          <w:sz w:val="24"/>
        </w:rPr>
        <w:t xml:space="preserve">6. Šajos apstākļos </w:t>
      </w:r>
      <w:r>
        <w:rPr>
          <w:i/>
          <w:iCs/>
          <w:sz w:val="24"/>
        </w:rPr>
        <w:t>korkein hallinto-oikeus</w:t>
      </w:r>
      <w:r>
        <w:rPr>
          <w:sz w:val="24"/>
        </w:rPr>
        <w:t xml:space="preserve"> (Augstākā administratīvā tiesa) ir iesniegusi Tiesai šādus prejudiciālos jautājumus:</w:t>
      </w:r>
    </w:p>
    <w:p w14:paraId="6589E7FE" w14:textId="77777777" w:rsidR="007120AC" w:rsidRPr="00FD4805" w:rsidRDefault="007120AC" w:rsidP="00FD4805">
      <w:pPr>
        <w:jc w:val="both"/>
        <w:rPr>
          <w:rFonts w:ascii="Times New Roman" w:eastAsia="Times New Roman" w:hAnsi="Times New Roman" w:cs="Times New Roman"/>
          <w:noProof/>
          <w:sz w:val="24"/>
          <w:szCs w:val="21"/>
        </w:rPr>
      </w:pPr>
    </w:p>
    <w:p w14:paraId="7695E033" w14:textId="77777777" w:rsidR="007120AC" w:rsidRPr="00FD4805" w:rsidRDefault="00FD4805" w:rsidP="00FD4805">
      <w:pPr>
        <w:tabs>
          <w:tab w:val="left" w:pos="1786"/>
        </w:tabs>
        <w:ind w:left="426"/>
        <w:jc w:val="both"/>
        <w:rPr>
          <w:rFonts w:ascii="Times New Roman" w:eastAsia="Times New Roman" w:hAnsi="Times New Roman" w:cs="Times New Roman"/>
          <w:i/>
          <w:noProof/>
          <w:sz w:val="24"/>
          <w:szCs w:val="24"/>
        </w:rPr>
      </w:pPr>
      <w:r>
        <w:rPr>
          <w:rFonts w:ascii="Times New Roman" w:hAnsi="Times New Roman"/>
          <w:i/>
          <w:sz w:val="24"/>
          <w:szCs w:val="24"/>
        </w:rPr>
        <w:t>1. Vai LESD 101. pantā ietverto konkurences režīmu var interpretēt tādējādi, ka situācijā, kurā aizliegtas vienošanās dalībnieks ar tiesību subjektu, kas nav aizliegtas vienošanās dalībnieks, ir noslēdzis būvdarbu līgumu, kurš atbilst attiecīgās aizliegtās vienošanās norunām, konkurences pārkāpums tā radīto ekonomisko seku dēļ turpinās tikmēr, kamēr tiek pildītas no līguma izrietošās līgumsaistības vai kamēr līgumpartneriem tiek veikti maksājumi par darbu izpildi, t. i., līdz brīdim, kad tiek veikts pēdējais maksājums par darbu izpildi vai vismaz līdz brīdim, kad attiecīgie darbi tiek pabeigti;</w:t>
      </w:r>
    </w:p>
    <w:p w14:paraId="6EC6F810"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6227819C" w14:textId="77777777" w:rsidR="007120AC" w:rsidRPr="00FD4805" w:rsidRDefault="007120AC" w:rsidP="00FD4805">
      <w:pPr>
        <w:ind w:left="426"/>
        <w:jc w:val="both"/>
        <w:rPr>
          <w:rFonts w:ascii="Times New Roman" w:eastAsia="Times New Roman" w:hAnsi="Times New Roman" w:cs="Times New Roman"/>
          <w:i/>
          <w:noProof/>
          <w:sz w:val="24"/>
          <w:szCs w:val="24"/>
        </w:rPr>
      </w:pPr>
      <w:r>
        <w:rPr>
          <w:rFonts w:ascii="Times New Roman" w:hAnsi="Times New Roman"/>
          <w:i/>
          <w:sz w:val="24"/>
          <w:szCs w:val="24"/>
        </w:rPr>
        <w:t>vai arī ir jāuzskata, ka konkurences pārkāpums turpinās tikai līdz brīdim, kad pārkāpumā vainojamais uzņēmums ir iesniedzis piedāvājumu par attiecīgo darbu veikšanu vai arī ir noslēdzis līgumu par darbu izpildi?</w:t>
      </w:r>
    </w:p>
    <w:p w14:paraId="20A42AFF" w14:textId="77777777" w:rsidR="007120AC" w:rsidRPr="00FD4805" w:rsidRDefault="007120AC" w:rsidP="00FD4805">
      <w:pPr>
        <w:jc w:val="both"/>
        <w:rPr>
          <w:rFonts w:ascii="Times New Roman" w:eastAsia="Times New Roman" w:hAnsi="Times New Roman" w:cs="Times New Roman"/>
          <w:i/>
          <w:noProof/>
          <w:sz w:val="24"/>
          <w:szCs w:val="24"/>
        </w:rPr>
      </w:pPr>
    </w:p>
    <w:p w14:paraId="55122CA3" w14:textId="77777777" w:rsidR="007120AC" w:rsidRPr="00FD4805" w:rsidRDefault="007120AC" w:rsidP="00FD4805">
      <w:pPr>
        <w:tabs>
          <w:tab w:val="left" w:pos="1357"/>
        </w:tabs>
        <w:jc w:val="both"/>
        <w:rPr>
          <w:rFonts w:ascii="Times New Roman" w:hAnsi="Times New Roman"/>
          <w:noProof/>
          <w:sz w:val="24"/>
        </w:rPr>
      </w:pPr>
      <w:r>
        <w:rPr>
          <w:rFonts w:ascii="Times New Roman" w:hAnsi="Times New Roman"/>
          <w:sz w:val="24"/>
        </w:rPr>
        <w:t>2. ATTIECĪGĀS TIESĪBU NORMAS</w:t>
      </w:r>
    </w:p>
    <w:p w14:paraId="3547454D" w14:textId="77777777" w:rsidR="007120AC" w:rsidRPr="00FD4805" w:rsidRDefault="007120AC" w:rsidP="00FD4805">
      <w:pPr>
        <w:jc w:val="both"/>
        <w:rPr>
          <w:rFonts w:ascii="Times New Roman" w:eastAsia="Times New Roman" w:hAnsi="Times New Roman" w:cs="Times New Roman"/>
          <w:noProof/>
          <w:sz w:val="24"/>
          <w:szCs w:val="31"/>
        </w:rPr>
      </w:pPr>
    </w:p>
    <w:p w14:paraId="0A3A7DE2" w14:textId="77777777" w:rsidR="007120AC" w:rsidRPr="00FD4805" w:rsidRDefault="007120AC" w:rsidP="00FD4805">
      <w:pPr>
        <w:jc w:val="both"/>
        <w:rPr>
          <w:rFonts w:ascii="Times New Roman" w:eastAsia="Times New Roman" w:hAnsi="Times New Roman" w:cs="Times New Roman"/>
          <w:i/>
          <w:noProof/>
          <w:sz w:val="24"/>
          <w:szCs w:val="24"/>
        </w:rPr>
      </w:pPr>
      <w:r>
        <w:rPr>
          <w:rFonts w:ascii="Times New Roman" w:hAnsi="Times New Roman"/>
          <w:i/>
          <w:sz w:val="24"/>
          <w:szCs w:val="24"/>
        </w:rPr>
        <w:t>2.1. Savienības tiesības</w:t>
      </w:r>
    </w:p>
    <w:p w14:paraId="00FBF197" w14:textId="77777777" w:rsidR="007120AC" w:rsidRPr="00FD4805" w:rsidRDefault="007120AC" w:rsidP="00FD4805">
      <w:pPr>
        <w:jc w:val="both"/>
        <w:rPr>
          <w:rFonts w:ascii="Times New Roman" w:eastAsia="Times New Roman" w:hAnsi="Times New Roman" w:cs="Times New Roman"/>
          <w:i/>
          <w:noProof/>
          <w:sz w:val="24"/>
        </w:rPr>
      </w:pPr>
    </w:p>
    <w:p w14:paraId="5C6FE0F5" w14:textId="77777777" w:rsidR="007120AC" w:rsidRPr="00FD4805" w:rsidRDefault="00FD4805" w:rsidP="00FD4805">
      <w:pPr>
        <w:tabs>
          <w:tab w:val="left" w:pos="651"/>
        </w:tabs>
        <w:jc w:val="both"/>
        <w:rPr>
          <w:rFonts w:ascii="Times New Roman" w:eastAsia="Times New Roman" w:hAnsi="Times New Roman" w:cs="Times New Roman"/>
          <w:noProof/>
          <w:sz w:val="24"/>
          <w:szCs w:val="24"/>
        </w:rPr>
      </w:pPr>
      <w:r>
        <w:rPr>
          <w:rFonts w:ascii="Times New Roman" w:hAnsi="Times New Roman"/>
          <w:sz w:val="24"/>
          <w:szCs w:val="24"/>
        </w:rPr>
        <w:t>7. LESD 101. panta 1. punkts (bijušais EK līguma 81. panta 1. punkts) ir formulēts šādi:</w:t>
      </w:r>
    </w:p>
    <w:p w14:paraId="4B15EC33" w14:textId="77777777" w:rsidR="007120AC" w:rsidRPr="00FD4805" w:rsidRDefault="007120AC" w:rsidP="00FD4805">
      <w:pPr>
        <w:jc w:val="both"/>
        <w:rPr>
          <w:rFonts w:ascii="Times New Roman" w:eastAsia="Times New Roman" w:hAnsi="Times New Roman" w:cs="Times New Roman"/>
          <w:noProof/>
          <w:sz w:val="24"/>
          <w:szCs w:val="20"/>
        </w:rPr>
      </w:pPr>
    </w:p>
    <w:p w14:paraId="231333A0" w14:textId="77777777" w:rsidR="007120AC" w:rsidRPr="00FD4805" w:rsidRDefault="007120AC" w:rsidP="00FD4805">
      <w:pPr>
        <w:ind w:left="426"/>
        <w:jc w:val="both"/>
        <w:rPr>
          <w:rFonts w:ascii="Times New Roman" w:eastAsia="Times New Roman" w:hAnsi="Times New Roman" w:cs="Times New Roman"/>
          <w:noProof/>
          <w:sz w:val="24"/>
          <w:szCs w:val="25"/>
        </w:rPr>
      </w:pPr>
      <w:r>
        <w:rPr>
          <w:rFonts w:ascii="Times New Roman" w:hAnsi="Times New Roman"/>
          <w:sz w:val="24"/>
          <w:szCs w:val="25"/>
        </w:rPr>
        <w:t>“</w:t>
      </w:r>
      <w:r>
        <w:rPr>
          <w:rFonts w:ascii="Times New Roman" w:hAnsi="Times New Roman"/>
          <w:i/>
          <w:iCs/>
          <w:sz w:val="24"/>
          <w:szCs w:val="25"/>
        </w:rPr>
        <w:t>1. Turpmāk norādītais ir aizliegts kā nesaderīgs ar iekšējo tirgu: visi nolīgumi uzņēmumu starpā, uzņēmumu apvienību lēmumi un saskaņotas darbības, kas var iespaidot tirdzniecību starp dalībvalstīm un kuru mērķis vai sekas ir nepieļaut, ierobežot vai izkropļot konkurenci iekšējā tirgū, un jo īpaši darbības, ar kurām:</w:t>
      </w:r>
    </w:p>
    <w:p w14:paraId="32B04576"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2F658C85" w14:textId="77777777" w:rsidR="007120AC" w:rsidRPr="00FD4805" w:rsidRDefault="00FD4805" w:rsidP="00FD4805">
      <w:pPr>
        <w:tabs>
          <w:tab w:val="left" w:pos="1486"/>
        </w:tabs>
        <w:ind w:left="426"/>
        <w:jc w:val="both"/>
        <w:rPr>
          <w:rFonts w:ascii="Times New Roman" w:eastAsia="Times New Roman" w:hAnsi="Times New Roman" w:cs="Times New Roman"/>
          <w:i/>
          <w:noProof/>
          <w:sz w:val="24"/>
          <w:szCs w:val="25"/>
        </w:rPr>
      </w:pPr>
      <w:r>
        <w:rPr>
          <w:rFonts w:ascii="Times New Roman" w:hAnsi="Times New Roman"/>
          <w:i/>
          <w:sz w:val="24"/>
          <w:szCs w:val="25"/>
        </w:rPr>
        <w:t>a) tieši vai netieši nosaka iepirkuma vai pārdošanas cenas, vai kādus citus tirdzniecības nosacījumus;</w:t>
      </w:r>
    </w:p>
    <w:p w14:paraId="65CC9D2F"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75B7103A" w14:textId="77777777" w:rsidR="007120AC" w:rsidRPr="00FD4805" w:rsidRDefault="00FD4805" w:rsidP="00FD4805">
      <w:pPr>
        <w:tabs>
          <w:tab w:val="left" w:pos="1561"/>
        </w:tabs>
        <w:ind w:left="426"/>
        <w:jc w:val="both"/>
        <w:rPr>
          <w:rFonts w:ascii="Times New Roman" w:hAnsi="Times New Roman"/>
          <w:b/>
          <w:noProof/>
          <w:sz w:val="24"/>
        </w:rPr>
      </w:pPr>
      <w:r>
        <w:rPr>
          <w:rFonts w:ascii="Times New Roman" w:hAnsi="Times New Roman"/>
          <w:i/>
          <w:iCs/>
          <w:sz w:val="24"/>
        </w:rPr>
        <w:t xml:space="preserve">b) ierobežo vai kontrolē ražošanu, tirgus, tehnikas attīstību vai investīcijas; </w:t>
      </w:r>
      <w:r>
        <w:rPr>
          <w:rFonts w:ascii="Times New Roman" w:hAnsi="Times New Roman"/>
          <w:b/>
          <w:sz w:val="24"/>
          <w:highlight w:val="lightGray"/>
        </w:rPr>
        <w:t>[oriģ. 4. lpp.]</w:t>
      </w:r>
    </w:p>
    <w:p w14:paraId="0AF68074" w14:textId="77777777" w:rsidR="007120AC" w:rsidRPr="00FD4805" w:rsidRDefault="007120AC" w:rsidP="00FD4805">
      <w:pPr>
        <w:ind w:left="426"/>
        <w:jc w:val="both"/>
        <w:rPr>
          <w:rFonts w:ascii="Times New Roman" w:hAnsi="Times New Roman"/>
          <w:b/>
          <w:noProof/>
          <w:sz w:val="24"/>
        </w:rPr>
      </w:pPr>
    </w:p>
    <w:p w14:paraId="2DAA8D87" w14:textId="77777777" w:rsidR="007120AC" w:rsidRPr="00FD4805" w:rsidRDefault="00FD4805" w:rsidP="00FD4805">
      <w:pPr>
        <w:tabs>
          <w:tab w:val="left" w:pos="1473"/>
        </w:tabs>
        <w:ind w:left="426"/>
        <w:jc w:val="both"/>
        <w:rPr>
          <w:rFonts w:ascii="Times New Roman" w:eastAsia="Times New Roman" w:hAnsi="Times New Roman" w:cs="Times New Roman"/>
          <w:i/>
          <w:noProof/>
          <w:sz w:val="24"/>
          <w:szCs w:val="25"/>
        </w:rPr>
      </w:pPr>
      <w:r>
        <w:rPr>
          <w:rFonts w:ascii="Times New Roman" w:hAnsi="Times New Roman"/>
          <w:i/>
          <w:sz w:val="24"/>
          <w:szCs w:val="25"/>
        </w:rPr>
        <w:t>c) sadala tirgus vai piegādes avotus;</w:t>
      </w:r>
    </w:p>
    <w:p w14:paraId="03042E0B"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5266FFBC" w14:textId="77777777" w:rsidR="007120AC" w:rsidRPr="00FD4805" w:rsidRDefault="00FD4805" w:rsidP="00FD4805">
      <w:pPr>
        <w:tabs>
          <w:tab w:val="left" w:pos="1491"/>
        </w:tabs>
        <w:ind w:left="426"/>
        <w:jc w:val="both"/>
        <w:rPr>
          <w:rFonts w:ascii="Times New Roman" w:eastAsia="Times New Roman" w:hAnsi="Times New Roman" w:cs="Times New Roman"/>
          <w:i/>
          <w:noProof/>
          <w:sz w:val="24"/>
          <w:szCs w:val="25"/>
        </w:rPr>
      </w:pPr>
      <w:r>
        <w:rPr>
          <w:rFonts w:ascii="Times New Roman" w:hAnsi="Times New Roman"/>
          <w:i/>
          <w:sz w:val="24"/>
          <w:szCs w:val="25"/>
        </w:rPr>
        <w:t>d) līdzvērtīgos darījumos ar dažādiem tirdzniecības partneriem piemēro atšķirīgus nosacījumus, tādējādi radot tiem neizdevīgus konkurences apstākļus;</w:t>
      </w:r>
    </w:p>
    <w:p w14:paraId="546DC1CA"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11B041D8" w14:textId="77777777" w:rsidR="007120AC" w:rsidRPr="00FD4805" w:rsidRDefault="00FD4805" w:rsidP="00FD4805">
      <w:pPr>
        <w:tabs>
          <w:tab w:val="left" w:pos="1608"/>
        </w:tabs>
        <w:ind w:left="426"/>
        <w:jc w:val="both"/>
        <w:rPr>
          <w:rFonts w:ascii="Times New Roman" w:eastAsia="Times New Roman" w:hAnsi="Times New Roman" w:cs="Times New Roman"/>
          <w:noProof/>
          <w:sz w:val="24"/>
          <w:szCs w:val="25"/>
        </w:rPr>
      </w:pPr>
      <w:r>
        <w:rPr>
          <w:rFonts w:ascii="Times New Roman" w:hAnsi="Times New Roman"/>
          <w:i/>
          <w:iCs/>
          <w:sz w:val="24"/>
          <w:szCs w:val="25"/>
        </w:rPr>
        <w:t>e) slēdzot līgumus, prasa, lai otra puse uzņemtos papildu saistības, kuras pēc savas būtības vai saskaņā ar nozares praksi nekādi nav saistītas ar attiecīgo līguma priekšmetu.</w:t>
      </w:r>
      <w:r>
        <w:rPr>
          <w:rFonts w:ascii="Times New Roman" w:hAnsi="Times New Roman"/>
          <w:sz w:val="24"/>
          <w:szCs w:val="25"/>
        </w:rPr>
        <w:t>”</w:t>
      </w:r>
    </w:p>
    <w:p w14:paraId="31DABEAE" w14:textId="77777777" w:rsidR="007120AC" w:rsidRPr="00FD4805" w:rsidRDefault="007120AC" w:rsidP="00FD4805">
      <w:pPr>
        <w:jc w:val="both"/>
        <w:rPr>
          <w:rFonts w:ascii="Times New Roman" w:eastAsia="Times New Roman" w:hAnsi="Times New Roman" w:cs="Times New Roman"/>
          <w:noProof/>
          <w:sz w:val="24"/>
          <w:szCs w:val="25"/>
        </w:rPr>
      </w:pPr>
    </w:p>
    <w:p w14:paraId="2FD1F06E" w14:textId="77777777" w:rsidR="007120AC" w:rsidRPr="00FD4805" w:rsidRDefault="00FD4805" w:rsidP="00FD4805">
      <w:pPr>
        <w:pStyle w:val="BodyText"/>
        <w:tabs>
          <w:tab w:val="left" w:pos="651"/>
        </w:tabs>
        <w:ind w:left="0" w:firstLine="0"/>
        <w:jc w:val="both"/>
        <w:rPr>
          <w:noProof/>
          <w:sz w:val="24"/>
        </w:rPr>
      </w:pPr>
      <w:r>
        <w:rPr>
          <w:sz w:val="24"/>
        </w:rPr>
        <w:t>8. Regulas Nr. 1/2003</w:t>
      </w:r>
      <w:r>
        <w:rPr>
          <w:rStyle w:val="FootnoteReference"/>
          <w:noProof/>
          <w:sz w:val="24"/>
        </w:rPr>
        <w:footnoteReference w:customMarkFollows="1" w:id="3"/>
        <w:t>2</w:t>
      </w:r>
      <w:r>
        <w:rPr>
          <w:sz w:val="24"/>
        </w:rPr>
        <w:t xml:space="preserve"> 25. pants ir formulēts šādi:</w:t>
      </w:r>
    </w:p>
    <w:p w14:paraId="24016FEC" w14:textId="77777777" w:rsidR="007120AC" w:rsidRPr="00FD4805" w:rsidRDefault="007120AC" w:rsidP="00FD4805">
      <w:pPr>
        <w:jc w:val="both"/>
        <w:rPr>
          <w:rFonts w:ascii="Times New Roman" w:hAnsi="Times New Roman"/>
          <w:noProof/>
          <w:sz w:val="24"/>
        </w:rPr>
      </w:pPr>
    </w:p>
    <w:p w14:paraId="662F80E8" w14:textId="77777777" w:rsidR="007120AC" w:rsidRPr="00FD4805" w:rsidRDefault="007120AC" w:rsidP="00FD4805">
      <w:pPr>
        <w:ind w:left="426"/>
        <w:jc w:val="both"/>
        <w:rPr>
          <w:rFonts w:ascii="Times New Roman" w:eastAsia="Times New Roman" w:hAnsi="Times New Roman" w:cs="Times New Roman"/>
          <w:noProof/>
          <w:sz w:val="24"/>
          <w:szCs w:val="25"/>
        </w:rPr>
      </w:pPr>
      <w:r>
        <w:rPr>
          <w:rFonts w:ascii="Times New Roman" w:hAnsi="Times New Roman"/>
          <w:sz w:val="24"/>
        </w:rPr>
        <w:t>“</w:t>
      </w:r>
      <w:r>
        <w:rPr>
          <w:rFonts w:ascii="Times New Roman" w:hAnsi="Times New Roman"/>
          <w:i/>
          <w:iCs/>
          <w:sz w:val="24"/>
        </w:rPr>
        <w:t>1. Uz pilnvarām, kas ar 23. un 24. pantu piešķirtas Komisijai, attiecas šādi noilguma termiņi:</w:t>
      </w:r>
    </w:p>
    <w:p w14:paraId="47712BC2"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5BA88565" w14:textId="77777777" w:rsidR="007120AC" w:rsidRPr="00FD4805" w:rsidRDefault="00FD4805" w:rsidP="00FD4805">
      <w:pPr>
        <w:tabs>
          <w:tab w:val="left" w:pos="1683"/>
        </w:tabs>
        <w:ind w:left="709"/>
        <w:jc w:val="both"/>
        <w:rPr>
          <w:rFonts w:ascii="Times New Roman" w:eastAsia="Times New Roman" w:hAnsi="Times New Roman" w:cs="Times New Roman"/>
          <w:i/>
          <w:noProof/>
          <w:sz w:val="24"/>
          <w:szCs w:val="25"/>
        </w:rPr>
      </w:pPr>
      <w:r>
        <w:rPr>
          <w:rFonts w:ascii="Times New Roman" w:hAnsi="Times New Roman"/>
          <w:i/>
          <w:sz w:val="24"/>
          <w:szCs w:val="25"/>
        </w:rPr>
        <w:t>a) trīs gadi gadījumā, kad pārkāpti noteikumi attiecībā uz informācijas pieprasīšanu vai pārbaužu veikšanu;</w:t>
      </w:r>
    </w:p>
    <w:p w14:paraId="6B125E50" w14:textId="77777777" w:rsidR="007120AC" w:rsidRPr="00FD4805" w:rsidRDefault="007120AC" w:rsidP="00FD4805">
      <w:pPr>
        <w:ind w:left="709"/>
        <w:jc w:val="both"/>
        <w:rPr>
          <w:rFonts w:ascii="Times New Roman" w:eastAsia="Times New Roman" w:hAnsi="Times New Roman" w:cs="Times New Roman"/>
          <w:i/>
          <w:noProof/>
          <w:sz w:val="24"/>
          <w:szCs w:val="20"/>
        </w:rPr>
      </w:pPr>
    </w:p>
    <w:p w14:paraId="3AB90F1C" w14:textId="77777777" w:rsidR="007120AC" w:rsidRPr="00FD4805" w:rsidRDefault="00FD4805" w:rsidP="00FD4805">
      <w:pPr>
        <w:tabs>
          <w:tab w:val="left" w:pos="1596"/>
        </w:tabs>
        <w:ind w:left="709"/>
        <w:jc w:val="both"/>
        <w:rPr>
          <w:rFonts w:ascii="Times New Roman" w:hAnsi="Times New Roman"/>
          <w:i/>
          <w:noProof/>
          <w:sz w:val="24"/>
        </w:rPr>
      </w:pPr>
      <w:r>
        <w:rPr>
          <w:rFonts w:ascii="Times New Roman" w:hAnsi="Times New Roman"/>
          <w:i/>
          <w:sz w:val="24"/>
        </w:rPr>
        <w:t>b) pieci gadi visu pārējo pārkāpumu gadījumā.</w:t>
      </w:r>
    </w:p>
    <w:p w14:paraId="68857C50"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63FEEC6A" w14:textId="77777777" w:rsidR="007120AC" w:rsidRPr="00FD4805" w:rsidRDefault="00FD4805" w:rsidP="00FD4805">
      <w:pPr>
        <w:tabs>
          <w:tab w:val="left" w:pos="1058"/>
        </w:tabs>
        <w:ind w:left="426"/>
        <w:jc w:val="both"/>
        <w:rPr>
          <w:rFonts w:ascii="Times New Roman" w:eastAsia="Times New Roman" w:hAnsi="Times New Roman" w:cs="Times New Roman"/>
          <w:i/>
          <w:noProof/>
          <w:sz w:val="24"/>
          <w:szCs w:val="25"/>
        </w:rPr>
      </w:pPr>
      <w:r>
        <w:rPr>
          <w:rFonts w:ascii="Times New Roman" w:hAnsi="Times New Roman"/>
          <w:i/>
          <w:sz w:val="24"/>
          <w:szCs w:val="25"/>
        </w:rPr>
        <w:t>2. Laiku skaita no dienas, kuras [kurā] izdarīts pārkāpums. Tomēr pārkāpumu turpināšanas vai atkārtošanas gadījumā laiku skaita no dienas, kurā pārtrauc pārkāpšanu.</w:t>
      </w:r>
    </w:p>
    <w:p w14:paraId="45C0992A"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08C0C75D" w14:textId="77777777" w:rsidR="007120AC" w:rsidRPr="00FD4805" w:rsidRDefault="00FD4805" w:rsidP="00FD4805">
      <w:pPr>
        <w:tabs>
          <w:tab w:val="left" w:pos="1071"/>
        </w:tabs>
        <w:ind w:left="426"/>
        <w:jc w:val="both"/>
        <w:rPr>
          <w:rFonts w:ascii="Times New Roman" w:eastAsia="Times New Roman" w:hAnsi="Times New Roman" w:cs="Times New Roman"/>
          <w:i/>
          <w:noProof/>
          <w:sz w:val="24"/>
          <w:szCs w:val="25"/>
        </w:rPr>
      </w:pPr>
      <w:r>
        <w:rPr>
          <w:rFonts w:ascii="Times New Roman" w:hAnsi="Times New Roman"/>
          <w:i/>
          <w:sz w:val="24"/>
          <w:szCs w:val="25"/>
        </w:rPr>
        <w:t>3. Jebkura rīcība, ko izmeklēšanā vai tiesvedībā attiecībā uz pārkāpumu veikusi Komisija vai dalībvalsts konkurences iestāde, pārtrauc noilguma termiņu soda naudu vai periodisko soda maksājumu uzlikšanai. Noilguma termiņu pārtrauc no dienas, kurā rīcība ir paziņota vismaz vienam uzņēmumam vai vienai uzņēmumu apvienībai, kas piedalījās pārkāpumā. Rīcība, kas pārtrauc termiņa skaitīšanu, jo īpaši iekļauj:</w:t>
      </w:r>
    </w:p>
    <w:p w14:paraId="66ACEBDC"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12E15627" w14:textId="77777777" w:rsidR="007120AC" w:rsidRPr="00FD4805" w:rsidRDefault="00FD4805" w:rsidP="00FD4805">
      <w:pPr>
        <w:tabs>
          <w:tab w:val="left" w:pos="1126"/>
        </w:tabs>
        <w:ind w:left="426"/>
        <w:jc w:val="both"/>
        <w:rPr>
          <w:rFonts w:ascii="Times New Roman" w:eastAsia="Times New Roman" w:hAnsi="Times New Roman" w:cs="Times New Roman"/>
          <w:i/>
          <w:noProof/>
          <w:sz w:val="24"/>
          <w:szCs w:val="25"/>
        </w:rPr>
      </w:pPr>
      <w:r>
        <w:rPr>
          <w:rFonts w:ascii="Times New Roman" w:hAnsi="Times New Roman"/>
          <w:i/>
          <w:sz w:val="24"/>
          <w:szCs w:val="25"/>
        </w:rPr>
        <w:t>a) rakstiskus informācijas pieprasījumus, ko izdarījusi Komisija vai dalībvalsts konkurences iestāde;</w:t>
      </w:r>
    </w:p>
    <w:p w14:paraId="69B2D9FA"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0D61346C" w14:textId="77777777" w:rsidR="007120AC" w:rsidRPr="00FD4805" w:rsidRDefault="00FD4805" w:rsidP="00FD4805">
      <w:pPr>
        <w:tabs>
          <w:tab w:val="left" w:pos="1048"/>
        </w:tabs>
        <w:ind w:left="426"/>
        <w:jc w:val="both"/>
        <w:rPr>
          <w:rFonts w:ascii="Times New Roman" w:eastAsia="Times New Roman" w:hAnsi="Times New Roman" w:cs="Times New Roman"/>
          <w:i/>
          <w:noProof/>
          <w:sz w:val="24"/>
          <w:szCs w:val="25"/>
        </w:rPr>
      </w:pPr>
      <w:r>
        <w:rPr>
          <w:rFonts w:ascii="Times New Roman" w:hAnsi="Times New Roman"/>
          <w:i/>
          <w:sz w:val="24"/>
          <w:szCs w:val="25"/>
        </w:rPr>
        <w:t>b) rakstiskus pārbaužu veikšanas pilnvarojumus, ko savām amatpersonām izsniegusi Komisija vai dalībvalsts konkurences iestāde;</w:t>
      </w:r>
    </w:p>
    <w:p w14:paraId="6524DC96"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522F6006" w14:textId="77777777" w:rsidR="007120AC" w:rsidRPr="00FD4805" w:rsidRDefault="00FD4805" w:rsidP="00FD4805">
      <w:pPr>
        <w:tabs>
          <w:tab w:val="left" w:pos="1023"/>
        </w:tabs>
        <w:ind w:left="426"/>
        <w:jc w:val="both"/>
        <w:rPr>
          <w:rFonts w:ascii="Times New Roman" w:eastAsia="Times New Roman" w:hAnsi="Times New Roman" w:cs="Times New Roman"/>
          <w:i/>
          <w:noProof/>
          <w:sz w:val="24"/>
          <w:szCs w:val="25"/>
        </w:rPr>
      </w:pPr>
      <w:r>
        <w:rPr>
          <w:rFonts w:ascii="Times New Roman" w:hAnsi="Times New Roman"/>
          <w:i/>
          <w:sz w:val="24"/>
          <w:szCs w:val="25"/>
        </w:rPr>
        <w:t>c) tiesas procesu uzsākšana, ko veic Komisija vai dalībvalsts konkurences iestāde;</w:t>
      </w:r>
    </w:p>
    <w:p w14:paraId="7E83B7D8"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1E30C85D" w14:textId="77777777" w:rsidR="007120AC" w:rsidRPr="00FD4805" w:rsidRDefault="00FD4805" w:rsidP="00FD4805">
      <w:pPr>
        <w:tabs>
          <w:tab w:val="left" w:pos="1091"/>
        </w:tabs>
        <w:ind w:left="426"/>
        <w:jc w:val="both"/>
        <w:rPr>
          <w:rFonts w:ascii="Times New Roman" w:eastAsia="Times New Roman" w:hAnsi="Times New Roman" w:cs="Times New Roman"/>
          <w:i/>
          <w:noProof/>
          <w:sz w:val="24"/>
          <w:szCs w:val="25"/>
        </w:rPr>
      </w:pPr>
      <w:r>
        <w:rPr>
          <w:rFonts w:ascii="Times New Roman" w:hAnsi="Times New Roman"/>
          <w:i/>
          <w:sz w:val="24"/>
          <w:szCs w:val="25"/>
        </w:rPr>
        <w:t>d) Komisijas vai dalībvalsts konkurences iestādes iebildumu paziņošanu.</w:t>
      </w:r>
    </w:p>
    <w:p w14:paraId="50836B08"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5CADE42D" w14:textId="77777777" w:rsidR="007120AC" w:rsidRPr="00FD4805" w:rsidRDefault="00FD4805" w:rsidP="00FD4805">
      <w:pPr>
        <w:tabs>
          <w:tab w:val="left" w:pos="1046"/>
        </w:tabs>
        <w:ind w:left="426"/>
        <w:jc w:val="both"/>
        <w:rPr>
          <w:rFonts w:ascii="Times New Roman" w:eastAsia="Times New Roman" w:hAnsi="Times New Roman" w:cs="Times New Roman"/>
          <w:i/>
          <w:noProof/>
          <w:sz w:val="24"/>
          <w:szCs w:val="25"/>
        </w:rPr>
      </w:pPr>
      <w:r>
        <w:rPr>
          <w:rFonts w:ascii="Times New Roman" w:hAnsi="Times New Roman"/>
          <w:i/>
          <w:sz w:val="24"/>
          <w:szCs w:val="25"/>
        </w:rPr>
        <w:t>4. Noilguma termiņa pārtraukšana attiecas uz visiem uzņēmumiem vai uzņēmumu apvienībām, kas piedalījās pārkāpumā.</w:t>
      </w:r>
    </w:p>
    <w:p w14:paraId="16177D20" w14:textId="77777777" w:rsidR="007120AC" w:rsidRPr="00FD4805" w:rsidRDefault="007120AC" w:rsidP="00FD4805">
      <w:pPr>
        <w:ind w:left="426"/>
        <w:jc w:val="both"/>
        <w:rPr>
          <w:rFonts w:ascii="Times New Roman" w:eastAsia="Times New Roman" w:hAnsi="Times New Roman" w:cs="Times New Roman"/>
          <w:i/>
          <w:noProof/>
          <w:sz w:val="24"/>
          <w:szCs w:val="20"/>
        </w:rPr>
      </w:pPr>
    </w:p>
    <w:p w14:paraId="1E27E1E2" w14:textId="77777777" w:rsidR="007120AC" w:rsidRPr="00FD4805" w:rsidRDefault="00FD4805" w:rsidP="00FD4805">
      <w:pPr>
        <w:tabs>
          <w:tab w:val="left" w:pos="1121"/>
        </w:tabs>
        <w:ind w:left="426"/>
        <w:jc w:val="both"/>
        <w:rPr>
          <w:rFonts w:ascii="Times New Roman" w:hAnsi="Times New Roman"/>
          <w:i/>
          <w:noProof/>
          <w:sz w:val="24"/>
        </w:rPr>
      </w:pPr>
      <w:r>
        <w:rPr>
          <w:rFonts w:ascii="Times New Roman" w:hAnsi="Times New Roman"/>
          <w:i/>
          <w:sz w:val="24"/>
        </w:rPr>
        <w:t xml:space="preserve">5. Pēc katra pārtraukuma noilgums sākas no jauna. </w:t>
      </w:r>
      <w:r>
        <w:rPr>
          <w:rFonts w:ascii="Times New Roman" w:hAnsi="Times New Roman"/>
          <w:i/>
          <w:iCs/>
          <w:sz w:val="24"/>
        </w:rPr>
        <w:t>Tomēr vēlākais, kad iestājas noilgums, ir diena, kurā beidzas termiņš, kas ir divreiz ilgāks par noilguma termiņu, ja Komisija nav uzlikusi soda naudu vai</w:t>
      </w:r>
      <w:r>
        <w:rPr>
          <w:rFonts w:ascii="Times New Roman" w:hAnsi="Times New Roman"/>
          <w:sz w:val="24"/>
        </w:rPr>
        <w:t xml:space="preserve"> </w:t>
      </w:r>
      <w:r>
        <w:rPr>
          <w:rFonts w:ascii="Times New Roman" w:hAnsi="Times New Roman"/>
          <w:b/>
          <w:sz w:val="24"/>
          <w:highlight w:val="lightGray"/>
        </w:rPr>
        <w:t>[oriģ</w:t>
      </w:r>
      <w:r>
        <w:rPr>
          <w:rFonts w:ascii="Times New Roman" w:hAnsi="Times New Roman"/>
          <w:b/>
          <w:i/>
          <w:sz w:val="24"/>
          <w:highlight w:val="lightGray"/>
        </w:rPr>
        <w:t xml:space="preserve">. </w:t>
      </w:r>
      <w:r>
        <w:rPr>
          <w:rFonts w:ascii="Times New Roman" w:hAnsi="Times New Roman"/>
          <w:b/>
          <w:sz w:val="24"/>
          <w:highlight w:val="lightGray"/>
        </w:rPr>
        <w:t xml:space="preserve">5. lpp.] </w:t>
      </w:r>
      <w:r>
        <w:rPr>
          <w:rFonts w:ascii="Times New Roman" w:hAnsi="Times New Roman"/>
          <w:i/>
          <w:iCs/>
          <w:sz w:val="24"/>
        </w:rPr>
        <w:t>periodisko soda maksājumu</w:t>
      </w:r>
      <w:r>
        <w:rPr>
          <w:rFonts w:ascii="Times New Roman" w:hAnsi="Times New Roman"/>
          <w:sz w:val="24"/>
        </w:rPr>
        <w:t>.</w:t>
      </w:r>
      <w:r>
        <w:rPr>
          <w:rFonts w:ascii="Times New Roman" w:hAnsi="Times New Roman"/>
          <w:i/>
          <w:sz w:val="24"/>
        </w:rPr>
        <w:t xml:space="preserve"> Šo termiņu pagarina par laiku, uz kuru noilguma termiņš ir pārtraukts atbilstoši 6. punktam.</w:t>
      </w:r>
    </w:p>
    <w:p w14:paraId="7B1169D9" w14:textId="77777777" w:rsidR="007120AC" w:rsidRPr="00FD4805" w:rsidRDefault="007120AC" w:rsidP="00FD4805">
      <w:pPr>
        <w:ind w:left="426"/>
        <w:jc w:val="both"/>
        <w:rPr>
          <w:rFonts w:ascii="Times New Roman" w:hAnsi="Times New Roman"/>
          <w:i/>
          <w:noProof/>
          <w:sz w:val="24"/>
        </w:rPr>
      </w:pPr>
    </w:p>
    <w:p w14:paraId="6616A65C" w14:textId="77777777" w:rsidR="007120AC" w:rsidRPr="00FD4805" w:rsidRDefault="00FD4805" w:rsidP="00FD4805">
      <w:pPr>
        <w:tabs>
          <w:tab w:val="left" w:pos="1071"/>
        </w:tabs>
        <w:ind w:left="426"/>
        <w:jc w:val="both"/>
        <w:rPr>
          <w:rFonts w:ascii="Times New Roman" w:eastAsia="Times New Roman" w:hAnsi="Times New Roman" w:cs="Times New Roman"/>
          <w:noProof/>
          <w:sz w:val="24"/>
          <w:szCs w:val="24"/>
        </w:rPr>
      </w:pPr>
      <w:r>
        <w:rPr>
          <w:rFonts w:ascii="Times New Roman" w:hAnsi="Times New Roman"/>
          <w:i/>
          <w:iCs/>
          <w:sz w:val="24"/>
        </w:rPr>
        <w:t>6. Noilguma termiņu soda naudu vai periodisko soda maksājumu uzlikšanai pārtrauc uz laiku, kamēr Komisijas lēmumu izskata Eiropas Kopienu Tiesas procesā.</w:t>
      </w:r>
      <w:r>
        <w:rPr>
          <w:rFonts w:ascii="Times New Roman" w:hAnsi="Times New Roman"/>
          <w:sz w:val="24"/>
        </w:rPr>
        <w:t>”</w:t>
      </w:r>
    </w:p>
    <w:p w14:paraId="0DF9136E" w14:textId="77777777" w:rsidR="007120AC" w:rsidRPr="00FD4805" w:rsidRDefault="007120AC" w:rsidP="00FD4805">
      <w:pPr>
        <w:jc w:val="both"/>
        <w:rPr>
          <w:rFonts w:ascii="Times New Roman" w:eastAsia="Times New Roman" w:hAnsi="Times New Roman" w:cs="Times New Roman"/>
          <w:noProof/>
          <w:sz w:val="24"/>
          <w:szCs w:val="24"/>
        </w:rPr>
      </w:pPr>
    </w:p>
    <w:p w14:paraId="276B2E0A" w14:textId="77777777" w:rsidR="007120AC" w:rsidRPr="00FD4805" w:rsidRDefault="007120AC" w:rsidP="00FD4805">
      <w:pPr>
        <w:jc w:val="both"/>
        <w:rPr>
          <w:rFonts w:ascii="Times New Roman" w:hAnsi="Times New Roman"/>
          <w:b/>
          <w:i/>
          <w:noProof/>
          <w:sz w:val="24"/>
        </w:rPr>
      </w:pPr>
      <w:r>
        <w:rPr>
          <w:rFonts w:ascii="Times New Roman" w:hAnsi="Times New Roman"/>
          <w:b/>
          <w:i/>
          <w:sz w:val="24"/>
        </w:rPr>
        <w:t>2.2. Valsts tiesību akti</w:t>
      </w:r>
    </w:p>
    <w:p w14:paraId="55D20F9F" w14:textId="77777777" w:rsidR="007120AC" w:rsidRPr="00FD4805" w:rsidRDefault="007120AC" w:rsidP="00FD4805">
      <w:pPr>
        <w:jc w:val="both"/>
        <w:rPr>
          <w:rFonts w:ascii="Times New Roman" w:eastAsia="Times New Roman" w:hAnsi="Times New Roman" w:cs="Times New Roman"/>
          <w:b/>
          <w:bCs/>
          <w:i/>
          <w:noProof/>
          <w:sz w:val="24"/>
          <w:szCs w:val="20"/>
        </w:rPr>
      </w:pPr>
    </w:p>
    <w:p w14:paraId="76AE265E" w14:textId="77777777" w:rsidR="007120AC" w:rsidRPr="00FD4805" w:rsidRDefault="00B21483" w:rsidP="00B21483">
      <w:pPr>
        <w:pStyle w:val="BodyText"/>
        <w:tabs>
          <w:tab w:val="left" w:pos="651"/>
        </w:tabs>
        <w:ind w:left="0" w:firstLine="0"/>
        <w:jc w:val="both"/>
        <w:rPr>
          <w:noProof/>
          <w:sz w:val="24"/>
        </w:rPr>
      </w:pPr>
      <w:r>
        <w:rPr>
          <w:sz w:val="24"/>
        </w:rPr>
        <w:t xml:space="preserve">9. </w:t>
      </w:r>
      <w:r>
        <w:rPr>
          <w:i/>
          <w:iCs/>
          <w:sz w:val="24"/>
        </w:rPr>
        <w:t>Kilpailunrajoituslaki</w:t>
      </w:r>
      <w:r>
        <w:rPr>
          <w:sz w:val="24"/>
        </w:rPr>
        <w:t xml:space="preserve"> (Likums par konkurences ierobežojumu novēršanu) 1.a pants ir formulēts šādi:</w:t>
      </w:r>
    </w:p>
    <w:p w14:paraId="1202DBAA" w14:textId="77777777" w:rsidR="007120AC" w:rsidRPr="00FD4805" w:rsidRDefault="007120AC" w:rsidP="00FD4805">
      <w:pPr>
        <w:jc w:val="both"/>
        <w:rPr>
          <w:rFonts w:ascii="Times New Roman" w:eastAsia="Times New Roman" w:hAnsi="Times New Roman" w:cs="Times New Roman"/>
          <w:noProof/>
          <w:sz w:val="24"/>
          <w:szCs w:val="20"/>
        </w:rPr>
      </w:pPr>
    </w:p>
    <w:p w14:paraId="12B1B172" w14:textId="77777777" w:rsidR="007120AC" w:rsidRPr="00FD4805" w:rsidRDefault="007120AC" w:rsidP="00FD4805">
      <w:pPr>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Eiropas Kopienas (EK) dibināšanas līguma 81. un 82. panta noteikumus piemēro, ja konkurences ierobežojumi, iespējams, ietekmē tirdzniecību starp dalībvalstīm.</w:t>
      </w:r>
      <w:r>
        <w:rPr>
          <w:rFonts w:ascii="Times New Roman" w:hAnsi="Times New Roman"/>
          <w:sz w:val="24"/>
        </w:rPr>
        <w:t>”</w:t>
      </w:r>
    </w:p>
    <w:p w14:paraId="45F12E17" w14:textId="77777777" w:rsidR="007120AC" w:rsidRPr="00FD4805" w:rsidRDefault="007120AC" w:rsidP="00FD4805">
      <w:pPr>
        <w:jc w:val="both"/>
        <w:rPr>
          <w:rFonts w:ascii="Times New Roman" w:eastAsia="Times New Roman" w:hAnsi="Times New Roman" w:cs="Times New Roman"/>
          <w:noProof/>
          <w:sz w:val="24"/>
          <w:szCs w:val="24"/>
        </w:rPr>
      </w:pPr>
    </w:p>
    <w:p w14:paraId="508213BA" w14:textId="77777777" w:rsidR="007120AC" w:rsidRPr="00FD4805" w:rsidRDefault="00B21483" w:rsidP="00B21483">
      <w:pPr>
        <w:tabs>
          <w:tab w:val="left" w:pos="651"/>
        </w:tabs>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i/>
          <w:iCs/>
          <w:sz w:val="24"/>
          <w:szCs w:val="24"/>
        </w:rPr>
        <w:t>Kilpailunrajoituslaki</w:t>
      </w:r>
      <w:r>
        <w:rPr>
          <w:rFonts w:ascii="Times New Roman" w:hAnsi="Times New Roman"/>
          <w:sz w:val="24"/>
          <w:szCs w:val="24"/>
        </w:rPr>
        <w:t xml:space="preserve"> (Likums par konkurences ierobežojumu novēršanu) 4. pants ir formulēts šādi:</w:t>
      </w:r>
    </w:p>
    <w:p w14:paraId="293BAB93" w14:textId="77777777" w:rsidR="007120AC" w:rsidRPr="00FD4805" w:rsidRDefault="007120AC" w:rsidP="00FD4805">
      <w:pPr>
        <w:jc w:val="both"/>
        <w:rPr>
          <w:rFonts w:ascii="Times New Roman" w:eastAsia="Times New Roman" w:hAnsi="Times New Roman" w:cs="Times New Roman"/>
          <w:noProof/>
          <w:sz w:val="24"/>
          <w:szCs w:val="20"/>
        </w:rPr>
      </w:pPr>
    </w:p>
    <w:p w14:paraId="7131FA8B" w14:textId="77777777" w:rsidR="007120AC" w:rsidRPr="00FD4805" w:rsidRDefault="007120AC" w:rsidP="00FD4805">
      <w:pPr>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Ir aizliegtas visas tādas speciālistu savstarpējās vienošanās, speciālistu asociāciju lēmumi un saskaņotas speciālistu darbības, kuru mērķis vai sekas ir ievērojama konkurences kavēšana, ierobežošana vai izkropļošana.</w:t>
      </w:r>
    </w:p>
    <w:p w14:paraId="2565A607" w14:textId="77777777" w:rsidR="007120AC" w:rsidRPr="00FD4805" w:rsidRDefault="007120AC" w:rsidP="00FD4805">
      <w:pPr>
        <w:jc w:val="both"/>
        <w:rPr>
          <w:rFonts w:ascii="Times New Roman" w:eastAsia="Times New Roman" w:hAnsi="Times New Roman" w:cs="Times New Roman"/>
          <w:noProof/>
          <w:sz w:val="24"/>
          <w:szCs w:val="20"/>
        </w:rPr>
      </w:pPr>
    </w:p>
    <w:p w14:paraId="479F1403" w14:textId="77777777" w:rsidR="007120AC" w:rsidRPr="00FD4805" w:rsidRDefault="007120AC" w:rsidP="00FD4805">
      <w:pPr>
        <w:jc w:val="both"/>
        <w:rPr>
          <w:rFonts w:ascii="Times New Roman" w:hAnsi="Times New Roman"/>
          <w:i/>
          <w:noProof/>
          <w:sz w:val="24"/>
        </w:rPr>
      </w:pPr>
      <w:r>
        <w:rPr>
          <w:rFonts w:ascii="Times New Roman" w:hAnsi="Times New Roman"/>
          <w:i/>
          <w:sz w:val="24"/>
        </w:rPr>
        <w:t>Ir aizliegtas tādas vienošanās, lēmumi un saskaņotas darbības, ar kurām:</w:t>
      </w:r>
    </w:p>
    <w:p w14:paraId="3CCF9D25" w14:textId="77777777" w:rsidR="007120AC" w:rsidRPr="00FD4805" w:rsidRDefault="007120AC" w:rsidP="00FD4805">
      <w:pPr>
        <w:jc w:val="both"/>
        <w:rPr>
          <w:rFonts w:ascii="Times New Roman" w:eastAsia="Times New Roman" w:hAnsi="Times New Roman" w:cs="Times New Roman"/>
          <w:i/>
          <w:noProof/>
          <w:sz w:val="24"/>
          <w:szCs w:val="20"/>
        </w:rPr>
      </w:pPr>
    </w:p>
    <w:p w14:paraId="03CC570F" w14:textId="77777777" w:rsidR="007120AC" w:rsidRPr="00FD4805" w:rsidRDefault="00B21483" w:rsidP="00B21483">
      <w:pPr>
        <w:tabs>
          <w:tab w:val="left" w:pos="961"/>
        </w:tabs>
        <w:jc w:val="both"/>
        <w:rPr>
          <w:rFonts w:ascii="Times New Roman" w:eastAsia="Times New Roman" w:hAnsi="Times New Roman" w:cs="Times New Roman"/>
          <w:i/>
          <w:noProof/>
          <w:sz w:val="24"/>
          <w:szCs w:val="25"/>
        </w:rPr>
      </w:pPr>
      <w:r>
        <w:rPr>
          <w:rFonts w:ascii="Times New Roman" w:hAnsi="Times New Roman"/>
          <w:i/>
          <w:sz w:val="24"/>
          <w:szCs w:val="25"/>
        </w:rPr>
        <w:t>1) tieši vai netieši nosaka iepirkuma vai pārdošanas cenas vai kādus citus tirdzniecības nosacījumus;</w:t>
      </w:r>
    </w:p>
    <w:p w14:paraId="513479EB" w14:textId="77777777" w:rsidR="007120AC" w:rsidRPr="00FD4805" w:rsidRDefault="007120AC" w:rsidP="00FD4805">
      <w:pPr>
        <w:jc w:val="both"/>
        <w:rPr>
          <w:rFonts w:ascii="Times New Roman" w:eastAsia="Times New Roman" w:hAnsi="Times New Roman" w:cs="Times New Roman"/>
          <w:i/>
          <w:noProof/>
          <w:sz w:val="24"/>
          <w:szCs w:val="20"/>
        </w:rPr>
      </w:pPr>
    </w:p>
    <w:p w14:paraId="6536114C" w14:textId="77777777" w:rsidR="007120AC" w:rsidRPr="00FD4805" w:rsidRDefault="00B21483" w:rsidP="00B21483">
      <w:pPr>
        <w:tabs>
          <w:tab w:val="left" w:pos="938"/>
        </w:tabs>
        <w:jc w:val="both"/>
        <w:rPr>
          <w:rFonts w:ascii="Times New Roman" w:hAnsi="Times New Roman"/>
          <w:i/>
          <w:noProof/>
          <w:sz w:val="24"/>
        </w:rPr>
      </w:pPr>
      <w:r>
        <w:rPr>
          <w:rFonts w:ascii="Times New Roman" w:hAnsi="Times New Roman"/>
          <w:i/>
          <w:sz w:val="24"/>
        </w:rPr>
        <w:t>2) ierobežo vai kontrolē ražošanu, tirgus, tehnikas attīstību vai investīcijas;</w:t>
      </w:r>
    </w:p>
    <w:p w14:paraId="66428426" w14:textId="77777777" w:rsidR="007120AC" w:rsidRPr="00FD4805" w:rsidRDefault="007120AC" w:rsidP="00FD4805">
      <w:pPr>
        <w:jc w:val="both"/>
        <w:rPr>
          <w:rFonts w:ascii="Times New Roman" w:eastAsia="Times New Roman" w:hAnsi="Times New Roman" w:cs="Times New Roman"/>
          <w:i/>
          <w:noProof/>
          <w:sz w:val="24"/>
          <w:szCs w:val="20"/>
        </w:rPr>
      </w:pPr>
    </w:p>
    <w:p w14:paraId="20D48318" w14:textId="77777777" w:rsidR="007120AC" w:rsidRPr="00FD4805" w:rsidRDefault="00B21483" w:rsidP="00B21483">
      <w:pPr>
        <w:tabs>
          <w:tab w:val="left" w:pos="918"/>
        </w:tabs>
        <w:jc w:val="both"/>
        <w:rPr>
          <w:rFonts w:ascii="Times New Roman" w:eastAsia="Times New Roman" w:hAnsi="Times New Roman" w:cs="Times New Roman"/>
          <w:i/>
          <w:noProof/>
          <w:sz w:val="24"/>
          <w:szCs w:val="25"/>
        </w:rPr>
      </w:pPr>
      <w:r>
        <w:rPr>
          <w:rFonts w:ascii="Times New Roman" w:hAnsi="Times New Roman"/>
          <w:i/>
          <w:sz w:val="24"/>
          <w:szCs w:val="25"/>
        </w:rPr>
        <w:t>3) sadala tirgus vai piegādes avotus;</w:t>
      </w:r>
    </w:p>
    <w:p w14:paraId="13B5E8AB" w14:textId="77777777" w:rsidR="007120AC" w:rsidRPr="00FD4805" w:rsidRDefault="007120AC" w:rsidP="00FD4805">
      <w:pPr>
        <w:jc w:val="both"/>
        <w:rPr>
          <w:rFonts w:ascii="Times New Roman" w:eastAsia="Times New Roman" w:hAnsi="Times New Roman" w:cs="Times New Roman"/>
          <w:i/>
          <w:noProof/>
          <w:sz w:val="24"/>
          <w:szCs w:val="20"/>
        </w:rPr>
      </w:pPr>
    </w:p>
    <w:p w14:paraId="44AB9D65" w14:textId="77777777" w:rsidR="007120AC" w:rsidRPr="00FD4805" w:rsidRDefault="00B21483" w:rsidP="00B21483">
      <w:pPr>
        <w:tabs>
          <w:tab w:val="left" w:pos="951"/>
        </w:tabs>
        <w:jc w:val="both"/>
        <w:rPr>
          <w:rFonts w:ascii="Times New Roman" w:eastAsia="Times New Roman" w:hAnsi="Times New Roman" w:cs="Times New Roman"/>
          <w:i/>
          <w:noProof/>
          <w:sz w:val="24"/>
          <w:szCs w:val="25"/>
        </w:rPr>
      </w:pPr>
      <w:r>
        <w:rPr>
          <w:rFonts w:ascii="Times New Roman" w:hAnsi="Times New Roman"/>
          <w:i/>
          <w:sz w:val="24"/>
          <w:szCs w:val="25"/>
        </w:rPr>
        <w:t>4) līdzvērtīgos darījumos ar dažādiem tirdzniecības partneriem piemēro atšķirīgus nosacījumus, tādējādi radot tiem neizdevīgus konkurences apstākļus;</w:t>
      </w:r>
    </w:p>
    <w:p w14:paraId="06C20B27" w14:textId="77777777" w:rsidR="007120AC" w:rsidRPr="00FD4805" w:rsidRDefault="007120AC" w:rsidP="00FD4805">
      <w:pPr>
        <w:jc w:val="both"/>
        <w:rPr>
          <w:rFonts w:ascii="Times New Roman" w:eastAsia="Times New Roman" w:hAnsi="Times New Roman" w:cs="Times New Roman"/>
          <w:i/>
          <w:noProof/>
          <w:sz w:val="24"/>
          <w:szCs w:val="20"/>
        </w:rPr>
      </w:pPr>
    </w:p>
    <w:p w14:paraId="5D329A61" w14:textId="77777777" w:rsidR="007120AC" w:rsidRPr="00FD4805" w:rsidRDefault="00B21483" w:rsidP="00B21483">
      <w:pPr>
        <w:tabs>
          <w:tab w:val="left" w:pos="936"/>
        </w:tabs>
        <w:jc w:val="both"/>
        <w:rPr>
          <w:rFonts w:ascii="Times New Roman" w:eastAsia="Times New Roman" w:hAnsi="Times New Roman" w:cs="Times New Roman"/>
          <w:noProof/>
          <w:sz w:val="24"/>
          <w:szCs w:val="25"/>
        </w:rPr>
      </w:pPr>
      <w:r>
        <w:rPr>
          <w:rFonts w:ascii="Times New Roman" w:hAnsi="Times New Roman"/>
          <w:i/>
          <w:iCs/>
          <w:sz w:val="24"/>
          <w:szCs w:val="25"/>
        </w:rPr>
        <w:t>5) slēdzot līgumus, prasa, lai otra puse uzņemtos papildu saistības, kuras pēc savas būtības vai saskaņā ar nozares praksi nekādi nav saistītas ar attiecīgo līguma priekšmetu.</w:t>
      </w:r>
      <w:r>
        <w:rPr>
          <w:rFonts w:ascii="Times New Roman" w:hAnsi="Times New Roman"/>
          <w:sz w:val="24"/>
          <w:szCs w:val="25"/>
        </w:rPr>
        <w:t>”</w:t>
      </w:r>
    </w:p>
    <w:p w14:paraId="79595274" w14:textId="77777777" w:rsidR="007120AC" w:rsidRPr="00FD4805" w:rsidRDefault="007120AC" w:rsidP="00FD4805">
      <w:pPr>
        <w:jc w:val="both"/>
        <w:rPr>
          <w:rFonts w:ascii="Times New Roman" w:eastAsia="Times New Roman" w:hAnsi="Times New Roman" w:cs="Times New Roman"/>
          <w:noProof/>
          <w:sz w:val="24"/>
          <w:szCs w:val="25"/>
        </w:rPr>
      </w:pPr>
    </w:p>
    <w:p w14:paraId="72BD1676" w14:textId="77777777" w:rsidR="007120AC" w:rsidRPr="00FD4805" w:rsidRDefault="00B21483" w:rsidP="00B21483">
      <w:pPr>
        <w:pStyle w:val="BodyText"/>
        <w:tabs>
          <w:tab w:val="left" w:pos="651"/>
        </w:tabs>
        <w:ind w:left="0" w:firstLine="0"/>
        <w:jc w:val="both"/>
        <w:rPr>
          <w:noProof/>
          <w:sz w:val="24"/>
        </w:rPr>
      </w:pPr>
      <w:r>
        <w:rPr>
          <w:sz w:val="24"/>
        </w:rPr>
        <w:t xml:space="preserve">11. </w:t>
      </w:r>
      <w:r>
        <w:rPr>
          <w:i/>
          <w:iCs/>
          <w:sz w:val="24"/>
        </w:rPr>
        <w:t>Kilpailunrajoituslaki</w:t>
      </w:r>
      <w:r>
        <w:rPr>
          <w:sz w:val="24"/>
        </w:rPr>
        <w:t xml:space="preserve"> (Likums par konkurences ierobežojumu novēršanu) 22. pants ir formulēts šādi:</w:t>
      </w:r>
    </w:p>
    <w:p w14:paraId="5B13A37A" w14:textId="77777777" w:rsidR="007120AC" w:rsidRPr="00FD4805" w:rsidRDefault="007120AC" w:rsidP="00FD4805">
      <w:pPr>
        <w:jc w:val="both"/>
        <w:rPr>
          <w:rFonts w:ascii="Times New Roman" w:eastAsia="Times New Roman" w:hAnsi="Times New Roman" w:cs="Times New Roman"/>
          <w:noProof/>
          <w:sz w:val="24"/>
          <w:szCs w:val="20"/>
        </w:rPr>
      </w:pPr>
    </w:p>
    <w:p w14:paraId="1B736DD8" w14:textId="77777777" w:rsidR="007120AC" w:rsidRPr="00FD4805" w:rsidRDefault="007120AC" w:rsidP="00FD4805">
      <w:pPr>
        <w:jc w:val="both"/>
        <w:rPr>
          <w:rFonts w:ascii="Times New Roman" w:eastAsia="Times New Roman" w:hAnsi="Times New Roman" w:cs="Times New Roman"/>
          <w:b/>
          <w:bCs/>
          <w:noProof/>
          <w:sz w:val="24"/>
          <w:szCs w:val="25"/>
        </w:rPr>
      </w:pPr>
      <w:r>
        <w:rPr>
          <w:rFonts w:ascii="Times New Roman" w:hAnsi="Times New Roman"/>
          <w:sz w:val="24"/>
          <w:szCs w:val="25"/>
        </w:rPr>
        <w:t>“</w:t>
      </w:r>
      <w:r>
        <w:rPr>
          <w:rFonts w:ascii="Times New Roman" w:hAnsi="Times New Roman"/>
          <w:i/>
          <w:iCs/>
          <w:sz w:val="24"/>
          <w:szCs w:val="25"/>
        </w:rPr>
        <w:t>Naudas sodu nevar piemērot par pārkāpumu, kas minēts šā likuma 4. vai 6. pantā vai arī LESD 81. vai 82. pantā, ja šajā ziņā priekšlikums</w:t>
      </w:r>
      <w:r>
        <w:rPr>
          <w:rFonts w:ascii="Times New Roman" w:hAnsi="Times New Roman"/>
          <w:sz w:val="24"/>
          <w:szCs w:val="25"/>
        </w:rPr>
        <w:t xml:space="preserve"> </w:t>
      </w:r>
      <w:r>
        <w:rPr>
          <w:rFonts w:ascii="Times New Roman" w:hAnsi="Times New Roman"/>
          <w:i/>
          <w:iCs/>
          <w:sz w:val="24"/>
          <w:szCs w:val="25"/>
        </w:rPr>
        <w:t>markkinaoikeus [Tirdzniecības tiesā] netika iesniegts piecu gadu laikā no dienas, kad ir beidzies konkurences ierobežojums, vai no dienas, kurā iestāde uzzināja par šo konkurences ierobežojumu.</w:t>
      </w:r>
      <w:r>
        <w:rPr>
          <w:rFonts w:ascii="Times New Roman" w:hAnsi="Times New Roman"/>
          <w:sz w:val="24"/>
          <w:szCs w:val="25"/>
        </w:rPr>
        <w:t xml:space="preserve">” </w:t>
      </w:r>
      <w:r>
        <w:rPr>
          <w:rFonts w:ascii="Times New Roman" w:hAnsi="Times New Roman"/>
          <w:b/>
          <w:bCs/>
          <w:sz w:val="24"/>
          <w:szCs w:val="25"/>
          <w:highlight w:val="lightGray"/>
        </w:rPr>
        <w:t>[oriģ. 6. lpp.]</w:t>
      </w:r>
    </w:p>
    <w:p w14:paraId="3649A7E0" w14:textId="77777777" w:rsidR="007120AC" w:rsidRPr="00FD4805" w:rsidRDefault="007120AC" w:rsidP="00FD4805">
      <w:pPr>
        <w:jc w:val="both"/>
        <w:rPr>
          <w:rFonts w:ascii="Times New Roman" w:eastAsia="Times New Roman" w:hAnsi="Times New Roman" w:cs="Times New Roman"/>
          <w:b/>
          <w:bCs/>
          <w:noProof/>
          <w:sz w:val="24"/>
          <w:szCs w:val="25"/>
        </w:rPr>
      </w:pPr>
    </w:p>
    <w:p w14:paraId="42B9FCE3" w14:textId="77777777" w:rsidR="007120AC" w:rsidRPr="00FD4805" w:rsidRDefault="00B21483" w:rsidP="00B21483">
      <w:pPr>
        <w:tabs>
          <w:tab w:val="left" w:pos="1358"/>
        </w:tabs>
        <w:jc w:val="both"/>
        <w:rPr>
          <w:rFonts w:ascii="Times New Roman" w:hAnsi="Times New Roman"/>
          <w:b/>
          <w:noProof/>
          <w:sz w:val="24"/>
        </w:rPr>
      </w:pPr>
      <w:r>
        <w:rPr>
          <w:rFonts w:ascii="Times New Roman" w:hAnsi="Times New Roman"/>
          <w:b/>
          <w:sz w:val="24"/>
        </w:rPr>
        <w:t>3. JURIDISKĀ IZVĒRTĒŠANA</w:t>
      </w:r>
    </w:p>
    <w:p w14:paraId="7427795D" w14:textId="77777777" w:rsidR="007120AC" w:rsidRPr="00FD4805" w:rsidRDefault="007120AC" w:rsidP="00FD4805">
      <w:pPr>
        <w:jc w:val="both"/>
        <w:rPr>
          <w:rFonts w:ascii="Times New Roman" w:eastAsia="Times New Roman" w:hAnsi="Times New Roman" w:cs="Times New Roman"/>
          <w:b/>
          <w:bCs/>
          <w:noProof/>
          <w:sz w:val="24"/>
          <w:szCs w:val="20"/>
        </w:rPr>
      </w:pPr>
    </w:p>
    <w:p w14:paraId="2967CA04" w14:textId="77777777" w:rsidR="007120AC" w:rsidRPr="00FD4805" w:rsidRDefault="00B21483" w:rsidP="00B21483">
      <w:pPr>
        <w:pStyle w:val="BodyText"/>
        <w:tabs>
          <w:tab w:val="left" w:pos="651"/>
        </w:tabs>
        <w:ind w:left="0" w:firstLine="0"/>
        <w:jc w:val="both"/>
        <w:rPr>
          <w:noProof/>
          <w:sz w:val="24"/>
        </w:rPr>
      </w:pPr>
      <w:r>
        <w:rPr>
          <w:sz w:val="24"/>
        </w:rPr>
        <w:t xml:space="preserve">12. </w:t>
      </w:r>
      <w:r>
        <w:rPr>
          <w:i/>
          <w:iCs/>
          <w:sz w:val="24"/>
        </w:rPr>
        <w:t>Korkein hallinto oikeus</w:t>
      </w:r>
      <w:r>
        <w:rPr>
          <w:sz w:val="24"/>
        </w:rPr>
        <w:t xml:space="preserve"> (Augstākā administratīvā tiesa) uzdeva prejudiciālo jautājumu, lai noskaidrotu, kuru brīdi var uzskatīt par brīdi, līdz kuram ildzis konkurentu saskaņotais piedāvājums, kas ir ar LESD 101. pantu aizliegts vienots pārkāpums, situācijā, kurā aizliegtās vienošanās dalībnieks ar tiesību subjektu, kas nav aizliegtās vienošanās dalībnieks, ir noslēdzis būvdarbu līgumu, kas atbilst norunātajam ar attiecīgo aizliegto vienošanos.</w:t>
      </w:r>
    </w:p>
    <w:p w14:paraId="0DBDBE38" w14:textId="77777777" w:rsidR="007120AC" w:rsidRPr="00FD4805" w:rsidRDefault="007120AC" w:rsidP="00FD4805">
      <w:pPr>
        <w:jc w:val="both"/>
        <w:rPr>
          <w:rFonts w:ascii="Times New Roman" w:eastAsia="Times New Roman" w:hAnsi="Times New Roman" w:cs="Times New Roman"/>
          <w:noProof/>
          <w:sz w:val="24"/>
          <w:szCs w:val="20"/>
        </w:rPr>
      </w:pPr>
    </w:p>
    <w:p w14:paraId="433717C0" w14:textId="77777777" w:rsidR="007120AC" w:rsidRPr="00FD4805" w:rsidRDefault="00B21483" w:rsidP="00B21483">
      <w:pPr>
        <w:pStyle w:val="BodyText"/>
        <w:tabs>
          <w:tab w:val="left" w:pos="651"/>
        </w:tabs>
        <w:ind w:left="0" w:firstLine="0"/>
        <w:jc w:val="both"/>
        <w:rPr>
          <w:noProof/>
          <w:sz w:val="24"/>
        </w:rPr>
      </w:pPr>
      <w:r>
        <w:rPr>
          <w:sz w:val="24"/>
        </w:rPr>
        <w:t>13. Somijas valdība uzskata, ka tādos apstākļos kā šeit aprakstītie konkurences pārkāpums tā radīto ekonomisko seku dēļ ilgst, kamēr tiek izpildītas būvdarbu līgumā noteiktās līgumsaistības vai kamēr līgumslēdzējām pusēm tiek veikti maksājumi, tas ir, līdz pēdējā maksājuma izpildes dienai vai vismaz līdz attiecīgo darbu pabeigšanas dienai.</w:t>
      </w:r>
    </w:p>
    <w:p w14:paraId="3396FD70" w14:textId="77777777" w:rsidR="007120AC" w:rsidRPr="00FD4805" w:rsidRDefault="007120AC" w:rsidP="00FD4805">
      <w:pPr>
        <w:jc w:val="both"/>
        <w:rPr>
          <w:rFonts w:ascii="Times New Roman" w:eastAsia="Times New Roman" w:hAnsi="Times New Roman" w:cs="Times New Roman"/>
          <w:noProof/>
          <w:sz w:val="24"/>
          <w:szCs w:val="20"/>
        </w:rPr>
      </w:pPr>
    </w:p>
    <w:p w14:paraId="42857F9D" w14:textId="77777777" w:rsidR="007120AC" w:rsidRPr="00FD4805" w:rsidRDefault="00B21483" w:rsidP="00B21483">
      <w:pPr>
        <w:pStyle w:val="BodyText"/>
        <w:tabs>
          <w:tab w:val="left" w:pos="651"/>
        </w:tabs>
        <w:ind w:left="0" w:firstLine="0"/>
        <w:jc w:val="both"/>
        <w:rPr>
          <w:noProof/>
          <w:sz w:val="24"/>
        </w:rPr>
      </w:pPr>
      <w:r>
        <w:rPr>
          <w:sz w:val="24"/>
        </w:rPr>
        <w:t>14. Somijas valdība sniedz šādus argumentus.</w:t>
      </w:r>
    </w:p>
    <w:p w14:paraId="167D8048" w14:textId="77777777" w:rsidR="007120AC" w:rsidRPr="00FD4805" w:rsidRDefault="007120AC" w:rsidP="00FD4805">
      <w:pPr>
        <w:jc w:val="both"/>
        <w:rPr>
          <w:rFonts w:ascii="Times New Roman" w:eastAsia="Times New Roman" w:hAnsi="Times New Roman" w:cs="Times New Roman"/>
          <w:noProof/>
          <w:sz w:val="24"/>
          <w:szCs w:val="20"/>
        </w:rPr>
      </w:pPr>
    </w:p>
    <w:p w14:paraId="67AF0041" w14:textId="77777777" w:rsidR="007120AC" w:rsidRPr="00FD4805" w:rsidRDefault="00B21483" w:rsidP="00B21483">
      <w:pPr>
        <w:pStyle w:val="BodyText"/>
        <w:tabs>
          <w:tab w:val="left" w:pos="651"/>
        </w:tabs>
        <w:ind w:left="0" w:firstLine="0"/>
        <w:jc w:val="both"/>
        <w:rPr>
          <w:noProof/>
          <w:sz w:val="24"/>
        </w:rPr>
      </w:pPr>
      <w:r>
        <w:rPr>
          <w:sz w:val="24"/>
          <w:u w:color="000000"/>
        </w:rPr>
        <w:t xml:space="preserve">15. </w:t>
      </w:r>
      <w:r>
        <w:rPr>
          <w:sz w:val="24"/>
          <w:u w:val="single" w:color="000000"/>
        </w:rPr>
        <w:t>Pirmkārt</w:t>
      </w:r>
      <w:r>
        <w:rPr>
          <w:sz w:val="24"/>
        </w:rPr>
        <w:t xml:space="preserve">, pamatojoties uz iepriekš minēto judikatūru, Somijas valdība uzskata, ka tādā lietā kā šī, lai noteiktu konkurences ierobežojuma ilgumu, ir jānovērtē konkurences ierobežojuma </w:t>
      </w:r>
      <w:r>
        <w:rPr>
          <w:i/>
          <w:sz w:val="24"/>
        </w:rPr>
        <w:t>ekonomiskās sekas tirgū</w:t>
      </w:r>
      <w:r>
        <w:rPr>
          <w:sz w:val="24"/>
        </w:rPr>
        <w:t>, nevis šī ierobežojuma juridiskā forma.</w:t>
      </w:r>
    </w:p>
    <w:p w14:paraId="3FA99CFF" w14:textId="77777777" w:rsidR="007120AC" w:rsidRPr="00FD4805" w:rsidRDefault="007120AC" w:rsidP="00FD4805">
      <w:pPr>
        <w:jc w:val="both"/>
        <w:rPr>
          <w:rFonts w:ascii="Times New Roman" w:eastAsia="Times New Roman" w:hAnsi="Times New Roman" w:cs="Times New Roman"/>
          <w:noProof/>
          <w:sz w:val="24"/>
          <w:szCs w:val="20"/>
        </w:rPr>
      </w:pPr>
    </w:p>
    <w:p w14:paraId="68F8C53D" w14:textId="77777777" w:rsidR="007120AC" w:rsidRPr="00FD4805" w:rsidRDefault="00B21483" w:rsidP="00B21483">
      <w:pPr>
        <w:pStyle w:val="BodyText"/>
        <w:tabs>
          <w:tab w:val="left" w:pos="651"/>
        </w:tabs>
        <w:ind w:left="0" w:firstLine="0"/>
        <w:jc w:val="both"/>
        <w:rPr>
          <w:noProof/>
          <w:sz w:val="24"/>
        </w:rPr>
      </w:pPr>
      <w:r>
        <w:rPr>
          <w:sz w:val="24"/>
        </w:rPr>
        <w:t>16. Spriedumā “EMI Records” lietā 51/75</w:t>
      </w:r>
      <w:r>
        <w:rPr>
          <w:rStyle w:val="FootnoteReference"/>
          <w:noProof/>
          <w:sz w:val="24"/>
        </w:rPr>
        <w:footnoteReference w:customMarkFollows="1" w:id="4"/>
        <w:t>3</w:t>
      </w:r>
      <w:r>
        <w:rPr>
          <w:sz w:val="24"/>
        </w:rPr>
        <w:t xml:space="preserve"> Tiesa attiecībā uz pārkāpuma ilgumu ir uzskatījusi, ka gadījumā, kad aizliegta vienošanās vairs nav spēkā, pietiek, ka šādas </w:t>
      </w:r>
      <w:r>
        <w:rPr>
          <w:i/>
          <w:sz w:val="24"/>
        </w:rPr>
        <w:t>vienošanās sekas</w:t>
      </w:r>
      <w:r>
        <w:rPr>
          <w:sz w:val="24"/>
        </w:rPr>
        <w:t xml:space="preserve"> turpinās pēc tam, kad tā formāli vairs nav spēkā.</w:t>
      </w:r>
    </w:p>
    <w:p w14:paraId="2AB3B6DD" w14:textId="77777777" w:rsidR="007120AC" w:rsidRPr="00FD4805" w:rsidRDefault="007120AC" w:rsidP="00FD4805">
      <w:pPr>
        <w:jc w:val="both"/>
        <w:rPr>
          <w:rFonts w:ascii="Times New Roman" w:eastAsia="Times New Roman" w:hAnsi="Times New Roman" w:cs="Times New Roman"/>
          <w:noProof/>
          <w:sz w:val="24"/>
          <w:szCs w:val="21"/>
        </w:rPr>
      </w:pPr>
    </w:p>
    <w:p w14:paraId="4B7AFFDF" w14:textId="77777777" w:rsidR="007120AC" w:rsidRPr="00FD4805" w:rsidRDefault="00B21483" w:rsidP="00B21483">
      <w:pPr>
        <w:pStyle w:val="BodyText"/>
        <w:tabs>
          <w:tab w:val="left" w:pos="651"/>
        </w:tabs>
        <w:ind w:left="0" w:firstLine="0"/>
        <w:jc w:val="both"/>
        <w:rPr>
          <w:noProof/>
          <w:sz w:val="24"/>
        </w:rPr>
      </w:pPr>
      <w:r>
        <w:rPr>
          <w:sz w:val="24"/>
        </w:rPr>
        <w:t>17. Turklāt spriedumā lietā C</w:t>
      </w:r>
      <w:r>
        <w:rPr>
          <w:sz w:val="24"/>
        </w:rPr>
        <w:noBreakHyphen/>
        <w:t xml:space="preserve">70/12 P ““Quinn Barlo” u. c. pret Komisiju” Tiesa ir konstatējusi, ka saskaņā ar pastāvīgo judikatūru, runājot par pārkāpumu ilgumu, ar LESD 101. pantu izveidotais konkurences režīms drīzāk attiecas uz vienošanos vai citu </w:t>
      </w:r>
      <w:r>
        <w:rPr>
          <w:b/>
          <w:bCs/>
          <w:sz w:val="24"/>
          <w:highlight w:val="lightGray"/>
        </w:rPr>
        <w:t xml:space="preserve">[oriģ. 7. lpp.] </w:t>
      </w:r>
      <w:r>
        <w:rPr>
          <w:sz w:val="24"/>
        </w:rPr>
        <w:t xml:space="preserve">salīdzināmu veidu saskaņošanas vai koordinēšanas pasākumu </w:t>
      </w:r>
      <w:r>
        <w:rPr>
          <w:i/>
          <w:iCs/>
          <w:sz w:val="24"/>
        </w:rPr>
        <w:t>ekonomiskajām sekām</w:t>
      </w:r>
      <w:r>
        <w:rPr>
          <w:sz w:val="24"/>
        </w:rPr>
        <w:t>, nevis uz to juridisko formu.</w:t>
      </w:r>
      <w:r>
        <w:rPr>
          <w:rStyle w:val="FootnoteReference"/>
          <w:noProof/>
          <w:sz w:val="24"/>
        </w:rPr>
        <w:footnoteReference w:customMarkFollows="1" w:id="5"/>
        <w:t>4</w:t>
      </w:r>
    </w:p>
    <w:p w14:paraId="48B6E1B5" w14:textId="77777777" w:rsidR="007120AC" w:rsidRPr="00FD4805" w:rsidRDefault="007120AC" w:rsidP="00FD4805">
      <w:pPr>
        <w:jc w:val="both"/>
        <w:rPr>
          <w:rFonts w:ascii="Times New Roman" w:eastAsia="Times New Roman" w:hAnsi="Times New Roman" w:cs="Times New Roman"/>
          <w:noProof/>
          <w:sz w:val="24"/>
          <w:szCs w:val="20"/>
        </w:rPr>
      </w:pPr>
    </w:p>
    <w:p w14:paraId="2AFDB279" w14:textId="77777777" w:rsidR="007120AC" w:rsidRPr="00FD4805" w:rsidRDefault="00B21483" w:rsidP="00B21483">
      <w:pPr>
        <w:pStyle w:val="BodyText"/>
        <w:tabs>
          <w:tab w:val="left" w:pos="651"/>
        </w:tabs>
        <w:ind w:left="0" w:firstLine="0"/>
        <w:jc w:val="both"/>
        <w:rPr>
          <w:noProof/>
          <w:sz w:val="24"/>
        </w:rPr>
      </w:pPr>
      <w:r>
        <w:rPr>
          <w:sz w:val="24"/>
        </w:rPr>
        <w:t>18. Somijas valdība apgalvo, ka saskaņotais piedāvājums rada negatīvas un konkrētas ekonomiskās sekas attiecībās starp uzņēmumiem, kas ir aizliegtās vienošanās dalībnieki, un to konkurentiem, jo uzņēmumi, kas piemēro paaugstinātas cenas, kas saskaņotas ar aizliegto vienošanos, nostiprinās savu stāvokli salīdzinājumā ar konkurentiem, ņemot vērā šīs paaugstinātās cenas. Turklāt aizliegta vienošanās atstāj netiešu ekonomisku ietekmi arī uz aizliegtās vienošanās dalībnieka klientiem, jo tiem par darbiem ir jāmaksā cena, kas saskaņota ar aizliegto vienošanos un kas ir augstāka par konkurences apstākļos noteiktu cenu, un tiem paliek mazāk pieejamo resursu, nekā tas būtu tad, ja darbu cenas tiktu noteiktas, ievērojot konkurences noteikumus. Šīs papildu izmaksas ietekmēs arī cenu, ko maksā klienti, t. i., gala patērētāji, un ietekmēs arī šo gala patērētāju resursus.</w:t>
      </w:r>
    </w:p>
    <w:p w14:paraId="61B49E00" w14:textId="77777777" w:rsidR="007120AC" w:rsidRPr="00FD4805" w:rsidRDefault="007120AC" w:rsidP="00FD4805">
      <w:pPr>
        <w:jc w:val="both"/>
        <w:rPr>
          <w:rFonts w:ascii="Times New Roman" w:eastAsia="Times New Roman" w:hAnsi="Times New Roman" w:cs="Times New Roman"/>
          <w:noProof/>
          <w:sz w:val="24"/>
          <w:szCs w:val="20"/>
        </w:rPr>
      </w:pPr>
    </w:p>
    <w:p w14:paraId="691E623B" w14:textId="77777777" w:rsidR="007120AC" w:rsidRPr="00FD4805" w:rsidRDefault="00B21483" w:rsidP="00B21483">
      <w:pPr>
        <w:pStyle w:val="BodyText"/>
        <w:tabs>
          <w:tab w:val="left" w:pos="651"/>
        </w:tabs>
        <w:ind w:left="0" w:firstLine="0"/>
        <w:jc w:val="both"/>
        <w:rPr>
          <w:noProof/>
          <w:sz w:val="24"/>
        </w:rPr>
      </w:pPr>
      <w:r>
        <w:rPr>
          <w:sz w:val="24"/>
        </w:rPr>
        <w:t>19. Ilgtermiņa darbu gadījumā arī šeit minētā netiešā ekonomiskā ietekme ir ilglaicīga un tirgū ir jūtama visu būvdarbu līguma darbības laiku. Piemēram, ikreiz, kad aizliegtās vienošanās dalībnieka klients veic maksājumu par darbiem, uz ko attiecas saskaņotais piedāvājums, šo darbu veikšanas laikā, papildu izmaksas ietekmē klientam pieejamos aktīvus, kā arī viņa resursus; līdz ar to saskaņotā piedāvājuma ekonomiskās sekas neparādās brīdī, kad tiek iesniegts piedāvājums vai noslēgts līgums.</w:t>
      </w:r>
    </w:p>
    <w:p w14:paraId="4DAB516B" w14:textId="77777777" w:rsidR="007120AC" w:rsidRPr="00FD4805" w:rsidRDefault="007120AC" w:rsidP="00FD4805">
      <w:pPr>
        <w:jc w:val="both"/>
        <w:rPr>
          <w:rFonts w:ascii="Times New Roman" w:eastAsia="Times New Roman" w:hAnsi="Times New Roman" w:cs="Times New Roman"/>
          <w:noProof/>
          <w:sz w:val="24"/>
          <w:szCs w:val="20"/>
        </w:rPr>
      </w:pPr>
    </w:p>
    <w:p w14:paraId="405F437F" w14:textId="77777777" w:rsidR="007120AC" w:rsidRPr="00FD4805" w:rsidRDefault="00B21483" w:rsidP="00B21483">
      <w:pPr>
        <w:pStyle w:val="BodyText"/>
        <w:tabs>
          <w:tab w:val="left" w:pos="651"/>
        </w:tabs>
        <w:ind w:left="0" w:firstLine="0"/>
        <w:jc w:val="both"/>
        <w:rPr>
          <w:noProof/>
          <w:sz w:val="24"/>
        </w:rPr>
      </w:pPr>
      <w:r>
        <w:rPr>
          <w:sz w:val="24"/>
        </w:rPr>
        <w:t>20. Ņemot vērā iepriekš teikto, Somijas valdība uzskata: ja saskaņotā piedāvājuma beigu datumu sasaistītu ar juridisko darbību, kas to formāli īsteno, tas ir, šajā gadījumā ar piedāvājuma iesniegšanu vai līguma noslēgšanu, tas nozīmētu, ka saskaņotā cenas piedāvājuma negatīvajām ekonomiskajām sekām un to ilgumam nav nekādas nozīmes. Koncentrējoties uz juridisko darbību, kas formāli īsteno konkurences ierobežojumu, tiktu sasniegts Savienības konkurences tiesību mērķiem pretējs rezultāts.</w:t>
      </w:r>
    </w:p>
    <w:p w14:paraId="21AD3FDF" w14:textId="77777777" w:rsidR="007120AC" w:rsidRPr="00FD4805" w:rsidRDefault="007120AC" w:rsidP="00FD4805">
      <w:pPr>
        <w:jc w:val="both"/>
        <w:rPr>
          <w:rFonts w:ascii="Times New Roman" w:eastAsia="Times New Roman" w:hAnsi="Times New Roman" w:cs="Times New Roman"/>
          <w:noProof/>
          <w:sz w:val="24"/>
          <w:szCs w:val="21"/>
        </w:rPr>
      </w:pPr>
    </w:p>
    <w:p w14:paraId="0E781499" w14:textId="77777777" w:rsidR="007120AC" w:rsidRPr="00FD4805" w:rsidRDefault="00B21483" w:rsidP="00B21483">
      <w:pPr>
        <w:pStyle w:val="BodyText"/>
        <w:tabs>
          <w:tab w:val="left" w:pos="651"/>
        </w:tabs>
        <w:ind w:left="0" w:firstLine="0"/>
        <w:jc w:val="both"/>
        <w:rPr>
          <w:noProof/>
          <w:sz w:val="24"/>
        </w:rPr>
      </w:pPr>
      <w:r>
        <w:rPr>
          <w:sz w:val="24"/>
          <w:u w:color="000000"/>
        </w:rPr>
        <w:t xml:space="preserve">21. </w:t>
      </w:r>
      <w:r>
        <w:rPr>
          <w:sz w:val="24"/>
          <w:u w:val="single"/>
        </w:rPr>
        <w:t>Otrkārt</w:t>
      </w:r>
      <w:r>
        <w:rPr>
          <w:sz w:val="24"/>
        </w:rPr>
        <w:t>, Tiesa 2013. gada 30. maija spriedumā lietā ““Quinn Barlo” u. c. pret Komisiju” (C</w:t>
      </w:r>
      <w:r>
        <w:rPr>
          <w:sz w:val="24"/>
        </w:rPr>
        <w:noBreakHyphen/>
        <w:t xml:space="preserve">70/12 P, nav publicēts, EU:C:2013:351) norādīja, ka pārkāpuma ilgumu var novērtēt, par atsauci ņemot laika posmu, kurā attiecīgie uzņēmumi īstenoja darbības, kas ir aizliegtas ar LESD 101. pantu. To, ka ir pārkāpums, piemēram, var konstatēt </w:t>
      </w:r>
      <w:r>
        <w:rPr>
          <w:b/>
          <w:bCs/>
          <w:sz w:val="24"/>
          <w:highlight w:val="lightGray"/>
        </w:rPr>
        <w:t xml:space="preserve">[oriģ. 8. lpp.] </w:t>
      </w:r>
      <w:r>
        <w:rPr>
          <w:i/>
          <w:iCs/>
          <w:sz w:val="24"/>
        </w:rPr>
        <w:t>visā periodā, kurā bija spēkā cenas, kas saskaņotas ar aizliegto vienošanos</w:t>
      </w:r>
      <w:r>
        <w:rPr>
          <w:sz w:val="24"/>
        </w:rPr>
        <w:t>.</w:t>
      </w:r>
      <w:r>
        <w:rPr>
          <w:rStyle w:val="FootnoteReference"/>
          <w:rFonts w:cs="Times New Roman"/>
          <w:i/>
          <w:noProof/>
          <w:sz w:val="24"/>
        </w:rPr>
        <w:footnoteReference w:customMarkFollows="1" w:id="6"/>
        <w:t>5</w:t>
      </w:r>
      <w:r>
        <w:rPr>
          <w:sz w:val="24"/>
        </w:rPr>
        <w:t xml:space="preserve"> Somijas valdība uzskata, ka saistībā ar lūgumu sniegt interpretāciju šajā lietā saskaņotā piedāvājuma cenas, kas saskaņotas ar aizliegto vienošanos, šķiet, līdzinās nepārtraukti noteiktajām cenām lietā ““Quinn Barlo” u. c. pret Komisiju”.</w:t>
      </w:r>
    </w:p>
    <w:p w14:paraId="2FBAE91B" w14:textId="77777777" w:rsidR="007120AC" w:rsidRPr="00FD4805" w:rsidRDefault="007120AC" w:rsidP="00FD4805">
      <w:pPr>
        <w:jc w:val="both"/>
        <w:rPr>
          <w:rFonts w:ascii="Times New Roman" w:hAnsi="Times New Roman"/>
          <w:noProof/>
          <w:sz w:val="24"/>
        </w:rPr>
      </w:pPr>
    </w:p>
    <w:p w14:paraId="308D7B24" w14:textId="77777777" w:rsidR="007120AC" w:rsidRPr="00FD4805" w:rsidRDefault="00B21483" w:rsidP="00B21483">
      <w:pPr>
        <w:pStyle w:val="BodyText"/>
        <w:tabs>
          <w:tab w:val="left" w:pos="651"/>
        </w:tabs>
        <w:ind w:left="0" w:firstLine="0"/>
        <w:jc w:val="both"/>
        <w:rPr>
          <w:noProof/>
          <w:sz w:val="24"/>
        </w:rPr>
      </w:pPr>
      <w:r>
        <w:rPr>
          <w:sz w:val="24"/>
        </w:rPr>
        <w:t>22. Saskaņotā piedāvājuma prettiesiski noteiktās cenas radīs minētās ekonomiskās sekas attiecībā uz darbību, ko veic līgumslēdzējs uzņēmums, kas ir aizliegtās vienošanās dalībnieks, visā darbu veikšanas laikā. Tādējādi ir pamats uzskatīt, ka prettiesiski noteikto cenu piemērošana un konkurences pārkāpums ilgs līdz brīdim, kad tiks veikts pēdējais maksājums par darbiem, vai vismaz līdz darbu pabeigšanas dienai.</w:t>
      </w:r>
    </w:p>
    <w:p w14:paraId="3EB9CEBF" w14:textId="77777777" w:rsidR="007120AC" w:rsidRPr="00FD4805" w:rsidRDefault="007120AC" w:rsidP="00FD4805">
      <w:pPr>
        <w:jc w:val="both"/>
        <w:rPr>
          <w:rFonts w:ascii="Times New Roman" w:eastAsia="Times New Roman" w:hAnsi="Times New Roman" w:cs="Times New Roman"/>
          <w:noProof/>
          <w:sz w:val="24"/>
          <w:szCs w:val="20"/>
        </w:rPr>
      </w:pPr>
    </w:p>
    <w:p w14:paraId="793D57D7" w14:textId="77777777" w:rsidR="007120AC" w:rsidRPr="00FD4805" w:rsidRDefault="00B21483" w:rsidP="00B21483">
      <w:pPr>
        <w:pStyle w:val="BodyText"/>
        <w:tabs>
          <w:tab w:val="left" w:pos="651"/>
        </w:tabs>
        <w:ind w:left="0" w:firstLine="0"/>
        <w:jc w:val="both"/>
        <w:rPr>
          <w:noProof/>
          <w:sz w:val="24"/>
        </w:rPr>
      </w:pPr>
      <w:r>
        <w:rPr>
          <w:sz w:val="24"/>
          <w:u w:color="000000"/>
        </w:rPr>
        <w:t xml:space="preserve">23. </w:t>
      </w:r>
      <w:r>
        <w:rPr>
          <w:sz w:val="24"/>
          <w:u w:val="single"/>
        </w:rPr>
        <w:t>Treškārt,</w:t>
      </w:r>
      <w:r>
        <w:rPr>
          <w:sz w:val="24"/>
        </w:rPr>
        <w:t xml:space="preserve"> ja būtu jāuzskata, ka saskaņotais piedāvājums ilgst tikai līdz piedāvājuma iesniegšanai vai līdz līguma noslēgšanai, saskaņotā piedāvājuma ilgums būtu mākslīgi īss. Šādas interpretācijas gadījumā, pirmkārt, noteiktajos termiņos būtu grūti iesniegt priekšlikumu piemērot naudas sodu, jo noilguma termiņa atskaite sāktos no piedāvājuma iesniegšanas vai līguma noslēgšanas brīža.</w:t>
      </w:r>
    </w:p>
    <w:p w14:paraId="415FC6DF" w14:textId="77777777" w:rsidR="007120AC" w:rsidRPr="00FD4805" w:rsidRDefault="007120AC" w:rsidP="00FD4805">
      <w:pPr>
        <w:jc w:val="both"/>
        <w:rPr>
          <w:rFonts w:ascii="Times New Roman" w:hAnsi="Times New Roman"/>
          <w:noProof/>
          <w:sz w:val="24"/>
        </w:rPr>
      </w:pPr>
    </w:p>
    <w:p w14:paraId="125D24EB" w14:textId="77777777" w:rsidR="007120AC" w:rsidRPr="00FD4805" w:rsidRDefault="00B21483" w:rsidP="00B21483">
      <w:pPr>
        <w:pStyle w:val="BodyText"/>
        <w:tabs>
          <w:tab w:val="left" w:pos="651"/>
        </w:tabs>
        <w:ind w:left="0" w:firstLine="0"/>
        <w:jc w:val="both"/>
        <w:rPr>
          <w:noProof/>
          <w:sz w:val="24"/>
        </w:rPr>
      </w:pPr>
      <w:r>
        <w:rPr>
          <w:sz w:val="24"/>
        </w:rPr>
        <w:t>24. Tā kā saskaņā ar Savienības konkurences noteikumiem, lai noteiktu naudas soda apmēru un soda sankcijas, ir jāņem vērā konkurences ierobežojuma ilgums, šādas interpretācijas dēļ saskaņota piedāvājuma gadījumā piemērojamais naudas sods, iespējams, būtu pārāk maigs salīdzinājumā ar saskaņotā piedāvājuma smagumu un kaitējumu. Tādējādi tiktu vājināta naudas sodu vispārējā un konkrētā preventīvā ietekme.</w:t>
      </w:r>
    </w:p>
    <w:p w14:paraId="1A5DFEED" w14:textId="77777777" w:rsidR="007120AC" w:rsidRPr="00FD4805" w:rsidRDefault="007120AC" w:rsidP="00FD4805">
      <w:pPr>
        <w:jc w:val="both"/>
        <w:rPr>
          <w:rFonts w:ascii="Times New Roman" w:eastAsia="Times New Roman" w:hAnsi="Times New Roman" w:cs="Times New Roman"/>
          <w:noProof/>
          <w:sz w:val="24"/>
          <w:szCs w:val="20"/>
        </w:rPr>
      </w:pPr>
    </w:p>
    <w:p w14:paraId="23097C60" w14:textId="77777777" w:rsidR="007120AC" w:rsidRPr="00FD4805" w:rsidRDefault="00B21483" w:rsidP="00B21483">
      <w:pPr>
        <w:pStyle w:val="BodyText"/>
        <w:tabs>
          <w:tab w:val="left" w:pos="651"/>
        </w:tabs>
        <w:ind w:left="0" w:firstLine="0"/>
        <w:jc w:val="both"/>
        <w:rPr>
          <w:rFonts w:cs="Times New Roman"/>
          <w:b/>
          <w:bCs/>
          <w:noProof/>
          <w:sz w:val="24"/>
        </w:rPr>
      </w:pPr>
      <w:r>
        <w:rPr>
          <w:sz w:val="24"/>
        </w:rPr>
        <w:t xml:space="preserve">25. Līdz ar to Somijas valdības ieskatā tāda interpretācija, saskaņā ar kuru saskaņotais piedāvājums ilgst tikai līdz piedāvājuma iesniegšanas vai līguma noslēgšanas brīdim, būtu pretrunā Savienības konkurences tiesību efektīvai īstenošanai. </w:t>
      </w:r>
      <w:r>
        <w:rPr>
          <w:b/>
          <w:bCs/>
          <w:sz w:val="24"/>
          <w:highlight w:val="lightGray"/>
        </w:rPr>
        <w:t>[oriģ. 9. lpp.]</w:t>
      </w:r>
    </w:p>
    <w:p w14:paraId="3DF54425" w14:textId="77777777" w:rsidR="007120AC" w:rsidRPr="00FD4805" w:rsidRDefault="007120AC" w:rsidP="00FD4805">
      <w:pPr>
        <w:jc w:val="both"/>
        <w:rPr>
          <w:rFonts w:ascii="Times New Roman" w:hAnsi="Times New Roman" w:cs="Times New Roman"/>
          <w:b/>
          <w:bCs/>
          <w:noProof/>
          <w:sz w:val="24"/>
        </w:rPr>
      </w:pPr>
    </w:p>
    <w:p w14:paraId="05440E0C" w14:textId="77777777" w:rsidR="00B21483" w:rsidRDefault="00B21483" w:rsidP="00B21483">
      <w:pPr>
        <w:pStyle w:val="Heading1"/>
        <w:tabs>
          <w:tab w:val="left" w:pos="1358"/>
        </w:tabs>
        <w:ind w:left="0"/>
        <w:jc w:val="both"/>
        <w:rPr>
          <w:noProof/>
          <w:sz w:val="24"/>
        </w:rPr>
      </w:pPr>
    </w:p>
    <w:p w14:paraId="1EDB843B" w14:textId="77777777" w:rsidR="007120AC" w:rsidRPr="00FD4805" w:rsidRDefault="00B21483" w:rsidP="00B21483">
      <w:pPr>
        <w:pStyle w:val="Heading1"/>
        <w:tabs>
          <w:tab w:val="left" w:pos="1358"/>
        </w:tabs>
        <w:ind w:left="0"/>
        <w:jc w:val="both"/>
        <w:rPr>
          <w:noProof/>
          <w:sz w:val="24"/>
        </w:rPr>
      </w:pPr>
      <w:r>
        <w:rPr>
          <w:sz w:val="24"/>
        </w:rPr>
        <w:t>4. SECINĀJUMI</w:t>
      </w:r>
    </w:p>
    <w:p w14:paraId="666C82CE" w14:textId="77777777" w:rsidR="007120AC" w:rsidRPr="00FD4805" w:rsidRDefault="007120AC" w:rsidP="00FD4805">
      <w:pPr>
        <w:jc w:val="both"/>
        <w:rPr>
          <w:rFonts w:ascii="Times New Roman" w:eastAsia="Times New Roman" w:hAnsi="Times New Roman" w:cs="Times New Roman"/>
          <w:b/>
          <w:bCs/>
          <w:noProof/>
          <w:sz w:val="24"/>
          <w:szCs w:val="20"/>
        </w:rPr>
      </w:pPr>
    </w:p>
    <w:p w14:paraId="6BE2FB97" w14:textId="77777777" w:rsidR="007120AC" w:rsidRPr="00FD4805" w:rsidRDefault="00B21483" w:rsidP="00B21483">
      <w:pPr>
        <w:pStyle w:val="BodyText"/>
        <w:tabs>
          <w:tab w:val="left" w:pos="651"/>
        </w:tabs>
        <w:ind w:left="0" w:firstLine="0"/>
        <w:jc w:val="both"/>
        <w:rPr>
          <w:noProof/>
          <w:sz w:val="24"/>
        </w:rPr>
      </w:pPr>
      <w:r>
        <w:rPr>
          <w:sz w:val="24"/>
        </w:rPr>
        <w:t>26. Somijas valdība uzskata, ka uz prejudiciālo jautājumu ir jāatbild šādi.</w:t>
      </w:r>
    </w:p>
    <w:p w14:paraId="7DDAB920" w14:textId="77777777" w:rsidR="007120AC" w:rsidRPr="00FD4805" w:rsidRDefault="007120AC" w:rsidP="00FD4805">
      <w:pPr>
        <w:jc w:val="both"/>
        <w:rPr>
          <w:rFonts w:ascii="Times New Roman" w:eastAsia="Times New Roman" w:hAnsi="Times New Roman" w:cs="Times New Roman"/>
          <w:noProof/>
          <w:sz w:val="24"/>
          <w:szCs w:val="20"/>
        </w:rPr>
      </w:pPr>
    </w:p>
    <w:p w14:paraId="4AFD08C5" w14:textId="77777777" w:rsidR="007120AC" w:rsidRPr="00FD4805" w:rsidRDefault="007120AC" w:rsidP="00B21483">
      <w:pPr>
        <w:ind w:left="426"/>
        <w:jc w:val="both"/>
        <w:rPr>
          <w:rFonts w:ascii="Times New Roman" w:eastAsia="Times New Roman" w:hAnsi="Times New Roman" w:cs="Times New Roman"/>
          <w:i/>
          <w:noProof/>
          <w:sz w:val="24"/>
          <w:szCs w:val="25"/>
        </w:rPr>
      </w:pPr>
      <w:r>
        <w:rPr>
          <w:rFonts w:ascii="Times New Roman" w:hAnsi="Times New Roman"/>
          <w:i/>
          <w:sz w:val="24"/>
          <w:szCs w:val="25"/>
        </w:rPr>
        <w:t>1. LESD 101. pantā ietvertais konkurences režīms ir jāinterpretē tādējādi, ka situācijā, kurā aizliegtas vienošanās dalībnieks ar tiesību subjektu, kas nav aizliegtas vienošanās dalībnieks, ir noslēdzis būvdarbu līgumu, kurš atbilst attiecīgās aizliegtās vienošanās norunām, konkurences pārkāpums tā radīto ekonomisko seku dēļ turpinās tikmēr, kamēr tiek pildītas no līguma izrietošās līgumsaistības vai kamēr līgumpartneriem tiek veikti maksājumi par darbu izpildi, t. i., līdz brīdim, kad tiek veikts pēdējais maksājums par darbu izpildi vai vismaz līdz brīdim, kad attiecīgie darbi tiek pabeigti.</w:t>
      </w:r>
    </w:p>
    <w:p w14:paraId="6846490D" w14:textId="77777777" w:rsidR="007120AC" w:rsidRPr="00FD4805" w:rsidRDefault="007120AC" w:rsidP="00FD4805">
      <w:pPr>
        <w:jc w:val="both"/>
        <w:rPr>
          <w:rFonts w:ascii="Times New Roman" w:eastAsia="Times New Roman" w:hAnsi="Times New Roman" w:cs="Times New Roman"/>
          <w:i/>
          <w:noProof/>
          <w:sz w:val="24"/>
          <w:szCs w:val="20"/>
        </w:rPr>
      </w:pPr>
    </w:p>
    <w:p w14:paraId="6B6D6F9B" w14:textId="77777777" w:rsidR="007120AC" w:rsidRPr="00FD4805" w:rsidRDefault="007120AC" w:rsidP="00FD4805">
      <w:pPr>
        <w:pStyle w:val="BodyText"/>
        <w:ind w:left="0" w:firstLine="0"/>
        <w:jc w:val="both"/>
        <w:rPr>
          <w:noProof/>
          <w:sz w:val="24"/>
        </w:rPr>
      </w:pPr>
      <w:r>
        <w:rPr>
          <w:sz w:val="24"/>
        </w:rPr>
        <w:t>[vēstules nobeiguma frāze]</w:t>
      </w:r>
    </w:p>
    <w:p w14:paraId="605F7F1F" w14:textId="77777777" w:rsidR="007120AC" w:rsidRPr="00FD4805" w:rsidRDefault="007120AC" w:rsidP="00FD4805">
      <w:pPr>
        <w:jc w:val="both"/>
        <w:rPr>
          <w:rFonts w:ascii="Times New Roman" w:eastAsia="Times New Roman" w:hAnsi="Times New Roman" w:cs="Times New Roman"/>
          <w:noProof/>
          <w:sz w:val="24"/>
          <w:szCs w:val="20"/>
        </w:rPr>
      </w:pPr>
    </w:p>
    <w:p w14:paraId="4A9CC52B" w14:textId="77777777" w:rsidR="007120AC" w:rsidRPr="00FD4805" w:rsidRDefault="007120AC" w:rsidP="00FD4805">
      <w:pPr>
        <w:pStyle w:val="BodyText"/>
        <w:ind w:left="0" w:firstLine="0"/>
        <w:jc w:val="both"/>
        <w:rPr>
          <w:noProof/>
          <w:sz w:val="24"/>
        </w:rPr>
      </w:pPr>
      <w:r>
        <w:rPr>
          <w:sz w:val="24"/>
        </w:rPr>
        <w:t>Somijas valdības vārdā</w:t>
      </w:r>
    </w:p>
    <w:p w14:paraId="7B44D497" w14:textId="77777777" w:rsidR="007120AC" w:rsidRPr="00FD4805" w:rsidRDefault="007120AC" w:rsidP="00FD4805">
      <w:pPr>
        <w:jc w:val="both"/>
        <w:rPr>
          <w:rFonts w:ascii="Times New Roman" w:eastAsia="Times New Roman" w:hAnsi="Times New Roman" w:cs="Times New Roman"/>
          <w:noProof/>
          <w:sz w:val="24"/>
          <w:szCs w:val="20"/>
        </w:rPr>
      </w:pPr>
    </w:p>
    <w:p w14:paraId="1A9C9A1F" w14:textId="77777777" w:rsidR="007120AC" w:rsidRPr="00FD4805" w:rsidRDefault="007120AC" w:rsidP="00FD4805">
      <w:pPr>
        <w:jc w:val="both"/>
        <w:rPr>
          <w:rFonts w:ascii="Times New Roman" w:eastAsia="Times New Roman" w:hAnsi="Times New Roman" w:cs="Times New Roman"/>
          <w:noProof/>
          <w:sz w:val="24"/>
        </w:rPr>
      </w:pPr>
    </w:p>
    <w:p w14:paraId="04D15515" w14:textId="77777777" w:rsidR="007120AC" w:rsidRPr="00FD4805" w:rsidRDefault="007120AC" w:rsidP="00FD4805">
      <w:pPr>
        <w:pStyle w:val="BodyText"/>
        <w:tabs>
          <w:tab w:val="left" w:pos="4438"/>
        </w:tabs>
        <w:ind w:left="0" w:firstLine="0"/>
        <w:jc w:val="both"/>
        <w:rPr>
          <w:noProof/>
          <w:sz w:val="24"/>
        </w:rPr>
      </w:pPr>
      <w:r>
        <w:rPr>
          <w:sz w:val="24"/>
        </w:rPr>
        <w:t>Somijas pārstāvis</w:t>
      </w:r>
      <w:r>
        <w:rPr>
          <w:rStyle w:val="FootnoteReference"/>
          <w:noProof/>
          <w:sz w:val="24"/>
        </w:rPr>
        <w:footnoteReference w:customMarkFollows="1" w:id="7"/>
        <w:t>6</w:t>
      </w:r>
      <w:r>
        <w:rPr>
          <w:sz w:val="24"/>
        </w:rPr>
        <w:t xml:space="preserve"> (zīmogs)</w:t>
      </w:r>
      <w:r>
        <w:rPr>
          <w:sz w:val="24"/>
        </w:rPr>
        <w:tab/>
        <w:t>Joni Heliskoski [</w:t>
      </w:r>
      <w:r>
        <w:rPr>
          <w:i/>
          <w:iCs/>
          <w:sz w:val="24"/>
        </w:rPr>
        <w:t>Joni Heliskoski</w:t>
      </w:r>
      <w:r>
        <w:rPr>
          <w:sz w:val="24"/>
        </w:rPr>
        <w:t>]</w:t>
      </w:r>
    </w:p>
    <w:p w14:paraId="6DB9B47C" w14:textId="77777777" w:rsidR="007120AC" w:rsidRPr="00FD4805" w:rsidRDefault="007120AC" w:rsidP="00FD4805">
      <w:pPr>
        <w:tabs>
          <w:tab w:val="left" w:pos="730"/>
        </w:tabs>
        <w:jc w:val="both"/>
        <w:rPr>
          <w:rFonts w:ascii="Times New Roman" w:eastAsia="Times New Roman" w:hAnsi="Times New Roman" w:cs="Times New Roman"/>
          <w:noProof/>
          <w:sz w:val="24"/>
          <w:szCs w:val="20"/>
        </w:rPr>
      </w:pPr>
    </w:p>
    <w:sectPr w:rsidR="007120AC" w:rsidRPr="00FD4805" w:rsidSect="00FD4805">
      <w:headerReference w:type="even" r:id="rId9"/>
      <w:headerReference w:type="default" r:id="rId10"/>
      <w:footerReference w:type="even"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9605E" w14:textId="77777777" w:rsidR="008C54BF" w:rsidRPr="007120AC" w:rsidRDefault="00B21483">
      <w:pPr>
        <w:rPr>
          <w:noProof/>
        </w:rPr>
      </w:pPr>
      <w:r w:rsidRPr="007120AC">
        <w:rPr>
          <w:noProof/>
        </w:rPr>
        <w:separator/>
      </w:r>
    </w:p>
  </w:endnote>
  <w:endnote w:type="continuationSeparator" w:id="0">
    <w:p w14:paraId="56AB4AE3" w14:textId="77777777" w:rsidR="008C54BF" w:rsidRPr="007120AC" w:rsidRDefault="00B21483">
      <w:pPr>
        <w:rPr>
          <w:noProof/>
        </w:rPr>
      </w:pPr>
      <w:r w:rsidRPr="007120A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44C0" w14:textId="77777777" w:rsidR="00E04280" w:rsidRPr="007120AC" w:rsidRDefault="00E04280">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2F5C" w14:textId="77777777" w:rsidR="005D7542" w:rsidRPr="00832E2F" w:rsidRDefault="005D7542" w:rsidP="005D7542">
    <w:pPr>
      <w:pStyle w:val="Header"/>
      <w:tabs>
        <w:tab w:val="left" w:pos="9072"/>
      </w:tabs>
      <w:rPr>
        <w:rStyle w:val="PageNumber"/>
        <w:rFonts w:ascii="Times New Roman" w:hAnsi="Times New Roman" w:cs="Times New Roman"/>
        <w:sz w:val="20"/>
        <w:szCs w:val="18"/>
      </w:rPr>
    </w:pPr>
  </w:p>
  <w:p w14:paraId="285EAD6C" w14:textId="77777777" w:rsidR="005D7542" w:rsidRPr="00832E2F" w:rsidRDefault="005D7542" w:rsidP="005D7542">
    <w:pPr>
      <w:pStyle w:val="Header"/>
      <w:tabs>
        <w:tab w:val="clear" w:pos="4513"/>
        <w:tab w:val="clear" w:pos="9026"/>
        <w:tab w:val="righ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532FC945" w14:textId="77777777" w:rsidR="005D7542" w:rsidRPr="00832E2F" w:rsidRDefault="005D7542" w:rsidP="005D7542">
    <w:pPr>
      <w:pStyle w:val="Header"/>
      <w:tabs>
        <w:tab w:val="right" w:pos="9072"/>
      </w:tabs>
      <w:rPr>
        <w:rStyle w:val="PageNumber"/>
        <w:rFonts w:ascii="Times New Roman" w:hAnsi="Times New Roman" w:cs="Times New Roman"/>
        <w:sz w:val="20"/>
        <w:szCs w:val="18"/>
      </w:rPr>
    </w:pPr>
  </w:p>
  <w:p w14:paraId="6B494F61" w14:textId="77777777" w:rsidR="005D7542" w:rsidRPr="00832E2F" w:rsidRDefault="005D7542" w:rsidP="005D7542">
    <w:pPr>
      <w:pStyle w:val="Footer"/>
      <w:tabs>
        <w:tab w:val="clear" w:pos="4513"/>
        <w:tab w:val="clear" w:pos="9026"/>
        <w:tab w:val="right" w:pos="9072"/>
      </w:tabs>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2020</w:t>
    </w:r>
    <w:r w:rsidRPr="00832E2F">
      <w:rPr>
        <w:rFonts w:ascii="Times New Roman" w:hAnsi="Times New Roman" w:cs="Times New Roman"/>
        <w:sz w:val="20"/>
        <w:szCs w:val="18"/>
      </w:rPr>
      <w:tab/>
    </w:r>
    <w:r w:rsidRPr="00832E2F">
      <w:rPr>
        <w:rStyle w:val="PageNumber"/>
        <w:rFonts w:ascii="Times New Roman" w:hAnsi="Times New Roman" w:cs="Times New Roman"/>
        <w:sz w:val="20"/>
        <w:szCs w:val="18"/>
      </w:rPr>
      <w:fldChar w:fldCharType="begin"/>
    </w:r>
    <w:r w:rsidRPr="00832E2F">
      <w:rPr>
        <w:rStyle w:val="PageNumber"/>
        <w:rFonts w:ascii="Times New Roman" w:hAnsi="Times New Roman" w:cs="Times New Roman"/>
        <w:sz w:val="20"/>
        <w:szCs w:val="18"/>
      </w:rPr>
      <w:instrText xml:space="preserve">page </w:instrText>
    </w:r>
    <w:r w:rsidRPr="00832E2F">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32E2F">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9698" w14:textId="77777777" w:rsidR="005D7542" w:rsidRPr="00832E2F" w:rsidRDefault="005D7542" w:rsidP="005D7542">
    <w:pPr>
      <w:pStyle w:val="Header"/>
      <w:tabs>
        <w:tab w:val="left" w:pos="9072"/>
      </w:tabs>
      <w:rPr>
        <w:rStyle w:val="PageNumber"/>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1039323E" w14:textId="77777777" w:rsidR="005D7542" w:rsidRPr="00832E2F" w:rsidRDefault="005D7542" w:rsidP="005D7542">
    <w:pPr>
      <w:pStyle w:val="Header"/>
      <w:tabs>
        <w:tab w:val="clear" w:pos="4513"/>
        <w:tab w:val="clear" w:pos="9026"/>
        <w:tab w:val="lef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7D493303" w14:textId="77777777" w:rsidR="005D7542" w:rsidRPr="00832E2F" w:rsidRDefault="005D7542" w:rsidP="005D7542">
    <w:pPr>
      <w:pStyle w:val="Header"/>
      <w:tabs>
        <w:tab w:val="left" w:pos="9072"/>
      </w:tabs>
      <w:rPr>
        <w:rStyle w:val="PageNumber"/>
        <w:rFonts w:ascii="Times New Roman" w:hAnsi="Times New Roman" w:cs="Times New Roman"/>
        <w:sz w:val="20"/>
        <w:szCs w:val="18"/>
      </w:rPr>
    </w:pPr>
  </w:p>
  <w:p w14:paraId="7C36E6A8" w14:textId="77777777" w:rsidR="005D7542" w:rsidRPr="00832E2F" w:rsidRDefault="005D7542" w:rsidP="005D7542">
    <w:pPr>
      <w:pStyle w:val="Footer"/>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w:t>
    </w:r>
    <w:bookmarkEnd w:id="15"/>
    <w:bookmarkEnd w:id="16"/>
    <w:bookmarkEnd w:id="17"/>
    <w:r w:rsidRPr="00832E2F">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B56CA" w14:textId="77777777" w:rsidR="008C54BF" w:rsidRPr="007120AC" w:rsidRDefault="00B21483">
      <w:pPr>
        <w:rPr>
          <w:noProof/>
        </w:rPr>
      </w:pPr>
      <w:r w:rsidRPr="007120AC">
        <w:rPr>
          <w:noProof/>
        </w:rPr>
        <w:separator/>
      </w:r>
    </w:p>
  </w:footnote>
  <w:footnote w:type="continuationSeparator" w:id="0">
    <w:p w14:paraId="7DA9CA38" w14:textId="77777777" w:rsidR="008C54BF" w:rsidRPr="007120AC" w:rsidRDefault="00B21483">
      <w:pPr>
        <w:rPr>
          <w:noProof/>
        </w:rPr>
      </w:pPr>
      <w:r w:rsidRPr="007120AC">
        <w:rPr>
          <w:noProof/>
        </w:rPr>
        <w:continuationSeparator/>
      </w:r>
    </w:p>
  </w:footnote>
  <w:footnote w:id="1">
    <w:p w14:paraId="301D65E9" w14:textId="77777777" w:rsidR="00FD4805" w:rsidRPr="00B21483" w:rsidRDefault="00FD4805" w:rsidP="00B21483">
      <w:pPr>
        <w:pStyle w:val="FootnoteText"/>
        <w:jc w:val="both"/>
        <w:rPr>
          <w:rFonts w:ascii="Times New Roman" w:hAnsi="Times New Roman" w:cs="Times New Roman"/>
        </w:rPr>
      </w:pPr>
      <w:r>
        <w:rPr>
          <w:rStyle w:val="FootnoteReference"/>
          <w:rFonts w:ascii="Times New Roman" w:hAnsi="Times New Roman"/>
        </w:rPr>
        <w:sym w:font="Symbol" w:char="F02A"/>
      </w:r>
      <w:r>
        <w:rPr>
          <w:rFonts w:ascii="Times New Roman" w:hAnsi="Times New Roman"/>
        </w:rPr>
        <w:t xml:space="preserve"> Tiesvedības valoda – somu.</w:t>
      </w:r>
    </w:p>
  </w:footnote>
  <w:footnote w:id="2">
    <w:p w14:paraId="72DB7076" w14:textId="77777777" w:rsidR="00FD4805" w:rsidRPr="00B21483" w:rsidRDefault="00FD4805" w:rsidP="00B21483">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Šajā lietā piemērojamais tiesību akts ir Likums par konkurences ierobežojumu novēršanu, kas bija spēkā pirms šobrīd spēkā esošā Likuma Nr. 948/2011.</w:t>
      </w:r>
    </w:p>
  </w:footnote>
  <w:footnote w:id="3">
    <w:p w14:paraId="67765062" w14:textId="77777777" w:rsidR="00FD4805" w:rsidRPr="00B21483" w:rsidRDefault="00FD4805" w:rsidP="00B21483">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xml:space="preserve"> Padomes 2002. gada 16. decembra Regula (EK) Nr. 1/2003 par to konkurences noteikumu īstenošanu, kas noteikti Līguma 81. un 82. pantā (OV 2003, L 1, 1. lpp.).</w:t>
      </w:r>
    </w:p>
  </w:footnote>
  <w:footnote w:id="4">
    <w:p w14:paraId="40F6A0A2" w14:textId="77777777" w:rsidR="00B21483" w:rsidRPr="00B21483" w:rsidRDefault="00B21483" w:rsidP="00B21483">
      <w:pPr>
        <w:pStyle w:val="FootnoteText"/>
        <w:jc w:val="both"/>
        <w:rPr>
          <w:rFonts w:ascii="Times New Roman" w:hAnsi="Times New Roman" w:cs="Times New Roman"/>
        </w:rPr>
      </w:pPr>
      <w:r>
        <w:rPr>
          <w:rStyle w:val="FootnoteReference"/>
          <w:rFonts w:ascii="Times New Roman" w:hAnsi="Times New Roman"/>
        </w:rPr>
        <w:t>3</w:t>
      </w:r>
      <w:r>
        <w:rPr>
          <w:rFonts w:ascii="Times New Roman" w:hAnsi="Times New Roman"/>
        </w:rPr>
        <w:t xml:space="preserve"> 1976. gada 15. jūnijs (EU:C:1976:85, 30. punkts).</w:t>
      </w:r>
    </w:p>
  </w:footnote>
  <w:footnote w:id="5">
    <w:p w14:paraId="507D494F" w14:textId="77777777" w:rsidR="00B21483" w:rsidRPr="00B21483" w:rsidRDefault="00B21483" w:rsidP="00B21483">
      <w:pPr>
        <w:pStyle w:val="FootnoteText"/>
        <w:jc w:val="both"/>
        <w:rPr>
          <w:rFonts w:ascii="Times New Roman" w:hAnsi="Times New Roman" w:cs="Times New Roman"/>
        </w:rPr>
      </w:pPr>
      <w:r>
        <w:rPr>
          <w:rStyle w:val="FootnoteReference"/>
          <w:rFonts w:ascii="Times New Roman" w:hAnsi="Times New Roman"/>
        </w:rPr>
        <w:t>4</w:t>
      </w:r>
      <w:r>
        <w:rPr>
          <w:rFonts w:ascii="Times New Roman" w:hAnsi="Times New Roman"/>
        </w:rPr>
        <w:t xml:space="preserve"> 2013. gada 30. maijs (nav publicēts, EU:C:2013:351, 40. punkts).</w:t>
      </w:r>
    </w:p>
  </w:footnote>
  <w:footnote w:id="6">
    <w:p w14:paraId="71722919" w14:textId="77777777" w:rsidR="00B21483" w:rsidRPr="00B21483" w:rsidRDefault="00B21483" w:rsidP="00B21483">
      <w:pPr>
        <w:pStyle w:val="FootnoteText"/>
        <w:jc w:val="both"/>
        <w:rPr>
          <w:rFonts w:ascii="Times New Roman" w:hAnsi="Times New Roman" w:cs="Times New Roman"/>
        </w:rPr>
      </w:pPr>
      <w:r>
        <w:rPr>
          <w:rStyle w:val="FootnoteReference"/>
          <w:rFonts w:ascii="Times New Roman" w:hAnsi="Times New Roman"/>
        </w:rPr>
        <w:t>5</w:t>
      </w:r>
      <w:r>
        <w:rPr>
          <w:rFonts w:ascii="Times New Roman" w:hAnsi="Times New Roman"/>
        </w:rPr>
        <w:t xml:space="preserve"> Salīdzinājumam var konstatēt, ka attiecībā uz sankcijām, kas noteiktas Padomes 2002. gada 16. decembra Regulā (EK) Nr. 1/2003 par to konkurences noteikumu īstenošanu, kas noteikti Līguma 81. un 82. pantā, saskaņā ar tās 25. panta 3. un 5. punktu jebkura rīcība, ko izmeklēšanā vai tiesvedībā attiecībā uz pārkāpumu veikusi Komisija vai dalībvalsts konkurences iestāde, pārtrauc noilguma termiņu soda naudu vai periodisko soda maksājumu uzlikšanai. Šobrīd spēkā esošā Somijas likuma konkurences jomā (948/2011) 19. panta pirmā daļa, kurā noteikts noilguma termiņš un tā atsākšana pēc pasākumu veikšanas, atbilst Regulas Nr. 1/2003 25. panta noteikumiem.</w:t>
      </w:r>
    </w:p>
  </w:footnote>
  <w:footnote w:id="7">
    <w:p w14:paraId="439F9646" w14:textId="77777777" w:rsidR="00B21483" w:rsidRPr="00B21483" w:rsidRDefault="00B21483" w:rsidP="00B21483">
      <w:pPr>
        <w:pStyle w:val="FootnoteText"/>
        <w:jc w:val="both"/>
        <w:rPr>
          <w:rFonts w:ascii="Times New Roman" w:hAnsi="Times New Roman" w:cs="Times New Roman"/>
        </w:rPr>
      </w:pPr>
      <w:r>
        <w:rPr>
          <w:rStyle w:val="FootnoteReference"/>
          <w:rFonts w:ascii="Times New Roman" w:hAnsi="Times New Roman"/>
        </w:rPr>
        <w:t>6</w:t>
      </w:r>
      <w:r>
        <w:rPr>
          <w:rFonts w:ascii="Times New Roman" w:hAnsi="Times New Roman"/>
        </w:rPr>
        <w:t xml:space="preserve"> Saskaņā ar Ārlietu ministrijas Iekšējā reglamenta (Nr. 550/2008, 2008. gada 28. augusts) 93. pantu un ar ministra lēmumu (2010. gada 25. janvāris, HEL 7882-5) padomnieks tieslietu jautājumos Joni Heliskoski pārstāv Somiju Tiesā.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2B40" w14:textId="77777777" w:rsidR="00E04280" w:rsidRPr="007120AC" w:rsidRDefault="00E04280">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2258" w14:textId="77777777" w:rsidR="005D7542" w:rsidRPr="00832E2F" w:rsidRDefault="005D7542" w:rsidP="005D7542">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574F6E85" w14:textId="77777777" w:rsidR="005D7542" w:rsidRPr="00832E2F" w:rsidRDefault="005D7542" w:rsidP="005D7542">
    <w:pPr>
      <w:pStyle w:val="Header"/>
      <w:tabs>
        <w:tab w:val="clear" w:pos="4513"/>
        <w:tab w:val="clear" w:pos="9026"/>
        <w:tab w:val="righ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1D4FDB61" w14:textId="77777777" w:rsidR="005D7542" w:rsidRPr="00832E2F" w:rsidRDefault="005D7542" w:rsidP="005D7542">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045D" w14:textId="77777777" w:rsidR="005D7542" w:rsidRPr="00832E2F" w:rsidRDefault="005D7542" w:rsidP="005D7542">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51A21B75" w14:textId="77777777" w:rsidR="005D7542" w:rsidRPr="00832E2F" w:rsidRDefault="005D7542" w:rsidP="005D7542">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61341"/>
    <w:multiLevelType w:val="hybridMultilevel"/>
    <w:tmpl w:val="A358D380"/>
    <w:lvl w:ilvl="0" w:tplc="5290BB50">
      <w:start w:val="1"/>
      <w:numFmt w:val="lowerLetter"/>
      <w:lvlText w:val="%1)"/>
      <w:lvlJc w:val="left"/>
      <w:pPr>
        <w:ind w:left="1218" w:hanging="268"/>
      </w:pPr>
      <w:rPr>
        <w:rFonts w:ascii="Times New Roman" w:eastAsia="Times New Roman" w:hAnsi="Times New Roman" w:hint="default"/>
        <w:i/>
        <w:sz w:val="25"/>
        <w:szCs w:val="25"/>
      </w:rPr>
    </w:lvl>
    <w:lvl w:ilvl="1" w:tplc="A0881A6E">
      <w:start w:val="1"/>
      <w:numFmt w:val="bullet"/>
      <w:lvlText w:val="•"/>
      <w:lvlJc w:val="left"/>
      <w:pPr>
        <w:ind w:left="2000" w:hanging="268"/>
      </w:pPr>
      <w:rPr>
        <w:rFonts w:hint="default"/>
      </w:rPr>
    </w:lvl>
    <w:lvl w:ilvl="2" w:tplc="3A2E57F8">
      <w:start w:val="1"/>
      <w:numFmt w:val="bullet"/>
      <w:lvlText w:val="•"/>
      <w:lvlJc w:val="left"/>
      <w:pPr>
        <w:ind w:left="2783" w:hanging="268"/>
      </w:pPr>
      <w:rPr>
        <w:rFonts w:hint="default"/>
      </w:rPr>
    </w:lvl>
    <w:lvl w:ilvl="3" w:tplc="45F05406">
      <w:start w:val="1"/>
      <w:numFmt w:val="bullet"/>
      <w:lvlText w:val="•"/>
      <w:lvlJc w:val="left"/>
      <w:pPr>
        <w:ind w:left="3566" w:hanging="268"/>
      </w:pPr>
      <w:rPr>
        <w:rFonts w:hint="default"/>
      </w:rPr>
    </w:lvl>
    <w:lvl w:ilvl="4" w:tplc="E5720984">
      <w:start w:val="1"/>
      <w:numFmt w:val="bullet"/>
      <w:lvlText w:val="•"/>
      <w:lvlJc w:val="left"/>
      <w:pPr>
        <w:ind w:left="4348" w:hanging="268"/>
      </w:pPr>
      <w:rPr>
        <w:rFonts w:hint="default"/>
      </w:rPr>
    </w:lvl>
    <w:lvl w:ilvl="5" w:tplc="5C54615C">
      <w:start w:val="1"/>
      <w:numFmt w:val="bullet"/>
      <w:lvlText w:val="•"/>
      <w:lvlJc w:val="left"/>
      <w:pPr>
        <w:ind w:left="5131" w:hanging="268"/>
      </w:pPr>
      <w:rPr>
        <w:rFonts w:hint="default"/>
      </w:rPr>
    </w:lvl>
    <w:lvl w:ilvl="6" w:tplc="7DD62050">
      <w:start w:val="1"/>
      <w:numFmt w:val="bullet"/>
      <w:lvlText w:val="•"/>
      <w:lvlJc w:val="left"/>
      <w:pPr>
        <w:ind w:left="5914" w:hanging="268"/>
      </w:pPr>
      <w:rPr>
        <w:rFonts w:hint="default"/>
      </w:rPr>
    </w:lvl>
    <w:lvl w:ilvl="7" w:tplc="E8FA7ADC">
      <w:start w:val="1"/>
      <w:numFmt w:val="bullet"/>
      <w:lvlText w:val="•"/>
      <w:lvlJc w:val="left"/>
      <w:pPr>
        <w:ind w:left="6696" w:hanging="268"/>
      </w:pPr>
      <w:rPr>
        <w:rFonts w:hint="default"/>
      </w:rPr>
    </w:lvl>
    <w:lvl w:ilvl="8" w:tplc="C2D4E9D2">
      <w:start w:val="1"/>
      <w:numFmt w:val="bullet"/>
      <w:lvlText w:val="•"/>
      <w:lvlJc w:val="left"/>
      <w:pPr>
        <w:ind w:left="7479" w:hanging="268"/>
      </w:pPr>
      <w:rPr>
        <w:rFonts w:hint="default"/>
      </w:rPr>
    </w:lvl>
  </w:abstractNum>
  <w:abstractNum w:abstractNumId="1" w15:restartNumberingAfterBreak="0">
    <w:nsid w:val="20395EDD"/>
    <w:multiLevelType w:val="hybridMultilevel"/>
    <w:tmpl w:val="41CCA3D2"/>
    <w:lvl w:ilvl="0" w:tplc="4CE0B2C0">
      <w:start w:val="1"/>
      <w:numFmt w:val="lowerLetter"/>
      <w:lvlText w:val="%1)"/>
      <w:lvlJc w:val="left"/>
      <w:pPr>
        <w:ind w:left="1325" w:hanging="358"/>
      </w:pPr>
      <w:rPr>
        <w:rFonts w:ascii="Times New Roman" w:eastAsia="Times New Roman" w:hAnsi="Times New Roman" w:hint="default"/>
        <w:i/>
        <w:sz w:val="25"/>
        <w:szCs w:val="25"/>
      </w:rPr>
    </w:lvl>
    <w:lvl w:ilvl="1" w:tplc="093EDEBE">
      <w:start w:val="1"/>
      <w:numFmt w:val="bullet"/>
      <w:lvlText w:val="•"/>
      <w:lvlJc w:val="left"/>
      <w:pPr>
        <w:ind w:left="2051" w:hanging="358"/>
      </w:pPr>
      <w:rPr>
        <w:rFonts w:hint="default"/>
      </w:rPr>
    </w:lvl>
    <w:lvl w:ilvl="2" w:tplc="D66A23AA">
      <w:start w:val="1"/>
      <w:numFmt w:val="bullet"/>
      <w:lvlText w:val="•"/>
      <w:lvlJc w:val="left"/>
      <w:pPr>
        <w:ind w:left="2777" w:hanging="358"/>
      </w:pPr>
      <w:rPr>
        <w:rFonts w:hint="default"/>
      </w:rPr>
    </w:lvl>
    <w:lvl w:ilvl="3" w:tplc="AA9CD34C">
      <w:start w:val="1"/>
      <w:numFmt w:val="bullet"/>
      <w:lvlText w:val="•"/>
      <w:lvlJc w:val="left"/>
      <w:pPr>
        <w:ind w:left="3503" w:hanging="358"/>
      </w:pPr>
      <w:rPr>
        <w:rFonts w:hint="default"/>
      </w:rPr>
    </w:lvl>
    <w:lvl w:ilvl="4" w:tplc="B5B6A294">
      <w:start w:val="1"/>
      <w:numFmt w:val="bullet"/>
      <w:lvlText w:val="•"/>
      <w:lvlJc w:val="left"/>
      <w:pPr>
        <w:ind w:left="4229" w:hanging="358"/>
      </w:pPr>
      <w:rPr>
        <w:rFonts w:hint="default"/>
      </w:rPr>
    </w:lvl>
    <w:lvl w:ilvl="5" w:tplc="907AF9DA">
      <w:start w:val="1"/>
      <w:numFmt w:val="bullet"/>
      <w:lvlText w:val="•"/>
      <w:lvlJc w:val="left"/>
      <w:pPr>
        <w:ind w:left="4955" w:hanging="358"/>
      </w:pPr>
      <w:rPr>
        <w:rFonts w:hint="default"/>
      </w:rPr>
    </w:lvl>
    <w:lvl w:ilvl="6" w:tplc="ECC254C2">
      <w:start w:val="1"/>
      <w:numFmt w:val="bullet"/>
      <w:lvlText w:val="•"/>
      <w:lvlJc w:val="left"/>
      <w:pPr>
        <w:ind w:left="5681" w:hanging="358"/>
      </w:pPr>
      <w:rPr>
        <w:rFonts w:hint="default"/>
      </w:rPr>
    </w:lvl>
    <w:lvl w:ilvl="7" w:tplc="FBCC89CE">
      <w:start w:val="1"/>
      <w:numFmt w:val="bullet"/>
      <w:lvlText w:val="•"/>
      <w:lvlJc w:val="left"/>
      <w:pPr>
        <w:ind w:left="6407" w:hanging="358"/>
      </w:pPr>
      <w:rPr>
        <w:rFonts w:hint="default"/>
      </w:rPr>
    </w:lvl>
    <w:lvl w:ilvl="8" w:tplc="321EFFD6">
      <w:start w:val="1"/>
      <w:numFmt w:val="bullet"/>
      <w:lvlText w:val="•"/>
      <w:lvlJc w:val="left"/>
      <w:pPr>
        <w:ind w:left="7133" w:hanging="358"/>
      </w:pPr>
      <w:rPr>
        <w:rFonts w:hint="default"/>
      </w:rPr>
    </w:lvl>
  </w:abstractNum>
  <w:abstractNum w:abstractNumId="2" w15:restartNumberingAfterBreak="0">
    <w:nsid w:val="34B373FF"/>
    <w:multiLevelType w:val="hybridMultilevel"/>
    <w:tmpl w:val="79567234"/>
    <w:lvl w:ilvl="0" w:tplc="8F589C08">
      <w:start w:val="1"/>
      <w:numFmt w:val="decimal"/>
      <w:lvlText w:val="%1)"/>
      <w:lvlJc w:val="left"/>
      <w:pPr>
        <w:ind w:left="650" w:hanging="310"/>
      </w:pPr>
      <w:rPr>
        <w:rFonts w:ascii="Times New Roman" w:eastAsia="Times New Roman" w:hAnsi="Times New Roman" w:hint="default"/>
        <w:i/>
        <w:sz w:val="25"/>
        <w:szCs w:val="25"/>
      </w:rPr>
    </w:lvl>
    <w:lvl w:ilvl="1" w:tplc="8258F816">
      <w:start w:val="1"/>
      <w:numFmt w:val="bullet"/>
      <w:lvlText w:val="•"/>
      <w:lvlJc w:val="left"/>
      <w:pPr>
        <w:ind w:left="1489" w:hanging="310"/>
      </w:pPr>
      <w:rPr>
        <w:rFonts w:hint="default"/>
      </w:rPr>
    </w:lvl>
    <w:lvl w:ilvl="2" w:tplc="099858AC">
      <w:start w:val="1"/>
      <w:numFmt w:val="bullet"/>
      <w:lvlText w:val="•"/>
      <w:lvlJc w:val="left"/>
      <w:pPr>
        <w:ind w:left="2329" w:hanging="310"/>
      </w:pPr>
      <w:rPr>
        <w:rFonts w:hint="default"/>
      </w:rPr>
    </w:lvl>
    <w:lvl w:ilvl="3" w:tplc="21120F08">
      <w:start w:val="1"/>
      <w:numFmt w:val="bullet"/>
      <w:lvlText w:val="•"/>
      <w:lvlJc w:val="left"/>
      <w:pPr>
        <w:ind w:left="3168" w:hanging="310"/>
      </w:pPr>
      <w:rPr>
        <w:rFonts w:hint="default"/>
      </w:rPr>
    </w:lvl>
    <w:lvl w:ilvl="4" w:tplc="018EE9A4">
      <w:start w:val="1"/>
      <w:numFmt w:val="bullet"/>
      <w:lvlText w:val="•"/>
      <w:lvlJc w:val="left"/>
      <w:pPr>
        <w:ind w:left="4008" w:hanging="310"/>
      </w:pPr>
      <w:rPr>
        <w:rFonts w:hint="default"/>
      </w:rPr>
    </w:lvl>
    <w:lvl w:ilvl="5" w:tplc="E320C0B4">
      <w:start w:val="1"/>
      <w:numFmt w:val="bullet"/>
      <w:lvlText w:val="•"/>
      <w:lvlJc w:val="left"/>
      <w:pPr>
        <w:ind w:left="4847" w:hanging="310"/>
      </w:pPr>
      <w:rPr>
        <w:rFonts w:hint="default"/>
      </w:rPr>
    </w:lvl>
    <w:lvl w:ilvl="6" w:tplc="4BD2359A">
      <w:start w:val="1"/>
      <w:numFmt w:val="bullet"/>
      <w:lvlText w:val="•"/>
      <w:lvlJc w:val="left"/>
      <w:pPr>
        <w:ind w:left="5687" w:hanging="310"/>
      </w:pPr>
      <w:rPr>
        <w:rFonts w:hint="default"/>
      </w:rPr>
    </w:lvl>
    <w:lvl w:ilvl="7" w:tplc="BEE27608">
      <w:start w:val="1"/>
      <w:numFmt w:val="bullet"/>
      <w:lvlText w:val="•"/>
      <w:lvlJc w:val="left"/>
      <w:pPr>
        <w:ind w:left="6526" w:hanging="310"/>
      </w:pPr>
      <w:rPr>
        <w:rFonts w:hint="default"/>
      </w:rPr>
    </w:lvl>
    <w:lvl w:ilvl="8" w:tplc="85C66ACC">
      <w:start w:val="1"/>
      <w:numFmt w:val="bullet"/>
      <w:lvlText w:val="•"/>
      <w:lvlJc w:val="left"/>
      <w:pPr>
        <w:ind w:left="7366" w:hanging="310"/>
      </w:pPr>
      <w:rPr>
        <w:rFonts w:hint="default"/>
      </w:rPr>
    </w:lvl>
  </w:abstractNum>
  <w:abstractNum w:abstractNumId="3" w15:restartNumberingAfterBreak="0">
    <w:nsid w:val="3E1B4C07"/>
    <w:multiLevelType w:val="hybridMultilevel"/>
    <w:tmpl w:val="D59C4E9E"/>
    <w:lvl w:ilvl="0" w:tplc="7284AE5E">
      <w:start w:val="3"/>
      <w:numFmt w:val="decimal"/>
      <w:lvlText w:val="%1."/>
      <w:lvlJc w:val="left"/>
      <w:pPr>
        <w:ind w:left="1358" w:hanging="708"/>
      </w:pPr>
      <w:rPr>
        <w:rFonts w:ascii="Times New Roman" w:eastAsia="Times New Roman" w:hAnsi="Times New Roman" w:hint="default"/>
        <w:b/>
        <w:bCs/>
        <w:sz w:val="24"/>
        <w:szCs w:val="24"/>
      </w:rPr>
    </w:lvl>
    <w:lvl w:ilvl="1" w:tplc="CC74F644">
      <w:start w:val="1"/>
      <w:numFmt w:val="bullet"/>
      <w:lvlText w:val="•"/>
      <w:lvlJc w:val="left"/>
      <w:pPr>
        <w:ind w:left="2126" w:hanging="708"/>
      </w:pPr>
      <w:rPr>
        <w:rFonts w:hint="default"/>
      </w:rPr>
    </w:lvl>
    <w:lvl w:ilvl="2" w:tplc="41641FE2">
      <w:start w:val="1"/>
      <w:numFmt w:val="bullet"/>
      <w:lvlText w:val="•"/>
      <w:lvlJc w:val="left"/>
      <w:pPr>
        <w:ind w:left="2895" w:hanging="708"/>
      </w:pPr>
      <w:rPr>
        <w:rFonts w:hint="default"/>
      </w:rPr>
    </w:lvl>
    <w:lvl w:ilvl="3" w:tplc="AC0AB0AA">
      <w:start w:val="1"/>
      <w:numFmt w:val="bullet"/>
      <w:lvlText w:val="•"/>
      <w:lvlJc w:val="left"/>
      <w:pPr>
        <w:ind w:left="3664" w:hanging="708"/>
      </w:pPr>
      <w:rPr>
        <w:rFonts w:hint="default"/>
      </w:rPr>
    </w:lvl>
    <w:lvl w:ilvl="4" w:tplc="F05A5A2E">
      <w:start w:val="1"/>
      <w:numFmt w:val="bullet"/>
      <w:lvlText w:val="•"/>
      <w:lvlJc w:val="left"/>
      <w:pPr>
        <w:ind w:left="4432" w:hanging="708"/>
      </w:pPr>
      <w:rPr>
        <w:rFonts w:hint="default"/>
      </w:rPr>
    </w:lvl>
    <w:lvl w:ilvl="5" w:tplc="FC90BE52">
      <w:start w:val="1"/>
      <w:numFmt w:val="bullet"/>
      <w:lvlText w:val="•"/>
      <w:lvlJc w:val="left"/>
      <w:pPr>
        <w:ind w:left="5201" w:hanging="708"/>
      </w:pPr>
      <w:rPr>
        <w:rFonts w:hint="default"/>
      </w:rPr>
    </w:lvl>
    <w:lvl w:ilvl="6" w:tplc="E52A2DA2">
      <w:start w:val="1"/>
      <w:numFmt w:val="bullet"/>
      <w:lvlText w:val="•"/>
      <w:lvlJc w:val="left"/>
      <w:pPr>
        <w:ind w:left="5970" w:hanging="708"/>
      </w:pPr>
      <w:rPr>
        <w:rFonts w:hint="default"/>
      </w:rPr>
    </w:lvl>
    <w:lvl w:ilvl="7" w:tplc="EF064AE8">
      <w:start w:val="1"/>
      <w:numFmt w:val="bullet"/>
      <w:lvlText w:val="•"/>
      <w:lvlJc w:val="left"/>
      <w:pPr>
        <w:ind w:left="6738" w:hanging="708"/>
      </w:pPr>
      <w:rPr>
        <w:rFonts w:hint="default"/>
      </w:rPr>
    </w:lvl>
    <w:lvl w:ilvl="8" w:tplc="F5E63068">
      <w:start w:val="1"/>
      <w:numFmt w:val="bullet"/>
      <w:lvlText w:val="•"/>
      <w:lvlJc w:val="left"/>
      <w:pPr>
        <w:ind w:left="7507" w:hanging="708"/>
      </w:pPr>
      <w:rPr>
        <w:rFonts w:hint="default"/>
      </w:rPr>
    </w:lvl>
  </w:abstractNum>
  <w:abstractNum w:abstractNumId="4" w15:restartNumberingAfterBreak="0">
    <w:nsid w:val="406A5E56"/>
    <w:multiLevelType w:val="hybridMultilevel"/>
    <w:tmpl w:val="B830BE28"/>
    <w:lvl w:ilvl="0" w:tplc="A7ACFA58">
      <w:start w:val="2"/>
      <w:numFmt w:val="decimal"/>
      <w:lvlText w:val="%1)"/>
      <w:lvlJc w:val="left"/>
      <w:pPr>
        <w:ind w:left="758" w:hanging="300"/>
      </w:pPr>
      <w:rPr>
        <w:rFonts w:ascii="Times New Roman" w:eastAsia="Times New Roman" w:hAnsi="Times New Roman" w:hint="default"/>
        <w:i/>
        <w:sz w:val="25"/>
        <w:szCs w:val="25"/>
      </w:rPr>
    </w:lvl>
    <w:lvl w:ilvl="1" w:tplc="9A9CC65A">
      <w:start w:val="1"/>
      <w:numFmt w:val="lowerLetter"/>
      <w:lvlText w:val="%2)"/>
      <w:lvlJc w:val="left"/>
      <w:pPr>
        <w:ind w:left="758" w:hanging="368"/>
      </w:pPr>
      <w:rPr>
        <w:rFonts w:ascii="Times New Roman" w:eastAsia="Times New Roman" w:hAnsi="Times New Roman" w:hint="default"/>
        <w:i/>
        <w:sz w:val="25"/>
        <w:szCs w:val="25"/>
      </w:rPr>
    </w:lvl>
    <w:lvl w:ilvl="2" w:tplc="009CC996">
      <w:start w:val="1"/>
      <w:numFmt w:val="bullet"/>
      <w:lvlText w:val="•"/>
      <w:lvlJc w:val="left"/>
      <w:pPr>
        <w:ind w:left="2323" w:hanging="368"/>
      </w:pPr>
      <w:rPr>
        <w:rFonts w:hint="default"/>
      </w:rPr>
    </w:lvl>
    <w:lvl w:ilvl="3" w:tplc="01683EA8">
      <w:start w:val="1"/>
      <w:numFmt w:val="bullet"/>
      <w:lvlText w:val="•"/>
      <w:lvlJc w:val="left"/>
      <w:pPr>
        <w:ind w:left="3106" w:hanging="368"/>
      </w:pPr>
      <w:rPr>
        <w:rFonts w:hint="default"/>
      </w:rPr>
    </w:lvl>
    <w:lvl w:ilvl="4" w:tplc="358468E8">
      <w:start w:val="1"/>
      <w:numFmt w:val="bullet"/>
      <w:lvlText w:val="•"/>
      <w:lvlJc w:val="left"/>
      <w:pPr>
        <w:ind w:left="3888" w:hanging="368"/>
      </w:pPr>
      <w:rPr>
        <w:rFonts w:hint="default"/>
      </w:rPr>
    </w:lvl>
    <w:lvl w:ilvl="5" w:tplc="24F88B42">
      <w:start w:val="1"/>
      <w:numFmt w:val="bullet"/>
      <w:lvlText w:val="•"/>
      <w:lvlJc w:val="left"/>
      <w:pPr>
        <w:ind w:left="4671" w:hanging="368"/>
      </w:pPr>
      <w:rPr>
        <w:rFonts w:hint="default"/>
      </w:rPr>
    </w:lvl>
    <w:lvl w:ilvl="6" w:tplc="F4DEA2DE">
      <w:start w:val="1"/>
      <w:numFmt w:val="bullet"/>
      <w:lvlText w:val="•"/>
      <w:lvlJc w:val="left"/>
      <w:pPr>
        <w:ind w:left="5454" w:hanging="368"/>
      </w:pPr>
      <w:rPr>
        <w:rFonts w:hint="default"/>
      </w:rPr>
    </w:lvl>
    <w:lvl w:ilvl="7" w:tplc="D030767C">
      <w:start w:val="1"/>
      <w:numFmt w:val="bullet"/>
      <w:lvlText w:val="•"/>
      <w:lvlJc w:val="left"/>
      <w:pPr>
        <w:ind w:left="6236" w:hanging="368"/>
      </w:pPr>
      <w:rPr>
        <w:rFonts w:hint="default"/>
      </w:rPr>
    </w:lvl>
    <w:lvl w:ilvl="8" w:tplc="F83E1FB2">
      <w:start w:val="1"/>
      <w:numFmt w:val="bullet"/>
      <w:lvlText w:val="•"/>
      <w:lvlJc w:val="left"/>
      <w:pPr>
        <w:ind w:left="7019" w:hanging="368"/>
      </w:pPr>
      <w:rPr>
        <w:rFonts w:hint="default"/>
      </w:rPr>
    </w:lvl>
  </w:abstractNum>
  <w:abstractNum w:abstractNumId="5" w15:restartNumberingAfterBreak="0">
    <w:nsid w:val="501C1A44"/>
    <w:multiLevelType w:val="hybridMultilevel"/>
    <w:tmpl w:val="D5EEC3F8"/>
    <w:lvl w:ilvl="0" w:tplc="7B0CECC0">
      <w:start w:val="2"/>
      <w:numFmt w:val="decimal"/>
      <w:lvlText w:val="%1"/>
      <w:lvlJc w:val="left"/>
      <w:pPr>
        <w:ind w:left="650" w:hanging="540"/>
      </w:pPr>
      <w:rPr>
        <w:rFonts w:ascii="Times New Roman" w:eastAsia="Times New Roman" w:hAnsi="Times New Roman" w:hint="default"/>
        <w:sz w:val="25"/>
        <w:szCs w:val="25"/>
      </w:rPr>
    </w:lvl>
    <w:lvl w:ilvl="1" w:tplc="2BACC614">
      <w:start w:val="1"/>
      <w:numFmt w:val="decimal"/>
      <w:lvlText w:val="%2."/>
      <w:lvlJc w:val="left"/>
      <w:pPr>
        <w:ind w:left="1218" w:hanging="568"/>
      </w:pPr>
      <w:rPr>
        <w:rFonts w:ascii="Times New Roman" w:eastAsia="Times New Roman" w:hAnsi="Times New Roman" w:hint="default"/>
        <w:i/>
        <w:sz w:val="24"/>
        <w:szCs w:val="24"/>
      </w:rPr>
    </w:lvl>
    <w:lvl w:ilvl="2" w:tplc="7220B0F6">
      <w:start w:val="1"/>
      <w:numFmt w:val="bullet"/>
      <w:lvlText w:val="•"/>
      <w:lvlJc w:val="left"/>
      <w:pPr>
        <w:ind w:left="2087" w:hanging="568"/>
      </w:pPr>
      <w:rPr>
        <w:rFonts w:hint="default"/>
      </w:rPr>
    </w:lvl>
    <w:lvl w:ilvl="3" w:tplc="83B2E998">
      <w:start w:val="1"/>
      <w:numFmt w:val="bullet"/>
      <w:lvlText w:val="•"/>
      <w:lvlJc w:val="left"/>
      <w:pPr>
        <w:ind w:left="2957" w:hanging="568"/>
      </w:pPr>
      <w:rPr>
        <w:rFonts w:hint="default"/>
      </w:rPr>
    </w:lvl>
    <w:lvl w:ilvl="4" w:tplc="126877FA">
      <w:start w:val="1"/>
      <w:numFmt w:val="bullet"/>
      <w:lvlText w:val="•"/>
      <w:lvlJc w:val="left"/>
      <w:pPr>
        <w:ind w:left="3827" w:hanging="568"/>
      </w:pPr>
      <w:rPr>
        <w:rFonts w:hint="default"/>
      </w:rPr>
    </w:lvl>
    <w:lvl w:ilvl="5" w:tplc="2A5C84A0">
      <w:start w:val="1"/>
      <w:numFmt w:val="bullet"/>
      <w:lvlText w:val="•"/>
      <w:lvlJc w:val="left"/>
      <w:pPr>
        <w:ind w:left="4696" w:hanging="568"/>
      </w:pPr>
      <w:rPr>
        <w:rFonts w:hint="default"/>
      </w:rPr>
    </w:lvl>
    <w:lvl w:ilvl="6" w:tplc="66846F9E">
      <w:start w:val="1"/>
      <w:numFmt w:val="bullet"/>
      <w:lvlText w:val="•"/>
      <w:lvlJc w:val="left"/>
      <w:pPr>
        <w:ind w:left="5566" w:hanging="568"/>
      </w:pPr>
      <w:rPr>
        <w:rFonts w:hint="default"/>
      </w:rPr>
    </w:lvl>
    <w:lvl w:ilvl="7" w:tplc="6A80287A">
      <w:start w:val="1"/>
      <w:numFmt w:val="bullet"/>
      <w:lvlText w:val="•"/>
      <w:lvlJc w:val="left"/>
      <w:pPr>
        <w:ind w:left="6436" w:hanging="568"/>
      </w:pPr>
      <w:rPr>
        <w:rFonts w:hint="default"/>
      </w:rPr>
    </w:lvl>
    <w:lvl w:ilvl="8" w:tplc="55865170">
      <w:start w:val="1"/>
      <w:numFmt w:val="bullet"/>
      <w:lvlText w:val="•"/>
      <w:lvlJc w:val="left"/>
      <w:pPr>
        <w:ind w:left="7305" w:hanging="568"/>
      </w:pPr>
      <w:rPr>
        <w:rFont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04280"/>
    <w:rsid w:val="005D7542"/>
    <w:rsid w:val="007120AC"/>
    <w:rsid w:val="008C54BF"/>
    <w:rsid w:val="00B21483"/>
    <w:rsid w:val="00B5209B"/>
    <w:rsid w:val="00E04280"/>
    <w:rsid w:val="00FD48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0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70"/>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2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0AC"/>
    <w:rPr>
      <w:rFonts w:ascii="Segoe UI" w:hAnsi="Segoe UI" w:cs="Segoe UI"/>
      <w:sz w:val="18"/>
      <w:szCs w:val="18"/>
    </w:rPr>
  </w:style>
  <w:style w:type="paragraph" w:styleId="Header">
    <w:name w:val="header"/>
    <w:basedOn w:val="Normal"/>
    <w:link w:val="HeaderChar"/>
    <w:unhideWhenUsed/>
    <w:rsid w:val="007120AC"/>
    <w:pPr>
      <w:tabs>
        <w:tab w:val="center" w:pos="4513"/>
        <w:tab w:val="right" w:pos="9026"/>
      </w:tabs>
    </w:pPr>
  </w:style>
  <w:style w:type="character" w:customStyle="1" w:styleId="HeaderChar">
    <w:name w:val="Header Char"/>
    <w:basedOn w:val="DefaultParagraphFont"/>
    <w:link w:val="Header"/>
    <w:uiPriority w:val="99"/>
    <w:rsid w:val="007120AC"/>
  </w:style>
  <w:style w:type="paragraph" w:styleId="Footer">
    <w:name w:val="footer"/>
    <w:basedOn w:val="Normal"/>
    <w:link w:val="FooterChar"/>
    <w:unhideWhenUsed/>
    <w:rsid w:val="007120AC"/>
    <w:pPr>
      <w:tabs>
        <w:tab w:val="center" w:pos="4513"/>
        <w:tab w:val="right" w:pos="9026"/>
      </w:tabs>
    </w:pPr>
  </w:style>
  <w:style w:type="character" w:customStyle="1" w:styleId="FooterChar">
    <w:name w:val="Footer Char"/>
    <w:basedOn w:val="DefaultParagraphFont"/>
    <w:link w:val="Footer"/>
    <w:uiPriority w:val="99"/>
    <w:rsid w:val="007120AC"/>
  </w:style>
  <w:style w:type="table" w:styleId="TableGrid">
    <w:name w:val="Table Grid"/>
    <w:basedOn w:val="TableNormal"/>
    <w:uiPriority w:val="39"/>
    <w:rsid w:val="00FD4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4805"/>
    <w:rPr>
      <w:sz w:val="20"/>
      <w:szCs w:val="20"/>
    </w:rPr>
  </w:style>
  <w:style w:type="character" w:customStyle="1" w:styleId="FootnoteTextChar">
    <w:name w:val="Footnote Text Char"/>
    <w:basedOn w:val="DefaultParagraphFont"/>
    <w:link w:val="FootnoteText"/>
    <w:uiPriority w:val="99"/>
    <w:semiHidden/>
    <w:rsid w:val="00FD4805"/>
    <w:rPr>
      <w:sz w:val="20"/>
      <w:szCs w:val="20"/>
    </w:rPr>
  </w:style>
  <w:style w:type="character" w:styleId="FootnoteReference">
    <w:name w:val="footnote reference"/>
    <w:basedOn w:val="DefaultParagraphFont"/>
    <w:uiPriority w:val="99"/>
    <w:semiHidden/>
    <w:unhideWhenUsed/>
    <w:rsid w:val="00FD4805"/>
    <w:rPr>
      <w:vertAlign w:val="superscript"/>
    </w:rPr>
  </w:style>
  <w:style w:type="character" w:styleId="PageNumber">
    <w:name w:val="page number"/>
    <w:basedOn w:val="DefaultParagraphFont"/>
    <w:semiHidden/>
    <w:rsid w:val="005D7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333A8-76A0-4A5A-8058-F1A6EA5B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9959</Words>
  <Characters>5678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2020-01-20T10:48:00Z</dcterms:created>
  <dcterms:modified xsi:type="dcterms:W3CDTF">2020-03-11T09:12:00Z</dcterms:modified>
</cp:coreProperties>
</file>