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D3A" w:rsidRDefault="00E85D3A" w:rsidP="005B3D69">
      <w:pPr>
        <w:spacing w:after="0" w:line="240" w:lineRule="auto"/>
        <w:jc w:val="center"/>
        <w:rPr>
          <w:rFonts w:ascii="Times New Roman" w:hAnsi="Times New Roman"/>
          <w:noProof/>
          <w:sz w:val="24"/>
        </w:rPr>
      </w:pPr>
      <w:r>
        <w:rPr>
          <w:rFonts w:ascii="Times New Roman" w:hAnsi="Times New Roman"/>
          <w:noProof/>
          <w:sz w:val="24"/>
        </w:rPr>
        <w:t>Republic of Latvia</w:t>
      </w:r>
    </w:p>
    <w:p w:rsidR="00E85D3A" w:rsidRDefault="00E85D3A" w:rsidP="005B3D69">
      <w:pPr>
        <w:spacing w:after="0" w:line="240" w:lineRule="auto"/>
        <w:jc w:val="center"/>
        <w:rPr>
          <w:rFonts w:ascii="Times New Roman" w:hAnsi="Times New Roman"/>
          <w:noProof/>
          <w:sz w:val="24"/>
        </w:rPr>
      </w:pPr>
    </w:p>
    <w:p w:rsidR="005B3D69" w:rsidRPr="005B3D69" w:rsidRDefault="005B3D69" w:rsidP="005B3D6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5B3D69" w:rsidRPr="005B3D69" w:rsidRDefault="005B3D69" w:rsidP="005B3D6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795</w:t>
      </w:r>
    </w:p>
    <w:p w:rsidR="005B3D69" w:rsidRDefault="005B3D69" w:rsidP="005B3D6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22 December 2015</w:t>
      </w:r>
    </w:p>
    <w:p w:rsidR="005B3D69" w:rsidRDefault="005B3D69" w:rsidP="005B3D69">
      <w:pPr>
        <w:spacing w:after="0" w:line="240" w:lineRule="auto"/>
        <w:jc w:val="both"/>
        <w:rPr>
          <w:rFonts w:ascii="Times New Roman" w:eastAsia="Times New Roman" w:hAnsi="Times New Roman" w:cs="Times New Roman"/>
          <w:noProof/>
          <w:sz w:val="24"/>
          <w:szCs w:val="24"/>
        </w:rPr>
      </w:pPr>
    </w:p>
    <w:p w:rsidR="005B3D69" w:rsidRDefault="005B3D69" w:rsidP="005B3D69">
      <w:pPr>
        <w:spacing w:after="0" w:line="240" w:lineRule="auto"/>
        <w:jc w:val="both"/>
        <w:rPr>
          <w:rFonts w:ascii="Times New Roman" w:eastAsia="Times New Roman" w:hAnsi="Times New Roman" w:cs="Times New Roman"/>
          <w:noProof/>
          <w:sz w:val="24"/>
          <w:szCs w:val="24"/>
        </w:rPr>
      </w:pPr>
    </w:p>
    <w:p w:rsidR="005B3D69" w:rsidRPr="0004455A" w:rsidRDefault="005B3D69" w:rsidP="0004455A">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Registration of Chemical Substances and Mixtures and Their Database</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04455A" w:rsidRPr="005B3D69" w:rsidRDefault="0004455A" w:rsidP="005B3D69">
      <w:pPr>
        <w:spacing w:after="0" w:line="240" w:lineRule="auto"/>
        <w:jc w:val="both"/>
        <w:rPr>
          <w:rFonts w:ascii="Times New Roman" w:eastAsia="Times New Roman" w:hAnsi="Times New Roman" w:cs="Times New Roman"/>
          <w:noProof/>
          <w:sz w:val="24"/>
          <w:szCs w:val="24"/>
        </w:rPr>
      </w:pPr>
    </w:p>
    <w:p w:rsidR="0004455A" w:rsidRPr="0004455A" w:rsidRDefault="005B3D69" w:rsidP="0004455A">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5B3D69" w:rsidRPr="0004455A" w:rsidRDefault="005B3D69" w:rsidP="0004455A">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7, Paragraph two of the Chemical Substances Law</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04455A" w:rsidRPr="005B3D69" w:rsidRDefault="0004455A" w:rsidP="005B3D69">
      <w:pPr>
        <w:spacing w:after="0" w:line="240" w:lineRule="auto"/>
        <w:jc w:val="both"/>
        <w:rPr>
          <w:rFonts w:ascii="Times New Roman" w:eastAsia="Times New Roman" w:hAnsi="Times New Roman" w:cs="Times New Roman"/>
          <w:noProof/>
          <w:sz w:val="24"/>
          <w:szCs w:val="24"/>
        </w:rPr>
      </w:pPr>
    </w:p>
    <w:p w:rsidR="005B3D69" w:rsidRPr="0004455A" w:rsidRDefault="005B3D69" w:rsidP="0004455A">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w:t>
      </w:r>
    </w:p>
    <w:p w:rsidR="0004455A" w:rsidRDefault="0004455A" w:rsidP="005B3D69">
      <w:pPr>
        <w:spacing w:after="0" w:line="240" w:lineRule="auto"/>
        <w:jc w:val="both"/>
        <w:rPr>
          <w:rFonts w:ascii="Times New Roman" w:eastAsia="Times New Roman" w:hAnsi="Times New Roman" w:cs="Times New Roman"/>
          <w:noProof/>
          <w:sz w:val="24"/>
          <w:szCs w:val="24"/>
        </w:rPr>
      </w:pPr>
      <w:bookmarkStart w:id="1" w:name="p-576397"/>
      <w:bookmarkEnd w:id="1"/>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determines the information which shall be provided, maintained, compiled and evaluated in the Database of Chemical Substances and Mixtures (hereinafter – the Database), as well as the procedures for registration of chemical substances and mixtures.</w:t>
      </w:r>
      <w:bookmarkStart w:id="2" w:name="p1"/>
      <w:bookmarkEnd w:id="2"/>
    </w:p>
    <w:p w:rsidR="0004455A" w:rsidRDefault="0004455A" w:rsidP="005B3D69">
      <w:pPr>
        <w:spacing w:after="0" w:line="240" w:lineRule="auto"/>
        <w:jc w:val="both"/>
        <w:rPr>
          <w:rFonts w:ascii="Times New Roman" w:eastAsia="Times New Roman" w:hAnsi="Times New Roman" w:cs="Times New Roman"/>
          <w:noProof/>
          <w:sz w:val="24"/>
          <w:szCs w:val="24"/>
        </w:rPr>
      </w:pPr>
      <w:bookmarkStart w:id="3" w:name="n2"/>
      <w:bookmarkEnd w:id="3"/>
    </w:p>
    <w:p w:rsidR="005B3D69" w:rsidRPr="0004455A" w:rsidRDefault="005B3D69" w:rsidP="0004455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Procedures for Registration of Chemical Substances and Mixtures</w:t>
      </w:r>
    </w:p>
    <w:p w:rsidR="0004455A" w:rsidRDefault="0004455A" w:rsidP="005B3D69">
      <w:pPr>
        <w:spacing w:after="0" w:line="240" w:lineRule="auto"/>
        <w:jc w:val="both"/>
        <w:rPr>
          <w:rFonts w:ascii="Times New Roman" w:eastAsia="Times New Roman" w:hAnsi="Times New Roman" w:cs="Times New Roman"/>
          <w:noProof/>
          <w:sz w:val="24"/>
          <w:szCs w:val="24"/>
        </w:rPr>
      </w:pPr>
      <w:bookmarkStart w:id="4" w:name="p-576399"/>
      <w:bookmarkEnd w:id="4"/>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person who performs activities involving chemical substances or mixtures (hereinafter – the performer of activities) shall ensure written registration of the following information:</w:t>
      </w:r>
      <w:bookmarkStart w:id="5" w:name="p2"/>
      <w:bookmarkEnd w:id="5"/>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name, quantity, classification and labelling of the chemical substance or mixture;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safety data sheet of the chemical substance or mixture if it is necessary in accordance with Article 31 of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(hereinafter – Regulation No 1907/2006) and Annex 1 to Regulation (EC) No 1272/2008 of the European Parliament and of the Council of 16 December 2008 on classification, labelling and packaging of substances and mixtures, amending and repealing Directives 67/548/EEC and 1999/45/EC, and amending Regulation (EC) No 1907/2006 (hereinafter – Regulation No 1272/2008).</w:t>
      </w:r>
    </w:p>
    <w:p w:rsidR="0004455A" w:rsidRDefault="0004455A" w:rsidP="005B3D69">
      <w:pPr>
        <w:spacing w:after="0" w:line="240" w:lineRule="auto"/>
        <w:jc w:val="both"/>
        <w:rPr>
          <w:rFonts w:ascii="Times New Roman" w:eastAsia="Times New Roman" w:hAnsi="Times New Roman" w:cs="Times New Roman"/>
          <w:noProof/>
          <w:sz w:val="24"/>
          <w:szCs w:val="24"/>
        </w:rPr>
      </w:pPr>
      <w:bookmarkStart w:id="6" w:name="p-576400"/>
      <w:bookmarkEnd w:id="6"/>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performer of activities shall perform inventory of chemical substances and mixtures at least once a year, update the information referred to in Paragraph 2 of this Regulation, and also ensure completeness and accuracy of such information.</w:t>
      </w:r>
      <w:bookmarkStart w:id="7" w:name="p3"/>
      <w:bookmarkEnd w:id="7"/>
    </w:p>
    <w:p w:rsidR="0004455A" w:rsidRDefault="0004455A" w:rsidP="005B3D69">
      <w:pPr>
        <w:spacing w:after="0" w:line="240" w:lineRule="auto"/>
        <w:jc w:val="both"/>
        <w:rPr>
          <w:rFonts w:ascii="Times New Roman" w:eastAsia="Times New Roman" w:hAnsi="Times New Roman" w:cs="Times New Roman"/>
          <w:noProof/>
          <w:sz w:val="24"/>
          <w:szCs w:val="24"/>
        </w:rPr>
      </w:pPr>
      <w:bookmarkStart w:id="8" w:name="n3"/>
      <w:bookmarkEnd w:id="8"/>
    </w:p>
    <w:p w:rsidR="005B3D69" w:rsidRPr="0004455A" w:rsidRDefault="005B3D69" w:rsidP="0004455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Reports On Activities Involving Chemical Substances and Mixtures</w:t>
      </w:r>
    </w:p>
    <w:p w:rsidR="0004455A" w:rsidRDefault="0004455A" w:rsidP="005B3D69">
      <w:pPr>
        <w:spacing w:after="0" w:line="240" w:lineRule="auto"/>
        <w:jc w:val="both"/>
        <w:rPr>
          <w:rFonts w:ascii="Times New Roman" w:eastAsia="Times New Roman" w:hAnsi="Times New Roman" w:cs="Times New Roman"/>
          <w:noProof/>
          <w:sz w:val="24"/>
          <w:szCs w:val="24"/>
        </w:rPr>
      </w:pPr>
      <w:bookmarkStart w:id="9" w:name="p-576402"/>
      <w:bookmarkEnd w:id="9"/>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person who manufactures the chemical substance or mixture or imports it in the territory of Latvia from another European Union Member State or any country outside the European Union (hereinafter – the submitter of the report) shall electronically register and complete the report on activities involving chemical substances and mixtures (hereinafter – the report) on the website of the State limited liability company “Latvian Environment, Geology and Meteorology Centre” (hereinafter – the Centre) upon entering into a contract with the Centre regarding the use of Joint Environmental Information System.</w:t>
      </w:r>
      <w:bookmarkStart w:id="10" w:name="p4"/>
      <w:bookmarkEnd w:id="10"/>
    </w:p>
    <w:p w:rsidR="0004455A" w:rsidRDefault="0004455A" w:rsidP="005B3D69">
      <w:pPr>
        <w:spacing w:after="0" w:line="240" w:lineRule="auto"/>
        <w:jc w:val="both"/>
        <w:rPr>
          <w:rFonts w:ascii="Times New Roman" w:eastAsia="Times New Roman" w:hAnsi="Times New Roman" w:cs="Times New Roman"/>
          <w:noProof/>
          <w:sz w:val="24"/>
          <w:szCs w:val="24"/>
        </w:rPr>
      </w:pPr>
      <w:bookmarkStart w:id="11" w:name="p-576403"/>
      <w:bookmarkEnd w:id="11"/>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Information shall be indicated in the report in accordance with the Annex to this Regulation.</w:t>
      </w:r>
      <w:bookmarkStart w:id="12" w:name="p5"/>
      <w:bookmarkEnd w:id="12"/>
    </w:p>
    <w:p w:rsidR="0004455A" w:rsidRDefault="0004455A" w:rsidP="005B3D69">
      <w:pPr>
        <w:spacing w:after="0" w:line="240" w:lineRule="auto"/>
        <w:jc w:val="both"/>
        <w:rPr>
          <w:rFonts w:ascii="Times New Roman" w:eastAsia="Times New Roman" w:hAnsi="Times New Roman" w:cs="Times New Roman"/>
          <w:noProof/>
          <w:sz w:val="24"/>
          <w:szCs w:val="24"/>
        </w:rPr>
      </w:pPr>
      <w:bookmarkStart w:id="13" w:name="p-576404"/>
      <w:bookmarkEnd w:id="13"/>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The submitter of the report shall complete the report on the previous calendar year by 1 March of the current year and ensure the veracity of the submitted information.</w:t>
      </w:r>
      <w:bookmarkStart w:id="14" w:name="p6"/>
      <w:bookmarkEnd w:id="14"/>
    </w:p>
    <w:p w:rsidR="0004455A" w:rsidRDefault="0004455A" w:rsidP="005B3D69">
      <w:pPr>
        <w:spacing w:after="0" w:line="240" w:lineRule="auto"/>
        <w:jc w:val="both"/>
        <w:rPr>
          <w:rFonts w:ascii="Times New Roman" w:eastAsia="Times New Roman" w:hAnsi="Times New Roman" w:cs="Times New Roman"/>
          <w:noProof/>
          <w:sz w:val="24"/>
          <w:szCs w:val="24"/>
        </w:rPr>
      </w:pPr>
      <w:bookmarkStart w:id="15" w:name="p-576405"/>
      <w:bookmarkEnd w:id="15"/>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report on chemical substances and mixtures imported or manufactured in the territory of Latvia shall be submitted if their quantity exceeds 100 kilograms per year.</w:t>
      </w:r>
      <w:bookmarkStart w:id="16" w:name="p7"/>
      <w:bookmarkEnd w:id="16"/>
    </w:p>
    <w:p w:rsidR="0004455A" w:rsidRDefault="0004455A" w:rsidP="005B3D69">
      <w:pPr>
        <w:spacing w:after="0" w:line="240" w:lineRule="auto"/>
        <w:jc w:val="both"/>
        <w:rPr>
          <w:rFonts w:ascii="Times New Roman" w:eastAsia="Times New Roman" w:hAnsi="Times New Roman" w:cs="Times New Roman"/>
          <w:noProof/>
          <w:sz w:val="24"/>
          <w:szCs w:val="24"/>
        </w:rPr>
      </w:pPr>
      <w:bookmarkStart w:id="17" w:name="p-576406"/>
      <w:bookmarkEnd w:id="17"/>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chemical substances and mixtures are classified as acutely toxic substances and mixtures of Categories 1, 2 and 3, carcinogenic substances and mixtures of Categories 1A and 1B, mutagenic substances and mixtures of Categories 1A and 1B, substances and mixtures of Categories 1A and 1B that are toxic for reproduction, substances and mixtures of Category 1 with specific target organ toxicity after single exposure (STOT SE), substances and mixtures of Category 1 with specific target organ toxicity after repeated exposure (STOT RE), or substances and mixtures of Category 1 with inhalation toxicity, a report on substances and mixtures imported or manufactured in the territory of Latvia shall be submitted if their quantity exceeds 10 kilograms per year.</w:t>
      </w:r>
      <w:bookmarkStart w:id="18" w:name="p8"/>
      <w:bookmarkEnd w:id="18"/>
    </w:p>
    <w:p w:rsidR="0004455A" w:rsidRDefault="0004455A" w:rsidP="005B3D69">
      <w:pPr>
        <w:spacing w:after="0" w:line="240" w:lineRule="auto"/>
        <w:jc w:val="both"/>
        <w:rPr>
          <w:rFonts w:ascii="Times New Roman" w:eastAsia="Times New Roman" w:hAnsi="Times New Roman" w:cs="Times New Roman"/>
          <w:noProof/>
          <w:sz w:val="24"/>
          <w:szCs w:val="24"/>
        </w:rPr>
      </w:pPr>
      <w:bookmarkStart w:id="19" w:name="p-576407"/>
      <w:bookmarkEnd w:id="19"/>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report shall not be submitted on:</w:t>
      </w:r>
      <w:bookmarkStart w:id="20" w:name="p9"/>
      <w:bookmarkEnd w:id="20"/>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manufactured intermediates if they are not intended for placing on the market;</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transport of chemical substances and mixtures;</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the substances mentioned in Paragraphs 1, 2, 3, 4, 5, 7, 8, 9, 10, 11, and 12 of Annex 5 to Regulation No 1907/2006;</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 chemical substances and mixtures which are not classified as hazardous and who, in accordance with Article 31 of Regulation No 1907/2006 and Annex 1 to Regulation No 1272/2008, do not need a safety data sheet.</w:t>
      </w:r>
    </w:p>
    <w:p w:rsidR="0004455A" w:rsidRDefault="0004455A" w:rsidP="005B3D69">
      <w:pPr>
        <w:spacing w:after="0" w:line="240" w:lineRule="auto"/>
        <w:jc w:val="both"/>
        <w:rPr>
          <w:rFonts w:ascii="Times New Roman" w:eastAsia="Times New Roman" w:hAnsi="Times New Roman" w:cs="Times New Roman"/>
          <w:noProof/>
          <w:sz w:val="24"/>
          <w:szCs w:val="24"/>
        </w:rPr>
      </w:pPr>
      <w:bookmarkStart w:id="21" w:name="p-576408"/>
      <w:bookmarkEnd w:id="21"/>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For hazardous chemical substances in the composition of the mixture the percentage concentration in the report shall be indicated:</w:t>
      </w:r>
      <w:bookmarkStart w:id="22" w:name="p10"/>
      <w:bookmarkEnd w:id="22"/>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as precisely as possible if the relevant substances are classified as acutely toxic substances of Categories 1, 2 and 3, substances of Category 1 and 2 with specific target organ toxicity after single exposure (STOT SE) or repeated exposure (STOT RE), substances of Categories 1A, 1B, and 1C with skin corrosion, and substances of Category 1 with irreversible effects on the eye;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concentration in interval or in accordance with the information provided by the manufacturer.</w:t>
      </w:r>
    </w:p>
    <w:p w:rsidR="0004455A" w:rsidRDefault="0004455A" w:rsidP="005B3D69">
      <w:pPr>
        <w:spacing w:after="0" w:line="240" w:lineRule="auto"/>
        <w:jc w:val="both"/>
        <w:rPr>
          <w:rFonts w:ascii="Times New Roman" w:eastAsia="Times New Roman" w:hAnsi="Times New Roman" w:cs="Times New Roman"/>
          <w:noProof/>
          <w:sz w:val="24"/>
          <w:szCs w:val="24"/>
        </w:rPr>
      </w:pPr>
      <w:bookmarkStart w:id="23" w:name="p-576409"/>
      <w:bookmarkEnd w:id="23"/>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there have been changes in the information submitted in accordance with Paragraph 1 or 2 of Annex to this Regulation, the submitter of the report shall notify the Centre thereof electronically within 10 working days.</w:t>
      </w:r>
      <w:bookmarkStart w:id="24" w:name="p11"/>
      <w:bookmarkEnd w:id="24"/>
    </w:p>
    <w:p w:rsidR="0004455A" w:rsidRDefault="0004455A" w:rsidP="005B3D69">
      <w:pPr>
        <w:spacing w:after="0" w:line="240" w:lineRule="auto"/>
        <w:jc w:val="both"/>
        <w:rPr>
          <w:rFonts w:ascii="Times New Roman" w:eastAsia="Times New Roman" w:hAnsi="Times New Roman" w:cs="Times New Roman"/>
          <w:noProof/>
          <w:sz w:val="24"/>
          <w:szCs w:val="24"/>
        </w:rPr>
      </w:pPr>
      <w:bookmarkStart w:id="25" w:name="p-576410"/>
      <w:bookmarkEnd w:id="25"/>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Centre shall create and maintain the Database, and also evaluate the conformity of the report with this Regulation, and if the information provided in the report is incomplete, request the submitter of the report to submit clarifications.</w:t>
      </w:r>
      <w:bookmarkStart w:id="26" w:name="p12"/>
      <w:bookmarkEnd w:id="26"/>
    </w:p>
    <w:p w:rsidR="0004455A" w:rsidRDefault="0004455A" w:rsidP="005B3D69">
      <w:pPr>
        <w:spacing w:after="0" w:line="240" w:lineRule="auto"/>
        <w:jc w:val="both"/>
        <w:rPr>
          <w:rFonts w:ascii="Times New Roman" w:eastAsia="Times New Roman" w:hAnsi="Times New Roman" w:cs="Times New Roman"/>
          <w:noProof/>
          <w:sz w:val="24"/>
          <w:szCs w:val="24"/>
        </w:rPr>
      </w:pPr>
      <w:bookmarkStart w:id="27" w:name="p-576411"/>
      <w:bookmarkEnd w:id="27"/>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To perform their functions, limited liability company “Rīgas Austrumu klīniskā universitātes slimnīca” [Riga East University Hospital], the Health Inspectorate, the State Labour Inspectorate, the State Fire and Rescue Service and the Security Police shall have an online access to the Database.</w:t>
      </w:r>
      <w:bookmarkStart w:id="28" w:name="p13"/>
      <w:bookmarkEnd w:id="28"/>
    </w:p>
    <w:p w:rsidR="0004455A" w:rsidRDefault="0004455A" w:rsidP="005B3D69">
      <w:pPr>
        <w:spacing w:after="0" w:line="240" w:lineRule="auto"/>
        <w:jc w:val="both"/>
        <w:rPr>
          <w:rFonts w:ascii="Times New Roman" w:eastAsia="Times New Roman" w:hAnsi="Times New Roman" w:cs="Times New Roman"/>
          <w:noProof/>
          <w:sz w:val="24"/>
          <w:szCs w:val="24"/>
        </w:rPr>
      </w:pPr>
      <w:bookmarkStart w:id="29" w:name="n4"/>
      <w:bookmarkEnd w:id="29"/>
    </w:p>
    <w:p w:rsidR="005B3D69" w:rsidRPr="0004455A" w:rsidRDefault="005B3D69" w:rsidP="00E85D3A">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Closing Provisions</w:t>
      </w:r>
    </w:p>
    <w:p w:rsidR="0004455A" w:rsidRDefault="0004455A" w:rsidP="00E85D3A">
      <w:pPr>
        <w:keepNext/>
        <w:spacing w:after="0" w:line="240" w:lineRule="auto"/>
        <w:jc w:val="both"/>
        <w:rPr>
          <w:rFonts w:ascii="Times New Roman" w:eastAsia="Times New Roman" w:hAnsi="Times New Roman" w:cs="Times New Roman"/>
          <w:noProof/>
          <w:sz w:val="24"/>
          <w:szCs w:val="24"/>
        </w:rPr>
      </w:pPr>
      <w:bookmarkStart w:id="30" w:name="p-576413"/>
      <w:bookmarkEnd w:id="30"/>
    </w:p>
    <w:p w:rsidR="005B3D69" w:rsidRPr="005B3D69" w:rsidRDefault="005B3D69" w:rsidP="00E85D3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Cabinet Regulation No. 575 of 29 June 2010, Regulations Regarding the Procedures for Registration of Chemical Substances and Mixtures and Their Database (</w:t>
      </w:r>
      <w:r>
        <w:rPr>
          <w:rFonts w:ascii="Times New Roman" w:hAnsi="Times New Roman"/>
          <w:i/>
          <w:noProof/>
          <w:sz w:val="24"/>
        </w:rPr>
        <w:t>Latvijas Vēstnesis</w:t>
      </w:r>
      <w:r>
        <w:rPr>
          <w:rFonts w:ascii="Times New Roman" w:hAnsi="Times New Roman"/>
          <w:noProof/>
          <w:sz w:val="24"/>
        </w:rPr>
        <w:t>, 2010, No. 104), is repealed.</w:t>
      </w:r>
      <w:bookmarkStart w:id="31" w:name="p14"/>
      <w:bookmarkEnd w:id="31"/>
    </w:p>
    <w:p w:rsidR="0004455A" w:rsidRDefault="0004455A" w:rsidP="005B3D69">
      <w:pPr>
        <w:spacing w:after="0" w:line="240" w:lineRule="auto"/>
        <w:jc w:val="both"/>
        <w:rPr>
          <w:rFonts w:ascii="Times New Roman" w:eastAsia="Times New Roman" w:hAnsi="Times New Roman" w:cs="Times New Roman"/>
          <w:noProof/>
          <w:sz w:val="24"/>
          <w:szCs w:val="24"/>
        </w:rPr>
      </w:pPr>
      <w:bookmarkStart w:id="32" w:name="p-576414"/>
      <w:bookmarkEnd w:id="32"/>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report on year 2015 shall be completed by the submitter of the report by 1 June 2016 ensuring the veracity of the submitted information.</w:t>
      </w:r>
      <w:bookmarkStart w:id="33" w:name="p15"/>
      <w:bookmarkEnd w:id="33"/>
    </w:p>
    <w:p w:rsidR="0004455A" w:rsidRDefault="0004455A" w:rsidP="005B3D69">
      <w:pPr>
        <w:spacing w:after="0" w:line="240" w:lineRule="auto"/>
        <w:jc w:val="both"/>
        <w:rPr>
          <w:rFonts w:ascii="Times New Roman" w:eastAsia="Times New Roman" w:hAnsi="Times New Roman" w:cs="Times New Roman"/>
          <w:noProof/>
          <w:sz w:val="24"/>
          <w:szCs w:val="24"/>
        </w:rPr>
      </w:pPr>
    </w:p>
    <w:p w:rsidR="0004455A" w:rsidRDefault="0004455A" w:rsidP="005B3D69">
      <w:pPr>
        <w:spacing w:after="0" w:line="240" w:lineRule="auto"/>
        <w:jc w:val="both"/>
        <w:rPr>
          <w:rFonts w:ascii="Times New Roman" w:eastAsia="Times New Roman" w:hAnsi="Times New Roman" w:cs="Times New Roman"/>
          <w:noProof/>
          <w:sz w:val="24"/>
          <w:szCs w:val="24"/>
        </w:rPr>
      </w:pPr>
    </w:p>
    <w:p w:rsidR="005B3D69" w:rsidRDefault="00E85D3A"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5B3D69">
        <w:rPr>
          <w:rFonts w:ascii="Times New Roman" w:hAnsi="Times New Roman"/>
          <w:noProof/>
          <w:sz w:val="24"/>
        </w:rPr>
        <w:t>Laimdota Straujuma</w:t>
      </w:r>
    </w:p>
    <w:p w:rsidR="005B3D69" w:rsidRDefault="005B3D69" w:rsidP="005B3D69">
      <w:pPr>
        <w:spacing w:after="0" w:line="240" w:lineRule="auto"/>
        <w:jc w:val="both"/>
        <w:rPr>
          <w:rFonts w:ascii="Times New Roman" w:eastAsia="Times New Roman" w:hAnsi="Times New Roman" w:cs="Times New Roman"/>
          <w:noProof/>
          <w:sz w:val="24"/>
          <w:szCs w:val="24"/>
        </w:rPr>
      </w:pPr>
    </w:p>
    <w:p w:rsidR="00E85D3A" w:rsidRDefault="005B3D69" w:rsidP="005B3D69">
      <w:pPr>
        <w:spacing w:after="0" w:line="240" w:lineRule="auto"/>
        <w:jc w:val="both"/>
        <w:rPr>
          <w:rFonts w:ascii="Times New Roman" w:hAnsi="Times New Roman"/>
          <w:noProof/>
          <w:sz w:val="24"/>
        </w:rPr>
      </w:pPr>
      <w:r>
        <w:rPr>
          <w:rFonts w:ascii="Times New Roman" w:hAnsi="Times New Roman"/>
          <w:noProof/>
          <w:sz w:val="24"/>
        </w:rPr>
        <w:t>Minister f</w:t>
      </w:r>
      <w:r w:rsidR="00E85D3A">
        <w:rPr>
          <w:rFonts w:ascii="Times New Roman" w:hAnsi="Times New Roman"/>
          <w:noProof/>
          <w:sz w:val="24"/>
        </w:rPr>
        <w:t>or Environmental Protection and</w:t>
      </w:r>
    </w:p>
    <w:p w:rsidR="005B3D69" w:rsidRDefault="00E85D3A"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Regional Development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5B3D69">
        <w:rPr>
          <w:rFonts w:ascii="Times New Roman" w:hAnsi="Times New Roman"/>
          <w:noProof/>
          <w:sz w:val="24"/>
        </w:rPr>
        <w:t>Kaspars Gerhards</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04455A" w:rsidRDefault="0004455A" w:rsidP="005B3D69">
      <w:pPr>
        <w:spacing w:after="0" w:line="240" w:lineRule="auto"/>
        <w:jc w:val="both"/>
        <w:rPr>
          <w:rFonts w:ascii="Times New Roman" w:eastAsia="Times New Roman" w:hAnsi="Times New Roman" w:cs="Times New Roman"/>
          <w:noProof/>
          <w:sz w:val="24"/>
          <w:szCs w:val="24"/>
        </w:rPr>
      </w:pPr>
    </w:p>
    <w:p w:rsidR="0004455A" w:rsidRDefault="0004455A">
      <w:pPr>
        <w:rPr>
          <w:rFonts w:ascii="Times New Roman" w:eastAsia="Times New Roman" w:hAnsi="Times New Roman" w:cs="Times New Roman"/>
          <w:noProof/>
          <w:sz w:val="24"/>
          <w:szCs w:val="24"/>
        </w:rPr>
      </w:pPr>
      <w:r>
        <w:br w:type="page"/>
      </w:r>
    </w:p>
    <w:p w:rsidR="0004455A" w:rsidRPr="005B3D69" w:rsidRDefault="0004455A" w:rsidP="005B3D69">
      <w:pPr>
        <w:spacing w:after="0" w:line="240" w:lineRule="auto"/>
        <w:jc w:val="both"/>
        <w:rPr>
          <w:rFonts w:ascii="Times New Roman" w:eastAsia="Times New Roman" w:hAnsi="Times New Roman" w:cs="Times New Roman"/>
          <w:noProof/>
          <w:sz w:val="24"/>
          <w:szCs w:val="24"/>
        </w:rPr>
      </w:pPr>
    </w:p>
    <w:p w:rsidR="005B3D69" w:rsidRPr="0004455A" w:rsidRDefault="005B3D69" w:rsidP="0004455A">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w:t>
      </w:r>
    </w:p>
    <w:p w:rsidR="005B3D69" w:rsidRDefault="005B3D69" w:rsidP="0004455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C55A23">
        <w:rPr>
          <w:rFonts w:ascii="Times New Roman" w:hAnsi="Times New Roman"/>
          <w:noProof/>
          <w:sz w:val="24"/>
        </w:rPr>
        <w:t xml:space="preserve"> </w:t>
      </w:r>
      <w:r>
        <w:rPr>
          <w:rFonts w:ascii="Times New Roman" w:hAnsi="Times New Roman"/>
          <w:noProof/>
          <w:sz w:val="24"/>
        </w:rPr>
        <w:t>Regulation No. 795</w:t>
      </w:r>
    </w:p>
    <w:p w:rsidR="005B3D69" w:rsidRDefault="005B3D69" w:rsidP="0004455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34" w:name="piel0"/>
      <w:bookmarkEnd w:id="34"/>
    </w:p>
    <w:p w:rsidR="0004455A" w:rsidRDefault="0004455A" w:rsidP="005B3D69">
      <w:pPr>
        <w:spacing w:after="0" w:line="240" w:lineRule="auto"/>
        <w:jc w:val="both"/>
        <w:rPr>
          <w:rFonts w:ascii="Times New Roman" w:eastAsia="Times New Roman" w:hAnsi="Times New Roman" w:cs="Times New Roman"/>
          <w:noProof/>
          <w:sz w:val="24"/>
          <w:szCs w:val="24"/>
        </w:rPr>
      </w:pPr>
    </w:p>
    <w:p w:rsidR="0004455A" w:rsidRPr="005B3D69" w:rsidRDefault="0004455A" w:rsidP="005B3D69">
      <w:pPr>
        <w:spacing w:after="0" w:line="240" w:lineRule="auto"/>
        <w:jc w:val="both"/>
        <w:rPr>
          <w:rFonts w:ascii="Times New Roman" w:eastAsia="Times New Roman" w:hAnsi="Times New Roman" w:cs="Times New Roman"/>
          <w:noProof/>
          <w:sz w:val="24"/>
          <w:szCs w:val="24"/>
        </w:rPr>
      </w:pPr>
    </w:p>
    <w:p w:rsidR="005B3D69" w:rsidRPr="0004455A" w:rsidRDefault="005B3D69" w:rsidP="0004455A">
      <w:pPr>
        <w:spacing w:after="0" w:line="240" w:lineRule="auto"/>
        <w:jc w:val="center"/>
        <w:rPr>
          <w:rFonts w:ascii="Times New Roman" w:eastAsia="Times New Roman" w:hAnsi="Times New Roman" w:cs="Times New Roman"/>
          <w:b/>
          <w:noProof/>
          <w:sz w:val="28"/>
          <w:szCs w:val="28"/>
        </w:rPr>
      </w:pPr>
      <w:bookmarkStart w:id="35" w:name="576417"/>
      <w:bookmarkEnd w:id="35"/>
      <w:r>
        <w:rPr>
          <w:rFonts w:ascii="Times New Roman" w:hAnsi="Times New Roman"/>
          <w:b/>
          <w:noProof/>
          <w:sz w:val="28"/>
        </w:rPr>
        <w:t>Information to Be Included in the Report Of Activities Involving Chemical Substances and Mixtures</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04455A" w:rsidRPr="005B3D69" w:rsidRDefault="0004455A" w:rsidP="005B3D69">
      <w:pPr>
        <w:spacing w:after="0" w:line="240" w:lineRule="auto"/>
        <w:jc w:val="both"/>
        <w:rPr>
          <w:rFonts w:ascii="Times New Roman" w:eastAsia="Times New Roman" w:hAnsi="Times New Roman" w:cs="Times New Roman"/>
          <w:noProof/>
          <w:sz w:val="24"/>
          <w:szCs w:val="24"/>
        </w:rPr>
      </w:pPr>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Data on the submitter of the report:</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name and registered office of a legal person;</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registration number and date in the Commercial Register;</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telephone number;</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electronic mail (hereinafter – e-mail) address.</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Unit of a legal person for communication in emergency situations, if such has been established:</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its name;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telephone number;</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e-mail address.</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person who completes the report:</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given name, surname;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position;</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telephone number;</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e-mail address.</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responsible person:</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given name, surname;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position.</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Information on manufacturing or importing of chemical substance in the territory of Latvia:</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trade name of the chemical substance;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common (trivial) name of the chemical substance or name according to the International Union of Pure and Applied Chemistry (IUPAC) nomenclature;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number of the chemical substance in the register of chemical substances Chemical Abstracts Service (CAS number), if available;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European Community number (EC number), if available;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 if the chemical substance is included in Annex 1 to Regulation (EU) No 649/2012 of the European Parliament and of the Council of 4 July 2012 concerning the export and import of hazardous chemicals (hereinafter – PIC Regulation), the country from which the chemical substance is imported in the territory of Latvia shall be indicated;</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 field of application of the chemical substance according to the current edition of classification of economic activities (NACE);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 code of the chemical substance according to the classification of the production of manufactured goods (PRODCOM) if the chemical substance is imported in the European Union;</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5.8. classification and labelling of the chemical substance according to the criteria laid down in Regulation No 1272/2008;</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 amount of the manufactured chemical substance, in tons;</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5.10. amount of the imported chemical substance, in tons;</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5.11. addresses of locations for storage of the chemical substance;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5.12. safety data sheet of the chemical substance.</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Information on manufacturing in or import of a mixture in the territory of Latvia:</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trade name of the mixture;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composition of the mixture:</w:t>
      </w:r>
    </w:p>
    <w:p w:rsidR="005B3D69" w:rsidRPr="005B3D69" w:rsidRDefault="005B3D69" w:rsidP="000445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6.2.1. common (trivial) name of the chemical substance or name according to the International Union of Pure and Applied Chemistry (IUPAC) nomenclature;</w:t>
      </w:r>
    </w:p>
    <w:p w:rsidR="005B3D69" w:rsidRPr="005B3D69" w:rsidRDefault="005B3D69" w:rsidP="000445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6.2.2. number of the chemical substance in the register of chemical substances Chemical Abstracts Service (CAS number), if available;</w:t>
      </w:r>
    </w:p>
    <w:p w:rsidR="005B3D69" w:rsidRPr="005B3D69" w:rsidRDefault="005B3D69" w:rsidP="000445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6.2.3. European Community number (EC number), if available;</w:t>
      </w:r>
    </w:p>
    <w:p w:rsidR="005B3D69" w:rsidRPr="005B3D69" w:rsidRDefault="005B3D69" w:rsidP="000445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6.2.4. classification of the chemical substance according to the criteria laid down in Regulation No 1272/2008 taking into account also requirements of Article 61 of Regulation No 1272/2008;</w:t>
      </w:r>
    </w:p>
    <w:p w:rsidR="005B3D69" w:rsidRPr="005B3D69" w:rsidRDefault="005B3D69" w:rsidP="000445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6.2.5. percentage concentration in accordance with Paragraph 10 of this Regulation;</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if a chemical substance included in Annex 1 to PIC Regulation is present in the composition, the country from which the mixture is imported in the territory of Latvia shall be indicated;</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if chemical substances that are volatile organic compounds (VOC) are present in the composition, the product group shall be indicated;</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field of application of the mixture according to the current edition of classification of economic activities (NACE);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code of the mixture according to the classification of the production of manufactured goods (PRODCOM) if it is imported in the European Union;</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 classification of the mixture according to the criteria laid down in Regulation No 1272/2008 taking into account also requirements of Article 61 of Regulation No 1272/2008;</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 amount of the manufactured mixture;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 amount of the imported mixture;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6.10. addresses of locations for storage of the mixture;</w:t>
      </w:r>
    </w:p>
    <w:p w:rsidR="005B3D69" w:rsidRPr="005B3D69" w:rsidRDefault="005B3D69" w:rsidP="000445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6.11. safety data sheet of the mixture.</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5B3D69" w:rsidRPr="005B3D69" w:rsidRDefault="005B3D69"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date of submitting the report.</w:t>
      </w:r>
    </w:p>
    <w:p w:rsidR="0004455A" w:rsidRDefault="0004455A" w:rsidP="005B3D69">
      <w:pPr>
        <w:spacing w:after="0" w:line="240" w:lineRule="auto"/>
        <w:jc w:val="both"/>
        <w:rPr>
          <w:rFonts w:ascii="Times New Roman" w:eastAsia="Times New Roman" w:hAnsi="Times New Roman" w:cs="Times New Roman"/>
          <w:noProof/>
          <w:sz w:val="24"/>
          <w:szCs w:val="24"/>
        </w:rPr>
      </w:pPr>
    </w:p>
    <w:p w:rsidR="0004455A" w:rsidRDefault="0004455A" w:rsidP="005B3D69">
      <w:pPr>
        <w:spacing w:after="0" w:line="240" w:lineRule="auto"/>
        <w:jc w:val="both"/>
        <w:rPr>
          <w:rFonts w:ascii="Times New Roman" w:eastAsia="Times New Roman" w:hAnsi="Times New Roman" w:cs="Times New Roman"/>
          <w:noProof/>
          <w:sz w:val="24"/>
          <w:szCs w:val="24"/>
        </w:rPr>
      </w:pPr>
    </w:p>
    <w:p w:rsidR="00C55A23" w:rsidRDefault="005B3D69" w:rsidP="005B3D69">
      <w:pPr>
        <w:spacing w:after="0" w:line="240" w:lineRule="auto"/>
        <w:jc w:val="both"/>
        <w:rPr>
          <w:rFonts w:ascii="Times New Roman" w:hAnsi="Times New Roman"/>
          <w:noProof/>
          <w:sz w:val="24"/>
        </w:rPr>
      </w:pPr>
      <w:r>
        <w:rPr>
          <w:rFonts w:ascii="Times New Roman" w:hAnsi="Times New Roman"/>
          <w:noProof/>
          <w:sz w:val="24"/>
        </w:rPr>
        <w:t>Minister f</w:t>
      </w:r>
      <w:r w:rsidR="00C55A23">
        <w:rPr>
          <w:rFonts w:ascii="Times New Roman" w:hAnsi="Times New Roman"/>
          <w:noProof/>
          <w:sz w:val="24"/>
        </w:rPr>
        <w:t>or Environmental Protection and</w:t>
      </w:r>
    </w:p>
    <w:p w:rsidR="005B3D69" w:rsidRDefault="00C55A23" w:rsidP="005B3D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Regional Development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5B3D69">
        <w:rPr>
          <w:rFonts w:ascii="Times New Roman" w:hAnsi="Times New Roman"/>
          <w:noProof/>
          <w:sz w:val="24"/>
        </w:rPr>
        <w:t>Kaspars Gerhards</w:t>
      </w:r>
    </w:p>
    <w:p w:rsidR="0004455A" w:rsidRPr="005B3D69" w:rsidRDefault="0004455A" w:rsidP="005B3D69">
      <w:pPr>
        <w:spacing w:after="0" w:line="240" w:lineRule="auto"/>
        <w:jc w:val="both"/>
        <w:rPr>
          <w:rFonts w:ascii="Times New Roman" w:eastAsia="Times New Roman" w:hAnsi="Times New Roman" w:cs="Times New Roman"/>
          <w:noProof/>
          <w:sz w:val="24"/>
          <w:szCs w:val="24"/>
        </w:rPr>
      </w:pPr>
    </w:p>
    <w:p w:rsidR="005B3D69" w:rsidRPr="005B3D69" w:rsidRDefault="005B3D69" w:rsidP="005B3D69">
      <w:pPr>
        <w:spacing w:after="0" w:line="240" w:lineRule="auto"/>
        <w:jc w:val="both"/>
        <w:rPr>
          <w:rFonts w:ascii="Times New Roman" w:hAnsi="Times New Roman"/>
          <w:noProof/>
          <w:sz w:val="24"/>
        </w:rPr>
      </w:pPr>
      <w:bookmarkStart w:id="36" w:name="_GoBack"/>
      <w:bookmarkEnd w:id="36"/>
    </w:p>
    <w:sectPr w:rsidR="005B3D69" w:rsidRPr="005B3D69" w:rsidSect="005B3D6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D69" w:rsidRPr="005B3D69" w:rsidRDefault="005B3D69" w:rsidP="005B3D69">
      <w:pPr>
        <w:spacing w:after="0" w:line="240" w:lineRule="auto"/>
        <w:rPr>
          <w:noProof/>
          <w:lang w:val="en-US"/>
        </w:rPr>
      </w:pPr>
      <w:r w:rsidRPr="005B3D69">
        <w:rPr>
          <w:noProof/>
          <w:lang w:val="en-US"/>
        </w:rPr>
        <w:separator/>
      </w:r>
    </w:p>
  </w:endnote>
  <w:endnote w:type="continuationSeparator" w:id="0">
    <w:p w:rsidR="005B3D69" w:rsidRPr="005B3D69" w:rsidRDefault="005B3D69" w:rsidP="005B3D69">
      <w:pPr>
        <w:spacing w:after="0" w:line="240" w:lineRule="auto"/>
        <w:rPr>
          <w:noProof/>
          <w:lang w:val="en-US"/>
        </w:rPr>
      </w:pPr>
      <w:r w:rsidRPr="005B3D6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D3A" w:rsidRPr="00750961" w:rsidRDefault="00E85D3A" w:rsidP="00E85D3A">
    <w:pPr>
      <w:pStyle w:val="Kjene"/>
      <w:tabs>
        <w:tab w:val="clear" w:pos="4153"/>
        <w:tab w:val="clear" w:pos="8306"/>
        <w:tab w:val="right" w:pos="9072"/>
      </w:tabs>
      <w:rPr>
        <w:rFonts w:ascii="Times New Roman" w:hAnsi="Times New Roman"/>
        <w:sz w:val="20"/>
      </w:rPr>
    </w:pPr>
  </w:p>
  <w:p w:rsidR="00E85D3A" w:rsidRPr="000523BF" w:rsidRDefault="00E85D3A" w:rsidP="00E85D3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C55A23">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D3A" w:rsidRPr="00750961" w:rsidRDefault="00E85D3A" w:rsidP="00E85D3A">
    <w:pPr>
      <w:pStyle w:val="Kjene"/>
      <w:rPr>
        <w:rFonts w:ascii="Times New Roman" w:hAnsi="Times New Roman"/>
        <w:sz w:val="20"/>
      </w:rPr>
    </w:pPr>
  </w:p>
  <w:p w:rsidR="00E85D3A" w:rsidRPr="000523BF" w:rsidRDefault="00E85D3A" w:rsidP="00E85D3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D69" w:rsidRPr="005B3D69" w:rsidRDefault="005B3D69" w:rsidP="005B3D69">
      <w:pPr>
        <w:spacing w:after="0" w:line="240" w:lineRule="auto"/>
        <w:rPr>
          <w:noProof/>
          <w:lang w:val="en-US"/>
        </w:rPr>
      </w:pPr>
      <w:r w:rsidRPr="005B3D69">
        <w:rPr>
          <w:noProof/>
          <w:lang w:val="en-US"/>
        </w:rPr>
        <w:separator/>
      </w:r>
    </w:p>
  </w:footnote>
  <w:footnote w:type="continuationSeparator" w:id="0">
    <w:p w:rsidR="005B3D69" w:rsidRPr="005B3D69" w:rsidRDefault="005B3D69" w:rsidP="005B3D69">
      <w:pPr>
        <w:spacing w:after="0" w:line="240" w:lineRule="auto"/>
        <w:rPr>
          <w:noProof/>
          <w:lang w:val="en-US"/>
        </w:rPr>
      </w:pPr>
      <w:r w:rsidRPr="005B3D6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FC"/>
    <w:rsid w:val="00016237"/>
    <w:rsid w:val="0004455A"/>
    <w:rsid w:val="001B40FC"/>
    <w:rsid w:val="0054699C"/>
    <w:rsid w:val="005B3D69"/>
    <w:rsid w:val="00C55A23"/>
    <w:rsid w:val="00E85D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C43F"/>
  <w15:chartTrackingRefBased/>
  <w15:docId w15:val="{F351DDCE-CE5C-4C20-811C-043FA81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B3D69"/>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5B3D69"/>
    <w:rPr>
      <w:color w:val="0000FF"/>
      <w:u w:val="single"/>
    </w:rPr>
  </w:style>
  <w:style w:type="paragraph" w:customStyle="1" w:styleId="tvhtml">
    <w:name w:val="tv_html"/>
    <w:basedOn w:val="Parasts"/>
    <w:rsid w:val="005B3D69"/>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5B3D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3D69"/>
  </w:style>
  <w:style w:type="paragraph" w:styleId="Kjene">
    <w:name w:val="footer"/>
    <w:basedOn w:val="Parasts"/>
    <w:link w:val="KjeneRakstz"/>
    <w:unhideWhenUsed/>
    <w:rsid w:val="005B3D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3D69"/>
  </w:style>
  <w:style w:type="character" w:styleId="Lappusesnumurs">
    <w:name w:val="page number"/>
    <w:rsid w:val="00E8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896795">
      <w:bodyDiv w:val="1"/>
      <w:marLeft w:val="0"/>
      <w:marRight w:val="0"/>
      <w:marTop w:val="0"/>
      <w:marBottom w:val="0"/>
      <w:divBdr>
        <w:top w:val="none" w:sz="0" w:space="0" w:color="auto"/>
        <w:left w:val="none" w:sz="0" w:space="0" w:color="auto"/>
        <w:bottom w:val="none" w:sz="0" w:space="0" w:color="auto"/>
        <w:right w:val="none" w:sz="0" w:space="0" w:color="auto"/>
      </w:divBdr>
      <w:divsChild>
        <w:div w:id="13192465">
          <w:marLeft w:val="0"/>
          <w:marRight w:val="0"/>
          <w:marTop w:val="0"/>
          <w:marBottom w:val="0"/>
          <w:divBdr>
            <w:top w:val="none" w:sz="0" w:space="0" w:color="auto"/>
            <w:left w:val="none" w:sz="0" w:space="0" w:color="auto"/>
            <w:bottom w:val="none" w:sz="0" w:space="0" w:color="auto"/>
            <w:right w:val="none" w:sz="0" w:space="0" w:color="auto"/>
          </w:divBdr>
        </w:div>
        <w:div w:id="416489214">
          <w:marLeft w:val="0"/>
          <w:marRight w:val="0"/>
          <w:marTop w:val="0"/>
          <w:marBottom w:val="0"/>
          <w:divBdr>
            <w:top w:val="none" w:sz="0" w:space="0" w:color="auto"/>
            <w:left w:val="none" w:sz="0" w:space="0" w:color="auto"/>
            <w:bottom w:val="none" w:sz="0" w:space="0" w:color="auto"/>
            <w:right w:val="none" w:sz="0" w:space="0" w:color="auto"/>
          </w:divBdr>
        </w:div>
        <w:div w:id="133791463">
          <w:marLeft w:val="0"/>
          <w:marRight w:val="0"/>
          <w:marTop w:val="0"/>
          <w:marBottom w:val="0"/>
          <w:divBdr>
            <w:top w:val="none" w:sz="0" w:space="0" w:color="auto"/>
            <w:left w:val="none" w:sz="0" w:space="0" w:color="auto"/>
            <w:bottom w:val="none" w:sz="0" w:space="0" w:color="auto"/>
            <w:right w:val="none" w:sz="0" w:space="0" w:color="auto"/>
          </w:divBdr>
        </w:div>
        <w:div w:id="476915248">
          <w:marLeft w:val="0"/>
          <w:marRight w:val="0"/>
          <w:marTop w:val="0"/>
          <w:marBottom w:val="0"/>
          <w:divBdr>
            <w:top w:val="none" w:sz="0" w:space="0" w:color="auto"/>
            <w:left w:val="none" w:sz="0" w:space="0" w:color="auto"/>
            <w:bottom w:val="none" w:sz="0" w:space="0" w:color="auto"/>
            <w:right w:val="none" w:sz="0" w:space="0" w:color="auto"/>
          </w:divBdr>
        </w:div>
        <w:div w:id="253444097">
          <w:marLeft w:val="0"/>
          <w:marRight w:val="0"/>
          <w:marTop w:val="0"/>
          <w:marBottom w:val="0"/>
          <w:divBdr>
            <w:top w:val="none" w:sz="0" w:space="0" w:color="auto"/>
            <w:left w:val="none" w:sz="0" w:space="0" w:color="auto"/>
            <w:bottom w:val="none" w:sz="0" w:space="0" w:color="auto"/>
            <w:right w:val="none" w:sz="0" w:space="0" w:color="auto"/>
          </w:divBdr>
        </w:div>
        <w:div w:id="2056655055">
          <w:marLeft w:val="0"/>
          <w:marRight w:val="0"/>
          <w:marTop w:val="0"/>
          <w:marBottom w:val="0"/>
          <w:divBdr>
            <w:top w:val="none" w:sz="0" w:space="0" w:color="auto"/>
            <w:left w:val="none" w:sz="0" w:space="0" w:color="auto"/>
            <w:bottom w:val="none" w:sz="0" w:space="0" w:color="auto"/>
            <w:right w:val="none" w:sz="0" w:space="0" w:color="auto"/>
          </w:divBdr>
        </w:div>
        <w:div w:id="1832408369">
          <w:marLeft w:val="0"/>
          <w:marRight w:val="0"/>
          <w:marTop w:val="0"/>
          <w:marBottom w:val="0"/>
          <w:divBdr>
            <w:top w:val="none" w:sz="0" w:space="0" w:color="auto"/>
            <w:left w:val="none" w:sz="0" w:space="0" w:color="auto"/>
            <w:bottom w:val="none" w:sz="0" w:space="0" w:color="auto"/>
            <w:right w:val="none" w:sz="0" w:space="0" w:color="auto"/>
          </w:divBdr>
        </w:div>
        <w:div w:id="1406688712">
          <w:marLeft w:val="0"/>
          <w:marRight w:val="0"/>
          <w:marTop w:val="0"/>
          <w:marBottom w:val="0"/>
          <w:divBdr>
            <w:top w:val="none" w:sz="0" w:space="0" w:color="auto"/>
            <w:left w:val="none" w:sz="0" w:space="0" w:color="auto"/>
            <w:bottom w:val="none" w:sz="0" w:space="0" w:color="auto"/>
            <w:right w:val="none" w:sz="0" w:space="0" w:color="auto"/>
          </w:divBdr>
        </w:div>
        <w:div w:id="1432165652">
          <w:marLeft w:val="0"/>
          <w:marRight w:val="0"/>
          <w:marTop w:val="0"/>
          <w:marBottom w:val="0"/>
          <w:divBdr>
            <w:top w:val="none" w:sz="0" w:space="0" w:color="auto"/>
            <w:left w:val="none" w:sz="0" w:space="0" w:color="auto"/>
            <w:bottom w:val="none" w:sz="0" w:space="0" w:color="auto"/>
            <w:right w:val="none" w:sz="0" w:space="0" w:color="auto"/>
          </w:divBdr>
        </w:div>
        <w:div w:id="282732140">
          <w:marLeft w:val="0"/>
          <w:marRight w:val="0"/>
          <w:marTop w:val="0"/>
          <w:marBottom w:val="0"/>
          <w:divBdr>
            <w:top w:val="none" w:sz="0" w:space="0" w:color="auto"/>
            <w:left w:val="none" w:sz="0" w:space="0" w:color="auto"/>
            <w:bottom w:val="none" w:sz="0" w:space="0" w:color="auto"/>
            <w:right w:val="none" w:sz="0" w:space="0" w:color="auto"/>
          </w:divBdr>
        </w:div>
        <w:div w:id="191843938">
          <w:marLeft w:val="0"/>
          <w:marRight w:val="0"/>
          <w:marTop w:val="0"/>
          <w:marBottom w:val="0"/>
          <w:divBdr>
            <w:top w:val="none" w:sz="0" w:space="0" w:color="auto"/>
            <w:left w:val="none" w:sz="0" w:space="0" w:color="auto"/>
            <w:bottom w:val="none" w:sz="0" w:space="0" w:color="auto"/>
            <w:right w:val="none" w:sz="0" w:space="0" w:color="auto"/>
          </w:divBdr>
        </w:div>
        <w:div w:id="597491730">
          <w:marLeft w:val="0"/>
          <w:marRight w:val="0"/>
          <w:marTop w:val="0"/>
          <w:marBottom w:val="0"/>
          <w:divBdr>
            <w:top w:val="none" w:sz="0" w:space="0" w:color="auto"/>
            <w:left w:val="none" w:sz="0" w:space="0" w:color="auto"/>
            <w:bottom w:val="none" w:sz="0" w:space="0" w:color="auto"/>
            <w:right w:val="none" w:sz="0" w:space="0" w:color="auto"/>
          </w:divBdr>
        </w:div>
        <w:div w:id="693267906">
          <w:marLeft w:val="0"/>
          <w:marRight w:val="0"/>
          <w:marTop w:val="0"/>
          <w:marBottom w:val="0"/>
          <w:divBdr>
            <w:top w:val="none" w:sz="0" w:space="0" w:color="auto"/>
            <w:left w:val="none" w:sz="0" w:space="0" w:color="auto"/>
            <w:bottom w:val="none" w:sz="0" w:space="0" w:color="auto"/>
            <w:right w:val="none" w:sz="0" w:space="0" w:color="auto"/>
          </w:divBdr>
        </w:div>
        <w:div w:id="1256205780">
          <w:marLeft w:val="0"/>
          <w:marRight w:val="0"/>
          <w:marTop w:val="0"/>
          <w:marBottom w:val="0"/>
          <w:divBdr>
            <w:top w:val="none" w:sz="0" w:space="0" w:color="auto"/>
            <w:left w:val="none" w:sz="0" w:space="0" w:color="auto"/>
            <w:bottom w:val="none" w:sz="0" w:space="0" w:color="auto"/>
            <w:right w:val="none" w:sz="0" w:space="0" w:color="auto"/>
          </w:divBdr>
        </w:div>
        <w:div w:id="582572067">
          <w:marLeft w:val="0"/>
          <w:marRight w:val="0"/>
          <w:marTop w:val="0"/>
          <w:marBottom w:val="0"/>
          <w:divBdr>
            <w:top w:val="none" w:sz="0" w:space="0" w:color="auto"/>
            <w:left w:val="none" w:sz="0" w:space="0" w:color="auto"/>
            <w:bottom w:val="none" w:sz="0" w:space="0" w:color="auto"/>
            <w:right w:val="none" w:sz="0" w:space="0" w:color="auto"/>
          </w:divBdr>
        </w:div>
        <w:div w:id="1241061751">
          <w:marLeft w:val="0"/>
          <w:marRight w:val="0"/>
          <w:marTop w:val="0"/>
          <w:marBottom w:val="0"/>
          <w:divBdr>
            <w:top w:val="none" w:sz="0" w:space="0" w:color="auto"/>
            <w:left w:val="none" w:sz="0" w:space="0" w:color="auto"/>
            <w:bottom w:val="none" w:sz="0" w:space="0" w:color="auto"/>
            <w:right w:val="none" w:sz="0" w:space="0" w:color="auto"/>
          </w:divBdr>
        </w:div>
        <w:div w:id="1757165828">
          <w:marLeft w:val="0"/>
          <w:marRight w:val="0"/>
          <w:marTop w:val="0"/>
          <w:marBottom w:val="0"/>
          <w:divBdr>
            <w:top w:val="none" w:sz="0" w:space="0" w:color="auto"/>
            <w:left w:val="none" w:sz="0" w:space="0" w:color="auto"/>
            <w:bottom w:val="none" w:sz="0" w:space="0" w:color="auto"/>
            <w:right w:val="none" w:sz="0" w:space="0" w:color="auto"/>
          </w:divBdr>
        </w:div>
        <w:div w:id="1890335658">
          <w:marLeft w:val="0"/>
          <w:marRight w:val="0"/>
          <w:marTop w:val="0"/>
          <w:marBottom w:val="0"/>
          <w:divBdr>
            <w:top w:val="none" w:sz="0" w:space="0" w:color="auto"/>
            <w:left w:val="none" w:sz="0" w:space="0" w:color="auto"/>
            <w:bottom w:val="none" w:sz="0" w:space="0" w:color="auto"/>
            <w:right w:val="none" w:sz="0" w:space="0" w:color="auto"/>
          </w:divBdr>
        </w:div>
        <w:div w:id="154685025">
          <w:marLeft w:val="0"/>
          <w:marRight w:val="0"/>
          <w:marTop w:val="0"/>
          <w:marBottom w:val="0"/>
          <w:divBdr>
            <w:top w:val="none" w:sz="0" w:space="0" w:color="auto"/>
            <w:left w:val="none" w:sz="0" w:space="0" w:color="auto"/>
            <w:bottom w:val="none" w:sz="0" w:space="0" w:color="auto"/>
            <w:right w:val="none" w:sz="0" w:space="0" w:color="auto"/>
          </w:divBdr>
        </w:div>
        <w:div w:id="1993824122">
          <w:marLeft w:val="0"/>
          <w:marRight w:val="0"/>
          <w:marTop w:val="0"/>
          <w:marBottom w:val="0"/>
          <w:divBdr>
            <w:top w:val="none" w:sz="0" w:space="0" w:color="auto"/>
            <w:left w:val="none" w:sz="0" w:space="0" w:color="auto"/>
            <w:bottom w:val="none" w:sz="0" w:space="0" w:color="auto"/>
            <w:right w:val="none" w:sz="0" w:space="0" w:color="auto"/>
          </w:divBdr>
        </w:div>
        <w:div w:id="2083212144">
          <w:marLeft w:val="0"/>
          <w:marRight w:val="0"/>
          <w:marTop w:val="0"/>
          <w:marBottom w:val="0"/>
          <w:divBdr>
            <w:top w:val="none" w:sz="0" w:space="0" w:color="auto"/>
            <w:left w:val="none" w:sz="0" w:space="0" w:color="auto"/>
            <w:bottom w:val="none" w:sz="0" w:space="0" w:color="auto"/>
            <w:right w:val="none" w:sz="0" w:space="0" w:color="auto"/>
          </w:divBdr>
        </w:div>
        <w:div w:id="769550036">
          <w:marLeft w:val="0"/>
          <w:marRight w:val="0"/>
          <w:marTop w:val="0"/>
          <w:marBottom w:val="0"/>
          <w:divBdr>
            <w:top w:val="none" w:sz="0" w:space="0" w:color="auto"/>
            <w:left w:val="none" w:sz="0" w:space="0" w:color="auto"/>
            <w:bottom w:val="none" w:sz="0" w:space="0" w:color="auto"/>
            <w:right w:val="none" w:sz="0" w:space="0" w:color="auto"/>
          </w:divBdr>
        </w:div>
        <w:div w:id="1960336633">
          <w:marLeft w:val="0"/>
          <w:marRight w:val="0"/>
          <w:marTop w:val="0"/>
          <w:marBottom w:val="0"/>
          <w:divBdr>
            <w:top w:val="none" w:sz="0" w:space="0" w:color="auto"/>
            <w:left w:val="none" w:sz="0" w:space="0" w:color="auto"/>
            <w:bottom w:val="none" w:sz="0" w:space="0" w:color="auto"/>
            <w:right w:val="none" w:sz="0" w:space="0" w:color="auto"/>
          </w:divBdr>
        </w:div>
        <w:div w:id="1407725526">
          <w:marLeft w:val="0"/>
          <w:marRight w:val="0"/>
          <w:marTop w:val="0"/>
          <w:marBottom w:val="0"/>
          <w:divBdr>
            <w:top w:val="none" w:sz="0" w:space="0" w:color="auto"/>
            <w:left w:val="none" w:sz="0" w:space="0" w:color="auto"/>
            <w:bottom w:val="none" w:sz="0" w:space="0" w:color="auto"/>
            <w:right w:val="none" w:sz="0" w:space="0" w:color="auto"/>
          </w:divBdr>
        </w:div>
        <w:div w:id="821386522">
          <w:marLeft w:val="0"/>
          <w:marRight w:val="0"/>
          <w:marTop w:val="0"/>
          <w:marBottom w:val="0"/>
          <w:divBdr>
            <w:top w:val="none" w:sz="0" w:space="0" w:color="auto"/>
            <w:left w:val="none" w:sz="0" w:space="0" w:color="auto"/>
            <w:bottom w:val="none" w:sz="0" w:space="0" w:color="auto"/>
            <w:right w:val="none" w:sz="0" w:space="0" w:color="auto"/>
          </w:divBdr>
        </w:div>
        <w:div w:id="1217737591">
          <w:marLeft w:val="0"/>
          <w:marRight w:val="0"/>
          <w:marTop w:val="0"/>
          <w:marBottom w:val="0"/>
          <w:divBdr>
            <w:top w:val="none" w:sz="0" w:space="0" w:color="auto"/>
            <w:left w:val="none" w:sz="0" w:space="0" w:color="auto"/>
            <w:bottom w:val="none" w:sz="0" w:space="0" w:color="auto"/>
            <w:right w:val="none" w:sz="0" w:space="0" w:color="auto"/>
          </w:divBdr>
        </w:div>
        <w:div w:id="214473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6656</Words>
  <Characters>3795</Characters>
  <Application>Microsoft Office Word</Application>
  <DocSecurity>0</DocSecurity>
  <Lines>31</Lines>
  <Paragraphs>20</Paragraphs>
  <ScaleCrop>false</ScaleCrop>
  <Company>.</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5</cp:revision>
  <dcterms:created xsi:type="dcterms:W3CDTF">2017-03-13T13:39:00Z</dcterms:created>
  <dcterms:modified xsi:type="dcterms:W3CDTF">2017-10-12T14:21:00Z</dcterms:modified>
</cp:coreProperties>
</file>