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9D9772" w14:textId="77777777" w:rsidR="000A1875" w:rsidRPr="000A1875" w:rsidRDefault="000A1875" w:rsidP="000A1875">
      <w:pPr>
        <w:spacing w:after="0" w:line="240" w:lineRule="auto"/>
        <w:jc w:val="both"/>
        <w:rPr>
          <w:rFonts w:ascii="Times New Roman" w:hAnsi="Times New Roman" w:cs="Times New Roman"/>
          <w:sz w:val="24"/>
          <w:szCs w:val="24"/>
        </w:rPr>
      </w:pPr>
    </w:p>
    <w:p w14:paraId="50C7DC29" w14:textId="77777777" w:rsidR="000A1875" w:rsidRPr="000A1875" w:rsidRDefault="000A1875" w:rsidP="000A1875">
      <w:pPr>
        <w:spacing w:after="0" w:line="240" w:lineRule="auto"/>
        <w:jc w:val="center"/>
        <w:rPr>
          <w:rFonts w:ascii="Times New Roman" w:hAnsi="Times New Roman" w:cs="Times New Roman"/>
          <w:sz w:val="24"/>
          <w:szCs w:val="24"/>
        </w:rPr>
      </w:pPr>
      <w:r w:rsidRPr="000A1875">
        <w:rPr>
          <w:rFonts w:ascii="Times New Roman" w:hAnsi="Times New Roman" w:cs="Times New Roman"/>
          <w:sz w:val="24"/>
          <w:szCs w:val="24"/>
        </w:rPr>
        <w:t>Republic of Latvia</w:t>
      </w:r>
    </w:p>
    <w:p w14:paraId="1E55F287" w14:textId="77777777" w:rsidR="000A1875" w:rsidRPr="000A1875" w:rsidRDefault="000A1875" w:rsidP="000A1875">
      <w:pPr>
        <w:spacing w:after="0" w:line="240" w:lineRule="auto"/>
        <w:jc w:val="center"/>
        <w:rPr>
          <w:rFonts w:ascii="Times New Roman" w:hAnsi="Times New Roman" w:cs="Times New Roman"/>
          <w:sz w:val="24"/>
          <w:szCs w:val="24"/>
        </w:rPr>
      </w:pPr>
    </w:p>
    <w:p w14:paraId="6245F284" w14:textId="77777777" w:rsidR="000A1875" w:rsidRPr="000A1875" w:rsidRDefault="000A1875" w:rsidP="000A1875">
      <w:pPr>
        <w:spacing w:after="0" w:line="240" w:lineRule="auto"/>
        <w:jc w:val="center"/>
        <w:rPr>
          <w:rFonts w:ascii="Times New Roman" w:eastAsia="Times New Roman" w:hAnsi="Times New Roman" w:cs="Times New Roman"/>
          <w:bCs/>
          <w:sz w:val="24"/>
          <w:szCs w:val="24"/>
        </w:rPr>
      </w:pPr>
      <w:r w:rsidRPr="000A1875">
        <w:rPr>
          <w:rStyle w:val="Parasts"/>
          <w:rFonts w:ascii="Times New Roman" w:hAnsi="Times New Roman" w:cs="Times New Roman"/>
          <w:sz w:val="24"/>
        </w:rPr>
        <w:t>Cabinet</w:t>
      </w:r>
    </w:p>
    <w:p w14:paraId="1B668885" w14:textId="37A4FDFD" w:rsidR="002C0109" w:rsidRPr="000A1875" w:rsidRDefault="002C0109" w:rsidP="002C0109">
      <w:pPr>
        <w:spacing w:after="0" w:line="240" w:lineRule="auto"/>
        <w:jc w:val="center"/>
        <w:rPr>
          <w:rFonts w:ascii="Times New Roman" w:eastAsia="Times New Roman" w:hAnsi="Times New Roman" w:cs="Times New Roman"/>
          <w:noProof/>
          <w:sz w:val="24"/>
          <w:szCs w:val="24"/>
        </w:rPr>
      </w:pPr>
      <w:r w:rsidRPr="000A1875">
        <w:rPr>
          <w:rFonts w:ascii="Times New Roman" w:hAnsi="Times New Roman" w:cs="Times New Roman"/>
          <w:sz w:val="24"/>
          <w:szCs w:val="24"/>
        </w:rPr>
        <w:t>Regulation No. 321</w:t>
      </w:r>
    </w:p>
    <w:p w14:paraId="29ED22DE" w14:textId="6DF6B6B0" w:rsidR="002C0109" w:rsidRPr="000A1875" w:rsidRDefault="002C0109" w:rsidP="002C0109">
      <w:pPr>
        <w:spacing w:after="0" w:line="240" w:lineRule="auto"/>
        <w:jc w:val="center"/>
        <w:rPr>
          <w:rFonts w:ascii="Times New Roman" w:eastAsia="Times New Roman" w:hAnsi="Times New Roman" w:cs="Times New Roman"/>
          <w:noProof/>
          <w:sz w:val="24"/>
          <w:szCs w:val="24"/>
        </w:rPr>
      </w:pPr>
      <w:r w:rsidRPr="000A1875">
        <w:rPr>
          <w:rFonts w:ascii="Times New Roman" w:hAnsi="Times New Roman" w:cs="Times New Roman"/>
          <w:sz w:val="24"/>
          <w:szCs w:val="24"/>
        </w:rPr>
        <w:t>Adopted 9 July 2019</w:t>
      </w:r>
    </w:p>
    <w:p w14:paraId="2E7E8682" w14:textId="77777777" w:rsidR="002C0109" w:rsidRPr="000A1875" w:rsidRDefault="002C0109" w:rsidP="002C0109">
      <w:pPr>
        <w:spacing w:after="0" w:line="240" w:lineRule="auto"/>
        <w:jc w:val="both"/>
        <w:rPr>
          <w:rFonts w:ascii="Times New Roman" w:eastAsia="Times New Roman" w:hAnsi="Times New Roman" w:cs="Times New Roman"/>
          <w:noProof/>
          <w:sz w:val="24"/>
          <w:szCs w:val="24"/>
          <w:lang w:val="en-US" w:eastAsia="lv-LV"/>
        </w:rPr>
      </w:pPr>
    </w:p>
    <w:p w14:paraId="21EBCBD0" w14:textId="77777777" w:rsidR="002C0109" w:rsidRPr="000A1875" w:rsidRDefault="002C0109" w:rsidP="002C0109">
      <w:pPr>
        <w:spacing w:after="0" w:line="240" w:lineRule="auto"/>
        <w:jc w:val="both"/>
        <w:rPr>
          <w:rFonts w:ascii="Times New Roman" w:eastAsia="Times New Roman" w:hAnsi="Times New Roman" w:cs="Times New Roman"/>
          <w:noProof/>
          <w:sz w:val="24"/>
          <w:szCs w:val="24"/>
          <w:lang w:val="en-US" w:eastAsia="lv-LV"/>
        </w:rPr>
      </w:pPr>
    </w:p>
    <w:p w14:paraId="5058A2F0" w14:textId="2CCB6CC2" w:rsidR="002C0109" w:rsidRPr="000A1875" w:rsidRDefault="002C0109" w:rsidP="002C0109">
      <w:pPr>
        <w:spacing w:after="0" w:line="240" w:lineRule="auto"/>
        <w:jc w:val="center"/>
        <w:rPr>
          <w:rFonts w:ascii="Times New Roman" w:eastAsia="Times New Roman" w:hAnsi="Times New Roman" w:cs="Times New Roman"/>
          <w:b/>
          <w:bCs/>
          <w:noProof/>
          <w:sz w:val="28"/>
          <w:szCs w:val="28"/>
        </w:rPr>
      </w:pPr>
      <w:r w:rsidRPr="000A1875">
        <w:rPr>
          <w:rFonts w:ascii="Times New Roman" w:hAnsi="Times New Roman" w:cs="Times New Roman"/>
          <w:b/>
          <w:bCs/>
          <w:sz w:val="28"/>
          <w:szCs w:val="28"/>
        </w:rPr>
        <w:t>Regulations Regarding the Security Features of Tobacco Products</w:t>
      </w:r>
    </w:p>
    <w:p w14:paraId="13181AD5" w14:textId="1ECA1461" w:rsidR="002C0109" w:rsidRPr="000A1875" w:rsidRDefault="002C0109" w:rsidP="002C0109">
      <w:pPr>
        <w:spacing w:after="0" w:line="240" w:lineRule="auto"/>
        <w:jc w:val="both"/>
        <w:rPr>
          <w:rFonts w:ascii="Times New Roman" w:eastAsia="Times New Roman" w:hAnsi="Times New Roman" w:cs="Times New Roman"/>
          <w:noProof/>
          <w:sz w:val="24"/>
          <w:szCs w:val="24"/>
          <w:lang w:val="en-US" w:eastAsia="lv-LV"/>
        </w:rPr>
      </w:pPr>
    </w:p>
    <w:p w14:paraId="497C8D27" w14:textId="77777777" w:rsidR="002C0109" w:rsidRPr="000A1875" w:rsidRDefault="002C0109" w:rsidP="002C0109">
      <w:pPr>
        <w:spacing w:after="0" w:line="240" w:lineRule="auto"/>
        <w:jc w:val="both"/>
        <w:rPr>
          <w:rFonts w:ascii="Times New Roman" w:eastAsia="Times New Roman" w:hAnsi="Times New Roman" w:cs="Times New Roman"/>
          <w:noProof/>
          <w:sz w:val="24"/>
          <w:szCs w:val="24"/>
          <w:lang w:val="en-US" w:eastAsia="lv-LV"/>
        </w:rPr>
      </w:pPr>
    </w:p>
    <w:p w14:paraId="587BB8D5" w14:textId="77777777" w:rsidR="002C0109" w:rsidRPr="000A1875" w:rsidRDefault="002C0109" w:rsidP="002C0109">
      <w:pPr>
        <w:spacing w:after="0" w:line="240" w:lineRule="auto"/>
        <w:jc w:val="right"/>
        <w:rPr>
          <w:rFonts w:ascii="Times New Roman" w:eastAsia="Times New Roman" w:hAnsi="Times New Roman" w:cs="Times New Roman"/>
          <w:i/>
          <w:iCs/>
          <w:noProof/>
          <w:sz w:val="24"/>
          <w:szCs w:val="24"/>
        </w:rPr>
      </w:pPr>
      <w:r w:rsidRPr="000A1875">
        <w:rPr>
          <w:rFonts w:ascii="Times New Roman" w:hAnsi="Times New Roman" w:cs="Times New Roman"/>
          <w:i/>
          <w:iCs/>
          <w:sz w:val="24"/>
          <w:szCs w:val="24"/>
        </w:rPr>
        <w:t>Issued pursuant to</w:t>
      </w:r>
    </w:p>
    <w:p w14:paraId="736FBE81" w14:textId="57D581EA" w:rsidR="002C0109" w:rsidRPr="000A1875" w:rsidRDefault="002C0109" w:rsidP="002C0109">
      <w:pPr>
        <w:spacing w:after="0" w:line="240" w:lineRule="auto"/>
        <w:jc w:val="right"/>
        <w:rPr>
          <w:rFonts w:ascii="Times New Roman" w:eastAsia="Times New Roman" w:hAnsi="Times New Roman" w:cs="Times New Roman"/>
          <w:i/>
          <w:iCs/>
          <w:noProof/>
          <w:sz w:val="24"/>
          <w:szCs w:val="24"/>
        </w:rPr>
      </w:pPr>
      <w:r w:rsidRPr="000A1875">
        <w:rPr>
          <w:rFonts w:ascii="Times New Roman" w:hAnsi="Times New Roman" w:cs="Times New Roman"/>
          <w:i/>
          <w:iCs/>
          <w:sz w:val="24"/>
          <w:szCs w:val="24"/>
        </w:rPr>
        <w:t>Section 6, Paragraph twelve of the law On the Handling of Tobacco Products, Herbal Products for Smoking, Electronic Smoking Devices and Their Liquids</w:t>
      </w:r>
    </w:p>
    <w:p w14:paraId="34E5CD78" w14:textId="6F0837CD" w:rsidR="002C0109" w:rsidRPr="000A1875" w:rsidRDefault="002C0109" w:rsidP="002C0109">
      <w:pPr>
        <w:spacing w:after="0" w:line="240" w:lineRule="auto"/>
        <w:jc w:val="both"/>
        <w:rPr>
          <w:rFonts w:ascii="Times New Roman" w:eastAsia="Times New Roman" w:hAnsi="Times New Roman" w:cs="Times New Roman"/>
          <w:noProof/>
          <w:sz w:val="24"/>
          <w:szCs w:val="24"/>
          <w:lang w:val="en-US" w:eastAsia="lv-LV"/>
        </w:rPr>
      </w:pPr>
    </w:p>
    <w:p w14:paraId="2951B10E" w14:textId="77777777" w:rsidR="002C0109" w:rsidRPr="000A1875" w:rsidRDefault="002C0109" w:rsidP="002C0109">
      <w:pPr>
        <w:spacing w:after="0" w:line="240" w:lineRule="auto"/>
        <w:jc w:val="both"/>
        <w:rPr>
          <w:rFonts w:ascii="Times New Roman" w:eastAsia="Times New Roman" w:hAnsi="Times New Roman" w:cs="Times New Roman"/>
          <w:noProof/>
          <w:sz w:val="24"/>
          <w:szCs w:val="24"/>
          <w:lang w:val="en-US" w:eastAsia="lv-LV"/>
        </w:rPr>
      </w:pPr>
    </w:p>
    <w:p w14:paraId="20EC5B98" w14:textId="77777777" w:rsidR="002C0109" w:rsidRPr="000A1875" w:rsidRDefault="002C0109" w:rsidP="002C0109">
      <w:pPr>
        <w:spacing w:after="0" w:line="240" w:lineRule="auto"/>
        <w:jc w:val="both"/>
        <w:rPr>
          <w:rFonts w:ascii="Times New Roman" w:eastAsia="Times New Roman" w:hAnsi="Times New Roman" w:cs="Times New Roman"/>
          <w:noProof/>
          <w:sz w:val="24"/>
          <w:szCs w:val="24"/>
        </w:rPr>
      </w:pPr>
      <w:bookmarkStart w:id="0" w:name="p-697630"/>
      <w:bookmarkEnd w:id="0"/>
      <w:r w:rsidRPr="000A1875">
        <w:rPr>
          <w:rFonts w:ascii="Times New Roman" w:hAnsi="Times New Roman" w:cs="Times New Roman"/>
          <w:sz w:val="24"/>
          <w:szCs w:val="24"/>
        </w:rPr>
        <w:t>1. The Regulation prescribes the composition of security features other than an excise duty stamp, the method of addition of security features to the unit packets of tobacco products, the requirements for ensuring the authentication elements, including the submission of samples of unit packets of tobacco products.</w:t>
      </w:r>
      <w:bookmarkStart w:id="1" w:name="p1"/>
      <w:bookmarkEnd w:id="1"/>
    </w:p>
    <w:p w14:paraId="7413DE88" w14:textId="77777777" w:rsidR="002C0109" w:rsidRPr="000A1875" w:rsidRDefault="002C0109" w:rsidP="002C0109">
      <w:pPr>
        <w:spacing w:after="0" w:line="240" w:lineRule="auto"/>
        <w:jc w:val="both"/>
        <w:rPr>
          <w:rFonts w:ascii="Times New Roman" w:eastAsia="Times New Roman" w:hAnsi="Times New Roman" w:cs="Times New Roman"/>
          <w:noProof/>
          <w:sz w:val="24"/>
          <w:szCs w:val="24"/>
        </w:rPr>
      </w:pPr>
      <w:bookmarkStart w:id="2" w:name="p-697631"/>
      <w:bookmarkEnd w:id="2"/>
    </w:p>
    <w:p w14:paraId="26828C18" w14:textId="3E022A0C" w:rsidR="002C0109" w:rsidRPr="000A1875" w:rsidRDefault="002C0109" w:rsidP="002C0109">
      <w:pPr>
        <w:spacing w:after="0" w:line="240" w:lineRule="auto"/>
        <w:jc w:val="both"/>
        <w:rPr>
          <w:rFonts w:ascii="Times New Roman" w:eastAsia="Times New Roman" w:hAnsi="Times New Roman" w:cs="Times New Roman"/>
          <w:noProof/>
          <w:sz w:val="24"/>
          <w:szCs w:val="24"/>
        </w:rPr>
      </w:pPr>
      <w:r w:rsidRPr="000A1875">
        <w:rPr>
          <w:rFonts w:ascii="Times New Roman" w:hAnsi="Times New Roman" w:cs="Times New Roman"/>
          <w:sz w:val="24"/>
          <w:szCs w:val="24"/>
        </w:rPr>
        <w:t>2. The authentication element of a security feature is an element of a security feature complying with one of these conditions:</w:t>
      </w:r>
      <w:bookmarkStart w:id="3" w:name="p2"/>
      <w:bookmarkEnd w:id="3"/>
    </w:p>
    <w:p w14:paraId="79453F32" w14:textId="77777777" w:rsidR="002C0109" w:rsidRPr="000A1875" w:rsidRDefault="002C0109" w:rsidP="002C0109">
      <w:pPr>
        <w:spacing w:after="0" w:line="240" w:lineRule="auto"/>
        <w:ind w:firstLine="709"/>
        <w:jc w:val="both"/>
        <w:rPr>
          <w:rFonts w:ascii="Times New Roman" w:eastAsia="Times New Roman" w:hAnsi="Times New Roman" w:cs="Times New Roman"/>
          <w:noProof/>
          <w:sz w:val="24"/>
          <w:szCs w:val="24"/>
        </w:rPr>
      </w:pPr>
      <w:r w:rsidRPr="000A1875">
        <w:rPr>
          <w:rFonts w:ascii="Times New Roman" w:hAnsi="Times New Roman" w:cs="Times New Roman"/>
          <w:sz w:val="24"/>
          <w:szCs w:val="24"/>
        </w:rPr>
        <w:t>2.1. overt – directly perceptible by one or more of the human senses without recourse to external devices;</w:t>
      </w:r>
    </w:p>
    <w:p w14:paraId="70965021" w14:textId="77777777" w:rsidR="002C0109" w:rsidRPr="000A1875" w:rsidRDefault="002C0109" w:rsidP="002C0109">
      <w:pPr>
        <w:spacing w:after="0" w:line="240" w:lineRule="auto"/>
        <w:ind w:firstLine="709"/>
        <w:jc w:val="both"/>
        <w:rPr>
          <w:rFonts w:ascii="Times New Roman" w:eastAsia="Times New Roman" w:hAnsi="Times New Roman" w:cs="Times New Roman"/>
          <w:noProof/>
          <w:sz w:val="24"/>
          <w:szCs w:val="24"/>
        </w:rPr>
      </w:pPr>
      <w:r w:rsidRPr="000A1875">
        <w:rPr>
          <w:rFonts w:ascii="Times New Roman" w:hAnsi="Times New Roman" w:cs="Times New Roman"/>
          <w:sz w:val="24"/>
          <w:szCs w:val="24"/>
        </w:rPr>
        <w:t>2.2. semi-covert – not directly perceptible by the human senses but detectable by those senses through the use of external devices (such as a (UV) torch, a special pen or marker) which do not require expert knowledge or specialist training;</w:t>
      </w:r>
    </w:p>
    <w:p w14:paraId="518D02A4" w14:textId="77777777" w:rsidR="002C0109" w:rsidRPr="000A1875" w:rsidRDefault="002C0109" w:rsidP="002C0109">
      <w:pPr>
        <w:spacing w:after="0" w:line="240" w:lineRule="auto"/>
        <w:ind w:firstLine="709"/>
        <w:jc w:val="both"/>
        <w:rPr>
          <w:rFonts w:ascii="Times New Roman" w:eastAsia="Times New Roman" w:hAnsi="Times New Roman" w:cs="Times New Roman"/>
          <w:noProof/>
          <w:sz w:val="24"/>
          <w:szCs w:val="24"/>
        </w:rPr>
      </w:pPr>
      <w:r w:rsidRPr="000A1875">
        <w:rPr>
          <w:rFonts w:ascii="Times New Roman" w:hAnsi="Times New Roman" w:cs="Times New Roman"/>
          <w:sz w:val="24"/>
          <w:szCs w:val="24"/>
        </w:rPr>
        <w:t>2.3. covert – not directly perceptible by the human senses and detectable only through the use of purpose built tools or professional laboratory equipment.</w:t>
      </w:r>
    </w:p>
    <w:p w14:paraId="441C857D" w14:textId="77777777" w:rsidR="002C0109" w:rsidRPr="000A1875" w:rsidRDefault="002C0109" w:rsidP="002C0109">
      <w:pPr>
        <w:spacing w:after="0" w:line="240" w:lineRule="auto"/>
        <w:jc w:val="both"/>
        <w:rPr>
          <w:rFonts w:ascii="Times New Roman" w:eastAsia="Times New Roman" w:hAnsi="Times New Roman" w:cs="Times New Roman"/>
          <w:noProof/>
          <w:sz w:val="24"/>
          <w:szCs w:val="24"/>
        </w:rPr>
      </w:pPr>
      <w:bookmarkStart w:id="4" w:name="p-697632"/>
      <w:bookmarkEnd w:id="4"/>
    </w:p>
    <w:p w14:paraId="29AB22C6" w14:textId="13126795" w:rsidR="002C0109" w:rsidRPr="000A1875" w:rsidRDefault="002C0109" w:rsidP="002C0109">
      <w:pPr>
        <w:spacing w:after="0" w:line="240" w:lineRule="auto"/>
        <w:jc w:val="both"/>
        <w:rPr>
          <w:rFonts w:ascii="Times New Roman" w:eastAsia="Times New Roman" w:hAnsi="Times New Roman" w:cs="Times New Roman"/>
          <w:noProof/>
          <w:sz w:val="24"/>
          <w:szCs w:val="24"/>
        </w:rPr>
      </w:pPr>
      <w:r w:rsidRPr="000A1875">
        <w:rPr>
          <w:rFonts w:ascii="Times New Roman" w:hAnsi="Times New Roman" w:cs="Times New Roman"/>
          <w:sz w:val="24"/>
          <w:szCs w:val="24"/>
        </w:rPr>
        <w:t>3. If the authentication elements referred to in Sub-paragraphs 2.1, 2.2, and 2.3 of this Regulation comply with the requirements of applicable standards, they shall be regarded as conforming to the requirements of this Regulation. The Ministry of Finance shall suggest to the National Standardisation Body the list of standards to be developed, adapted, and applied in connection with this Regulation. The National Standardisation Body shall publish the list of applicable standards on its website.</w:t>
      </w:r>
      <w:bookmarkStart w:id="5" w:name="p3"/>
      <w:bookmarkEnd w:id="5"/>
    </w:p>
    <w:p w14:paraId="66BC3405" w14:textId="77777777" w:rsidR="002C0109" w:rsidRPr="000A1875" w:rsidRDefault="002C0109" w:rsidP="002C0109">
      <w:pPr>
        <w:spacing w:after="0" w:line="240" w:lineRule="auto"/>
        <w:jc w:val="both"/>
        <w:rPr>
          <w:rFonts w:ascii="Times New Roman" w:eastAsia="Times New Roman" w:hAnsi="Times New Roman" w:cs="Times New Roman"/>
          <w:noProof/>
          <w:sz w:val="24"/>
          <w:szCs w:val="24"/>
        </w:rPr>
      </w:pPr>
      <w:bookmarkStart w:id="6" w:name="p-697633"/>
      <w:bookmarkEnd w:id="6"/>
    </w:p>
    <w:p w14:paraId="2561CD90" w14:textId="1539D565" w:rsidR="002C0109" w:rsidRPr="000A1875" w:rsidRDefault="002C0109" w:rsidP="002C0109">
      <w:pPr>
        <w:spacing w:after="0" w:line="240" w:lineRule="auto"/>
        <w:jc w:val="both"/>
        <w:rPr>
          <w:rFonts w:ascii="Times New Roman" w:eastAsia="Times New Roman" w:hAnsi="Times New Roman" w:cs="Times New Roman"/>
          <w:noProof/>
          <w:sz w:val="24"/>
          <w:szCs w:val="24"/>
        </w:rPr>
      </w:pPr>
      <w:r w:rsidRPr="000A1875">
        <w:rPr>
          <w:rFonts w:ascii="Times New Roman" w:hAnsi="Times New Roman" w:cs="Times New Roman"/>
          <w:sz w:val="24"/>
          <w:szCs w:val="24"/>
        </w:rPr>
        <w:t>4. The security feature is composed of five types of authentication elements:</w:t>
      </w:r>
      <w:bookmarkStart w:id="7" w:name="p4"/>
      <w:bookmarkEnd w:id="7"/>
    </w:p>
    <w:p w14:paraId="3417D9AA" w14:textId="77777777" w:rsidR="002C0109" w:rsidRPr="000A1875" w:rsidRDefault="002C0109" w:rsidP="002C0109">
      <w:pPr>
        <w:spacing w:after="0" w:line="240" w:lineRule="auto"/>
        <w:ind w:firstLine="709"/>
        <w:jc w:val="both"/>
        <w:rPr>
          <w:rFonts w:ascii="Times New Roman" w:eastAsia="Times New Roman" w:hAnsi="Times New Roman" w:cs="Times New Roman"/>
          <w:noProof/>
          <w:sz w:val="24"/>
          <w:szCs w:val="24"/>
        </w:rPr>
      </w:pPr>
      <w:r w:rsidRPr="000A1875">
        <w:rPr>
          <w:rFonts w:ascii="Times New Roman" w:hAnsi="Times New Roman" w:cs="Times New Roman"/>
          <w:sz w:val="24"/>
          <w:szCs w:val="24"/>
        </w:rPr>
        <w:t>4.1. guilloche (overt element) – ornamental pattern of two or more interlaced bands that are printed in multiple non-standard colours;</w:t>
      </w:r>
    </w:p>
    <w:p w14:paraId="12062C1F" w14:textId="77777777" w:rsidR="002C0109" w:rsidRPr="000A1875" w:rsidRDefault="002C0109" w:rsidP="002C0109">
      <w:pPr>
        <w:spacing w:after="0" w:line="240" w:lineRule="auto"/>
        <w:ind w:firstLine="709"/>
        <w:jc w:val="both"/>
        <w:rPr>
          <w:rFonts w:ascii="Times New Roman" w:eastAsia="Times New Roman" w:hAnsi="Times New Roman" w:cs="Times New Roman"/>
          <w:noProof/>
          <w:sz w:val="24"/>
          <w:szCs w:val="24"/>
        </w:rPr>
      </w:pPr>
      <w:r w:rsidRPr="000A1875">
        <w:rPr>
          <w:rFonts w:ascii="Times New Roman" w:hAnsi="Times New Roman" w:cs="Times New Roman"/>
          <w:sz w:val="24"/>
          <w:szCs w:val="24"/>
        </w:rPr>
        <w:t>4.2. microprint (semi-covert element) – print using such small letters and numbers that are visible only when using magnification;</w:t>
      </w:r>
    </w:p>
    <w:p w14:paraId="11D7612E" w14:textId="77777777" w:rsidR="002C0109" w:rsidRPr="000A1875" w:rsidRDefault="002C0109" w:rsidP="002C0109">
      <w:pPr>
        <w:spacing w:after="0" w:line="240" w:lineRule="auto"/>
        <w:ind w:firstLine="709"/>
        <w:jc w:val="both"/>
        <w:rPr>
          <w:rFonts w:ascii="Times New Roman" w:eastAsia="Times New Roman" w:hAnsi="Times New Roman" w:cs="Times New Roman"/>
          <w:noProof/>
          <w:sz w:val="24"/>
          <w:szCs w:val="24"/>
        </w:rPr>
      </w:pPr>
      <w:r w:rsidRPr="000A1875">
        <w:rPr>
          <w:rFonts w:ascii="Times New Roman" w:hAnsi="Times New Roman" w:cs="Times New Roman"/>
          <w:sz w:val="24"/>
          <w:szCs w:val="24"/>
        </w:rPr>
        <w:t>4.3. UV dull paper (semi-covert element) – special paper that will not reflect ultraviolet light and that is suitable for printing with ultraviolet (UV) inks that will show up under special UV lamps;</w:t>
      </w:r>
    </w:p>
    <w:p w14:paraId="0EB7D2DE" w14:textId="77777777" w:rsidR="002C0109" w:rsidRPr="000A1875" w:rsidRDefault="002C0109" w:rsidP="002C0109">
      <w:pPr>
        <w:spacing w:after="0" w:line="240" w:lineRule="auto"/>
        <w:ind w:firstLine="709"/>
        <w:jc w:val="both"/>
        <w:rPr>
          <w:rFonts w:ascii="Times New Roman" w:eastAsia="Times New Roman" w:hAnsi="Times New Roman" w:cs="Times New Roman"/>
          <w:noProof/>
          <w:sz w:val="24"/>
          <w:szCs w:val="24"/>
        </w:rPr>
      </w:pPr>
      <w:r w:rsidRPr="000A1875">
        <w:rPr>
          <w:rFonts w:ascii="Times New Roman" w:hAnsi="Times New Roman" w:cs="Times New Roman"/>
          <w:sz w:val="24"/>
          <w:szCs w:val="24"/>
        </w:rPr>
        <w:t>4.4. anti-Stokes inks (covert element) – inks with anti-Stokes properties that can be examined using a video spectral comparator;</w:t>
      </w:r>
    </w:p>
    <w:p w14:paraId="3D21481E" w14:textId="77777777" w:rsidR="002C0109" w:rsidRPr="000A1875" w:rsidRDefault="002C0109" w:rsidP="002C0109">
      <w:pPr>
        <w:spacing w:after="0" w:line="240" w:lineRule="auto"/>
        <w:ind w:firstLine="709"/>
        <w:jc w:val="both"/>
        <w:rPr>
          <w:rFonts w:ascii="Times New Roman" w:eastAsia="Times New Roman" w:hAnsi="Times New Roman" w:cs="Times New Roman"/>
          <w:noProof/>
          <w:sz w:val="24"/>
          <w:szCs w:val="24"/>
        </w:rPr>
      </w:pPr>
      <w:r w:rsidRPr="000A1875">
        <w:rPr>
          <w:rFonts w:ascii="Times New Roman" w:hAnsi="Times New Roman" w:cs="Times New Roman"/>
          <w:sz w:val="24"/>
          <w:szCs w:val="24"/>
        </w:rPr>
        <w:t>4.5. security fibres (covert element) – invisible fluorescent fibres that are randomly placed on suitable paper which cannot be scanned or photocopied and will only become visible under special UV lamps.</w:t>
      </w:r>
    </w:p>
    <w:p w14:paraId="141B0EDF" w14:textId="77777777" w:rsidR="002C0109" w:rsidRPr="000A1875" w:rsidRDefault="002C0109" w:rsidP="002C0109">
      <w:pPr>
        <w:spacing w:after="0" w:line="240" w:lineRule="auto"/>
        <w:jc w:val="both"/>
        <w:rPr>
          <w:rFonts w:ascii="Times New Roman" w:eastAsia="Times New Roman" w:hAnsi="Times New Roman" w:cs="Times New Roman"/>
          <w:noProof/>
          <w:sz w:val="24"/>
          <w:szCs w:val="24"/>
        </w:rPr>
      </w:pPr>
      <w:bookmarkStart w:id="8" w:name="p-697634"/>
      <w:bookmarkEnd w:id="8"/>
    </w:p>
    <w:p w14:paraId="40D88CF3" w14:textId="1508F7E7" w:rsidR="002C0109" w:rsidRPr="000A1875" w:rsidRDefault="002C0109" w:rsidP="002C0109">
      <w:pPr>
        <w:spacing w:after="0" w:line="240" w:lineRule="auto"/>
        <w:jc w:val="both"/>
        <w:rPr>
          <w:rFonts w:ascii="Times New Roman" w:eastAsia="Times New Roman" w:hAnsi="Times New Roman" w:cs="Times New Roman"/>
          <w:noProof/>
          <w:sz w:val="24"/>
          <w:szCs w:val="24"/>
        </w:rPr>
      </w:pPr>
      <w:r w:rsidRPr="000A1875">
        <w:rPr>
          <w:rFonts w:ascii="Times New Roman" w:hAnsi="Times New Roman" w:cs="Times New Roman"/>
          <w:sz w:val="24"/>
          <w:szCs w:val="24"/>
        </w:rPr>
        <w:lastRenderedPageBreak/>
        <w:t>5. One of the authentication elements referred to in Paragraph 4 of this Regulation shall be provided by a service provider that is independent from the tobacco industry.</w:t>
      </w:r>
      <w:bookmarkStart w:id="9" w:name="p5"/>
      <w:bookmarkEnd w:id="9"/>
    </w:p>
    <w:p w14:paraId="06A67F92" w14:textId="77777777" w:rsidR="002C0109" w:rsidRPr="000A1875" w:rsidRDefault="002C0109" w:rsidP="002C0109">
      <w:pPr>
        <w:spacing w:after="0" w:line="240" w:lineRule="auto"/>
        <w:jc w:val="both"/>
        <w:rPr>
          <w:rFonts w:ascii="Times New Roman" w:eastAsia="Times New Roman" w:hAnsi="Times New Roman" w:cs="Times New Roman"/>
          <w:noProof/>
          <w:sz w:val="24"/>
          <w:szCs w:val="24"/>
        </w:rPr>
      </w:pPr>
      <w:bookmarkStart w:id="10" w:name="p-697635"/>
      <w:bookmarkEnd w:id="10"/>
    </w:p>
    <w:p w14:paraId="4EA42F40" w14:textId="6D162C18" w:rsidR="002C0109" w:rsidRPr="000A1875" w:rsidRDefault="002C0109" w:rsidP="002C0109">
      <w:pPr>
        <w:spacing w:after="0" w:line="240" w:lineRule="auto"/>
        <w:jc w:val="both"/>
        <w:rPr>
          <w:rFonts w:ascii="Times New Roman" w:eastAsia="Times New Roman" w:hAnsi="Times New Roman" w:cs="Times New Roman"/>
          <w:noProof/>
          <w:sz w:val="24"/>
          <w:szCs w:val="24"/>
        </w:rPr>
      </w:pPr>
      <w:r w:rsidRPr="000A1875">
        <w:rPr>
          <w:rFonts w:ascii="Times New Roman" w:hAnsi="Times New Roman" w:cs="Times New Roman"/>
          <w:sz w:val="24"/>
          <w:szCs w:val="24"/>
        </w:rPr>
        <w:t>6. The security features shall be applied to the unit packets of tobacco products using any of the following methods:</w:t>
      </w:r>
      <w:bookmarkStart w:id="11" w:name="p6"/>
      <w:bookmarkEnd w:id="11"/>
    </w:p>
    <w:p w14:paraId="0BB59673" w14:textId="77777777" w:rsidR="002C0109" w:rsidRPr="000A1875" w:rsidRDefault="002C0109" w:rsidP="002C0109">
      <w:pPr>
        <w:spacing w:after="0" w:line="240" w:lineRule="auto"/>
        <w:ind w:firstLine="709"/>
        <w:jc w:val="both"/>
        <w:rPr>
          <w:rFonts w:ascii="Times New Roman" w:eastAsia="Times New Roman" w:hAnsi="Times New Roman" w:cs="Times New Roman"/>
          <w:noProof/>
          <w:sz w:val="24"/>
          <w:szCs w:val="24"/>
        </w:rPr>
      </w:pPr>
      <w:r w:rsidRPr="000A1875">
        <w:rPr>
          <w:rFonts w:ascii="Times New Roman" w:hAnsi="Times New Roman" w:cs="Times New Roman"/>
          <w:sz w:val="24"/>
          <w:szCs w:val="24"/>
        </w:rPr>
        <w:t>6.1. affixing;</w:t>
      </w:r>
    </w:p>
    <w:p w14:paraId="50597858" w14:textId="77777777" w:rsidR="002C0109" w:rsidRPr="000A1875" w:rsidRDefault="002C0109" w:rsidP="002C0109">
      <w:pPr>
        <w:spacing w:after="0" w:line="240" w:lineRule="auto"/>
        <w:ind w:firstLine="709"/>
        <w:jc w:val="both"/>
        <w:rPr>
          <w:rFonts w:ascii="Times New Roman" w:eastAsia="Times New Roman" w:hAnsi="Times New Roman" w:cs="Times New Roman"/>
          <w:noProof/>
          <w:sz w:val="24"/>
          <w:szCs w:val="24"/>
        </w:rPr>
      </w:pPr>
      <w:r w:rsidRPr="000A1875">
        <w:rPr>
          <w:rFonts w:ascii="Times New Roman" w:hAnsi="Times New Roman" w:cs="Times New Roman"/>
          <w:sz w:val="24"/>
          <w:szCs w:val="24"/>
        </w:rPr>
        <w:t>6.2. printing;</w:t>
      </w:r>
    </w:p>
    <w:p w14:paraId="136A9526" w14:textId="77777777" w:rsidR="002C0109" w:rsidRPr="000A1875" w:rsidRDefault="002C0109" w:rsidP="002C0109">
      <w:pPr>
        <w:spacing w:after="0" w:line="240" w:lineRule="auto"/>
        <w:ind w:firstLine="709"/>
        <w:jc w:val="both"/>
        <w:rPr>
          <w:rFonts w:ascii="Times New Roman" w:eastAsia="Times New Roman" w:hAnsi="Times New Roman" w:cs="Times New Roman"/>
          <w:noProof/>
          <w:sz w:val="24"/>
          <w:szCs w:val="24"/>
        </w:rPr>
      </w:pPr>
      <w:r w:rsidRPr="000A1875">
        <w:rPr>
          <w:rFonts w:ascii="Times New Roman" w:hAnsi="Times New Roman" w:cs="Times New Roman"/>
          <w:sz w:val="24"/>
          <w:szCs w:val="24"/>
        </w:rPr>
        <w:t>6.3. combination of affixing and printing.</w:t>
      </w:r>
    </w:p>
    <w:p w14:paraId="65B9869D" w14:textId="77777777" w:rsidR="002C0109" w:rsidRPr="000A1875" w:rsidRDefault="002C0109" w:rsidP="002C0109">
      <w:pPr>
        <w:spacing w:after="0" w:line="240" w:lineRule="auto"/>
        <w:jc w:val="both"/>
        <w:rPr>
          <w:rFonts w:ascii="Times New Roman" w:eastAsia="Times New Roman" w:hAnsi="Times New Roman" w:cs="Times New Roman"/>
          <w:noProof/>
          <w:sz w:val="24"/>
          <w:szCs w:val="24"/>
        </w:rPr>
      </w:pPr>
      <w:bookmarkStart w:id="12" w:name="p-697636"/>
      <w:bookmarkEnd w:id="12"/>
    </w:p>
    <w:p w14:paraId="7AE889B9" w14:textId="42879059" w:rsidR="002C0109" w:rsidRPr="000A1875" w:rsidRDefault="002C0109" w:rsidP="002C0109">
      <w:pPr>
        <w:spacing w:after="0" w:line="240" w:lineRule="auto"/>
        <w:jc w:val="both"/>
        <w:rPr>
          <w:rFonts w:ascii="Times New Roman" w:eastAsia="Times New Roman" w:hAnsi="Times New Roman" w:cs="Times New Roman"/>
          <w:noProof/>
          <w:sz w:val="24"/>
          <w:szCs w:val="24"/>
        </w:rPr>
      </w:pPr>
      <w:r w:rsidRPr="000A1875">
        <w:rPr>
          <w:rFonts w:ascii="Times New Roman" w:hAnsi="Times New Roman" w:cs="Times New Roman"/>
          <w:sz w:val="24"/>
          <w:szCs w:val="24"/>
        </w:rPr>
        <w:t>7. If the tobacco product has a closed transparent additional wrapper, the security feature shall be affixed underneath it.</w:t>
      </w:r>
      <w:bookmarkStart w:id="13" w:name="p7"/>
      <w:bookmarkEnd w:id="13"/>
    </w:p>
    <w:p w14:paraId="30963E05" w14:textId="77777777" w:rsidR="002C0109" w:rsidRPr="000A1875" w:rsidRDefault="002C0109" w:rsidP="002C0109">
      <w:pPr>
        <w:spacing w:after="0" w:line="240" w:lineRule="auto"/>
        <w:jc w:val="both"/>
        <w:rPr>
          <w:rFonts w:ascii="Times New Roman" w:eastAsia="Times New Roman" w:hAnsi="Times New Roman" w:cs="Times New Roman"/>
          <w:noProof/>
          <w:sz w:val="24"/>
          <w:szCs w:val="24"/>
        </w:rPr>
      </w:pPr>
      <w:bookmarkStart w:id="14" w:name="p-697637"/>
      <w:bookmarkEnd w:id="14"/>
    </w:p>
    <w:p w14:paraId="45F883E1" w14:textId="196E1E89" w:rsidR="002C0109" w:rsidRPr="000A1875" w:rsidRDefault="002C0109" w:rsidP="002C0109">
      <w:pPr>
        <w:spacing w:after="0" w:line="240" w:lineRule="auto"/>
        <w:jc w:val="both"/>
        <w:rPr>
          <w:rFonts w:ascii="Times New Roman" w:eastAsia="Times New Roman" w:hAnsi="Times New Roman" w:cs="Times New Roman"/>
          <w:noProof/>
          <w:sz w:val="24"/>
          <w:szCs w:val="24"/>
        </w:rPr>
      </w:pPr>
      <w:r w:rsidRPr="000A1875">
        <w:rPr>
          <w:rFonts w:ascii="Times New Roman" w:hAnsi="Times New Roman" w:cs="Times New Roman"/>
          <w:sz w:val="24"/>
          <w:szCs w:val="24"/>
        </w:rPr>
        <w:t>8. The security feature shall be applied to the unit packets of tobacco products in a manner that:</w:t>
      </w:r>
      <w:bookmarkStart w:id="15" w:name="p8"/>
      <w:bookmarkEnd w:id="15"/>
    </w:p>
    <w:p w14:paraId="69E82A60" w14:textId="77777777" w:rsidR="002C0109" w:rsidRPr="000A1875" w:rsidRDefault="002C0109" w:rsidP="002C0109">
      <w:pPr>
        <w:spacing w:after="0" w:line="240" w:lineRule="auto"/>
        <w:ind w:firstLine="709"/>
        <w:jc w:val="both"/>
        <w:rPr>
          <w:rFonts w:ascii="Times New Roman" w:eastAsia="Times New Roman" w:hAnsi="Times New Roman" w:cs="Times New Roman"/>
          <w:noProof/>
          <w:sz w:val="24"/>
          <w:szCs w:val="24"/>
        </w:rPr>
      </w:pPr>
      <w:r w:rsidRPr="000A1875">
        <w:rPr>
          <w:rFonts w:ascii="Times New Roman" w:hAnsi="Times New Roman" w:cs="Times New Roman"/>
          <w:sz w:val="24"/>
          <w:szCs w:val="24"/>
        </w:rPr>
        <w:t>8.1. allows for the identification and verification of the authenticity of an individual unit packet of tobacco product for the entire time the tobacco product is placed on the market;</w:t>
      </w:r>
    </w:p>
    <w:p w14:paraId="0AAE8456" w14:textId="77777777" w:rsidR="002C0109" w:rsidRPr="000A1875" w:rsidRDefault="002C0109" w:rsidP="002C0109">
      <w:pPr>
        <w:spacing w:after="0" w:line="240" w:lineRule="auto"/>
        <w:ind w:firstLine="709"/>
        <w:jc w:val="both"/>
        <w:rPr>
          <w:rFonts w:ascii="Times New Roman" w:eastAsia="Times New Roman" w:hAnsi="Times New Roman" w:cs="Times New Roman"/>
          <w:noProof/>
          <w:sz w:val="24"/>
          <w:szCs w:val="24"/>
        </w:rPr>
      </w:pPr>
      <w:r w:rsidRPr="000A1875">
        <w:rPr>
          <w:rFonts w:ascii="Times New Roman" w:hAnsi="Times New Roman" w:cs="Times New Roman"/>
          <w:sz w:val="24"/>
          <w:szCs w:val="24"/>
        </w:rPr>
        <w:t>8.2. protects them from being replaced, reused or modified in any way.</w:t>
      </w:r>
    </w:p>
    <w:p w14:paraId="461A188D" w14:textId="77777777" w:rsidR="002C0109" w:rsidRPr="000A1875" w:rsidRDefault="002C0109" w:rsidP="002C0109">
      <w:pPr>
        <w:spacing w:after="0" w:line="240" w:lineRule="auto"/>
        <w:jc w:val="both"/>
        <w:rPr>
          <w:rFonts w:ascii="Times New Roman" w:eastAsia="Times New Roman" w:hAnsi="Times New Roman" w:cs="Times New Roman"/>
          <w:noProof/>
          <w:sz w:val="24"/>
          <w:szCs w:val="24"/>
        </w:rPr>
      </w:pPr>
      <w:bookmarkStart w:id="16" w:name="p-697638"/>
      <w:bookmarkEnd w:id="16"/>
    </w:p>
    <w:p w14:paraId="64179A73" w14:textId="2D58E370" w:rsidR="002C0109" w:rsidRPr="000A1875" w:rsidRDefault="002C0109" w:rsidP="002C0109">
      <w:pPr>
        <w:spacing w:after="0" w:line="240" w:lineRule="auto"/>
        <w:jc w:val="both"/>
        <w:rPr>
          <w:rFonts w:ascii="Times New Roman" w:eastAsia="Times New Roman" w:hAnsi="Times New Roman" w:cs="Times New Roman"/>
          <w:noProof/>
          <w:sz w:val="24"/>
          <w:szCs w:val="24"/>
        </w:rPr>
      </w:pPr>
      <w:r w:rsidRPr="000A1875">
        <w:rPr>
          <w:rFonts w:ascii="Times New Roman" w:hAnsi="Times New Roman" w:cs="Times New Roman"/>
          <w:sz w:val="24"/>
          <w:szCs w:val="24"/>
        </w:rPr>
        <w:t>9. The manufacturers and importers of tobacco products who apply the security feature referred to in Paragraph 4 of this Regulation to the unit packets of tobacco products shall ensure the integrity of any authentication element thereof.</w:t>
      </w:r>
      <w:bookmarkStart w:id="17" w:name="p9"/>
      <w:bookmarkEnd w:id="17"/>
    </w:p>
    <w:p w14:paraId="3A50E24B" w14:textId="77777777" w:rsidR="002C0109" w:rsidRPr="000A1875" w:rsidRDefault="002C0109" w:rsidP="002C0109">
      <w:pPr>
        <w:spacing w:after="0" w:line="240" w:lineRule="auto"/>
        <w:jc w:val="both"/>
        <w:rPr>
          <w:rFonts w:ascii="Times New Roman" w:eastAsia="Times New Roman" w:hAnsi="Times New Roman" w:cs="Times New Roman"/>
          <w:noProof/>
          <w:sz w:val="24"/>
          <w:szCs w:val="24"/>
        </w:rPr>
      </w:pPr>
      <w:bookmarkStart w:id="18" w:name="p-697639"/>
      <w:bookmarkEnd w:id="18"/>
    </w:p>
    <w:p w14:paraId="788D2B5B" w14:textId="722CC365" w:rsidR="002C0109" w:rsidRPr="000A1875" w:rsidRDefault="002C0109" w:rsidP="002C0109">
      <w:pPr>
        <w:spacing w:after="0" w:line="240" w:lineRule="auto"/>
        <w:jc w:val="both"/>
        <w:rPr>
          <w:rFonts w:ascii="Times New Roman" w:eastAsia="Times New Roman" w:hAnsi="Times New Roman" w:cs="Times New Roman"/>
          <w:noProof/>
          <w:sz w:val="24"/>
          <w:szCs w:val="24"/>
        </w:rPr>
      </w:pPr>
      <w:r w:rsidRPr="000A1875">
        <w:rPr>
          <w:rFonts w:ascii="Times New Roman" w:hAnsi="Times New Roman" w:cs="Times New Roman"/>
          <w:sz w:val="24"/>
          <w:szCs w:val="24"/>
        </w:rPr>
        <w:t>10. The manufacturers and importers of tobacco products who apply the security feature referred to in Paragraph 4 of this Regulation to the unit packets of tobacco products shall, within three working days from the receipt of request of the State Revenue Service, submit a sample of the tobacco product currently placed on the market and shall append thereto information on the service provider referred to in Paragraph 5 of this Regulation. The samples shall be provided in unit packet format with the applied security feature.</w:t>
      </w:r>
      <w:bookmarkStart w:id="19" w:name="p10"/>
      <w:bookmarkEnd w:id="19"/>
    </w:p>
    <w:p w14:paraId="221D871E" w14:textId="77777777" w:rsidR="002C0109" w:rsidRPr="000A1875" w:rsidRDefault="002C0109" w:rsidP="002C0109">
      <w:pPr>
        <w:spacing w:after="0" w:line="240" w:lineRule="auto"/>
        <w:jc w:val="both"/>
        <w:rPr>
          <w:rFonts w:ascii="Times New Roman" w:eastAsia="Times New Roman" w:hAnsi="Times New Roman" w:cs="Times New Roman"/>
          <w:noProof/>
          <w:sz w:val="24"/>
          <w:szCs w:val="24"/>
          <w:lang w:val="en-US" w:eastAsia="lv-LV"/>
        </w:rPr>
      </w:pPr>
    </w:p>
    <w:p w14:paraId="5032746C" w14:textId="77777777" w:rsidR="002C0109" w:rsidRPr="000A1875" w:rsidRDefault="002C0109" w:rsidP="002C0109">
      <w:pPr>
        <w:spacing w:after="0" w:line="240" w:lineRule="auto"/>
        <w:jc w:val="both"/>
        <w:rPr>
          <w:rFonts w:ascii="Times New Roman" w:eastAsia="Times New Roman" w:hAnsi="Times New Roman" w:cs="Times New Roman"/>
          <w:noProof/>
          <w:sz w:val="24"/>
          <w:szCs w:val="24"/>
          <w:lang w:val="en-US" w:eastAsia="lv-LV"/>
        </w:rPr>
      </w:pPr>
    </w:p>
    <w:p w14:paraId="439DFB57" w14:textId="77777777" w:rsidR="000A1875" w:rsidRDefault="002C0109" w:rsidP="002C0109">
      <w:pPr>
        <w:spacing w:after="0" w:line="240" w:lineRule="auto"/>
        <w:jc w:val="both"/>
        <w:rPr>
          <w:rFonts w:ascii="Times New Roman" w:hAnsi="Times New Roman" w:cs="Times New Roman"/>
          <w:sz w:val="24"/>
          <w:szCs w:val="24"/>
        </w:rPr>
      </w:pPr>
      <w:r w:rsidRPr="000A1875">
        <w:rPr>
          <w:rFonts w:ascii="Times New Roman" w:hAnsi="Times New Roman" w:cs="Times New Roman"/>
          <w:sz w:val="24"/>
          <w:szCs w:val="24"/>
        </w:rPr>
        <w:t>Acting for the Prime Minister – Deputy Prime Minister,</w:t>
      </w:r>
    </w:p>
    <w:p w14:paraId="347AB830" w14:textId="47AC0995" w:rsidR="002C0109" w:rsidRPr="000A1875" w:rsidRDefault="002C0109" w:rsidP="002C0109">
      <w:pPr>
        <w:spacing w:after="0" w:line="240" w:lineRule="auto"/>
        <w:jc w:val="both"/>
        <w:rPr>
          <w:rFonts w:ascii="Times New Roman" w:eastAsia="Times New Roman" w:hAnsi="Times New Roman" w:cs="Times New Roman"/>
          <w:noProof/>
          <w:sz w:val="24"/>
          <w:szCs w:val="24"/>
        </w:rPr>
      </w:pPr>
      <w:r w:rsidRPr="000A1875">
        <w:rPr>
          <w:rFonts w:ascii="Times New Roman" w:hAnsi="Times New Roman" w:cs="Times New Roman"/>
          <w:sz w:val="24"/>
          <w:szCs w:val="24"/>
        </w:rPr>
        <w:t>Minister for Justice</w:t>
      </w:r>
      <w:r w:rsidR="000A1875">
        <w:rPr>
          <w:rFonts w:ascii="Times New Roman" w:hAnsi="Times New Roman" w:cs="Times New Roman"/>
          <w:sz w:val="24"/>
          <w:szCs w:val="24"/>
        </w:rPr>
        <w:tab/>
      </w:r>
      <w:r w:rsidR="000A1875">
        <w:rPr>
          <w:rFonts w:ascii="Times New Roman" w:hAnsi="Times New Roman" w:cs="Times New Roman"/>
          <w:sz w:val="24"/>
          <w:szCs w:val="24"/>
        </w:rPr>
        <w:tab/>
      </w:r>
      <w:r w:rsidR="000A1875">
        <w:rPr>
          <w:rFonts w:ascii="Times New Roman" w:hAnsi="Times New Roman" w:cs="Times New Roman"/>
          <w:sz w:val="24"/>
          <w:szCs w:val="24"/>
        </w:rPr>
        <w:tab/>
      </w:r>
      <w:r w:rsidR="000A1875">
        <w:rPr>
          <w:rFonts w:ascii="Times New Roman" w:hAnsi="Times New Roman" w:cs="Times New Roman"/>
          <w:sz w:val="24"/>
          <w:szCs w:val="24"/>
        </w:rPr>
        <w:tab/>
      </w:r>
      <w:r w:rsidR="000A1875">
        <w:rPr>
          <w:rFonts w:ascii="Times New Roman" w:hAnsi="Times New Roman" w:cs="Times New Roman"/>
          <w:sz w:val="24"/>
          <w:szCs w:val="24"/>
        </w:rPr>
        <w:tab/>
      </w:r>
      <w:r w:rsidR="000A1875">
        <w:rPr>
          <w:rFonts w:ascii="Times New Roman" w:hAnsi="Times New Roman" w:cs="Times New Roman"/>
          <w:sz w:val="24"/>
          <w:szCs w:val="24"/>
        </w:rPr>
        <w:tab/>
      </w:r>
      <w:r w:rsidR="000A1875">
        <w:rPr>
          <w:rFonts w:ascii="Times New Roman" w:hAnsi="Times New Roman" w:cs="Times New Roman"/>
          <w:sz w:val="24"/>
          <w:szCs w:val="24"/>
        </w:rPr>
        <w:tab/>
      </w:r>
      <w:r w:rsidR="000A1875">
        <w:rPr>
          <w:rFonts w:ascii="Times New Roman" w:hAnsi="Times New Roman" w:cs="Times New Roman"/>
          <w:sz w:val="24"/>
          <w:szCs w:val="24"/>
        </w:rPr>
        <w:tab/>
      </w:r>
      <w:r w:rsidR="000A1875">
        <w:rPr>
          <w:rFonts w:ascii="Times New Roman" w:hAnsi="Times New Roman" w:cs="Times New Roman"/>
          <w:sz w:val="24"/>
          <w:szCs w:val="24"/>
        </w:rPr>
        <w:tab/>
      </w:r>
      <w:r w:rsidRPr="000A1875">
        <w:rPr>
          <w:rFonts w:ascii="Times New Roman" w:hAnsi="Times New Roman" w:cs="Times New Roman"/>
          <w:sz w:val="24"/>
          <w:szCs w:val="24"/>
        </w:rPr>
        <w:t>J. Bordāns</w:t>
      </w:r>
    </w:p>
    <w:p w14:paraId="0583A29D" w14:textId="3158BDEB" w:rsidR="002C0109" w:rsidRPr="000A1875" w:rsidRDefault="002C0109" w:rsidP="002C0109">
      <w:pPr>
        <w:spacing w:after="0" w:line="240" w:lineRule="auto"/>
        <w:jc w:val="both"/>
        <w:rPr>
          <w:rFonts w:ascii="Times New Roman" w:eastAsia="Times New Roman" w:hAnsi="Times New Roman" w:cs="Times New Roman"/>
          <w:noProof/>
          <w:sz w:val="24"/>
          <w:szCs w:val="24"/>
          <w:lang w:val="en-US" w:eastAsia="lv-LV"/>
        </w:rPr>
      </w:pPr>
    </w:p>
    <w:p w14:paraId="4AD447E2" w14:textId="77777777" w:rsidR="000A1875" w:rsidRDefault="002C0109" w:rsidP="002C0109">
      <w:pPr>
        <w:spacing w:after="0" w:line="240" w:lineRule="auto"/>
        <w:jc w:val="both"/>
        <w:rPr>
          <w:rFonts w:ascii="Times New Roman" w:hAnsi="Times New Roman" w:cs="Times New Roman"/>
          <w:sz w:val="24"/>
          <w:szCs w:val="24"/>
        </w:rPr>
      </w:pPr>
      <w:r w:rsidRPr="000A1875">
        <w:rPr>
          <w:rFonts w:ascii="Times New Roman" w:hAnsi="Times New Roman" w:cs="Times New Roman"/>
          <w:sz w:val="24"/>
          <w:szCs w:val="24"/>
        </w:rPr>
        <w:t>Acting for the Minister for Finance – the Deputy Prime Minister,</w:t>
      </w:r>
    </w:p>
    <w:p w14:paraId="0087743B" w14:textId="2AE8F69A" w:rsidR="002C0109" w:rsidRPr="000A1875" w:rsidRDefault="002C0109" w:rsidP="002C0109">
      <w:pPr>
        <w:spacing w:after="0" w:line="240" w:lineRule="auto"/>
        <w:jc w:val="both"/>
        <w:rPr>
          <w:rFonts w:ascii="Times New Roman" w:eastAsia="Times New Roman" w:hAnsi="Times New Roman" w:cs="Times New Roman"/>
          <w:noProof/>
          <w:sz w:val="24"/>
          <w:szCs w:val="24"/>
        </w:rPr>
      </w:pPr>
      <w:r w:rsidRPr="000A1875">
        <w:rPr>
          <w:rFonts w:ascii="Times New Roman" w:hAnsi="Times New Roman" w:cs="Times New Roman"/>
          <w:sz w:val="24"/>
          <w:szCs w:val="24"/>
        </w:rPr>
        <w:t>Minister for Defence</w:t>
      </w:r>
      <w:r w:rsidR="000A1875">
        <w:rPr>
          <w:rFonts w:ascii="Times New Roman" w:hAnsi="Times New Roman" w:cs="Times New Roman"/>
          <w:sz w:val="24"/>
          <w:szCs w:val="24"/>
        </w:rPr>
        <w:tab/>
      </w:r>
      <w:r w:rsidR="000A1875">
        <w:rPr>
          <w:rFonts w:ascii="Times New Roman" w:hAnsi="Times New Roman" w:cs="Times New Roman"/>
          <w:sz w:val="24"/>
          <w:szCs w:val="24"/>
        </w:rPr>
        <w:tab/>
      </w:r>
      <w:r w:rsidR="000A1875">
        <w:rPr>
          <w:rFonts w:ascii="Times New Roman" w:hAnsi="Times New Roman" w:cs="Times New Roman"/>
          <w:sz w:val="24"/>
          <w:szCs w:val="24"/>
        </w:rPr>
        <w:tab/>
      </w:r>
      <w:r w:rsidR="000A1875">
        <w:rPr>
          <w:rFonts w:ascii="Times New Roman" w:hAnsi="Times New Roman" w:cs="Times New Roman"/>
          <w:sz w:val="24"/>
          <w:szCs w:val="24"/>
        </w:rPr>
        <w:tab/>
      </w:r>
      <w:r w:rsidR="000A1875">
        <w:rPr>
          <w:rFonts w:ascii="Times New Roman" w:hAnsi="Times New Roman" w:cs="Times New Roman"/>
          <w:sz w:val="24"/>
          <w:szCs w:val="24"/>
        </w:rPr>
        <w:tab/>
      </w:r>
      <w:r w:rsidR="000A1875">
        <w:rPr>
          <w:rFonts w:ascii="Times New Roman" w:hAnsi="Times New Roman" w:cs="Times New Roman"/>
          <w:sz w:val="24"/>
          <w:szCs w:val="24"/>
        </w:rPr>
        <w:tab/>
      </w:r>
      <w:r w:rsidR="000A1875">
        <w:rPr>
          <w:rFonts w:ascii="Times New Roman" w:hAnsi="Times New Roman" w:cs="Times New Roman"/>
          <w:sz w:val="24"/>
          <w:szCs w:val="24"/>
        </w:rPr>
        <w:tab/>
      </w:r>
      <w:r w:rsidR="000A1875">
        <w:rPr>
          <w:rFonts w:ascii="Times New Roman" w:hAnsi="Times New Roman" w:cs="Times New Roman"/>
          <w:sz w:val="24"/>
          <w:szCs w:val="24"/>
        </w:rPr>
        <w:tab/>
      </w:r>
      <w:r w:rsidR="000A1875">
        <w:rPr>
          <w:rFonts w:ascii="Times New Roman" w:hAnsi="Times New Roman" w:cs="Times New Roman"/>
          <w:sz w:val="24"/>
          <w:szCs w:val="24"/>
        </w:rPr>
        <w:tab/>
      </w:r>
      <w:bookmarkStart w:id="20" w:name="_GoBack"/>
      <w:bookmarkEnd w:id="20"/>
      <w:r w:rsidRPr="000A1875">
        <w:rPr>
          <w:rFonts w:ascii="Times New Roman" w:hAnsi="Times New Roman" w:cs="Times New Roman"/>
          <w:sz w:val="24"/>
          <w:szCs w:val="24"/>
        </w:rPr>
        <w:t>A. Pabriks</w:t>
      </w:r>
    </w:p>
    <w:p w14:paraId="59447BD9" w14:textId="29270709" w:rsidR="002C0109" w:rsidRPr="000A1875" w:rsidRDefault="002C0109" w:rsidP="002C0109">
      <w:pPr>
        <w:spacing w:after="0" w:line="240" w:lineRule="auto"/>
        <w:jc w:val="both"/>
        <w:rPr>
          <w:rFonts w:ascii="Times New Roman" w:eastAsia="Times New Roman" w:hAnsi="Times New Roman" w:cs="Times New Roman"/>
          <w:noProof/>
          <w:sz w:val="24"/>
          <w:szCs w:val="24"/>
          <w:lang w:val="en-US"/>
        </w:rPr>
      </w:pPr>
    </w:p>
    <w:p w14:paraId="5945BF02" w14:textId="77777777" w:rsidR="002C0109" w:rsidRPr="000A1875" w:rsidRDefault="002C0109" w:rsidP="002C0109">
      <w:pPr>
        <w:spacing w:after="0" w:line="240" w:lineRule="auto"/>
        <w:jc w:val="both"/>
        <w:rPr>
          <w:rFonts w:ascii="Times New Roman" w:eastAsia="Times New Roman" w:hAnsi="Times New Roman" w:cs="Times New Roman"/>
          <w:noProof/>
          <w:sz w:val="24"/>
          <w:szCs w:val="24"/>
          <w:lang w:val="en-US"/>
        </w:rPr>
      </w:pPr>
    </w:p>
    <w:sectPr w:rsidR="002C0109" w:rsidRPr="000A1875" w:rsidSect="002C0109">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7F823C" w14:textId="77777777" w:rsidR="002C0109" w:rsidRPr="002C0109" w:rsidRDefault="002C0109" w:rsidP="002C0109">
      <w:pPr>
        <w:spacing w:after="0" w:line="240" w:lineRule="auto"/>
        <w:rPr>
          <w:noProof/>
          <w:lang w:val="en-US"/>
        </w:rPr>
      </w:pPr>
      <w:r w:rsidRPr="002C0109">
        <w:rPr>
          <w:noProof/>
          <w:lang w:val="en-US"/>
        </w:rPr>
        <w:separator/>
      </w:r>
    </w:p>
  </w:endnote>
  <w:endnote w:type="continuationSeparator" w:id="0">
    <w:p w14:paraId="54F3FD97" w14:textId="77777777" w:rsidR="002C0109" w:rsidRPr="002C0109" w:rsidRDefault="002C0109" w:rsidP="002C0109">
      <w:pPr>
        <w:spacing w:after="0" w:line="240" w:lineRule="auto"/>
        <w:rPr>
          <w:noProof/>
          <w:lang w:val="en-US"/>
        </w:rPr>
      </w:pPr>
      <w:r w:rsidRPr="002C010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4102F" w14:textId="77777777" w:rsidR="000A1875" w:rsidRPr="00750961" w:rsidRDefault="000A1875" w:rsidP="000A1875">
    <w:pPr>
      <w:pStyle w:val="Kjene"/>
      <w:tabs>
        <w:tab w:val="clear" w:pos="4153"/>
        <w:tab w:val="clear" w:pos="8306"/>
        <w:tab w:val="right" w:pos="9072"/>
      </w:tabs>
      <w:rPr>
        <w:rFonts w:ascii="Times New Roman" w:hAnsi="Times New Roman"/>
        <w:sz w:val="20"/>
      </w:rPr>
    </w:pPr>
  </w:p>
  <w:p w14:paraId="3E1DADF2" w14:textId="77777777" w:rsidR="000A1875" w:rsidRPr="000523BF" w:rsidRDefault="000A1875" w:rsidP="000A1875">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9C4D2" w14:textId="77777777" w:rsidR="000A1875" w:rsidRPr="00750961" w:rsidRDefault="000A1875" w:rsidP="000A1875">
    <w:pPr>
      <w:pStyle w:val="Kjene"/>
      <w:rPr>
        <w:rFonts w:ascii="Times New Roman" w:hAnsi="Times New Roman"/>
        <w:sz w:val="20"/>
      </w:rPr>
    </w:pPr>
    <w:bookmarkStart w:id="21" w:name="_Hlk3898969"/>
    <w:bookmarkStart w:id="22" w:name="_Hlk3898970"/>
  </w:p>
  <w:p w14:paraId="52D07292" w14:textId="77777777" w:rsidR="000A1875" w:rsidRPr="000523BF" w:rsidRDefault="000A1875" w:rsidP="000A1875">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1"/>
    <w:bookmarkEnd w:id="2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9EC556" w14:textId="77777777" w:rsidR="002C0109" w:rsidRPr="002C0109" w:rsidRDefault="002C0109" w:rsidP="002C0109">
      <w:pPr>
        <w:spacing w:after="0" w:line="240" w:lineRule="auto"/>
        <w:rPr>
          <w:noProof/>
          <w:lang w:val="en-US"/>
        </w:rPr>
      </w:pPr>
      <w:r w:rsidRPr="002C0109">
        <w:rPr>
          <w:noProof/>
          <w:lang w:val="en-US"/>
        </w:rPr>
        <w:separator/>
      </w:r>
    </w:p>
  </w:footnote>
  <w:footnote w:type="continuationSeparator" w:id="0">
    <w:p w14:paraId="4DE874F5" w14:textId="77777777" w:rsidR="002C0109" w:rsidRPr="002C0109" w:rsidRDefault="002C0109" w:rsidP="002C0109">
      <w:pPr>
        <w:spacing w:after="0" w:line="240" w:lineRule="auto"/>
        <w:rPr>
          <w:noProof/>
          <w:lang w:val="en-US"/>
        </w:rPr>
      </w:pPr>
      <w:r w:rsidRPr="002C010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DBA"/>
    <w:rsid w:val="000A1875"/>
    <w:rsid w:val="002326EA"/>
    <w:rsid w:val="002C0109"/>
    <w:rsid w:val="004A3DBA"/>
    <w:rsid w:val="00530540"/>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B57D3"/>
  <w15:chartTrackingRefBased/>
  <w15:docId w15:val="{9B17DC56-00A8-473C-9056-6B7849187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2C0109"/>
    <w:rPr>
      <w:color w:val="0000FF"/>
      <w:u w:val="single"/>
    </w:rPr>
  </w:style>
  <w:style w:type="paragraph" w:customStyle="1" w:styleId="tv213">
    <w:name w:val="tv213"/>
    <w:basedOn w:val="Parasts"/>
    <w:rsid w:val="002C01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2C010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C0109"/>
  </w:style>
  <w:style w:type="paragraph" w:styleId="Kjene">
    <w:name w:val="footer"/>
    <w:basedOn w:val="Parasts"/>
    <w:link w:val="KjeneRakstz"/>
    <w:unhideWhenUsed/>
    <w:rsid w:val="002C010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C0109"/>
  </w:style>
  <w:style w:type="character" w:styleId="Lappusesnumurs">
    <w:name w:val="page number"/>
    <w:rsid w:val="000A18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542982">
      <w:bodyDiv w:val="1"/>
      <w:marLeft w:val="0"/>
      <w:marRight w:val="0"/>
      <w:marTop w:val="0"/>
      <w:marBottom w:val="0"/>
      <w:divBdr>
        <w:top w:val="none" w:sz="0" w:space="0" w:color="auto"/>
        <w:left w:val="none" w:sz="0" w:space="0" w:color="auto"/>
        <w:bottom w:val="none" w:sz="0" w:space="0" w:color="auto"/>
        <w:right w:val="none" w:sz="0" w:space="0" w:color="auto"/>
      </w:divBdr>
      <w:divsChild>
        <w:div w:id="1442532691">
          <w:marLeft w:val="0"/>
          <w:marRight w:val="0"/>
          <w:marTop w:val="0"/>
          <w:marBottom w:val="0"/>
          <w:divBdr>
            <w:top w:val="none" w:sz="0" w:space="0" w:color="auto"/>
            <w:left w:val="none" w:sz="0" w:space="0" w:color="auto"/>
            <w:bottom w:val="none" w:sz="0" w:space="0" w:color="auto"/>
            <w:right w:val="none" w:sz="0" w:space="0" w:color="auto"/>
          </w:divBdr>
          <w:divsChild>
            <w:div w:id="291248130">
              <w:marLeft w:val="0"/>
              <w:marRight w:val="0"/>
              <w:marTop w:val="0"/>
              <w:marBottom w:val="0"/>
              <w:divBdr>
                <w:top w:val="none" w:sz="0" w:space="0" w:color="auto"/>
                <w:left w:val="none" w:sz="0" w:space="0" w:color="auto"/>
                <w:bottom w:val="none" w:sz="0" w:space="0" w:color="auto"/>
                <w:right w:val="none" w:sz="0" w:space="0" w:color="auto"/>
              </w:divBdr>
            </w:div>
            <w:div w:id="89545787">
              <w:marLeft w:val="0"/>
              <w:marRight w:val="0"/>
              <w:marTop w:val="0"/>
              <w:marBottom w:val="0"/>
              <w:divBdr>
                <w:top w:val="none" w:sz="0" w:space="0" w:color="auto"/>
                <w:left w:val="none" w:sz="0" w:space="0" w:color="auto"/>
                <w:bottom w:val="none" w:sz="0" w:space="0" w:color="auto"/>
                <w:right w:val="none" w:sz="0" w:space="0" w:color="auto"/>
              </w:divBdr>
            </w:div>
            <w:div w:id="1934624654">
              <w:marLeft w:val="0"/>
              <w:marRight w:val="0"/>
              <w:marTop w:val="0"/>
              <w:marBottom w:val="0"/>
              <w:divBdr>
                <w:top w:val="none" w:sz="0" w:space="0" w:color="auto"/>
                <w:left w:val="none" w:sz="0" w:space="0" w:color="auto"/>
                <w:bottom w:val="none" w:sz="0" w:space="0" w:color="auto"/>
                <w:right w:val="none" w:sz="0" w:space="0" w:color="auto"/>
              </w:divBdr>
            </w:div>
            <w:div w:id="1701857687">
              <w:marLeft w:val="0"/>
              <w:marRight w:val="0"/>
              <w:marTop w:val="0"/>
              <w:marBottom w:val="0"/>
              <w:divBdr>
                <w:top w:val="none" w:sz="0" w:space="0" w:color="auto"/>
                <w:left w:val="none" w:sz="0" w:space="0" w:color="auto"/>
                <w:bottom w:val="none" w:sz="0" w:space="0" w:color="auto"/>
                <w:right w:val="none" w:sz="0" w:space="0" w:color="auto"/>
              </w:divBdr>
            </w:div>
            <w:div w:id="831022286">
              <w:marLeft w:val="0"/>
              <w:marRight w:val="0"/>
              <w:marTop w:val="0"/>
              <w:marBottom w:val="0"/>
              <w:divBdr>
                <w:top w:val="none" w:sz="0" w:space="0" w:color="auto"/>
                <w:left w:val="none" w:sz="0" w:space="0" w:color="auto"/>
                <w:bottom w:val="none" w:sz="0" w:space="0" w:color="auto"/>
                <w:right w:val="none" w:sz="0" w:space="0" w:color="auto"/>
              </w:divBdr>
            </w:div>
            <w:div w:id="1403218478">
              <w:marLeft w:val="0"/>
              <w:marRight w:val="0"/>
              <w:marTop w:val="0"/>
              <w:marBottom w:val="0"/>
              <w:divBdr>
                <w:top w:val="none" w:sz="0" w:space="0" w:color="auto"/>
                <w:left w:val="none" w:sz="0" w:space="0" w:color="auto"/>
                <w:bottom w:val="none" w:sz="0" w:space="0" w:color="auto"/>
                <w:right w:val="none" w:sz="0" w:space="0" w:color="auto"/>
              </w:divBdr>
            </w:div>
            <w:div w:id="220791568">
              <w:marLeft w:val="0"/>
              <w:marRight w:val="0"/>
              <w:marTop w:val="0"/>
              <w:marBottom w:val="0"/>
              <w:divBdr>
                <w:top w:val="none" w:sz="0" w:space="0" w:color="auto"/>
                <w:left w:val="none" w:sz="0" w:space="0" w:color="auto"/>
                <w:bottom w:val="none" w:sz="0" w:space="0" w:color="auto"/>
                <w:right w:val="none" w:sz="0" w:space="0" w:color="auto"/>
              </w:divBdr>
            </w:div>
            <w:div w:id="48577891">
              <w:marLeft w:val="0"/>
              <w:marRight w:val="0"/>
              <w:marTop w:val="0"/>
              <w:marBottom w:val="0"/>
              <w:divBdr>
                <w:top w:val="none" w:sz="0" w:space="0" w:color="auto"/>
                <w:left w:val="none" w:sz="0" w:space="0" w:color="auto"/>
                <w:bottom w:val="none" w:sz="0" w:space="0" w:color="auto"/>
                <w:right w:val="none" w:sz="0" w:space="0" w:color="auto"/>
              </w:divBdr>
            </w:div>
            <w:div w:id="574438680">
              <w:marLeft w:val="0"/>
              <w:marRight w:val="0"/>
              <w:marTop w:val="0"/>
              <w:marBottom w:val="0"/>
              <w:divBdr>
                <w:top w:val="none" w:sz="0" w:space="0" w:color="auto"/>
                <w:left w:val="none" w:sz="0" w:space="0" w:color="auto"/>
                <w:bottom w:val="none" w:sz="0" w:space="0" w:color="auto"/>
                <w:right w:val="none" w:sz="0" w:space="0" w:color="auto"/>
              </w:divBdr>
            </w:div>
            <w:div w:id="1861121811">
              <w:marLeft w:val="0"/>
              <w:marRight w:val="0"/>
              <w:marTop w:val="0"/>
              <w:marBottom w:val="0"/>
              <w:divBdr>
                <w:top w:val="none" w:sz="0" w:space="0" w:color="auto"/>
                <w:left w:val="none" w:sz="0" w:space="0" w:color="auto"/>
                <w:bottom w:val="none" w:sz="0" w:space="0" w:color="auto"/>
                <w:right w:val="none" w:sz="0" w:space="0" w:color="auto"/>
              </w:divBdr>
            </w:div>
            <w:div w:id="888031947">
              <w:marLeft w:val="0"/>
              <w:marRight w:val="0"/>
              <w:marTop w:val="0"/>
              <w:marBottom w:val="0"/>
              <w:divBdr>
                <w:top w:val="none" w:sz="0" w:space="0" w:color="auto"/>
                <w:left w:val="none" w:sz="0" w:space="0" w:color="auto"/>
                <w:bottom w:val="none" w:sz="0" w:space="0" w:color="auto"/>
                <w:right w:val="none" w:sz="0" w:space="0" w:color="auto"/>
              </w:divBdr>
            </w:div>
            <w:div w:id="1978871363">
              <w:marLeft w:val="0"/>
              <w:marRight w:val="0"/>
              <w:marTop w:val="0"/>
              <w:marBottom w:val="0"/>
              <w:divBdr>
                <w:top w:val="none" w:sz="0" w:space="0" w:color="auto"/>
                <w:left w:val="none" w:sz="0" w:space="0" w:color="auto"/>
                <w:bottom w:val="none" w:sz="0" w:space="0" w:color="auto"/>
                <w:right w:val="none" w:sz="0" w:space="0" w:color="auto"/>
              </w:divBdr>
            </w:div>
            <w:div w:id="1221132974">
              <w:marLeft w:val="0"/>
              <w:marRight w:val="0"/>
              <w:marTop w:val="0"/>
              <w:marBottom w:val="0"/>
              <w:divBdr>
                <w:top w:val="none" w:sz="0" w:space="0" w:color="auto"/>
                <w:left w:val="none" w:sz="0" w:space="0" w:color="auto"/>
                <w:bottom w:val="none" w:sz="0" w:space="0" w:color="auto"/>
                <w:right w:val="none" w:sz="0" w:space="0" w:color="auto"/>
              </w:divBdr>
            </w:div>
            <w:div w:id="162781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684</Words>
  <Characters>3723</Characters>
  <Application>Microsoft Office Word</Application>
  <DocSecurity>0</DocSecurity>
  <Lines>87</Lines>
  <Paragraphs>34</Paragraphs>
  <ScaleCrop>false</ScaleCrop>
  <Company/>
  <LinksUpToDate>false</LinksUpToDate>
  <CharactersWithSpaces>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3</cp:revision>
  <dcterms:created xsi:type="dcterms:W3CDTF">2019-10-04T10:04:00Z</dcterms:created>
  <dcterms:modified xsi:type="dcterms:W3CDTF">2019-10-15T07:48:00Z</dcterms:modified>
</cp:coreProperties>
</file>