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98F97" w14:textId="77777777" w:rsidR="00AB42CC" w:rsidRPr="00AB42CC" w:rsidRDefault="00AB42CC" w:rsidP="00AB42CC">
      <w:pPr>
        <w:spacing w:after="0" w:line="240" w:lineRule="auto"/>
        <w:jc w:val="both"/>
        <w:rPr>
          <w:rFonts w:ascii="Times New Roman" w:hAnsi="Times New Roman"/>
          <w:noProof/>
          <w:sz w:val="24"/>
          <w:szCs w:val="24"/>
          <w:lang w:val="en-US"/>
        </w:rPr>
      </w:pPr>
    </w:p>
    <w:p w14:paraId="509685E5" w14:textId="77777777" w:rsidR="00AB42CC" w:rsidRPr="00AB42CC" w:rsidRDefault="00AB42CC" w:rsidP="00AB42CC">
      <w:pPr>
        <w:widowControl w:val="0"/>
        <w:spacing w:after="0" w:line="240" w:lineRule="auto"/>
        <w:jc w:val="both"/>
        <w:rPr>
          <w:rFonts w:ascii="Times New Roman" w:hAnsi="Times New Roman"/>
          <w:noProof/>
          <w:sz w:val="20"/>
          <w:szCs w:val="24"/>
          <w:lang w:val="en-US"/>
        </w:rPr>
      </w:pPr>
      <w:r w:rsidRPr="00AB42CC">
        <w:rPr>
          <w:rFonts w:ascii="Times New Roman" w:hAnsi="Times New Roman"/>
          <w:noProof/>
          <w:sz w:val="20"/>
          <w:szCs w:val="24"/>
          <w:lang w:val="en-US"/>
        </w:rPr>
        <w:t>Text consolidated by Valsts valodas centrs (State Language Centre) with amending regulations of:</w:t>
      </w:r>
    </w:p>
    <w:p w14:paraId="399B8DB7" w14:textId="77777777" w:rsidR="00AB42CC" w:rsidRPr="00AB42CC" w:rsidRDefault="00AB42CC" w:rsidP="00AB42CC">
      <w:pPr>
        <w:pStyle w:val="BlockText"/>
        <w:ind w:left="0" w:right="26"/>
        <w:jc w:val="center"/>
        <w:rPr>
          <w:noProof/>
          <w:szCs w:val="24"/>
          <w:lang w:val="en-US"/>
        </w:rPr>
      </w:pPr>
      <w:r w:rsidRPr="00AB42CC">
        <w:rPr>
          <w:noProof/>
          <w:szCs w:val="24"/>
          <w:lang w:val="en-US"/>
        </w:rPr>
        <w:t>10 July 2018 [shall come into force on 13 July 2018].</w:t>
      </w:r>
    </w:p>
    <w:p w14:paraId="1F98720F" w14:textId="77777777" w:rsidR="00AB42CC" w:rsidRPr="00AB42CC" w:rsidRDefault="00AB42CC" w:rsidP="00AB42CC">
      <w:pPr>
        <w:widowControl w:val="0"/>
        <w:spacing w:after="0" w:line="240" w:lineRule="auto"/>
        <w:jc w:val="both"/>
        <w:rPr>
          <w:rFonts w:ascii="Times New Roman" w:hAnsi="Times New Roman"/>
          <w:noProof/>
          <w:sz w:val="20"/>
          <w:szCs w:val="24"/>
          <w:lang w:val="en-US"/>
        </w:rPr>
      </w:pPr>
      <w:r w:rsidRPr="00AB42CC">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65C755A" w14:textId="77777777" w:rsidR="00AB42CC" w:rsidRPr="00AB42CC" w:rsidRDefault="00AB42CC" w:rsidP="00AB42CC">
      <w:pPr>
        <w:spacing w:after="0" w:line="240" w:lineRule="auto"/>
        <w:jc w:val="both"/>
        <w:rPr>
          <w:rFonts w:ascii="Times New Roman" w:hAnsi="Times New Roman"/>
          <w:noProof/>
          <w:sz w:val="24"/>
          <w:szCs w:val="24"/>
          <w:lang w:val="en-US"/>
        </w:rPr>
      </w:pPr>
    </w:p>
    <w:p w14:paraId="140ED79D" w14:textId="77777777" w:rsidR="00AB42CC" w:rsidRPr="00AB42CC" w:rsidRDefault="00AB42CC" w:rsidP="00AB42CC">
      <w:pPr>
        <w:spacing w:after="0" w:line="240" w:lineRule="auto"/>
        <w:jc w:val="both"/>
        <w:rPr>
          <w:rFonts w:ascii="Times New Roman" w:hAnsi="Times New Roman"/>
          <w:noProof/>
          <w:sz w:val="24"/>
          <w:szCs w:val="24"/>
          <w:lang w:val="en-US"/>
        </w:rPr>
      </w:pPr>
    </w:p>
    <w:p w14:paraId="18725451" w14:textId="77777777" w:rsidR="00AB42CC" w:rsidRPr="00AB42CC" w:rsidRDefault="00AB42CC" w:rsidP="00AB42CC">
      <w:pPr>
        <w:spacing w:after="0" w:line="240" w:lineRule="auto"/>
        <w:jc w:val="center"/>
        <w:rPr>
          <w:rFonts w:ascii="Times New Roman" w:hAnsi="Times New Roman"/>
          <w:noProof/>
          <w:sz w:val="24"/>
          <w:szCs w:val="24"/>
          <w:lang w:val="en-US"/>
        </w:rPr>
      </w:pPr>
      <w:r w:rsidRPr="00AB42CC">
        <w:rPr>
          <w:rFonts w:ascii="Times New Roman" w:hAnsi="Times New Roman"/>
          <w:noProof/>
          <w:sz w:val="24"/>
          <w:szCs w:val="24"/>
          <w:lang w:val="en-US"/>
        </w:rPr>
        <w:t>Republic of Latvia</w:t>
      </w:r>
    </w:p>
    <w:p w14:paraId="75195654" w14:textId="77777777" w:rsidR="00AB42CC" w:rsidRPr="00AB42CC" w:rsidRDefault="00AB42CC" w:rsidP="00AB42CC">
      <w:pPr>
        <w:spacing w:after="0" w:line="240" w:lineRule="auto"/>
        <w:jc w:val="center"/>
        <w:rPr>
          <w:rFonts w:ascii="Times New Roman" w:hAnsi="Times New Roman"/>
          <w:noProof/>
          <w:sz w:val="24"/>
          <w:lang w:val="en-US"/>
        </w:rPr>
      </w:pPr>
    </w:p>
    <w:p w14:paraId="6811C97A" w14:textId="77777777" w:rsidR="00AB42CC" w:rsidRPr="00AB42CC" w:rsidRDefault="00AB42CC" w:rsidP="00AB42CC">
      <w:pPr>
        <w:spacing w:after="0" w:line="240" w:lineRule="auto"/>
        <w:jc w:val="center"/>
        <w:rPr>
          <w:rFonts w:ascii="Times New Roman" w:hAnsi="Times New Roman"/>
          <w:noProof/>
          <w:sz w:val="24"/>
          <w:lang w:val="en-US"/>
        </w:rPr>
      </w:pPr>
      <w:r w:rsidRPr="00AB42CC">
        <w:rPr>
          <w:rFonts w:ascii="Times New Roman" w:hAnsi="Times New Roman"/>
          <w:noProof/>
          <w:sz w:val="24"/>
          <w:lang w:val="en-US"/>
        </w:rPr>
        <w:t>Cabinet</w:t>
      </w:r>
    </w:p>
    <w:p w14:paraId="0D6B3BFE" w14:textId="77777777" w:rsidR="00AB42CC" w:rsidRPr="00AB42CC" w:rsidRDefault="00AB42CC" w:rsidP="00AB42CC">
      <w:pPr>
        <w:spacing w:after="0" w:line="240" w:lineRule="auto"/>
        <w:jc w:val="center"/>
        <w:rPr>
          <w:rFonts w:ascii="Times New Roman" w:hAnsi="Times New Roman"/>
          <w:noProof/>
          <w:sz w:val="24"/>
          <w:lang w:val="en-US"/>
        </w:rPr>
      </w:pPr>
      <w:r w:rsidRPr="00AB42CC">
        <w:rPr>
          <w:rFonts w:ascii="Times New Roman" w:hAnsi="Times New Roman"/>
          <w:noProof/>
          <w:sz w:val="24"/>
          <w:lang w:val="en-US"/>
        </w:rPr>
        <w:t>Regulation No. 754</w:t>
      </w:r>
    </w:p>
    <w:p w14:paraId="65E93D9D" w14:textId="77777777" w:rsidR="00AB42CC" w:rsidRPr="00AB42CC" w:rsidRDefault="00AB42CC" w:rsidP="00AB42CC">
      <w:pPr>
        <w:spacing w:after="0" w:line="240" w:lineRule="auto"/>
        <w:jc w:val="center"/>
        <w:rPr>
          <w:rFonts w:ascii="Times New Roman" w:hAnsi="Times New Roman"/>
          <w:noProof/>
          <w:sz w:val="24"/>
          <w:lang w:val="en-US"/>
        </w:rPr>
      </w:pPr>
      <w:r w:rsidRPr="00AB42CC">
        <w:rPr>
          <w:rFonts w:ascii="Times New Roman" w:hAnsi="Times New Roman"/>
          <w:noProof/>
          <w:sz w:val="24"/>
          <w:lang w:val="en-US"/>
        </w:rPr>
        <w:t>Adopted 29 November 2016</w:t>
      </w:r>
    </w:p>
    <w:p w14:paraId="3FED8EAB"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eastAsia="lv-LV"/>
        </w:rPr>
      </w:pPr>
    </w:p>
    <w:p w14:paraId="17871FC6"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eastAsia="lv-LV"/>
        </w:rPr>
      </w:pPr>
    </w:p>
    <w:p w14:paraId="35DAA6C1" w14:textId="77777777" w:rsidR="00AB42CC" w:rsidRPr="00AB42CC" w:rsidRDefault="00AB42CC" w:rsidP="00AB42CC">
      <w:pPr>
        <w:spacing w:after="0" w:line="240" w:lineRule="auto"/>
        <w:jc w:val="center"/>
        <w:rPr>
          <w:rFonts w:ascii="Times New Roman" w:hAnsi="Times New Roman"/>
          <w:b/>
          <w:noProof/>
          <w:sz w:val="28"/>
          <w:lang w:val="en-US"/>
        </w:rPr>
      </w:pPr>
      <w:r w:rsidRPr="00AB42CC">
        <w:rPr>
          <w:rFonts w:ascii="Times New Roman" w:hAnsi="Times New Roman"/>
          <w:b/>
          <w:noProof/>
          <w:sz w:val="28"/>
          <w:lang w:val="en-US"/>
        </w:rPr>
        <w:t>Procedures for the Completion of Additional Boxes in the Customs Declaration and for Declaring Natural Gas and Electricity</w:t>
      </w:r>
    </w:p>
    <w:p w14:paraId="203BF9F4"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eastAsia="lv-LV"/>
        </w:rPr>
      </w:pPr>
    </w:p>
    <w:p w14:paraId="37F0D630"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eastAsia="lv-LV"/>
        </w:rPr>
      </w:pPr>
    </w:p>
    <w:p w14:paraId="2D55D365" w14:textId="77777777" w:rsidR="00AB42CC" w:rsidRPr="00AB42CC" w:rsidRDefault="00AB42CC" w:rsidP="00AB42CC">
      <w:pPr>
        <w:spacing w:after="0" w:line="240" w:lineRule="auto"/>
        <w:ind w:left="720" w:hanging="720"/>
        <w:jc w:val="right"/>
        <w:rPr>
          <w:rFonts w:ascii="Times New Roman" w:hAnsi="Times New Roman"/>
          <w:i/>
          <w:noProof/>
          <w:sz w:val="24"/>
          <w:lang w:val="en-US"/>
        </w:rPr>
      </w:pPr>
      <w:r w:rsidRPr="00AB42CC">
        <w:rPr>
          <w:rFonts w:ascii="Times New Roman" w:hAnsi="Times New Roman"/>
          <w:i/>
          <w:noProof/>
          <w:sz w:val="24"/>
          <w:lang w:val="en-US"/>
        </w:rPr>
        <w:t>Issued pursuant to</w:t>
      </w:r>
    </w:p>
    <w:p w14:paraId="509B8901" w14:textId="77777777" w:rsidR="00AB42CC" w:rsidRPr="00AB42CC" w:rsidRDefault="00AB42CC" w:rsidP="00AB42CC">
      <w:pPr>
        <w:spacing w:after="0" w:line="240" w:lineRule="auto"/>
        <w:ind w:left="720" w:hanging="720"/>
        <w:jc w:val="right"/>
        <w:rPr>
          <w:rFonts w:ascii="Times New Roman" w:hAnsi="Times New Roman"/>
          <w:i/>
          <w:noProof/>
          <w:sz w:val="24"/>
          <w:lang w:val="en-US"/>
        </w:rPr>
      </w:pPr>
      <w:r w:rsidRPr="00AB42CC">
        <w:rPr>
          <w:rFonts w:ascii="Times New Roman" w:hAnsi="Times New Roman"/>
          <w:i/>
          <w:noProof/>
          <w:sz w:val="24"/>
          <w:lang w:val="en-US"/>
        </w:rPr>
        <w:t>Section 6, Clauses 2 and 3 of the Customs Law</w:t>
      </w:r>
    </w:p>
    <w:p w14:paraId="79E3D7DB"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eastAsia="lv-LV"/>
        </w:rPr>
      </w:pPr>
    </w:p>
    <w:p w14:paraId="34DCED5D"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eastAsia="lv-LV"/>
        </w:rPr>
      </w:pPr>
    </w:p>
    <w:p w14:paraId="1A8AC58E" w14:textId="77777777" w:rsidR="00AB42CC" w:rsidRPr="00AB42CC" w:rsidRDefault="00AB42CC" w:rsidP="00AB42CC">
      <w:pPr>
        <w:spacing w:after="0" w:line="240" w:lineRule="auto"/>
        <w:jc w:val="both"/>
        <w:rPr>
          <w:rFonts w:ascii="Times New Roman" w:hAnsi="Times New Roman"/>
          <w:noProof/>
          <w:sz w:val="24"/>
          <w:lang w:val="en-US"/>
        </w:rPr>
      </w:pPr>
      <w:bookmarkStart w:id="0" w:name="p-606384"/>
      <w:bookmarkEnd w:id="0"/>
      <w:r w:rsidRPr="00AB42CC">
        <w:rPr>
          <w:rFonts w:ascii="Times New Roman" w:hAnsi="Times New Roman"/>
          <w:noProof/>
          <w:sz w:val="24"/>
          <w:lang w:val="en-US"/>
        </w:rPr>
        <w:t>1. The Regulation prescribes the boxes to be completed additionally in the customs declaration and the procedures for declaring natural gas and electricity.</w:t>
      </w:r>
      <w:bookmarkStart w:id="1" w:name="p1"/>
      <w:bookmarkEnd w:id="1"/>
    </w:p>
    <w:p w14:paraId="58C997F9"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bookmarkStart w:id="2" w:name="p-606385"/>
      <w:bookmarkStart w:id="3" w:name="p2"/>
      <w:bookmarkEnd w:id="2"/>
      <w:bookmarkEnd w:id="3"/>
    </w:p>
    <w:p w14:paraId="48D81EEC" w14:textId="77777777" w:rsidR="00AB42CC" w:rsidRPr="00AB42CC" w:rsidRDefault="00AB42CC" w:rsidP="00AB42CC">
      <w:pPr>
        <w:spacing w:after="0" w:line="240" w:lineRule="auto"/>
        <w:jc w:val="both"/>
        <w:rPr>
          <w:rFonts w:ascii="Times New Roman" w:hAnsi="Times New Roman"/>
          <w:noProof/>
          <w:sz w:val="24"/>
          <w:lang w:val="en-US"/>
        </w:rPr>
      </w:pPr>
      <w:r w:rsidRPr="00AB42CC">
        <w:rPr>
          <w:rFonts w:ascii="Times New Roman" w:hAnsi="Times New Roman"/>
          <w:noProof/>
          <w:sz w:val="24"/>
          <w:lang w:val="en-US"/>
        </w:rPr>
        <w:t>2. In order to apply goods for the customs procedure – export, in addition to the boxes subject to mandatory completion and specified in Appendix C1 of Commission Delegated Regulation (EU) 2016/341 of 17 December 2015 supplementing Regulation (EU) No 952/2013 of the European Parliament and of the Council as regards transitional rules for certain provisions of the Union Customs Code where the relevant electronic systems are not yet operational and amending Delegated Regulation (EU) 2015/2446 (hereinafter – Appendix C1 of Regulation No 2016/341), the following boxes of the customs declaration which are referred to in Appendix C1 of Regulation No 2016/341 in the list of boxes subject to optional completion shall be completed:</w:t>
      </w:r>
    </w:p>
    <w:p w14:paraId="26271A0E"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2.1. in all cases, boxes 2, 6, 8, 14, 15a, 18 (Identity), the first and second subdivisions of box 20, boxes 22 (Currency), 22 (Amount), 23, 24, 29, 30, and 35;</w:t>
      </w:r>
    </w:p>
    <w:p w14:paraId="451F4827"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2.2. if the export of goods involves the customs warehousing procedure, boxes 49;</w:t>
      </w:r>
    </w:p>
    <w:p w14:paraId="5C1FDB6E"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2.3. if the preferential origin of the goods to be exported is attested by any of the documents certifying the preferential origin of the goods, the number and date of the document certifying the preferential origin of the goods shall be entered in box 44 of the export customs declaration.</w:t>
      </w:r>
    </w:p>
    <w:p w14:paraId="4D31EDF1"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bookmarkStart w:id="4" w:name="p-606386"/>
      <w:bookmarkStart w:id="5" w:name="p3"/>
      <w:bookmarkEnd w:id="4"/>
      <w:bookmarkEnd w:id="5"/>
    </w:p>
    <w:p w14:paraId="0F820E5F" w14:textId="77777777" w:rsidR="00AB42CC" w:rsidRPr="00AB42CC" w:rsidRDefault="00AB42CC" w:rsidP="00AB42CC">
      <w:pPr>
        <w:spacing w:after="0" w:line="240" w:lineRule="auto"/>
        <w:jc w:val="both"/>
        <w:rPr>
          <w:rFonts w:ascii="Times New Roman" w:hAnsi="Times New Roman"/>
          <w:noProof/>
          <w:sz w:val="24"/>
          <w:lang w:val="en-US"/>
        </w:rPr>
      </w:pPr>
      <w:r w:rsidRPr="00AB42CC">
        <w:rPr>
          <w:rFonts w:ascii="Times New Roman" w:hAnsi="Times New Roman"/>
          <w:noProof/>
          <w:sz w:val="24"/>
          <w:lang w:val="en-US"/>
        </w:rPr>
        <w:t>3. For the application of the customs warehousing procedure for goods in order to receive the payment of special export refunds prior to export, in addition to the boxes subject to mandatory completion and specified in Appendix C1 of Regulation No 2016/341, the following boxes of the customs declaration which are referred to in Appendix C1 in the list of boxes subject to optional completion shall be completed: boxes 8, 14, 25, 26, 30, 46, and 49.</w:t>
      </w:r>
    </w:p>
    <w:p w14:paraId="0B6E017F"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bookmarkStart w:id="6" w:name="p-606387"/>
      <w:bookmarkStart w:id="7" w:name="p4"/>
      <w:bookmarkEnd w:id="6"/>
      <w:bookmarkEnd w:id="7"/>
    </w:p>
    <w:p w14:paraId="163C1458" w14:textId="77777777" w:rsidR="00AB42CC" w:rsidRPr="00AB42CC" w:rsidRDefault="00AB42CC" w:rsidP="00AB42CC">
      <w:pPr>
        <w:spacing w:after="0" w:line="240" w:lineRule="auto"/>
        <w:jc w:val="both"/>
        <w:rPr>
          <w:rFonts w:ascii="Times New Roman" w:hAnsi="Times New Roman"/>
          <w:noProof/>
          <w:sz w:val="24"/>
          <w:lang w:val="en-US"/>
        </w:rPr>
      </w:pPr>
      <w:r w:rsidRPr="00AB42CC">
        <w:rPr>
          <w:rFonts w:ascii="Times New Roman" w:hAnsi="Times New Roman"/>
          <w:noProof/>
          <w:sz w:val="24"/>
          <w:lang w:val="en-US"/>
        </w:rPr>
        <w:t xml:space="preserve">4. In order to apply re-export under a special procedure other than the customs warehousing procedure, in addition to the boxes subject to mandatory completion and specified in Appendix C1 of Regulation No 2016/341, the following boxes of the customs declaration </w:t>
      </w:r>
      <w:r w:rsidRPr="00AB42CC">
        <w:rPr>
          <w:rFonts w:ascii="Times New Roman" w:hAnsi="Times New Roman"/>
          <w:noProof/>
          <w:sz w:val="24"/>
          <w:lang w:val="en-US"/>
        </w:rPr>
        <w:lastRenderedPageBreak/>
        <w:t>which are referred to in Appendix C1 of Regulation No 2016/341 in the list of boxes subject to optional completion shall be completed:</w:t>
      </w:r>
    </w:p>
    <w:p w14:paraId="19E53815"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4.1. in all cases, boxes 2, 6, 8, 14, 15a, 18 (Identity), the first and second subdivisions of box 20, boxes 22 (Currency), 22 (Amount), 23, 24, 29, 30, and 35;</w:t>
      </w:r>
    </w:p>
    <w:p w14:paraId="09A53561"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4.2. if the re-export of goods involves the customs warehousing procedure, box 49.</w:t>
      </w:r>
    </w:p>
    <w:p w14:paraId="21FD831C"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bookmarkStart w:id="8" w:name="p-606388"/>
      <w:bookmarkStart w:id="9" w:name="p5"/>
      <w:bookmarkEnd w:id="8"/>
      <w:bookmarkEnd w:id="9"/>
    </w:p>
    <w:p w14:paraId="159B9DD8" w14:textId="77777777" w:rsidR="00AB42CC" w:rsidRPr="00AB42CC" w:rsidRDefault="00AB42CC" w:rsidP="00AB42CC">
      <w:pPr>
        <w:spacing w:after="0" w:line="240" w:lineRule="auto"/>
        <w:jc w:val="both"/>
        <w:rPr>
          <w:rFonts w:ascii="Times New Roman" w:hAnsi="Times New Roman"/>
          <w:noProof/>
          <w:sz w:val="24"/>
          <w:lang w:val="en-US"/>
        </w:rPr>
      </w:pPr>
      <w:r w:rsidRPr="00AB42CC">
        <w:rPr>
          <w:rFonts w:ascii="Times New Roman" w:hAnsi="Times New Roman"/>
          <w:noProof/>
          <w:sz w:val="24"/>
          <w:lang w:val="en-US"/>
        </w:rPr>
        <w:t>5. In order to apply re-export after customs warehousing, in addition to the boxes subject to mandatory completion and specified in Appendix C1 of Regulation No 2016/341, the following boxes of the customs declaration which are referred to in Appendix C1 of Regulation No 2016/341 in the list of boxes subject to optional completion shall be completed: boxes 2, 6, 8, 14, 17a, 25, 26, 29, and 46.</w:t>
      </w:r>
    </w:p>
    <w:p w14:paraId="0E0324B0"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bookmarkStart w:id="10" w:name="p-606389"/>
      <w:bookmarkStart w:id="11" w:name="p6"/>
      <w:bookmarkEnd w:id="10"/>
      <w:bookmarkEnd w:id="11"/>
    </w:p>
    <w:p w14:paraId="29A336C6" w14:textId="77777777" w:rsidR="00AB42CC" w:rsidRPr="00AB42CC" w:rsidRDefault="00AB42CC" w:rsidP="00AB42CC">
      <w:pPr>
        <w:spacing w:after="0" w:line="240" w:lineRule="auto"/>
        <w:jc w:val="both"/>
        <w:rPr>
          <w:rFonts w:ascii="Times New Roman" w:hAnsi="Times New Roman"/>
          <w:noProof/>
          <w:sz w:val="24"/>
          <w:lang w:val="en-US"/>
        </w:rPr>
      </w:pPr>
      <w:r w:rsidRPr="00AB42CC">
        <w:rPr>
          <w:rFonts w:ascii="Times New Roman" w:hAnsi="Times New Roman"/>
          <w:noProof/>
          <w:sz w:val="24"/>
          <w:lang w:val="en-US"/>
        </w:rPr>
        <w:t>6. In order to apply the customs procedure – outward processing, in addition to the boxes subject to mandatory completion and specified in Appendix C1 of Regulation No 2016/341, the following boxes of the customs declaration which are referred to in Appendix C1 of Regulation No 2016/341 in the list of boxes subject to optional completion shall be completed:</w:t>
      </w:r>
    </w:p>
    <w:p w14:paraId="757924AA"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6.1. in all cases, boxes 2, 6, 8, 14, 15a, the first and second subdivisions of box 20, boxes 22 (Currency), 22 (Amount), 23, 24, 29, 30, and 35;</w:t>
      </w:r>
    </w:p>
    <w:p w14:paraId="43808CB0"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6.2. if the export of the goods involves the customs warehousing procedure, box 49.</w:t>
      </w:r>
    </w:p>
    <w:p w14:paraId="35A20A63"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bookmarkStart w:id="12" w:name="p-661000"/>
      <w:bookmarkStart w:id="13" w:name="p7"/>
      <w:bookmarkEnd w:id="12"/>
      <w:bookmarkEnd w:id="13"/>
    </w:p>
    <w:p w14:paraId="247558A0" w14:textId="77777777" w:rsidR="00AB42CC" w:rsidRPr="00AB42CC" w:rsidRDefault="00AB42CC" w:rsidP="00AB42CC">
      <w:pPr>
        <w:spacing w:after="0" w:line="240" w:lineRule="auto"/>
        <w:jc w:val="both"/>
        <w:rPr>
          <w:rFonts w:ascii="Times New Roman" w:hAnsi="Times New Roman"/>
          <w:noProof/>
          <w:sz w:val="24"/>
          <w:lang w:val="en-US"/>
        </w:rPr>
      </w:pPr>
      <w:r w:rsidRPr="00AB42CC">
        <w:rPr>
          <w:rFonts w:ascii="Times New Roman" w:hAnsi="Times New Roman"/>
          <w:noProof/>
          <w:sz w:val="24"/>
          <w:lang w:val="en-US"/>
        </w:rPr>
        <w:t>7. In order to apply the customs procedure – transit (the Union transit procedure and TIR procedure), in addition to the boxes subject to mandatory completion and specified in Appendix C1 of Regulation No 2016/341, the following boxes of the transit declaration which are referred to in Appendix C1 of Regulation No 2016/341 in the list of boxes subject to optional completion shall be completed:</w:t>
      </w:r>
    </w:p>
    <w:p w14:paraId="44D5B1BD"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7.1. in all cases, boxes 2, 6, 8, 17, 19, 21 (Identity), 25, and 26;</w:t>
      </w:r>
    </w:p>
    <w:p w14:paraId="551081AA"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7.2. if the EORI number of the respective person (consignor or consignee) or the registration number of the company assigned by the Member State in accordance with the Convention of 20 May 1987 on a common transit procedure is available at the time of release into the customs procedure, boxes 2 (No.) and 8 (No.);</w:t>
      </w:r>
    </w:p>
    <w:p w14:paraId="754B4713"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7.3. [10 July 2018].</w:t>
      </w:r>
    </w:p>
    <w:p w14:paraId="63F28874"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r w:rsidRPr="00AB42CC">
        <w:rPr>
          <w:rFonts w:ascii="Times New Roman" w:hAnsi="Times New Roman"/>
          <w:noProof/>
          <w:sz w:val="24"/>
          <w:lang w:val="en-US"/>
        </w:rPr>
        <w:t>[</w:t>
      </w:r>
      <w:r w:rsidRPr="00AB42CC">
        <w:rPr>
          <w:rFonts w:ascii="Times New Roman" w:hAnsi="Times New Roman"/>
          <w:i/>
          <w:iCs/>
          <w:noProof/>
          <w:sz w:val="24"/>
          <w:lang w:val="en-US"/>
        </w:rPr>
        <w:t>10 July 2018</w:t>
      </w:r>
      <w:r w:rsidRPr="00AB42CC">
        <w:rPr>
          <w:rFonts w:ascii="Times New Roman" w:hAnsi="Times New Roman"/>
          <w:noProof/>
          <w:sz w:val="24"/>
          <w:lang w:val="en-US"/>
        </w:rPr>
        <w:t>]</w:t>
      </w:r>
    </w:p>
    <w:p w14:paraId="6A69C159"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bookmarkStart w:id="14" w:name="p-661002"/>
      <w:bookmarkStart w:id="15" w:name="p8"/>
      <w:bookmarkEnd w:id="14"/>
      <w:bookmarkEnd w:id="15"/>
    </w:p>
    <w:p w14:paraId="762B7328" w14:textId="77777777" w:rsidR="00AB42CC" w:rsidRPr="00AB42CC" w:rsidRDefault="00AB42CC" w:rsidP="00AB42CC">
      <w:pPr>
        <w:spacing w:after="0" w:line="240" w:lineRule="auto"/>
        <w:jc w:val="both"/>
        <w:rPr>
          <w:rFonts w:ascii="Times New Roman" w:hAnsi="Times New Roman"/>
          <w:noProof/>
          <w:sz w:val="24"/>
          <w:lang w:val="en-US"/>
        </w:rPr>
      </w:pPr>
      <w:r w:rsidRPr="00AB42CC">
        <w:rPr>
          <w:rFonts w:ascii="Times New Roman" w:hAnsi="Times New Roman"/>
          <w:noProof/>
          <w:sz w:val="24"/>
          <w:lang w:val="en-US"/>
        </w:rPr>
        <w:t>8. In order to apply the customs procedure – release for free circulation or end-use, in addition to the data requirements laid down in Chapter 3 of Annex B to Commission Delegated Regulation (EU) 2015/2446 of 28 July 2015 supplementing Regulation (EU) No 952/2013 of the European Parliament and of the Council as regards detailed rules concerning certain provisions of the Union Customs Code (hereinafter – Regulation No 2015/2446), the following boxes of the customs declaration shall be completed, indicating the following data elements corresponding thereto which are referred to in Chapter 3 of Annex B to Regulation No 2015/2446 in the table of data requirements subject to optional completion:</w:t>
      </w:r>
    </w:p>
    <w:p w14:paraId="7BEDC116"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8.1. in all cases, boxes 2 (3/1), 6 (6/18), 18 (7/9), 23 (4/15), 35 (6/5), 47 (Rate) (4/5), 47 (Amount) (4/6), and 47 (MV) with data element (4/8);</w:t>
      </w:r>
    </w:p>
    <w:p w14:paraId="6B15570F"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8.2. in the case of the declaration of excise goods, the fifth subdivision of box 33 with data element (6/17);</w:t>
      </w:r>
    </w:p>
    <w:p w14:paraId="2CB9D436"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8.3. in the case of prior application of the customs procedure – customs warehousing procedure, box 49 with data element (2/7).</w:t>
      </w:r>
    </w:p>
    <w:p w14:paraId="700ED589"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r w:rsidRPr="00AB42CC">
        <w:rPr>
          <w:rFonts w:ascii="Times New Roman" w:hAnsi="Times New Roman"/>
          <w:noProof/>
          <w:sz w:val="24"/>
          <w:lang w:val="en-US"/>
        </w:rPr>
        <w:t>[</w:t>
      </w:r>
      <w:r w:rsidRPr="00AB42CC">
        <w:rPr>
          <w:rFonts w:ascii="Times New Roman" w:hAnsi="Times New Roman"/>
          <w:i/>
          <w:iCs/>
          <w:noProof/>
          <w:sz w:val="24"/>
          <w:lang w:val="en-US"/>
        </w:rPr>
        <w:t>10 July 2018</w:t>
      </w:r>
      <w:r w:rsidRPr="00AB42CC">
        <w:rPr>
          <w:rFonts w:ascii="Times New Roman" w:hAnsi="Times New Roman"/>
          <w:noProof/>
          <w:sz w:val="24"/>
          <w:lang w:val="en-US"/>
        </w:rPr>
        <w:t>]</w:t>
      </w:r>
    </w:p>
    <w:p w14:paraId="0422D246"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bookmarkStart w:id="16" w:name="p-661004"/>
      <w:bookmarkStart w:id="17" w:name="p9"/>
      <w:bookmarkEnd w:id="16"/>
      <w:bookmarkEnd w:id="17"/>
    </w:p>
    <w:p w14:paraId="46E97151" w14:textId="77777777" w:rsidR="00AB42CC" w:rsidRPr="00AB42CC" w:rsidRDefault="00AB42CC" w:rsidP="00AB42CC">
      <w:pPr>
        <w:spacing w:after="0" w:line="240" w:lineRule="auto"/>
        <w:jc w:val="both"/>
        <w:rPr>
          <w:rFonts w:ascii="Times New Roman" w:hAnsi="Times New Roman"/>
          <w:noProof/>
          <w:sz w:val="24"/>
          <w:lang w:val="en-US"/>
        </w:rPr>
      </w:pPr>
      <w:r w:rsidRPr="00AB42CC">
        <w:rPr>
          <w:rFonts w:ascii="Times New Roman" w:hAnsi="Times New Roman"/>
          <w:noProof/>
          <w:sz w:val="24"/>
          <w:lang w:val="en-US"/>
        </w:rPr>
        <w:t xml:space="preserve">9. In order to apply for the goods the customs procedure – inward processing or temporary admission, in addition to the data requirements laid down in Annex B to Regulation No 2015/2446, the following boxes of the customs declaration shall be completed, indicating </w:t>
      </w:r>
      <w:r w:rsidRPr="00AB42CC">
        <w:rPr>
          <w:rFonts w:ascii="Times New Roman" w:hAnsi="Times New Roman"/>
          <w:noProof/>
          <w:sz w:val="24"/>
          <w:lang w:val="en-US"/>
        </w:rPr>
        <w:lastRenderedPageBreak/>
        <w:t>the following data elements corresponding thereto which are referred to in Chapter 3 of Annex B to Regulation No 2015/2446 in the table of data requirements subject to optional completion:</w:t>
      </w:r>
    </w:p>
    <w:p w14:paraId="04ACF883"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9.1. in all cases, boxes 2 (3/1), 6 (6/18), 20 (4/1), 23 (4/15), 24 (8/5), 35 (6/5), and 43 with data element (4/16);</w:t>
      </w:r>
    </w:p>
    <w:p w14:paraId="7AC66306"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9.2. in the case of the declaration of excise goods, the fifth subdivision of box 33 with data element (6/17);</w:t>
      </w:r>
    </w:p>
    <w:p w14:paraId="27D1C82E"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9.3. in the case of the application of the customs procedure – temporary admission with partial relief from import duty, box 47 with data element (4/5, 4/6, 4/7);</w:t>
      </w:r>
    </w:p>
    <w:p w14:paraId="35F94EE0"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9.4. in the case of prior application of the customs procedure – customs warehousing procedure, box 49 with data element (2/7).</w:t>
      </w:r>
    </w:p>
    <w:p w14:paraId="3853A9C3"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r w:rsidRPr="00AB42CC">
        <w:rPr>
          <w:rFonts w:ascii="Times New Roman" w:hAnsi="Times New Roman"/>
          <w:noProof/>
          <w:sz w:val="24"/>
          <w:lang w:val="en-US"/>
        </w:rPr>
        <w:t>[</w:t>
      </w:r>
      <w:r w:rsidRPr="00AB42CC">
        <w:rPr>
          <w:rFonts w:ascii="Times New Roman" w:hAnsi="Times New Roman"/>
          <w:i/>
          <w:iCs/>
          <w:noProof/>
          <w:sz w:val="24"/>
          <w:lang w:val="en-US"/>
        </w:rPr>
        <w:t>10 July 2018</w:t>
      </w:r>
      <w:r w:rsidRPr="00AB42CC">
        <w:rPr>
          <w:rFonts w:ascii="Times New Roman" w:hAnsi="Times New Roman"/>
          <w:noProof/>
          <w:sz w:val="24"/>
          <w:lang w:val="en-US"/>
        </w:rPr>
        <w:t>]</w:t>
      </w:r>
    </w:p>
    <w:p w14:paraId="7CA47521"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bookmarkStart w:id="18" w:name="p-661005"/>
      <w:bookmarkStart w:id="19" w:name="p10"/>
      <w:bookmarkEnd w:id="18"/>
      <w:bookmarkEnd w:id="19"/>
    </w:p>
    <w:p w14:paraId="4C2E6448" w14:textId="77777777" w:rsidR="00AB42CC" w:rsidRPr="00AB42CC" w:rsidRDefault="00AB42CC" w:rsidP="00AB42CC">
      <w:pPr>
        <w:spacing w:after="0" w:line="240" w:lineRule="auto"/>
        <w:jc w:val="both"/>
        <w:rPr>
          <w:rFonts w:ascii="Times New Roman" w:hAnsi="Times New Roman"/>
          <w:noProof/>
          <w:sz w:val="24"/>
          <w:lang w:val="en-US"/>
        </w:rPr>
      </w:pPr>
      <w:r w:rsidRPr="00AB42CC">
        <w:rPr>
          <w:rFonts w:ascii="Times New Roman" w:hAnsi="Times New Roman"/>
          <w:noProof/>
          <w:sz w:val="24"/>
          <w:lang w:val="en-US"/>
        </w:rPr>
        <w:t>10. In order to apply for the goods the customs warehousing procedure, in addition to the data requirements laid down in Annex B to Regulation No 2015/2446, the following boxes of the customs declaration shall be completed, indicating the following data elements corresponding thereto which are referred to in Chapter 3 of Annex B to Regulation No 2015/2446 in the table of data requirements subject to optional completion: box 15a with data element (5/14), first subdivision of box 33 with data element (6/14), box 33, fifth subdivision with data element (6/17) (if excise goods are declared), and box 46 with data element (8/6).</w:t>
      </w:r>
    </w:p>
    <w:p w14:paraId="2AC9EA36"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r w:rsidRPr="00AB42CC">
        <w:rPr>
          <w:rFonts w:ascii="Times New Roman" w:hAnsi="Times New Roman"/>
          <w:noProof/>
          <w:sz w:val="24"/>
          <w:lang w:val="en-US"/>
        </w:rPr>
        <w:t>[</w:t>
      </w:r>
      <w:r w:rsidRPr="00AB42CC">
        <w:rPr>
          <w:rFonts w:ascii="Times New Roman" w:hAnsi="Times New Roman"/>
          <w:i/>
          <w:iCs/>
          <w:noProof/>
          <w:sz w:val="24"/>
          <w:lang w:val="en-US"/>
        </w:rPr>
        <w:t>10 July 2018</w:t>
      </w:r>
      <w:r w:rsidRPr="00AB42CC">
        <w:rPr>
          <w:rFonts w:ascii="Times New Roman" w:hAnsi="Times New Roman"/>
          <w:noProof/>
          <w:sz w:val="24"/>
          <w:lang w:val="en-US"/>
        </w:rPr>
        <w:t>]</w:t>
      </w:r>
    </w:p>
    <w:p w14:paraId="1F2ADB1B"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bookmarkStart w:id="20" w:name="p-661007"/>
      <w:bookmarkStart w:id="21" w:name="p11"/>
      <w:bookmarkEnd w:id="20"/>
      <w:bookmarkEnd w:id="21"/>
    </w:p>
    <w:p w14:paraId="4A246B35" w14:textId="77777777" w:rsidR="00AB42CC" w:rsidRPr="00AB42CC" w:rsidRDefault="00AB42CC" w:rsidP="00AB42CC">
      <w:pPr>
        <w:spacing w:after="0" w:line="240" w:lineRule="auto"/>
        <w:jc w:val="both"/>
        <w:rPr>
          <w:rFonts w:ascii="Times New Roman" w:hAnsi="Times New Roman"/>
          <w:noProof/>
          <w:sz w:val="24"/>
          <w:lang w:val="en-US"/>
        </w:rPr>
      </w:pPr>
      <w:r w:rsidRPr="00AB42CC">
        <w:rPr>
          <w:rFonts w:ascii="Times New Roman" w:hAnsi="Times New Roman"/>
          <w:noProof/>
          <w:sz w:val="24"/>
          <w:lang w:val="en-US"/>
        </w:rPr>
        <w:t>11. In the case referred to in Paragraphs 2, 4, 6, 8, and 10 of this Regulation, when completing box 24 of the customs declaration with data element (8/5), data on the transaction type shall be coded, using a combination of the codes in column A and their subdivisions in column B indicated in Annex II to Commission Regulation (EU) No 113/2010 of 9 February 2010 implementing Regulation (EC) No 471/2009 of the European Parliament and of the Council on Community statistics relating to external trade with non-member countries, as regards trade coverage, definition of the data, compilation of statistics on trade by business characteristics and by invoicing currency, and specific goods or movements, and also ensuring that the following national codes correspond to code 6 in column A of Table B of Annex II:</w:t>
      </w:r>
    </w:p>
    <w:p w14:paraId="7231A645"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11.1. “1” – actions involving paid or free repairs and paid or free technical maintenance;</w:t>
      </w:r>
    </w:p>
    <w:p w14:paraId="75C492FC" w14:textId="77777777" w:rsidR="00AB42CC" w:rsidRPr="00AB42CC" w:rsidRDefault="00AB42CC" w:rsidP="00AB42CC">
      <w:pPr>
        <w:spacing w:after="0" w:line="240" w:lineRule="auto"/>
        <w:ind w:firstLine="709"/>
        <w:jc w:val="both"/>
        <w:rPr>
          <w:rFonts w:ascii="Times New Roman" w:hAnsi="Times New Roman"/>
          <w:noProof/>
          <w:sz w:val="24"/>
          <w:lang w:val="en-US"/>
        </w:rPr>
      </w:pPr>
      <w:r w:rsidRPr="00AB42CC">
        <w:rPr>
          <w:rFonts w:ascii="Times New Roman" w:hAnsi="Times New Roman"/>
          <w:noProof/>
          <w:sz w:val="24"/>
          <w:lang w:val="en-US"/>
        </w:rPr>
        <w:t>11.2. “2” – actions following paid or free repairs and paid or free technical maintenance.</w:t>
      </w:r>
    </w:p>
    <w:p w14:paraId="1147B95F"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r w:rsidRPr="00AB42CC">
        <w:rPr>
          <w:rFonts w:ascii="Times New Roman" w:hAnsi="Times New Roman"/>
          <w:noProof/>
          <w:sz w:val="24"/>
          <w:lang w:val="en-US"/>
        </w:rPr>
        <w:t>[</w:t>
      </w:r>
      <w:r w:rsidRPr="00AB42CC">
        <w:rPr>
          <w:rFonts w:ascii="Times New Roman" w:hAnsi="Times New Roman"/>
          <w:i/>
          <w:iCs/>
          <w:noProof/>
          <w:sz w:val="24"/>
          <w:lang w:val="en-US"/>
        </w:rPr>
        <w:t>10 July 2018</w:t>
      </w:r>
      <w:r w:rsidRPr="00AB42CC">
        <w:rPr>
          <w:rFonts w:ascii="Times New Roman" w:hAnsi="Times New Roman"/>
          <w:noProof/>
          <w:sz w:val="24"/>
          <w:lang w:val="en-US"/>
        </w:rPr>
        <w:t>]</w:t>
      </w:r>
    </w:p>
    <w:p w14:paraId="079F33AD"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bookmarkStart w:id="22" w:name="p-606395"/>
      <w:bookmarkStart w:id="23" w:name="p12"/>
      <w:bookmarkEnd w:id="22"/>
      <w:bookmarkEnd w:id="23"/>
    </w:p>
    <w:p w14:paraId="018E363D" w14:textId="77777777" w:rsidR="00AB42CC" w:rsidRPr="00AB42CC" w:rsidRDefault="00AB42CC" w:rsidP="00AB42CC">
      <w:pPr>
        <w:spacing w:after="0" w:line="240" w:lineRule="auto"/>
        <w:jc w:val="both"/>
        <w:rPr>
          <w:rFonts w:ascii="Times New Roman" w:hAnsi="Times New Roman"/>
          <w:noProof/>
          <w:sz w:val="24"/>
          <w:lang w:val="en-US"/>
        </w:rPr>
      </w:pPr>
      <w:r w:rsidRPr="00AB42CC">
        <w:rPr>
          <w:rFonts w:ascii="Times New Roman" w:hAnsi="Times New Roman"/>
          <w:noProof/>
          <w:sz w:val="24"/>
          <w:lang w:val="en-US"/>
        </w:rPr>
        <w:t>12. Natural gas imported into the Republic of Latvia and exported from the Republic of Latvia which is transported by pipelines shall be declared by a person once a month (by the fifteenth day of the following month), submitting the deed of delivery and acceptance of goods and the customs declaration to the customs office.</w:t>
      </w:r>
    </w:p>
    <w:p w14:paraId="47C37317"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bookmarkStart w:id="24" w:name="p-606396"/>
      <w:bookmarkStart w:id="25" w:name="p13"/>
      <w:bookmarkEnd w:id="24"/>
      <w:bookmarkEnd w:id="25"/>
    </w:p>
    <w:p w14:paraId="30230449" w14:textId="77777777" w:rsidR="00AB42CC" w:rsidRPr="00AB42CC" w:rsidRDefault="00AB42CC" w:rsidP="00AB42CC">
      <w:pPr>
        <w:spacing w:after="0" w:line="240" w:lineRule="auto"/>
        <w:jc w:val="both"/>
        <w:rPr>
          <w:rFonts w:ascii="Times New Roman" w:hAnsi="Times New Roman"/>
          <w:noProof/>
          <w:sz w:val="24"/>
          <w:lang w:val="en-US"/>
        </w:rPr>
      </w:pPr>
      <w:r w:rsidRPr="00AB42CC">
        <w:rPr>
          <w:rFonts w:ascii="Times New Roman" w:hAnsi="Times New Roman"/>
          <w:noProof/>
          <w:sz w:val="24"/>
          <w:lang w:val="en-US"/>
        </w:rPr>
        <w:t>13. Electricity imported into the Republic of Latvia and exported from the Republic of Latvia shall be declared by a person once a month (by the fifteenth day of the following month), submitting the deed of coordination and the customs declaration to the customs office.</w:t>
      </w:r>
    </w:p>
    <w:p w14:paraId="4A683C09"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rPr>
      </w:pPr>
      <w:bookmarkStart w:id="26" w:name="p-606397"/>
      <w:bookmarkStart w:id="27" w:name="p14"/>
      <w:bookmarkEnd w:id="26"/>
      <w:bookmarkEnd w:id="27"/>
    </w:p>
    <w:p w14:paraId="1BD4051B" w14:textId="77777777" w:rsidR="00AB42CC" w:rsidRPr="00AB42CC" w:rsidRDefault="00AB42CC" w:rsidP="00AB42CC">
      <w:pPr>
        <w:spacing w:after="0" w:line="240" w:lineRule="auto"/>
        <w:jc w:val="both"/>
        <w:rPr>
          <w:rFonts w:ascii="Times New Roman" w:hAnsi="Times New Roman"/>
          <w:noProof/>
          <w:sz w:val="24"/>
          <w:lang w:val="en-US"/>
        </w:rPr>
      </w:pPr>
      <w:r w:rsidRPr="00AB42CC">
        <w:rPr>
          <w:rFonts w:ascii="Times New Roman" w:hAnsi="Times New Roman"/>
          <w:noProof/>
          <w:sz w:val="24"/>
          <w:lang w:val="en-US"/>
        </w:rPr>
        <w:t>14. Cabinet Regulation No. 1411 of 10 December 2013, Regulations Regarding Boxes to be Completed Additionally in the Customs Declaration (</w:t>
      </w:r>
      <w:r w:rsidRPr="00AB42CC">
        <w:rPr>
          <w:rFonts w:ascii="Times New Roman" w:hAnsi="Times New Roman"/>
          <w:i/>
          <w:iCs/>
          <w:noProof/>
          <w:sz w:val="24"/>
          <w:lang w:val="en-US"/>
        </w:rPr>
        <w:t>Latvijas Vēstnesis</w:t>
      </w:r>
      <w:r w:rsidRPr="00AB42CC">
        <w:rPr>
          <w:rFonts w:ascii="Times New Roman" w:hAnsi="Times New Roman"/>
          <w:noProof/>
          <w:sz w:val="24"/>
          <w:lang w:val="en-US"/>
        </w:rPr>
        <w:t>, 2013, No. 244), is repealed.</w:t>
      </w:r>
    </w:p>
    <w:p w14:paraId="2FD49C80" w14:textId="77777777" w:rsidR="00AB42CC" w:rsidRPr="00AB42CC" w:rsidRDefault="00AB42CC" w:rsidP="00AB42CC">
      <w:pPr>
        <w:spacing w:after="0" w:line="240" w:lineRule="auto"/>
        <w:jc w:val="both"/>
        <w:rPr>
          <w:rFonts w:ascii="Times New Roman" w:hAnsi="Times New Roman"/>
          <w:noProof/>
          <w:sz w:val="24"/>
          <w:lang w:val="en-US"/>
        </w:rPr>
      </w:pPr>
    </w:p>
    <w:p w14:paraId="0A849D1D" w14:textId="77777777" w:rsidR="00AB42CC" w:rsidRPr="00AB42CC" w:rsidRDefault="00AB42CC" w:rsidP="00AB42CC">
      <w:pPr>
        <w:spacing w:after="0" w:line="240" w:lineRule="auto"/>
        <w:jc w:val="both"/>
        <w:rPr>
          <w:rFonts w:ascii="Times New Roman" w:hAnsi="Times New Roman"/>
          <w:noProof/>
          <w:sz w:val="24"/>
          <w:lang w:val="en-US"/>
        </w:rPr>
      </w:pPr>
    </w:p>
    <w:p w14:paraId="1C8C275F" w14:textId="77777777" w:rsidR="00AB42CC" w:rsidRPr="00AB42CC" w:rsidRDefault="00AB42CC" w:rsidP="00AB42CC">
      <w:pPr>
        <w:tabs>
          <w:tab w:val="left" w:pos="7371"/>
        </w:tabs>
        <w:spacing w:after="0" w:line="240" w:lineRule="auto"/>
        <w:jc w:val="both"/>
        <w:rPr>
          <w:rFonts w:ascii="Times New Roman" w:hAnsi="Times New Roman"/>
          <w:noProof/>
          <w:sz w:val="24"/>
          <w:lang w:val="en-US"/>
        </w:rPr>
      </w:pPr>
      <w:r w:rsidRPr="00AB42CC">
        <w:rPr>
          <w:rFonts w:ascii="Times New Roman" w:hAnsi="Times New Roman"/>
          <w:noProof/>
          <w:sz w:val="24"/>
          <w:lang w:val="en-US"/>
        </w:rPr>
        <w:t>Prime Minister</w:t>
      </w:r>
      <w:r w:rsidRPr="00AB42CC">
        <w:rPr>
          <w:rFonts w:ascii="Times New Roman" w:hAnsi="Times New Roman"/>
          <w:noProof/>
          <w:sz w:val="24"/>
          <w:lang w:val="en-US"/>
        </w:rPr>
        <w:tab/>
        <w:t>Māris Kučinskis</w:t>
      </w:r>
    </w:p>
    <w:p w14:paraId="47CF2614" w14:textId="77777777" w:rsidR="00AB42CC" w:rsidRPr="00AB42CC" w:rsidRDefault="00AB42CC" w:rsidP="00AB42CC">
      <w:pPr>
        <w:spacing w:after="0" w:line="240" w:lineRule="auto"/>
        <w:jc w:val="both"/>
        <w:rPr>
          <w:rFonts w:ascii="Times New Roman" w:eastAsia="Times New Roman" w:hAnsi="Times New Roman" w:cs="Times New Roman"/>
          <w:noProof/>
          <w:sz w:val="24"/>
          <w:szCs w:val="24"/>
          <w:lang w:val="en-US" w:eastAsia="lv-LV"/>
        </w:rPr>
      </w:pPr>
    </w:p>
    <w:p w14:paraId="70F49A70" w14:textId="77777777" w:rsidR="00AB42CC" w:rsidRPr="00AB42CC" w:rsidRDefault="00AB42CC" w:rsidP="00AB42CC">
      <w:pPr>
        <w:tabs>
          <w:tab w:val="left" w:pos="6804"/>
        </w:tabs>
        <w:spacing w:after="0" w:line="240" w:lineRule="auto"/>
        <w:jc w:val="both"/>
        <w:rPr>
          <w:rFonts w:ascii="Times New Roman" w:hAnsi="Times New Roman"/>
          <w:noProof/>
          <w:sz w:val="24"/>
          <w:lang w:val="en-US"/>
        </w:rPr>
      </w:pPr>
      <w:r w:rsidRPr="00AB42CC">
        <w:rPr>
          <w:rFonts w:ascii="Times New Roman" w:hAnsi="Times New Roman"/>
          <w:noProof/>
          <w:sz w:val="24"/>
          <w:lang w:val="en-US"/>
        </w:rPr>
        <w:t>Minister for Finance</w:t>
      </w:r>
      <w:r w:rsidRPr="00AB42CC">
        <w:rPr>
          <w:rFonts w:ascii="Times New Roman" w:hAnsi="Times New Roman"/>
          <w:noProof/>
          <w:sz w:val="24"/>
          <w:lang w:val="en-US"/>
        </w:rPr>
        <w:tab/>
        <w:t>Dana Reizniece-Ozola</w:t>
      </w:r>
    </w:p>
    <w:sectPr w:rsidR="00AB42CC" w:rsidRPr="00AB42CC" w:rsidSect="004749D8">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EF6C5" w14:textId="77777777" w:rsidR="003C3F2A" w:rsidRPr="00AB42CC" w:rsidRDefault="003C3F2A" w:rsidP="004749D8">
      <w:pPr>
        <w:spacing w:after="0" w:line="240" w:lineRule="auto"/>
        <w:rPr>
          <w:noProof/>
          <w:lang w:val="en-US"/>
        </w:rPr>
      </w:pPr>
      <w:r w:rsidRPr="00AB42CC">
        <w:rPr>
          <w:noProof/>
          <w:lang w:val="en-US"/>
        </w:rPr>
        <w:separator/>
      </w:r>
    </w:p>
  </w:endnote>
  <w:endnote w:type="continuationSeparator" w:id="0">
    <w:p w14:paraId="30F13299" w14:textId="77777777" w:rsidR="003C3F2A" w:rsidRPr="00AB42CC" w:rsidRDefault="003C3F2A" w:rsidP="004749D8">
      <w:pPr>
        <w:spacing w:after="0" w:line="240" w:lineRule="auto"/>
        <w:rPr>
          <w:noProof/>
          <w:lang w:val="en-US"/>
        </w:rPr>
      </w:pPr>
      <w:r w:rsidRPr="00AB42C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9F1C" w14:textId="77777777" w:rsidR="00AB42CC" w:rsidRDefault="00AB42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B8B9E" w14:textId="77777777" w:rsidR="00C639CF" w:rsidRPr="00AB42CC" w:rsidRDefault="00C639CF" w:rsidP="00C639CF">
    <w:pPr>
      <w:pStyle w:val="Footer"/>
      <w:tabs>
        <w:tab w:val="right" w:pos="9072"/>
      </w:tabs>
      <w:rPr>
        <w:rFonts w:ascii="Times New Roman" w:hAnsi="Times New Roman"/>
        <w:noProof/>
        <w:sz w:val="20"/>
        <w:lang w:val="en-US"/>
      </w:rPr>
    </w:pPr>
  </w:p>
  <w:p w14:paraId="4DA3DC30" w14:textId="440B9D9D" w:rsidR="00EB0509" w:rsidRPr="00AB42CC" w:rsidRDefault="00C639CF" w:rsidP="00C639CF">
    <w:pPr>
      <w:pStyle w:val="Footer"/>
      <w:tabs>
        <w:tab w:val="right" w:pos="9072"/>
      </w:tabs>
      <w:rPr>
        <w:rFonts w:ascii="Times New Roman" w:hAnsi="Times New Roman"/>
        <w:noProof/>
        <w:sz w:val="20"/>
        <w:lang w:val="en-US"/>
      </w:rPr>
    </w:pPr>
    <w:r w:rsidRPr="00AB42CC">
      <w:rPr>
        <w:rFonts w:ascii="Times New Roman" w:hAnsi="Times New Roman"/>
        <w:noProof/>
        <w:sz w:val="20"/>
        <w:lang w:val="en-US"/>
      </w:rPr>
      <w:t xml:space="preserve">Translation </w:t>
    </w:r>
    <w:r w:rsidRPr="00AB42CC">
      <w:rPr>
        <w:rFonts w:ascii="Times New Roman" w:hAnsi="Times New Roman"/>
        <w:noProof/>
        <w:sz w:val="20"/>
        <w:lang w:val="en-US"/>
      </w:rPr>
      <w:fldChar w:fldCharType="begin"/>
    </w:r>
    <w:r w:rsidRPr="00AB42CC">
      <w:rPr>
        <w:rFonts w:ascii="Times New Roman" w:hAnsi="Times New Roman"/>
        <w:noProof/>
        <w:sz w:val="20"/>
        <w:lang w:val="en-US"/>
      </w:rPr>
      <w:instrText>symbol 169 \f "UnivrstyRoman TL" \s 8</w:instrText>
    </w:r>
    <w:r w:rsidRPr="00AB42CC">
      <w:rPr>
        <w:rFonts w:ascii="Times New Roman" w:hAnsi="Times New Roman"/>
        <w:noProof/>
        <w:sz w:val="20"/>
        <w:lang w:val="en-US"/>
      </w:rPr>
      <w:fldChar w:fldCharType="separate"/>
    </w:r>
    <w:r w:rsidRPr="00AB42CC">
      <w:rPr>
        <w:rFonts w:ascii="Times New Roman" w:hAnsi="Times New Roman"/>
        <w:noProof/>
        <w:sz w:val="20"/>
        <w:lang w:val="en-US"/>
      </w:rPr>
      <w:t>©</w:t>
    </w:r>
    <w:r w:rsidRPr="00AB42CC">
      <w:rPr>
        <w:rFonts w:ascii="Times New Roman" w:hAnsi="Times New Roman"/>
        <w:noProof/>
        <w:sz w:val="20"/>
        <w:lang w:val="en-US"/>
      </w:rPr>
      <w:fldChar w:fldCharType="end"/>
    </w:r>
    <w:r w:rsidRPr="00AB42CC">
      <w:rPr>
        <w:rFonts w:ascii="Times New Roman" w:hAnsi="Times New Roman"/>
        <w:noProof/>
        <w:sz w:val="20"/>
        <w:lang w:val="en-US"/>
      </w:rPr>
      <w:t xml:space="preserve"> 2022 Valsts valodas centrs (State Language Centre)</w:t>
    </w:r>
    <w:r w:rsidRPr="00AB42CC">
      <w:rPr>
        <w:rFonts w:ascii="Times New Roman" w:hAnsi="Times New Roman"/>
        <w:noProof/>
        <w:sz w:val="20"/>
        <w:lang w:val="en-US"/>
      </w:rPr>
      <w:tab/>
    </w:r>
    <w:r w:rsidRPr="00AB42CC">
      <w:rPr>
        <w:rStyle w:val="PageNumber"/>
        <w:rFonts w:ascii="Times New Roman" w:hAnsi="Times New Roman"/>
        <w:noProof/>
        <w:sz w:val="20"/>
        <w:lang w:val="en-US"/>
      </w:rPr>
      <w:fldChar w:fldCharType="begin"/>
    </w:r>
    <w:r w:rsidRPr="00AB42CC">
      <w:rPr>
        <w:rStyle w:val="PageNumber"/>
        <w:rFonts w:ascii="Times New Roman" w:hAnsi="Times New Roman"/>
        <w:noProof/>
        <w:sz w:val="20"/>
        <w:lang w:val="en-US"/>
      </w:rPr>
      <w:instrText xml:space="preserve"> PAGE </w:instrText>
    </w:r>
    <w:r w:rsidRPr="00AB42CC">
      <w:rPr>
        <w:rStyle w:val="PageNumber"/>
        <w:rFonts w:ascii="Times New Roman" w:hAnsi="Times New Roman"/>
        <w:noProof/>
        <w:sz w:val="20"/>
        <w:lang w:val="en-US"/>
      </w:rPr>
      <w:fldChar w:fldCharType="separate"/>
    </w:r>
    <w:r w:rsidRPr="00AB42CC">
      <w:rPr>
        <w:rStyle w:val="PageNumber"/>
        <w:rFonts w:ascii="Times New Roman" w:hAnsi="Times New Roman"/>
        <w:noProof/>
        <w:sz w:val="20"/>
        <w:lang w:val="en-US"/>
      </w:rPr>
      <w:t>2</w:t>
    </w:r>
    <w:r w:rsidRPr="00AB42CC">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EE9D2" w14:textId="77777777" w:rsidR="00EB0509" w:rsidRPr="00AB42CC" w:rsidRDefault="00EB0509" w:rsidP="00EB0509">
    <w:pPr>
      <w:pStyle w:val="Footer"/>
      <w:rPr>
        <w:rFonts w:ascii="Times New Roman" w:hAnsi="Times New Roman"/>
        <w:noProof/>
        <w:sz w:val="20"/>
        <w:lang w:val="en-US"/>
      </w:rPr>
    </w:pPr>
    <w:bookmarkStart w:id="28" w:name="_Hlk60653308"/>
    <w:bookmarkStart w:id="29" w:name="_Hlk60653309"/>
    <w:bookmarkStart w:id="30" w:name="_Hlk93322884"/>
    <w:bookmarkStart w:id="31" w:name="_Hlk93322885"/>
  </w:p>
  <w:p w14:paraId="6CEBCF5C" w14:textId="62E1AD3F" w:rsidR="00EB0509" w:rsidRPr="00AB42CC" w:rsidRDefault="00EB0509">
    <w:pPr>
      <w:pStyle w:val="Footer"/>
      <w:rPr>
        <w:rFonts w:ascii="Times New Roman" w:hAnsi="Times New Roman"/>
        <w:noProof/>
        <w:sz w:val="20"/>
        <w:lang w:val="en-US"/>
      </w:rPr>
    </w:pPr>
    <w:bookmarkStart w:id="32" w:name="_Hlk31896922"/>
    <w:bookmarkStart w:id="33" w:name="_Hlk31896923"/>
    <w:r w:rsidRPr="00AB42CC">
      <w:rPr>
        <w:rFonts w:ascii="Times New Roman" w:hAnsi="Times New Roman"/>
        <w:noProof/>
        <w:sz w:val="20"/>
        <w:lang w:val="en-US"/>
      </w:rPr>
      <w:t xml:space="preserve">Translation </w:t>
    </w:r>
    <w:r w:rsidRPr="00AB42CC">
      <w:rPr>
        <w:rFonts w:ascii="Times New Roman" w:hAnsi="Times New Roman"/>
        <w:noProof/>
        <w:sz w:val="20"/>
        <w:lang w:val="en-US"/>
      </w:rPr>
      <w:fldChar w:fldCharType="begin"/>
    </w:r>
    <w:r w:rsidRPr="00AB42CC">
      <w:rPr>
        <w:rFonts w:ascii="Times New Roman" w:hAnsi="Times New Roman"/>
        <w:noProof/>
        <w:sz w:val="20"/>
        <w:lang w:val="en-US"/>
      </w:rPr>
      <w:instrText>symbol 169 \f "UnivrstyRoman TL" \s 8</w:instrText>
    </w:r>
    <w:r w:rsidRPr="00AB42CC">
      <w:rPr>
        <w:rFonts w:ascii="Times New Roman" w:hAnsi="Times New Roman"/>
        <w:noProof/>
        <w:sz w:val="20"/>
        <w:lang w:val="en-US"/>
      </w:rPr>
      <w:fldChar w:fldCharType="separate"/>
    </w:r>
    <w:r w:rsidRPr="00AB42CC">
      <w:rPr>
        <w:rFonts w:ascii="Times New Roman" w:hAnsi="Times New Roman"/>
        <w:noProof/>
        <w:sz w:val="20"/>
        <w:lang w:val="en-US"/>
      </w:rPr>
      <w:t>©</w:t>
    </w:r>
    <w:r w:rsidRPr="00AB42CC">
      <w:rPr>
        <w:rFonts w:ascii="Times New Roman" w:hAnsi="Times New Roman"/>
        <w:noProof/>
        <w:sz w:val="20"/>
        <w:lang w:val="en-US"/>
      </w:rPr>
      <w:fldChar w:fldCharType="end"/>
    </w:r>
    <w:r w:rsidRPr="00AB42CC">
      <w:rPr>
        <w:rFonts w:ascii="Times New Roman" w:hAnsi="Times New Roman"/>
        <w:noProof/>
        <w:sz w:val="20"/>
        <w:lang w:val="en-US"/>
      </w:rPr>
      <w:t xml:space="preserve"> 2022 Valsts valodas centrs (State Language Centre)</w:t>
    </w:r>
    <w:bookmarkEnd w:id="28"/>
    <w:bookmarkEnd w:id="29"/>
    <w:bookmarkEnd w:id="30"/>
    <w:bookmarkEnd w:id="31"/>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149A3" w14:textId="77777777" w:rsidR="003C3F2A" w:rsidRPr="00AB42CC" w:rsidRDefault="003C3F2A" w:rsidP="004749D8">
      <w:pPr>
        <w:spacing w:after="0" w:line="240" w:lineRule="auto"/>
        <w:rPr>
          <w:noProof/>
          <w:lang w:val="en-US"/>
        </w:rPr>
      </w:pPr>
      <w:r w:rsidRPr="00AB42CC">
        <w:rPr>
          <w:noProof/>
          <w:lang w:val="en-US"/>
        </w:rPr>
        <w:separator/>
      </w:r>
    </w:p>
  </w:footnote>
  <w:footnote w:type="continuationSeparator" w:id="0">
    <w:p w14:paraId="0C42D2F9" w14:textId="77777777" w:rsidR="003C3F2A" w:rsidRPr="00AB42CC" w:rsidRDefault="003C3F2A" w:rsidP="004749D8">
      <w:pPr>
        <w:spacing w:after="0" w:line="240" w:lineRule="auto"/>
        <w:rPr>
          <w:noProof/>
          <w:lang w:val="en-US"/>
        </w:rPr>
      </w:pPr>
      <w:r w:rsidRPr="00AB42C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46DCE" w14:textId="77777777" w:rsidR="00AB42CC" w:rsidRDefault="00AB42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3F3C" w14:textId="77777777" w:rsidR="00AB42CC" w:rsidRDefault="00AB42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8C28E" w14:textId="77777777" w:rsidR="00AB42CC" w:rsidRDefault="00AB42C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5C"/>
    <w:rsid w:val="00331C34"/>
    <w:rsid w:val="003C3F2A"/>
    <w:rsid w:val="00471BAF"/>
    <w:rsid w:val="004749D8"/>
    <w:rsid w:val="005D2E5C"/>
    <w:rsid w:val="00612425"/>
    <w:rsid w:val="008C5265"/>
    <w:rsid w:val="00921840"/>
    <w:rsid w:val="00AB42CC"/>
    <w:rsid w:val="00B35FB0"/>
    <w:rsid w:val="00C35E08"/>
    <w:rsid w:val="00C52743"/>
    <w:rsid w:val="00C639CF"/>
    <w:rsid w:val="00EB05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C06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5FB0"/>
    <w:rPr>
      <w:color w:val="0000FF"/>
      <w:u w:val="single"/>
    </w:rPr>
  </w:style>
  <w:style w:type="paragraph" w:customStyle="1" w:styleId="tv213">
    <w:name w:val="tv213"/>
    <w:basedOn w:val="Normal"/>
    <w:rsid w:val="00B35FB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B35FB0"/>
  </w:style>
  <w:style w:type="paragraph" w:customStyle="1" w:styleId="labojumupamats">
    <w:name w:val="labojumu_pamats"/>
    <w:basedOn w:val="Normal"/>
    <w:rsid w:val="00B35F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749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49D8"/>
  </w:style>
  <w:style w:type="paragraph" w:styleId="Footer">
    <w:name w:val="footer"/>
    <w:basedOn w:val="Normal"/>
    <w:link w:val="FooterChar"/>
    <w:unhideWhenUsed/>
    <w:rsid w:val="004749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49D8"/>
  </w:style>
  <w:style w:type="paragraph" w:styleId="BlockText">
    <w:name w:val="Block Text"/>
    <w:basedOn w:val="Normal"/>
    <w:rsid w:val="00C5274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C63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521521">
      <w:bodyDiv w:val="1"/>
      <w:marLeft w:val="0"/>
      <w:marRight w:val="0"/>
      <w:marTop w:val="0"/>
      <w:marBottom w:val="0"/>
      <w:divBdr>
        <w:top w:val="none" w:sz="0" w:space="0" w:color="auto"/>
        <w:left w:val="none" w:sz="0" w:space="0" w:color="auto"/>
        <w:bottom w:val="none" w:sz="0" w:space="0" w:color="auto"/>
        <w:right w:val="none" w:sz="0" w:space="0" w:color="auto"/>
      </w:divBdr>
      <w:divsChild>
        <w:div w:id="508183866">
          <w:marLeft w:val="0"/>
          <w:marRight w:val="0"/>
          <w:marTop w:val="0"/>
          <w:marBottom w:val="0"/>
          <w:divBdr>
            <w:top w:val="none" w:sz="0" w:space="0" w:color="auto"/>
            <w:left w:val="none" w:sz="0" w:space="0" w:color="auto"/>
            <w:bottom w:val="none" w:sz="0" w:space="0" w:color="auto"/>
            <w:right w:val="none" w:sz="0" w:space="0" w:color="auto"/>
          </w:divBdr>
          <w:divsChild>
            <w:div w:id="2040353695">
              <w:marLeft w:val="0"/>
              <w:marRight w:val="0"/>
              <w:marTop w:val="0"/>
              <w:marBottom w:val="0"/>
              <w:divBdr>
                <w:top w:val="none" w:sz="0" w:space="0" w:color="auto"/>
                <w:left w:val="none" w:sz="0" w:space="0" w:color="auto"/>
                <w:bottom w:val="none" w:sz="0" w:space="0" w:color="auto"/>
                <w:right w:val="none" w:sz="0" w:space="0" w:color="auto"/>
              </w:divBdr>
            </w:div>
            <w:div w:id="209193963">
              <w:marLeft w:val="0"/>
              <w:marRight w:val="0"/>
              <w:marTop w:val="0"/>
              <w:marBottom w:val="0"/>
              <w:divBdr>
                <w:top w:val="none" w:sz="0" w:space="0" w:color="auto"/>
                <w:left w:val="none" w:sz="0" w:space="0" w:color="auto"/>
                <w:bottom w:val="none" w:sz="0" w:space="0" w:color="auto"/>
                <w:right w:val="none" w:sz="0" w:space="0" w:color="auto"/>
              </w:divBdr>
            </w:div>
            <w:div w:id="1080641940">
              <w:marLeft w:val="0"/>
              <w:marRight w:val="0"/>
              <w:marTop w:val="0"/>
              <w:marBottom w:val="0"/>
              <w:divBdr>
                <w:top w:val="none" w:sz="0" w:space="0" w:color="auto"/>
                <w:left w:val="none" w:sz="0" w:space="0" w:color="auto"/>
                <w:bottom w:val="none" w:sz="0" w:space="0" w:color="auto"/>
                <w:right w:val="none" w:sz="0" w:space="0" w:color="auto"/>
              </w:divBdr>
            </w:div>
            <w:div w:id="1502234454">
              <w:marLeft w:val="0"/>
              <w:marRight w:val="0"/>
              <w:marTop w:val="0"/>
              <w:marBottom w:val="0"/>
              <w:divBdr>
                <w:top w:val="none" w:sz="0" w:space="0" w:color="auto"/>
                <w:left w:val="none" w:sz="0" w:space="0" w:color="auto"/>
                <w:bottom w:val="none" w:sz="0" w:space="0" w:color="auto"/>
                <w:right w:val="none" w:sz="0" w:space="0" w:color="auto"/>
              </w:divBdr>
            </w:div>
            <w:div w:id="1261447646">
              <w:marLeft w:val="0"/>
              <w:marRight w:val="0"/>
              <w:marTop w:val="0"/>
              <w:marBottom w:val="0"/>
              <w:divBdr>
                <w:top w:val="none" w:sz="0" w:space="0" w:color="auto"/>
                <w:left w:val="none" w:sz="0" w:space="0" w:color="auto"/>
                <w:bottom w:val="none" w:sz="0" w:space="0" w:color="auto"/>
                <w:right w:val="none" w:sz="0" w:space="0" w:color="auto"/>
              </w:divBdr>
            </w:div>
            <w:div w:id="1080715348">
              <w:marLeft w:val="0"/>
              <w:marRight w:val="0"/>
              <w:marTop w:val="0"/>
              <w:marBottom w:val="0"/>
              <w:divBdr>
                <w:top w:val="none" w:sz="0" w:space="0" w:color="auto"/>
                <w:left w:val="none" w:sz="0" w:space="0" w:color="auto"/>
                <w:bottom w:val="none" w:sz="0" w:space="0" w:color="auto"/>
                <w:right w:val="none" w:sz="0" w:space="0" w:color="auto"/>
              </w:divBdr>
            </w:div>
            <w:div w:id="281693691">
              <w:marLeft w:val="0"/>
              <w:marRight w:val="0"/>
              <w:marTop w:val="0"/>
              <w:marBottom w:val="0"/>
              <w:divBdr>
                <w:top w:val="none" w:sz="0" w:space="0" w:color="auto"/>
                <w:left w:val="none" w:sz="0" w:space="0" w:color="auto"/>
                <w:bottom w:val="none" w:sz="0" w:space="0" w:color="auto"/>
                <w:right w:val="none" w:sz="0" w:space="0" w:color="auto"/>
              </w:divBdr>
            </w:div>
            <w:div w:id="1142193353">
              <w:marLeft w:val="0"/>
              <w:marRight w:val="0"/>
              <w:marTop w:val="0"/>
              <w:marBottom w:val="0"/>
              <w:divBdr>
                <w:top w:val="none" w:sz="0" w:space="0" w:color="auto"/>
                <w:left w:val="none" w:sz="0" w:space="0" w:color="auto"/>
                <w:bottom w:val="none" w:sz="0" w:space="0" w:color="auto"/>
                <w:right w:val="none" w:sz="0" w:space="0" w:color="auto"/>
              </w:divBdr>
            </w:div>
            <w:div w:id="1381978441">
              <w:marLeft w:val="0"/>
              <w:marRight w:val="0"/>
              <w:marTop w:val="0"/>
              <w:marBottom w:val="0"/>
              <w:divBdr>
                <w:top w:val="none" w:sz="0" w:space="0" w:color="auto"/>
                <w:left w:val="none" w:sz="0" w:space="0" w:color="auto"/>
                <w:bottom w:val="none" w:sz="0" w:space="0" w:color="auto"/>
                <w:right w:val="none" w:sz="0" w:space="0" w:color="auto"/>
              </w:divBdr>
            </w:div>
            <w:div w:id="2059353483">
              <w:marLeft w:val="0"/>
              <w:marRight w:val="0"/>
              <w:marTop w:val="0"/>
              <w:marBottom w:val="0"/>
              <w:divBdr>
                <w:top w:val="none" w:sz="0" w:space="0" w:color="auto"/>
                <w:left w:val="none" w:sz="0" w:space="0" w:color="auto"/>
                <w:bottom w:val="none" w:sz="0" w:space="0" w:color="auto"/>
                <w:right w:val="none" w:sz="0" w:space="0" w:color="auto"/>
              </w:divBdr>
            </w:div>
            <w:div w:id="346979781">
              <w:marLeft w:val="0"/>
              <w:marRight w:val="0"/>
              <w:marTop w:val="0"/>
              <w:marBottom w:val="0"/>
              <w:divBdr>
                <w:top w:val="none" w:sz="0" w:space="0" w:color="auto"/>
                <w:left w:val="none" w:sz="0" w:space="0" w:color="auto"/>
                <w:bottom w:val="none" w:sz="0" w:space="0" w:color="auto"/>
                <w:right w:val="none" w:sz="0" w:space="0" w:color="auto"/>
              </w:divBdr>
            </w:div>
            <w:div w:id="374039828">
              <w:marLeft w:val="0"/>
              <w:marRight w:val="0"/>
              <w:marTop w:val="0"/>
              <w:marBottom w:val="0"/>
              <w:divBdr>
                <w:top w:val="none" w:sz="0" w:space="0" w:color="auto"/>
                <w:left w:val="none" w:sz="0" w:space="0" w:color="auto"/>
                <w:bottom w:val="none" w:sz="0" w:space="0" w:color="auto"/>
                <w:right w:val="none" w:sz="0" w:space="0" w:color="auto"/>
              </w:divBdr>
            </w:div>
            <w:div w:id="1484472134">
              <w:marLeft w:val="0"/>
              <w:marRight w:val="0"/>
              <w:marTop w:val="0"/>
              <w:marBottom w:val="0"/>
              <w:divBdr>
                <w:top w:val="none" w:sz="0" w:space="0" w:color="auto"/>
                <w:left w:val="none" w:sz="0" w:space="0" w:color="auto"/>
                <w:bottom w:val="none" w:sz="0" w:space="0" w:color="auto"/>
                <w:right w:val="none" w:sz="0" w:space="0" w:color="auto"/>
              </w:divBdr>
            </w:div>
            <w:div w:id="1823813202">
              <w:marLeft w:val="0"/>
              <w:marRight w:val="0"/>
              <w:marTop w:val="0"/>
              <w:marBottom w:val="0"/>
              <w:divBdr>
                <w:top w:val="none" w:sz="0" w:space="0" w:color="auto"/>
                <w:left w:val="none" w:sz="0" w:space="0" w:color="auto"/>
                <w:bottom w:val="none" w:sz="0" w:space="0" w:color="auto"/>
                <w:right w:val="none" w:sz="0" w:space="0" w:color="auto"/>
              </w:divBdr>
            </w:div>
            <w:div w:id="420957303">
              <w:marLeft w:val="0"/>
              <w:marRight w:val="0"/>
              <w:marTop w:val="0"/>
              <w:marBottom w:val="0"/>
              <w:divBdr>
                <w:top w:val="none" w:sz="0" w:space="0" w:color="auto"/>
                <w:left w:val="none" w:sz="0" w:space="0" w:color="auto"/>
                <w:bottom w:val="none" w:sz="0" w:space="0" w:color="auto"/>
                <w:right w:val="none" w:sz="0" w:space="0" w:color="auto"/>
              </w:divBdr>
            </w:div>
            <w:div w:id="23603233">
              <w:marLeft w:val="0"/>
              <w:marRight w:val="0"/>
              <w:marTop w:val="0"/>
              <w:marBottom w:val="0"/>
              <w:divBdr>
                <w:top w:val="none" w:sz="0" w:space="0" w:color="auto"/>
                <w:left w:val="none" w:sz="0" w:space="0" w:color="auto"/>
                <w:bottom w:val="none" w:sz="0" w:space="0" w:color="auto"/>
                <w:right w:val="none" w:sz="0" w:space="0" w:color="auto"/>
              </w:divBdr>
            </w:div>
            <w:div w:id="417756990">
              <w:marLeft w:val="0"/>
              <w:marRight w:val="0"/>
              <w:marTop w:val="0"/>
              <w:marBottom w:val="0"/>
              <w:divBdr>
                <w:top w:val="none" w:sz="0" w:space="0" w:color="auto"/>
                <w:left w:val="none" w:sz="0" w:space="0" w:color="auto"/>
                <w:bottom w:val="none" w:sz="0" w:space="0" w:color="auto"/>
                <w:right w:val="none" w:sz="0" w:space="0" w:color="auto"/>
              </w:divBdr>
            </w:div>
            <w:div w:id="94299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6FEBD66-B69F-4845-ADD9-93888701CD45}"/>
</file>

<file path=customXml/itemProps2.xml><?xml version="1.0" encoding="utf-8"?>
<ds:datastoreItem xmlns:ds="http://schemas.openxmlformats.org/officeDocument/2006/customXml" ds:itemID="{1A7B74FE-CE47-44F5-B93E-45D914070340}"/>
</file>

<file path=customXml/itemProps3.xml><?xml version="1.0" encoding="utf-8"?>
<ds:datastoreItem xmlns:ds="http://schemas.openxmlformats.org/officeDocument/2006/customXml" ds:itemID="{AC10B377-8101-4446-BD29-E86E69471CC9}"/>
</file>

<file path=docProps/app.xml><?xml version="1.0" encoding="utf-8"?>
<Properties xmlns="http://schemas.openxmlformats.org/officeDocument/2006/extended-properties" xmlns:vt="http://schemas.openxmlformats.org/officeDocument/2006/docPropsVTypes">
  <Template>Normal</Template>
  <TotalTime>0</TotalTime>
  <Pages>3</Pages>
  <Words>6152</Words>
  <Characters>3507</Characters>
  <Application>Microsoft Office Word</Application>
  <DocSecurity>0</DocSecurity>
  <Lines>29</Lines>
  <Paragraphs>19</Paragraphs>
  <ScaleCrop>false</ScaleCrop>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2022-03-04T06:38:00Z</dcterms:created>
  <dcterms:modified xsi:type="dcterms:W3CDTF">2022-08-30T10:45:00Z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