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03182" w14:textId="77777777" w:rsidR="00B65933" w:rsidRPr="00FF2B83" w:rsidRDefault="00B65933" w:rsidP="00B65933">
      <w:pPr>
        <w:spacing w:after="0" w:line="240" w:lineRule="auto"/>
        <w:jc w:val="both"/>
        <w:rPr>
          <w:rFonts w:ascii="Times New Roman" w:hAnsi="Times New Roman" w:cs="Times New Roman"/>
          <w:sz w:val="24"/>
          <w:szCs w:val="24"/>
        </w:rPr>
      </w:pPr>
    </w:p>
    <w:p w14:paraId="4EC84F9F" w14:textId="77777777" w:rsidR="00B65933" w:rsidRPr="00FF2B83" w:rsidRDefault="00B65933" w:rsidP="00B65933">
      <w:pPr>
        <w:spacing w:after="0" w:line="240" w:lineRule="auto"/>
        <w:jc w:val="center"/>
        <w:rPr>
          <w:rFonts w:ascii="Times New Roman" w:hAnsi="Times New Roman" w:cs="Times New Roman"/>
          <w:sz w:val="24"/>
          <w:szCs w:val="24"/>
        </w:rPr>
      </w:pPr>
      <w:r w:rsidRPr="00FF2B83">
        <w:rPr>
          <w:rFonts w:ascii="Times New Roman" w:hAnsi="Times New Roman" w:cs="Times New Roman"/>
          <w:sz w:val="24"/>
          <w:szCs w:val="24"/>
        </w:rPr>
        <w:t>Republic of Latvia</w:t>
      </w:r>
    </w:p>
    <w:p w14:paraId="75A3694A" w14:textId="77777777" w:rsidR="00B65933" w:rsidRPr="00FF2B83" w:rsidRDefault="00B65933" w:rsidP="00B65933">
      <w:pPr>
        <w:spacing w:after="0" w:line="240" w:lineRule="auto"/>
        <w:jc w:val="center"/>
        <w:rPr>
          <w:rFonts w:ascii="Times New Roman" w:hAnsi="Times New Roman" w:cs="Times New Roman"/>
          <w:sz w:val="24"/>
          <w:szCs w:val="24"/>
        </w:rPr>
      </w:pPr>
    </w:p>
    <w:p w14:paraId="347BF476" w14:textId="77777777" w:rsidR="001D35CE" w:rsidRPr="001D35CE" w:rsidRDefault="001D35CE" w:rsidP="001D35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BB670FA" w14:textId="736CEAE3" w:rsidR="001D35CE" w:rsidRPr="001D35CE" w:rsidRDefault="001D35CE" w:rsidP="001D35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778</w:t>
      </w:r>
    </w:p>
    <w:p w14:paraId="3FE084B4" w14:textId="7BF01D2B" w:rsidR="001D35CE" w:rsidRDefault="001D35CE" w:rsidP="001D35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December 2018</w:t>
      </w:r>
    </w:p>
    <w:p w14:paraId="48781EA3" w14:textId="77777777" w:rsidR="001D35CE" w:rsidRDefault="001D35CE" w:rsidP="001D35CE">
      <w:pPr>
        <w:spacing w:after="0" w:line="240" w:lineRule="auto"/>
        <w:jc w:val="both"/>
        <w:rPr>
          <w:rFonts w:ascii="Times New Roman" w:eastAsia="Times New Roman" w:hAnsi="Times New Roman" w:cs="Times New Roman"/>
          <w:noProof/>
          <w:sz w:val="24"/>
          <w:szCs w:val="24"/>
          <w:lang w:val="en-US" w:eastAsia="lv-LV"/>
        </w:rPr>
      </w:pPr>
    </w:p>
    <w:p w14:paraId="777F3969" w14:textId="77777777" w:rsidR="001D35CE" w:rsidRDefault="001D35CE" w:rsidP="001D35CE">
      <w:pPr>
        <w:spacing w:after="0" w:line="240" w:lineRule="auto"/>
        <w:jc w:val="both"/>
        <w:rPr>
          <w:rFonts w:ascii="Times New Roman" w:eastAsia="Times New Roman" w:hAnsi="Times New Roman" w:cs="Times New Roman"/>
          <w:noProof/>
          <w:sz w:val="24"/>
          <w:szCs w:val="24"/>
          <w:lang w:val="en-US" w:eastAsia="lv-LV"/>
        </w:rPr>
      </w:pPr>
    </w:p>
    <w:p w14:paraId="059EDADA" w14:textId="3E32FCF6" w:rsidR="001D35CE" w:rsidRPr="005C304D" w:rsidRDefault="001D35CE" w:rsidP="005C304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Price List for the Paid Services of the Academic Information Centre</w:t>
      </w:r>
    </w:p>
    <w:p w14:paraId="451F4AB3" w14:textId="5C818CFE"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710ACF8D" w14:textId="77777777" w:rsidR="005C304D" w:rsidRPr="001D35CE"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3BA03BB7" w14:textId="77777777" w:rsidR="005C304D" w:rsidRPr="005C304D" w:rsidRDefault="001D35CE" w:rsidP="005C304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A3EA248" w14:textId="7DC7EF2F" w:rsidR="001D35CE" w:rsidRPr="005C304D" w:rsidRDefault="001D35CE" w:rsidP="005C304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11.</w:t>
      </w:r>
      <w:r>
        <w:rPr>
          <w:rFonts w:ascii="Times New Roman" w:hAnsi="Times New Roman"/>
          <w:i/>
          <w:iCs/>
          <w:sz w:val="24"/>
          <w:szCs w:val="24"/>
          <w:vertAlign w:val="superscript"/>
        </w:rPr>
        <w:t>1</w:t>
      </w:r>
      <w:r>
        <w:rPr>
          <w:rFonts w:ascii="Times New Roman" w:hAnsi="Times New Roman"/>
          <w:i/>
          <w:iCs/>
          <w:sz w:val="24"/>
          <w:szCs w:val="24"/>
        </w:rPr>
        <w:t>, Paragraph one of the Education Law, Section 9, Paragraph 1.</w:t>
      </w:r>
      <w:r>
        <w:rPr>
          <w:rFonts w:ascii="Times New Roman" w:hAnsi="Times New Roman"/>
          <w:i/>
          <w:iCs/>
          <w:sz w:val="24"/>
          <w:szCs w:val="24"/>
          <w:vertAlign w:val="superscript"/>
        </w:rPr>
        <w:t>1</w:t>
      </w:r>
      <w:r>
        <w:rPr>
          <w:rFonts w:ascii="Times New Roman" w:hAnsi="Times New Roman"/>
          <w:i/>
          <w:iCs/>
          <w:sz w:val="24"/>
          <w:szCs w:val="24"/>
        </w:rPr>
        <w:t>, Section 55.</w:t>
      </w:r>
      <w:r>
        <w:rPr>
          <w:rFonts w:ascii="Times New Roman" w:hAnsi="Times New Roman"/>
          <w:i/>
          <w:iCs/>
          <w:sz w:val="24"/>
          <w:szCs w:val="24"/>
          <w:vertAlign w:val="superscript"/>
        </w:rPr>
        <w:t>2</w:t>
      </w:r>
      <w:r>
        <w:rPr>
          <w:rFonts w:ascii="Times New Roman" w:hAnsi="Times New Roman"/>
          <w:i/>
          <w:iCs/>
          <w:sz w:val="24"/>
          <w:szCs w:val="24"/>
        </w:rPr>
        <w:t>, Paragraph two, and Section 59, Paragraph four of the Law on Higher Education Institutions</w:t>
      </w:r>
    </w:p>
    <w:p w14:paraId="7A2FECBC" w14:textId="1B99E282"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79935297" w14:textId="77777777" w:rsidR="005C304D" w:rsidRPr="001D35CE"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0FE469C5"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bookmarkStart w:id="0" w:name="p1"/>
      <w:bookmarkStart w:id="1" w:name="p-676112"/>
      <w:bookmarkEnd w:id="0"/>
      <w:bookmarkEnd w:id="1"/>
      <w:r>
        <w:rPr>
          <w:rFonts w:ascii="Times New Roman" w:hAnsi="Times New Roman"/>
          <w:sz w:val="24"/>
          <w:szCs w:val="24"/>
        </w:rPr>
        <w:t xml:space="preserve">1. This Regulation prescribes the price list for the paid services provided by the foundation </w:t>
      </w:r>
      <w:r>
        <w:rPr>
          <w:rFonts w:ascii="Times New Roman" w:hAnsi="Times New Roman"/>
          <w:i/>
          <w:iCs/>
          <w:sz w:val="24"/>
          <w:szCs w:val="24"/>
        </w:rPr>
        <w:t>Akadēmiskās informācijas centrs</w:t>
      </w:r>
      <w:r>
        <w:rPr>
          <w:rFonts w:ascii="Times New Roman" w:hAnsi="Times New Roman"/>
          <w:sz w:val="24"/>
          <w:szCs w:val="24"/>
        </w:rPr>
        <w:t xml:space="preserve"> [Academic Information Centre].</w:t>
      </w:r>
    </w:p>
    <w:p w14:paraId="25C01FEC" w14:textId="77777777" w:rsidR="005C304D" w:rsidRDefault="005C304D" w:rsidP="001D35CE">
      <w:pPr>
        <w:spacing w:after="0" w:line="240" w:lineRule="auto"/>
        <w:jc w:val="both"/>
        <w:rPr>
          <w:rFonts w:ascii="Times New Roman" w:eastAsia="Times New Roman" w:hAnsi="Times New Roman" w:cs="Times New Roman"/>
          <w:noProof/>
          <w:sz w:val="24"/>
          <w:szCs w:val="24"/>
        </w:rPr>
      </w:pPr>
      <w:bookmarkStart w:id="2" w:name="p2"/>
      <w:bookmarkStart w:id="3" w:name="p-676113"/>
      <w:bookmarkEnd w:id="2"/>
      <w:bookmarkEnd w:id="3"/>
    </w:p>
    <w:p w14:paraId="48BA543A" w14:textId="23D461FE"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Academic Information Centre provides paid services according with the price list (Annex).</w:t>
      </w:r>
    </w:p>
    <w:p w14:paraId="3BCEF624" w14:textId="77777777" w:rsidR="005C304D" w:rsidRDefault="005C304D" w:rsidP="001D35CE">
      <w:pPr>
        <w:spacing w:after="0" w:line="240" w:lineRule="auto"/>
        <w:jc w:val="both"/>
        <w:rPr>
          <w:rFonts w:ascii="Times New Roman" w:eastAsia="Times New Roman" w:hAnsi="Times New Roman" w:cs="Times New Roman"/>
          <w:noProof/>
          <w:sz w:val="24"/>
          <w:szCs w:val="24"/>
        </w:rPr>
      </w:pPr>
      <w:bookmarkStart w:id="4" w:name="p3"/>
      <w:bookmarkStart w:id="5" w:name="p-676114"/>
      <w:bookmarkEnd w:id="4"/>
      <w:bookmarkEnd w:id="5"/>
    </w:p>
    <w:p w14:paraId="2F3E0E9C" w14:textId="5695619F"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Cabinet Regulation No. 409 of 14 July 2015, Price List for the Paid Services of the Academic Information Centre (</w:t>
      </w:r>
      <w:r>
        <w:rPr>
          <w:rFonts w:ascii="Times New Roman" w:hAnsi="Times New Roman"/>
          <w:i/>
          <w:iCs/>
          <w:sz w:val="24"/>
          <w:szCs w:val="24"/>
        </w:rPr>
        <w:t>Latvijas Vēstnesis</w:t>
      </w:r>
      <w:r>
        <w:rPr>
          <w:rFonts w:ascii="Times New Roman" w:hAnsi="Times New Roman"/>
          <w:sz w:val="24"/>
          <w:szCs w:val="24"/>
        </w:rPr>
        <w:t>, 2015, No. 146; 2016, No. 134; 2018, No. 53), is repealed.</w:t>
      </w:r>
    </w:p>
    <w:p w14:paraId="6FC024F3" w14:textId="77777777" w:rsidR="005C304D" w:rsidRDefault="005C304D" w:rsidP="001D35CE">
      <w:pPr>
        <w:spacing w:after="0" w:line="240" w:lineRule="auto"/>
        <w:jc w:val="both"/>
        <w:rPr>
          <w:rFonts w:ascii="Times New Roman" w:eastAsia="Times New Roman" w:hAnsi="Times New Roman" w:cs="Times New Roman"/>
          <w:noProof/>
          <w:sz w:val="24"/>
          <w:szCs w:val="24"/>
        </w:rPr>
      </w:pPr>
      <w:bookmarkStart w:id="6" w:name="p4"/>
      <w:bookmarkStart w:id="7" w:name="p-676115"/>
      <w:bookmarkEnd w:id="6"/>
      <w:bookmarkEnd w:id="7"/>
    </w:p>
    <w:p w14:paraId="7AC352D5" w14:textId="0DC593B4"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This Regulation shall come into force on 1 January 2019.</w:t>
      </w:r>
    </w:p>
    <w:p w14:paraId="41A75B66" w14:textId="77777777"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22AF7CDB" w14:textId="77777777"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74884CFB" w14:textId="69B7ACC0" w:rsidR="001D35CE" w:rsidRPr="005C304D"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Pr>
          <w:rFonts w:ascii="Times New Roman" w:hAnsi="Times New Roman"/>
          <w:sz w:val="24"/>
          <w:szCs w:val="24"/>
        </w:rPr>
        <w:t>Māris Kučinskis</w:t>
      </w:r>
    </w:p>
    <w:p w14:paraId="4EAAEDA7" w14:textId="77777777" w:rsidR="001D35CE" w:rsidRPr="005C304D" w:rsidRDefault="001D35CE" w:rsidP="001D35CE">
      <w:pPr>
        <w:spacing w:after="0" w:line="240" w:lineRule="auto"/>
        <w:jc w:val="both"/>
        <w:rPr>
          <w:rFonts w:ascii="Times New Roman" w:eastAsia="Times New Roman" w:hAnsi="Times New Roman" w:cs="Times New Roman"/>
          <w:noProof/>
          <w:sz w:val="24"/>
          <w:szCs w:val="24"/>
          <w:lang w:val="en-US" w:eastAsia="lv-LV"/>
        </w:rPr>
      </w:pPr>
    </w:p>
    <w:p w14:paraId="567AB0D6" w14:textId="77777777" w:rsidR="00B65933" w:rsidRDefault="001D35CE" w:rsidP="001D35CE">
      <w:pPr>
        <w:spacing w:after="0" w:line="240" w:lineRule="auto"/>
        <w:jc w:val="both"/>
        <w:rPr>
          <w:rFonts w:ascii="Times New Roman" w:hAnsi="Times New Roman"/>
          <w:sz w:val="24"/>
          <w:szCs w:val="24"/>
        </w:rPr>
      </w:pPr>
      <w:r>
        <w:rPr>
          <w:rFonts w:ascii="Times New Roman" w:hAnsi="Times New Roman"/>
          <w:sz w:val="24"/>
          <w:szCs w:val="24"/>
        </w:rPr>
        <w:t>Acting for the Minister for Education and Science,</w:t>
      </w:r>
    </w:p>
    <w:p w14:paraId="324D9F41" w14:textId="466B2913"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Welfare</w:t>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sidR="00B65933">
        <w:rPr>
          <w:rFonts w:ascii="Times New Roman" w:hAnsi="Times New Roman"/>
          <w:sz w:val="24"/>
          <w:szCs w:val="24"/>
        </w:rPr>
        <w:tab/>
      </w:r>
      <w:r>
        <w:rPr>
          <w:rFonts w:ascii="Times New Roman" w:hAnsi="Times New Roman"/>
          <w:sz w:val="24"/>
          <w:szCs w:val="24"/>
        </w:rPr>
        <w:t>Jānis Reirs</w:t>
      </w:r>
    </w:p>
    <w:p w14:paraId="1D8C3BE4" w14:textId="77777777"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3068F340" w14:textId="77777777"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0F2A7A4B" w14:textId="77777777" w:rsidR="005C304D" w:rsidRDefault="005C304D">
      <w:pPr>
        <w:rPr>
          <w:rFonts w:ascii="Times New Roman" w:eastAsia="Times New Roman" w:hAnsi="Times New Roman" w:cs="Times New Roman"/>
          <w:noProof/>
          <w:sz w:val="24"/>
          <w:szCs w:val="24"/>
        </w:rPr>
      </w:pPr>
      <w:r>
        <w:br w:type="page"/>
      </w:r>
    </w:p>
    <w:p w14:paraId="4B9E7C9A" w14:textId="77777777"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55CB6DAB" w14:textId="6BA24784" w:rsidR="001D35CE" w:rsidRPr="005C304D" w:rsidRDefault="001D35CE" w:rsidP="005C304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712BE096" w14:textId="457725C0" w:rsid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r w:rsidR="00B65933">
        <w:rPr>
          <w:rFonts w:ascii="Times New Roman" w:hAnsi="Times New Roman"/>
          <w:sz w:val="24"/>
          <w:szCs w:val="24"/>
        </w:rPr>
        <w:t xml:space="preserve"> </w:t>
      </w:r>
      <w:r>
        <w:rPr>
          <w:rFonts w:ascii="Times New Roman" w:hAnsi="Times New Roman"/>
          <w:sz w:val="24"/>
          <w:szCs w:val="24"/>
        </w:rPr>
        <w:t>Regulation No. 778</w:t>
      </w:r>
    </w:p>
    <w:p w14:paraId="66E34D6A" w14:textId="1A1EFE48" w:rsid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December 2018</w:t>
      </w:r>
      <w:bookmarkStart w:id="8" w:name="piel-676117"/>
      <w:bookmarkStart w:id="9" w:name="piel0"/>
      <w:bookmarkEnd w:id="8"/>
      <w:bookmarkEnd w:id="9"/>
    </w:p>
    <w:p w14:paraId="320DDDEF" w14:textId="5907E221"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1E7AF0B2" w14:textId="77777777" w:rsidR="005C304D" w:rsidRPr="001D35CE"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391DBC51" w14:textId="6D7094EF" w:rsidR="001D35CE" w:rsidRPr="005C304D" w:rsidRDefault="001D35CE" w:rsidP="005C304D">
      <w:pPr>
        <w:spacing w:after="0" w:line="240" w:lineRule="auto"/>
        <w:jc w:val="center"/>
        <w:rPr>
          <w:rFonts w:ascii="Times New Roman" w:eastAsia="Times New Roman" w:hAnsi="Times New Roman" w:cs="Times New Roman"/>
          <w:b/>
          <w:bCs/>
          <w:noProof/>
          <w:sz w:val="28"/>
          <w:szCs w:val="28"/>
        </w:rPr>
      </w:pPr>
      <w:bookmarkStart w:id="10" w:name="676118"/>
      <w:bookmarkStart w:id="11" w:name="n-676118"/>
      <w:bookmarkEnd w:id="10"/>
      <w:bookmarkEnd w:id="11"/>
      <w:r>
        <w:rPr>
          <w:rFonts w:ascii="Times New Roman" w:hAnsi="Times New Roman"/>
          <w:b/>
          <w:bCs/>
          <w:sz w:val="28"/>
          <w:szCs w:val="28"/>
        </w:rPr>
        <w:t>Price List for the Paid Services of the Academic Information Centre</w:t>
      </w:r>
    </w:p>
    <w:p w14:paraId="130E7E7A" w14:textId="2E16C64B"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3AC1F906" w14:textId="77777777" w:rsidR="005C304D" w:rsidRPr="001D35CE" w:rsidRDefault="005C304D" w:rsidP="001D35C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3"/>
        <w:gridCol w:w="1890"/>
        <w:gridCol w:w="1722"/>
        <w:gridCol w:w="1267"/>
        <w:gridCol w:w="1174"/>
        <w:gridCol w:w="1002"/>
        <w:gridCol w:w="1183"/>
      </w:tblGrid>
      <w:tr w:rsidR="001D35CE" w:rsidRPr="001D35CE" w14:paraId="5354F05E" w14:textId="77777777" w:rsidTr="00B65933">
        <w:tc>
          <w:tcPr>
            <w:tcW w:w="454" w:type="pct"/>
            <w:vAlign w:val="center"/>
            <w:hideMark/>
          </w:tcPr>
          <w:p w14:paraId="37061C96" w14:textId="3E7B237C" w:rsidR="001D35CE" w:rsidRPr="001D35CE" w:rsidRDefault="001D35CE" w:rsidP="005C30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043" w:type="pct"/>
            <w:vAlign w:val="center"/>
            <w:hideMark/>
          </w:tcPr>
          <w:p w14:paraId="00837133" w14:textId="77777777" w:rsidR="001D35CE" w:rsidRPr="001D35CE" w:rsidRDefault="001D35CE" w:rsidP="005C30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Service type</w:t>
            </w:r>
          </w:p>
        </w:tc>
        <w:tc>
          <w:tcPr>
            <w:tcW w:w="950" w:type="pct"/>
            <w:vAlign w:val="center"/>
            <w:hideMark/>
          </w:tcPr>
          <w:p w14:paraId="4D9A68AD" w14:textId="77777777" w:rsidR="001D35CE" w:rsidRPr="001D35CE" w:rsidRDefault="001D35CE" w:rsidP="005C30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699" w:type="pct"/>
            <w:vAlign w:val="center"/>
            <w:hideMark/>
          </w:tcPr>
          <w:p w14:paraId="37AE82B3" w14:textId="77777777" w:rsidR="001D35CE" w:rsidRPr="001D35CE" w:rsidRDefault="001D35CE" w:rsidP="005C30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experts</w:t>
            </w:r>
          </w:p>
        </w:tc>
        <w:tc>
          <w:tcPr>
            <w:tcW w:w="648" w:type="pct"/>
            <w:vAlign w:val="center"/>
            <w:hideMark/>
          </w:tcPr>
          <w:p w14:paraId="3CD8E7C4" w14:textId="77777777" w:rsidR="001D35CE" w:rsidRPr="001D35CE" w:rsidRDefault="001D35CE" w:rsidP="005C30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excluding VAT (EUR)</w:t>
            </w:r>
          </w:p>
        </w:tc>
        <w:tc>
          <w:tcPr>
            <w:tcW w:w="553" w:type="pct"/>
            <w:vAlign w:val="center"/>
            <w:hideMark/>
          </w:tcPr>
          <w:p w14:paraId="684022C4" w14:textId="77777777" w:rsidR="001D35CE" w:rsidRPr="001D35CE" w:rsidRDefault="001D35CE" w:rsidP="005C30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VAT (EUR)*</w:t>
            </w:r>
          </w:p>
        </w:tc>
        <w:tc>
          <w:tcPr>
            <w:tcW w:w="653" w:type="pct"/>
            <w:vAlign w:val="center"/>
            <w:hideMark/>
          </w:tcPr>
          <w:p w14:paraId="7F82ADDD" w14:textId="77777777" w:rsidR="001D35CE" w:rsidRPr="001D35CE" w:rsidRDefault="001D35CE" w:rsidP="005C30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including VAT (EUR)</w:t>
            </w:r>
          </w:p>
        </w:tc>
      </w:tr>
      <w:tr w:rsidR="001D35CE" w:rsidRPr="001D35CE" w14:paraId="41ACC176" w14:textId="77777777" w:rsidTr="00B65933">
        <w:tc>
          <w:tcPr>
            <w:tcW w:w="454" w:type="pct"/>
            <w:hideMark/>
          </w:tcPr>
          <w:p w14:paraId="7C96345D"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043" w:type="pct"/>
            <w:hideMark/>
          </w:tcPr>
          <w:p w14:paraId="2963DB68"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Expert-examination of an academic degree or education document obtained abroad</w:t>
            </w:r>
          </w:p>
        </w:tc>
        <w:tc>
          <w:tcPr>
            <w:tcW w:w="950" w:type="pct"/>
            <w:hideMark/>
          </w:tcPr>
          <w:p w14:paraId="76E4F5ED"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statement</w:t>
            </w:r>
          </w:p>
        </w:tc>
        <w:tc>
          <w:tcPr>
            <w:tcW w:w="699" w:type="pct"/>
            <w:hideMark/>
          </w:tcPr>
          <w:p w14:paraId="48BB7A6F"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expert</w:t>
            </w:r>
          </w:p>
        </w:tc>
        <w:tc>
          <w:tcPr>
            <w:tcW w:w="648" w:type="pct"/>
            <w:hideMark/>
          </w:tcPr>
          <w:p w14:paraId="5B54DF8C"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41.00</w:t>
            </w:r>
          </w:p>
        </w:tc>
        <w:tc>
          <w:tcPr>
            <w:tcW w:w="553" w:type="pct"/>
            <w:hideMark/>
          </w:tcPr>
          <w:p w14:paraId="6210D4ED"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0.00</w:t>
            </w:r>
          </w:p>
        </w:tc>
        <w:tc>
          <w:tcPr>
            <w:tcW w:w="653" w:type="pct"/>
            <w:hideMark/>
          </w:tcPr>
          <w:p w14:paraId="3AC5647C"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41.00</w:t>
            </w:r>
          </w:p>
        </w:tc>
      </w:tr>
      <w:tr w:rsidR="001D35CE" w:rsidRPr="001D35CE" w14:paraId="6F26CF1A" w14:textId="77777777" w:rsidTr="00B65933">
        <w:tc>
          <w:tcPr>
            <w:tcW w:w="454" w:type="pct"/>
            <w:hideMark/>
          </w:tcPr>
          <w:p w14:paraId="1B86B299"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043" w:type="pct"/>
            <w:hideMark/>
          </w:tcPr>
          <w:p w14:paraId="197E4C2F"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Equalisation of the degrees and vocation qualifications obtained in Latvia if they have been obtained before the coming into force of the regulation for awarding degrees and vocational qualifications</w:t>
            </w:r>
          </w:p>
        </w:tc>
        <w:tc>
          <w:tcPr>
            <w:tcW w:w="950" w:type="pct"/>
            <w:hideMark/>
          </w:tcPr>
          <w:p w14:paraId="1D3D6E2F"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decision</w:t>
            </w:r>
          </w:p>
        </w:tc>
        <w:tc>
          <w:tcPr>
            <w:tcW w:w="699" w:type="pct"/>
            <w:hideMark/>
          </w:tcPr>
          <w:p w14:paraId="58B8C303"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expert</w:t>
            </w:r>
          </w:p>
        </w:tc>
        <w:tc>
          <w:tcPr>
            <w:tcW w:w="648" w:type="pct"/>
            <w:hideMark/>
          </w:tcPr>
          <w:p w14:paraId="431E1DEF"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21.41</w:t>
            </w:r>
          </w:p>
        </w:tc>
        <w:tc>
          <w:tcPr>
            <w:tcW w:w="553" w:type="pct"/>
            <w:hideMark/>
          </w:tcPr>
          <w:p w14:paraId="756F3D7A"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0.00</w:t>
            </w:r>
          </w:p>
        </w:tc>
        <w:tc>
          <w:tcPr>
            <w:tcW w:w="653" w:type="pct"/>
            <w:hideMark/>
          </w:tcPr>
          <w:p w14:paraId="4796617D"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21.41</w:t>
            </w:r>
          </w:p>
        </w:tc>
      </w:tr>
      <w:tr w:rsidR="001D35CE" w:rsidRPr="001D35CE" w14:paraId="6FDD4B2A" w14:textId="77777777" w:rsidTr="00B65933">
        <w:tc>
          <w:tcPr>
            <w:tcW w:w="454" w:type="pct"/>
            <w:vMerge w:val="restart"/>
            <w:hideMark/>
          </w:tcPr>
          <w:p w14:paraId="3EE3F85B"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1043" w:type="pct"/>
            <w:vMerge w:val="restart"/>
            <w:hideMark/>
          </w:tcPr>
          <w:p w14:paraId="4ABB81B7"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Accreditation of a higher education institution</w:t>
            </w:r>
          </w:p>
        </w:tc>
        <w:tc>
          <w:tcPr>
            <w:tcW w:w="950" w:type="pct"/>
            <w:hideMark/>
          </w:tcPr>
          <w:p w14:paraId="166C2E56"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higher education institution having 2000 or less students</w:t>
            </w:r>
          </w:p>
        </w:tc>
        <w:tc>
          <w:tcPr>
            <w:tcW w:w="699" w:type="pct"/>
            <w:hideMark/>
          </w:tcPr>
          <w:p w14:paraId="4F3A5F73"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seven experts</w:t>
            </w:r>
          </w:p>
        </w:tc>
        <w:tc>
          <w:tcPr>
            <w:tcW w:w="648" w:type="pct"/>
            <w:hideMark/>
          </w:tcPr>
          <w:p w14:paraId="0D6CA030"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19 215.00</w:t>
            </w:r>
          </w:p>
        </w:tc>
        <w:tc>
          <w:tcPr>
            <w:tcW w:w="553" w:type="pct"/>
            <w:hideMark/>
          </w:tcPr>
          <w:p w14:paraId="1B4A0A03"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0.00</w:t>
            </w:r>
          </w:p>
        </w:tc>
        <w:tc>
          <w:tcPr>
            <w:tcW w:w="653" w:type="pct"/>
            <w:hideMark/>
          </w:tcPr>
          <w:p w14:paraId="026ECDE4"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19 215.00</w:t>
            </w:r>
          </w:p>
        </w:tc>
      </w:tr>
      <w:tr w:rsidR="001D35CE" w:rsidRPr="001D35CE" w14:paraId="10C23FBF" w14:textId="77777777" w:rsidTr="00B65933">
        <w:tc>
          <w:tcPr>
            <w:tcW w:w="454" w:type="pct"/>
            <w:vMerge/>
            <w:hideMark/>
          </w:tcPr>
          <w:p w14:paraId="179971F7"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lang w:val="en-US" w:eastAsia="lv-LV"/>
              </w:rPr>
            </w:pPr>
          </w:p>
        </w:tc>
        <w:tc>
          <w:tcPr>
            <w:tcW w:w="1043" w:type="pct"/>
            <w:vMerge/>
            <w:hideMark/>
          </w:tcPr>
          <w:p w14:paraId="74B5C3E7"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lang w:val="en-US" w:eastAsia="lv-LV"/>
              </w:rPr>
            </w:pPr>
          </w:p>
        </w:tc>
        <w:tc>
          <w:tcPr>
            <w:tcW w:w="950" w:type="pct"/>
            <w:hideMark/>
          </w:tcPr>
          <w:p w14:paraId="7C297771"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higher education institution having 2001–5000 students</w:t>
            </w:r>
          </w:p>
        </w:tc>
        <w:tc>
          <w:tcPr>
            <w:tcW w:w="699" w:type="pct"/>
            <w:hideMark/>
          </w:tcPr>
          <w:p w14:paraId="5DD81413"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seven experts</w:t>
            </w:r>
          </w:p>
        </w:tc>
        <w:tc>
          <w:tcPr>
            <w:tcW w:w="648" w:type="pct"/>
            <w:hideMark/>
          </w:tcPr>
          <w:p w14:paraId="4586F7A4"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20 294.00</w:t>
            </w:r>
          </w:p>
        </w:tc>
        <w:tc>
          <w:tcPr>
            <w:tcW w:w="553" w:type="pct"/>
            <w:hideMark/>
          </w:tcPr>
          <w:p w14:paraId="65D72724"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0.00</w:t>
            </w:r>
          </w:p>
        </w:tc>
        <w:tc>
          <w:tcPr>
            <w:tcW w:w="653" w:type="pct"/>
            <w:hideMark/>
          </w:tcPr>
          <w:p w14:paraId="0A0584BF"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20 294.00</w:t>
            </w:r>
          </w:p>
        </w:tc>
      </w:tr>
      <w:tr w:rsidR="001D35CE" w:rsidRPr="001D35CE" w14:paraId="3F65465C" w14:textId="77777777" w:rsidTr="00B65933">
        <w:tc>
          <w:tcPr>
            <w:tcW w:w="454" w:type="pct"/>
            <w:vMerge/>
            <w:hideMark/>
          </w:tcPr>
          <w:p w14:paraId="07144A3F"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lang w:val="en-US" w:eastAsia="lv-LV"/>
              </w:rPr>
            </w:pPr>
          </w:p>
        </w:tc>
        <w:tc>
          <w:tcPr>
            <w:tcW w:w="1043" w:type="pct"/>
            <w:vMerge/>
            <w:hideMark/>
          </w:tcPr>
          <w:p w14:paraId="30710DC8"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lang w:val="en-US" w:eastAsia="lv-LV"/>
              </w:rPr>
            </w:pPr>
          </w:p>
        </w:tc>
        <w:tc>
          <w:tcPr>
            <w:tcW w:w="950" w:type="pct"/>
            <w:hideMark/>
          </w:tcPr>
          <w:p w14:paraId="7C2A82A6"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higher education institution having 5001–10 000 students</w:t>
            </w:r>
          </w:p>
        </w:tc>
        <w:tc>
          <w:tcPr>
            <w:tcW w:w="699" w:type="pct"/>
            <w:hideMark/>
          </w:tcPr>
          <w:p w14:paraId="05E32813"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seven experts</w:t>
            </w:r>
          </w:p>
        </w:tc>
        <w:tc>
          <w:tcPr>
            <w:tcW w:w="648" w:type="pct"/>
            <w:hideMark/>
          </w:tcPr>
          <w:p w14:paraId="7685077D"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21 374.00</w:t>
            </w:r>
          </w:p>
        </w:tc>
        <w:tc>
          <w:tcPr>
            <w:tcW w:w="553" w:type="pct"/>
            <w:hideMark/>
          </w:tcPr>
          <w:p w14:paraId="687D3527"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0.00</w:t>
            </w:r>
          </w:p>
        </w:tc>
        <w:tc>
          <w:tcPr>
            <w:tcW w:w="653" w:type="pct"/>
            <w:hideMark/>
          </w:tcPr>
          <w:p w14:paraId="266D04FE"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21 374.00</w:t>
            </w:r>
          </w:p>
        </w:tc>
      </w:tr>
      <w:tr w:rsidR="001D35CE" w:rsidRPr="001D35CE" w14:paraId="528648A4" w14:textId="77777777" w:rsidTr="00B65933">
        <w:tc>
          <w:tcPr>
            <w:tcW w:w="454" w:type="pct"/>
            <w:vMerge/>
            <w:hideMark/>
          </w:tcPr>
          <w:p w14:paraId="2B491934"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lang w:val="en-US" w:eastAsia="lv-LV"/>
              </w:rPr>
            </w:pPr>
          </w:p>
        </w:tc>
        <w:tc>
          <w:tcPr>
            <w:tcW w:w="1043" w:type="pct"/>
            <w:vMerge/>
            <w:hideMark/>
          </w:tcPr>
          <w:p w14:paraId="2E58BB4E"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lang w:val="en-US" w:eastAsia="lv-LV"/>
              </w:rPr>
            </w:pPr>
          </w:p>
        </w:tc>
        <w:tc>
          <w:tcPr>
            <w:tcW w:w="950" w:type="pct"/>
            <w:hideMark/>
          </w:tcPr>
          <w:p w14:paraId="1D1669E4"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higher education institution having 10 001 or more students</w:t>
            </w:r>
          </w:p>
        </w:tc>
        <w:tc>
          <w:tcPr>
            <w:tcW w:w="699" w:type="pct"/>
            <w:hideMark/>
          </w:tcPr>
          <w:p w14:paraId="7FE91F66"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seven experts</w:t>
            </w:r>
          </w:p>
        </w:tc>
        <w:tc>
          <w:tcPr>
            <w:tcW w:w="648" w:type="pct"/>
            <w:hideMark/>
          </w:tcPr>
          <w:p w14:paraId="2D668883"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22 454.00</w:t>
            </w:r>
          </w:p>
        </w:tc>
        <w:tc>
          <w:tcPr>
            <w:tcW w:w="553" w:type="pct"/>
            <w:hideMark/>
          </w:tcPr>
          <w:p w14:paraId="518FD830"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0.00</w:t>
            </w:r>
          </w:p>
        </w:tc>
        <w:tc>
          <w:tcPr>
            <w:tcW w:w="653" w:type="pct"/>
            <w:hideMark/>
          </w:tcPr>
          <w:p w14:paraId="16659809"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22 454.00</w:t>
            </w:r>
          </w:p>
        </w:tc>
      </w:tr>
      <w:tr w:rsidR="001D35CE" w:rsidRPr="001D35CE" w14:paraId="18C2D609" w14:textId="77777777" w:rsidTr="00B65933">
        <w:tc>
          <w:tcPr>
            <w:tcW w:w="454" w:type="pct"/>
            <w:tcBorders>
              <w:bottom w:val="single" w:sz="4" w:space="0" w:color="auto"/>
            </w:tcBorders>
            <w:hideMark/>
          </w:tcPr>
          <w:p w14:paraId="049D9E56"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1043" w:type="pct"/>
            <w:tcBorders>
              <w:bottom w:val="single" w:sz="4" w:space="0" w:color="auto"/>
            </w:tcBorders>
            <w:hideMark/>
          </w:tcPr>
          <w:p w14:paraId="2DD00C28"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Licensing of study programmes</w:t>
            </w:r>
          </w:p>
        </w:tc>
        <w:tc>
          <w:tcPr>
            <w:tcW w:w="950" w:type="pct"/>
            <w:tcBorders>
              <w:bottom w:val="single" w:sz="4" w:space="0" w:color="auto"/>
            </w:tcBorders>
            <w:hideMark/>
          </w:tcPr>
          <w:p w14:paraId="216F15E0"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study programme</w:t>
            </w:r>
          </w:p>
        </w:tc>
        <w:tc>
          <w:tcPr>
            <w:tcW w:w="699" w:type="pct"/>
            <w:tcBorders>
              <w:bottom w:val="single" w:sz="4" w:space="0" w:color="auto"/>
            </w:tcBorders>
            <w:hideMark/>
          </w:tcPr>
          <w:p w14:paraId="3DA706D2" w14:textId="77777777" w:rsidR="001D35CE" w:rsidRP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three experts</w:t>
            </w:r>
          </w:p>
        </w:tc>
        <w:tc>
          <w:tcPr>
            <w:tcW w:w="648" w:type="pct"/>
            <w:tcBorders>
              <w:bottom w:val="single" w:sz="4" w:space="0" w:color="auto"/>
            </w:tcBorders>
            <w:hideMark/>
          </w:tcPr>
          <w:p w14:paraId="4BBD74F7"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2761.00</w:t>
            </w:r>
          </w:p>
        </w:tc>
        <w:tc>
          <w:tcPr>
            <w:tcW w:w="553" w:type="pct"/>
            <w:tcBorders>
              <w:bottom w:val="single" w:sz="4" w:space="0" w:color="auto"/>
            </w:tcBorders>
            <w:hideMark/>
          </w:tcPr>
          <w:p w14:paraId="3E3CF6EE"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0.00</w:t>
            </w:r>
          </w:p>
        </w:tc>
        <w:tc>
          <w:tcPr>
            <w:tcW w:w="653" w:type="pct"/>
            <w:tcBorders>
              <w:bottom w:val="single" w:sz="4" w:space="0" w:color="auto"/>
            </w:tcBorders>
            <w:hideMark/>
          </w:tcPr>
          <w:p w14:paraId="43D9E213" w14:textId="77777777" w:rsidR="001D35CE" w:rsidRPr="001D35CE" w:rsidRDefault="001D35CE" w:rsidP="005C30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2761.00</w:t>
            </w:r>
          </w:p>
        </w:tc>
      </w:tr>
    </w:tbl>
    <w:p w14:paraId="415ABE6F" w14:textId="77777777" w:rsidR="005C304D"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0517EE87" w14:textId="77777777" w:rsidR="00860157" w:rsidRDefault="00860157" w:rsidP="008601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22652FD" w14:textId="77777777" w:rsidR="00860157" w:rsidRPr="001D35CE" w:rsidRDefault="00860157" w:rsidP="008601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addition to the specified costs for the accreditation of a higher education institution or licensing of a study programme, a higher education institution or college shall compensate the expert the economically most advantageous actual travel expenses in the amount of up to EUR 711.44 and accommodation expenses not exceeding EUR 106.72 per night. If the actual travel expenses of the expert exceed EUR 711.44 or the accommodation expenses exceed EUR 106.72 per night, the Academic Information Centre shall agree upon such costs with the higher education institution or college (applicable to the service referred to in Paragraphs 3 and 4 of this Annex). Procedures for the mutual settlement of accounts shall be established by the Academic Information Centre.</w:t>
      </w:r>
    </w:p>
    <w:p w14:paraId="6790A197" w14:textId="134A7241" w:rsidR="005C304D" w:rsidRDefault="00860157" w:rsidP="00860157">
      <w:pPr>
        <w:spacing w:after="0" w:line="240" w:lineRule="auto"/>
        <w:jc w:val="both"/>
        <w:rPr>
          <w:rFonts w:ascii="Times New Roman" w:eastAsia="Times New Roman" w:hAnsi="Times New Roman" w:cs="Times New Roman"/>
          <w:noProof/>
          <w:sz w:val="24"/>
          <w:szCs w:val="24"/>
          <w:lang w:val="en-US" w:eastAsia="lv-LV"/>
        </w:rPr>
      </w:pPr>
      <w:r>
        <w:rPr>
          <w:rFonts w:ascii="Times New Roman" w:hAnsi="Times New Roman"/>
          <w:sz w:val="24"/>
          <w:szCs w:val="24"/>
        </w:rPr>
        <w:t>2. * The value added tax shall not be applied in accordance with Section 3, Paragraph eight of the Value Added Tax Law.</w:t>
      </w:r>
    </w:p>
    <w:p w14:paraId="7152E1C0" w14:textId="77777777" w:rsidR="00860157" w:rsidRDefault="00860157" w:rsidP="001D35CE">
      <w:pPr>
        <w:spacing w:after="0" w:line="240" w:lineRule="auto"/>
        <w:jc w:val="both"/>
        <w:rPr>
          <w:rFonts w:ascii="Times New Roman" w:hAnsi="Times New Roman"/>
          <w:sz w:val="24"/>
          <w:szCs w:val="24"/>
        </w:rPr>
      </w:pPr>
    </w:p>
    <w:p w14:paraId="35168476" w14:textId="77777777" w:rsidR="00860157" w:rsidRDefault="00860157" w:rsidP="001D35CE">
      <w:pPr>
        <w:spacing w:after="0" w:line="240" w:lineRule="auto"/>
        <w:jc w:val="both"/>
        <w:rPr>
          <w:rFonts w:ascii="Times New Roman" w:hAnsi="Times New Roman"/>
          <w:sz w:val="24"/>
          <w:szCs w:val="24"/>
        </w:rPr>
      </w:pPr>
    </w:p>
    <w:p w14:paraId="50BB714D" w14:textId="13AB7E3C" w:rsidR="001D35CE" w:rsidRDefault="001D35CE" w:rsidP="001D35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Education and Science, Minister for Welfare</w:t>
      </w:r>
      <w:r w:rsidR="00B65933">
        <w:rPr>
          <w:rFonts w:ascii="Times New Roman" w:hAnsi="Times New Roman"/>
          <w:sz w:val="24"/>
          <w:szCs w:val="24"/>
        </w:rPr>
        <w:tab/>
      </w:r>
      <w:r w:rsidR="00B65933">
        <w:rPr>
          <w:rFonts w:ascii="Times New Roman" w:hAnsi="Times New Roman"/>
          <w:sz w:val="24"/>
          <w:szCs w:val="24"/>
        </w:rPr>
        <w:tab/>
      </w:r>
      <w:r>
        <w:rPr>
          <w:rFonts w:ascii="Times New Roman" w:hAnsi="Times New Roman"/>
          <w:sz w:val="24"/>
          <w:szCs w:val="24"/>
        </w:rPr>
        <w:t>Jānis Reirs</w:t>
      </w:r>
    </w:p>
    <w:p w14:paraId="1528452B" w14:textId="77777777" w:rsidR="005C304D" w:rsidRPr="001D35CE" w:rsidRDefault="005C304D" w:rsidP="001D35CE">
      <w:pPr>
        <w:spacing w:after="0" w:line="240" w:lineRule="auto"/>
        <w:jc w:val="both"/>
        <w:rPr>
          <w:rFonts w:ascii="Times New Roman" w:eastAsia="Times New Roman" w:hAnsi="Times New Roman" w:cs="Times New Roman"/>
          <w:noProof/>
          <w:sz w:val="24"/>
          <w:szCs w:val="24"/>
          <w:lang w:val="en-US" w:eastAsia="lv-LV"/>
        </w:rPr>
      </w:pPr>
    </w:p>
    <w:p w14:paraId="41F679F4" w14:textId="77777777" w:rsidR="001D35CE" w:rsidRPr="001D35CE" w:rsidRDefault="001D35CE" w:rsidP="001D35CE">
      <w:pPr>
        <w:spacing w:after="0" w:line="240" w:lineRule="auto"/>
        <w:jc w:val="both"/>
        <w:rPr>
          <w:rFonts w:ascii="Times New Roman" w:hAnsi="Times New Roman"/>
          <w:noProof/>
          <w:sz w:val="24"/>
          <w:lang w:val="en-US"/>
        </w:rPr>
      </w:pPr>
    </w:p>
    <w:sectPr w:rsidR="001D35CE" w:rsidRPr="001D35CE" w:rsidSect="001D35C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CA815" w14:textId="77777777" w:rsidR="001D35CE" w:rsidRPr="001D35CE" w:rsidRDefault="001D35CE" w:rsidP="001D35CE">
      <w:pPr>
        <w:spacing w:after="0" w:line="240" w:lineRule="auto"/>
        <w:rPr>
          <w:noProof/>
          <w:lang w:val="en-US"/>
        </w:rPr>
      </w:pPr>
      <w:r w:rsidRPr="001D35CE">
        <w:rPr>
          <w:noProof/>
          <w:lang w:val="en-US"/>
        </w:rPr>
        <w:separator/>
      </w:r>
    </w:p>
  </w:endnote>
  <w:endnote w:type="continuationSeparator" w:id="0">
    <w:p w14:paraId="3F1C1F49" w14:textId="77777777" w:rsidR="001D35CE" w:rsidRPr="001D35CE" w:rsidRDefault="001D35CE" w:rsidP="001D35CE">
      <w:pPr>
        <w:spacing w:after="0" w:line="240" w:lineRule="auto"/>
        <w:rPr>
          <w:noProof/>
          <w:lang w:val="en-US"/>
        </w:rPr>
      </w:pPr>
      <w:r w:rsidRPr="001D35C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220C7" w14:textId="77777777" w:rsidR="00B65933" w:rsidRPr="00750961" w:rsidRDefault="00B65933" w:rsidP="00B65933">
    <w:pPr>
      <w:pStyle w:val="Kjene"/>
      <w:tabs>
        <w:tab w:val="clear" w:pos="4153"/>
        <w:tab w:val="clear" w:pos="8306"/>
        <w:tab w:val="right" w:pos="9072"/>
      </w:tabs>
      <w:rPr>
        <w:rFonts w:ascii="Times New Roman" w:hAnsi="Times New Roman"/>
        <w:sz w:val="20"/>
      </w:rPr>
    </w:pPr>
  </w:p>
  <w:p w14:paraId="44206109" w14:textId="77777777" w:rsidR="00B65933" w:rsidRPr="000523BF" w:rsidRDefault="00B65933" w:rsidP="00B6593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5D797" w14:textId="77777777" w:rsidR="00B65933" w:rsidRPr="00750961" w:rsidRDefault="00B65933" w:rsidP="00B65933">
    <w:pPr>
      <w:pStyle w:val="Kjene"/>
      <w:rPr>
        <w:rFonts w:ascii="Times New Roman" w:hAnsi="Times New Roman"/>
        <w:sz w:val="20"/>
      </w:rPr>
    </w:pPr>
    <w:bookmarkStart w:id="12" w:name="_Hlk3898969"/>
    <w:bookmarkStart w:id="13" w:name="_Hlk3898970"/>
  </w:p>
  <w:p w14:paraId="6CFCC2CD" w14:textId="77777777" w:rsidR="00B65933" w:rsidRPr="000523BF" w:rsidRDefault="00B65933" w:rsidP="00B6593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0EB2A" w14:textId="77777777" w:rsidR="001D35CE" w:rsidRPr="001D35CE" w:rsidRDefault="001D35CE" w:rsidP="001D35CE">
      <w:pPr>
        <w:spacing w:after="0" w:line="240" w:lineRule="auto"/>
        <w:rPr>
          <w:noProof/>
          <w:lang w:val="en-US"/>
        </w:rPr>
      </w:pPr>
      <w:r w:rsidRPr="001D35CE">
        <w:rPr>
          <w:noProof/>
          <w:lang w:val="en-US"/>
        </w:rPr>
        <w:separator/>
      </w:r>
    </w:p>
  </w:footnote>
  <w:footnote w:type="continuationSeparator" w:id="0">
    <w:p w14:paraId="47F0BD45" w14:textId="77777777" w:rsidR="001D35CE" w:rsidRPr="001D35CE" w:rsidRDefault="001D35CE" w:rsidP="001D35CE">
      <w:pPr>
        <w:spacing w:after="0" w:line="240" w:lineRule="auto"/>
        <w:rPr>
          <w:noProof/>
          <w:lang w:val="en-US"/>
        </w:rPr>
      </w:pPr>
      <w:r w:rsidRPr="001D35C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22"/>
    <w:rsid w:val="001D35CE"/>
    <w:rsid w:val="002326EA"/>
    <w:rsid w:val="00530540"/>
    <w:rsid w:val="005C304D"/>
    <w:rsid w:val="00854822"/>
    <w:rsid w:val="00860157"/>
    <w:rsid w:val="00B65933"/>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7F3F"/>
  <w15:chartTrackingRefBased/>
  <w15:docId w15:val="{AD56787D-D6AE-4CAC-A09F-08DA6705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D35CE"/>
    <w:rPr>
      <w:color w:val="0000FF"/>
      <w:u w:val="single"/>
    </w:rPr>
  </w:style>
  <w:style w:type="paragraph" w:customStyle="1" w:styleId="tv213">
    <w:name w:val="tv213"/>
    <w:basedOn w:val="Parasts"/>
    <w:rsid w:val="001D35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D35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D35C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D35CE"/>
  </w:style>
  <w:style w:type="paragraph" w:styleId="Kjene">
    <w:name w:val="footer"/>
    <w:basedOn w:val="Parasts"/>
    <w:link w:val="KjeneRakstz"/>
    <w:unhideWhenUsed/>
    <w:rsid w:val="001D35C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D35CE"/>
  </w:style>
  <w:style w:type="character" w:styleId="Lappusesnumurs">
    <w:name w:val="page number"/>
    <w:rsid w:val="00B6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933453">
      <w:bodyDiv w:val="1"/>
      <w:marLeft w:val="0"/>
      <w:marRight w:val="0"/>
      <w:marTop w:val="0"/>
      <w:marBottom w:val="0"/>
      <w:divBdr>
        <w:top w:val="none" w:sz="0" w:space="0" w:color="auto"/>
        <w:left w:val="none" w:sz="0" w:space="0" w:color="auto"/>
        <w:bottom w:val="none" w:sz="0" w:space="0" w:color="auto"/>
        <w:right w:val="none" w:sz="0" w:space="0" w:color="auto"/>
      </w:divBdr>
      <w:divsChild>
        <w:div w:id="2012637271">
          <w:marLeft w:val="0"/>
          <w:marRight w:val="0"/>
          <w:marTop w:val="0"/>
          <w:marBottom w:val="0"/>
          <w:divBdr>
            <w:top w:val="none" w:sz="0" w:space="0" w:color="auto"/>
            <w:left w:val="none" w:sz="0" w:space="0" w:color="auto"/>
            <w:bottom w:val="none" w:sz="0" w:space="0" w:color="auto"/>
            <w:right w:val="none" w:sz="0" w:space="0" w:color="auto"/>
          </w:divBdr>
          <w:divsChild>
            <w:div w:id="1877959173">
              <w:marLeft w:val="0"/>
              <w:marRight w:val="0"/>
              <w:marTop w:val="0"/>
              <w:marBottom w:val="0"/>
              <w:divBdr>
                <w:top w:val="none" w:sz="0" w:space="0" w:color="auto"/>
                <w:left w:val="none" w:sz="0" w:space="0" w:color="auto"/>
                <w:bottom w:val="none" w:sz="0" w:space="0" w:color="auto"/>
                <w:right w:val="none" w:sz="0" w:space="0" w:color="auto"/>
              </w:divBdr>
            </w:div>
            <w:div w:id="56636374">
              <w:marLeft w:val="0"/>
              <w:marRight w:val="0"/>
              <w:marTop w:val="0"/>
              <w:marBottom w:val="0"/>
              <w:divBdr>
                <w:top w:val="none" w:sz="0" w:space="0" w:color="auto"/>
                <w:left w:val="none" w:sz="0" w:space="0" w:color="auto"/>
                <w:bottom w:val="none" w:sz="0" w:space="0" w:color="auto"/>
                <w:right w:val="none" w:sz="0" w:space="0" w:color="auto"/>
              </w:divBdr>
            </w:div>
            <w:div w:id="1110590632">
              <w:marLeft w:val="0"/>
              <w:marRight w:val="0"/>
              <w:marTop w:val="0"/>
              <w:marBottom w:val="0"/>
              <w:divBdr>
                <w:top w:val="none" w:sz="0" w:space="0" w:color="auto"/>
                <w:left w:val="none" w:sz="0" w:space="0" w:color="auto"/>
                <w:bottom w:val="none" w:sz="0" w:space="0" w:color="auto"/>
                <w:right w:val="none" w:sz="0" w:space="0" w:color="auto"/>
              </w:divBdr>
            </w:div>
            <w:div w:id="2013296161">
              <w:marLeft w:val="0"/>
              <w:marRight w:val="0"/>
              <w:marTop w:val="0"/>
              <w:marBottom w:val="0"/>
              <w:divBdr>
                <w:top w:val="none" w:sz="0" w:space="0" w:color="auto"/>
                <w:left w:val="none" w:sz="0" w:space="0" w:color="auto"/>
                <w:bottom w:val="none" w:sz="0" w:space="0" w:color="auto"/>
                <w:right w:val="none" w:sz="0" w:space="0" w:color="auto"/>
              </w:divBdr>
            </w:div>
            <w:div w:id="1963144558">
              <w:marLeft w:val="0"/>
              <w:marRight w:val="0"/>
              <w:marTop w:val="0"/>
              <w:marBottom w:val="0"/>
              <w:divBdr>
                <w:top w:val="none" w:sz="0" w:space="0" w:color="auto"/>
                <w:left w:val="none" w:sz="0" w:space="0" w:color="auto"/>
                <w:bottom w:val="none" w:sz="0" w:space="0" w:color="auto"/>
                <w:right w:val="none" w:sz="0" w:space="0" w:color="auto"/>
              </w:divBdr>
            </w:div>
            <w:div w:id="1427925300">
              <w:marLeft w:val="0"/>
              <w:marRight w:val="0"/>
              <w:marTop w:val="0"/>
              <w:marBottom w:val="0"/>
              <w:divBdr>
                <w:top w:val="none" w:sz="0" w:space="0" w:color="auto"/>
                <w:left w:val="none" w:sz="0" w:space="0" w:color="auto"/>
                <w:bottom w:val="none" w:sz="0" w:space="0" w:color="auto"/>
                <w:right w:val="none" w:sz="0" w:space="0" w:color="auto"/>
              </w:divBdr>
            </w:div>
            <w:div w:id="102380631">
              <w:marLeft w:val="0"/>
              <w:marRight w:val="0"/>
              <w:marTop w:val="0"/>
              <w:marBottom w:val="0"/>
              <w:divBdr>
                <w:top w:val="none" w:sz="0" w:space="0" w:color="auto"/>
                <w:left w:val="none" w:sz="0" w:space="0" w:color="auto"/>
                <w:bottom w:val="none" w:sz="0" w:space="0" w:color="auto"/>
                <w:right w:val="none" w:sz="0" w:space="0" w:color="auto"/>
              </w:divBdr>
            </w:div>
            <w:div w:id="214851079">
              <w:marLeft w:val="0"/>
              <w:marRight w:val="0"/>
              <w:marTop w:val="0"/>
              <w:marBottom w:val="0"/>
              <w:divBdr>
                <w:top w:val="none" w:sz="0" w:space="0" w:color="auto"/>
                <w:left w:val="none" w:sz="0" w:space="0" w:color="auto"/>
                <w:bottom w:val="none" w:sz="0" w:space="0" w:color="auto"/>
                <w:right w:val="none" w:sz="0" w:space="0" w:color="auto"/>
              </w:divBdr>
            </w:div>
            <w:div w:id="1455977042">
              <w:marLeft w:val="0"/>
              <w:marRight w:val="0"/>
              <w:marTop w:val="0"/>
              <w:marBottom w:val="0"/>
              <w:divBdr>
                <w:top w:val="none" w:sz="0" w:space="0" w:color="auto"/>
                <w:left w:val="none" w:sz="0" w:space="0" w:color="auto"/>
                <w:bottom w:val="none" w:sz="0" w:space="0" w:color="auto"/>
                <w:right w:val="none" w:sz="0" w:space="0" w:color="auto"/>
              </w:divBdr>
            </w:div>
            <w:div w:id="1550874541">
              <w:marLeft w:val="0"/>
              <w:marRight w:val="0"/>
              <w:marTop w:val="0"/>
              <w:marBottom w:val="0"/>
              <w:divBdr>
                <w:top w:val="none" w:sz="0" w:space="0" w:color="auto"/>
                <w:left w:val="none" w:sz="0" w:space="0" w:color="auto"/>
                <w:bottom w:val="none" w:sz="0" w:space="0" w:color="auto"/>
                <w:right w:val="none" w:sz="0" w:space="0" w:color="auto"/>
              </w:divBdr>
            </w:div>
            <w:div w:id="2110343758">
              <w:marLeft w:val="0"/>
              <w:marRight w:val="0"/>
              <w:marTop w:val="0"/>
              <w:marBottom w:val="0"/>
              <w:divBdr>
                <w:top w:val="none" w:sz="0" w:space="0" w:color="auto"/>
                <w:left w:val="none" w:sz="0" w:space="0" w:color="auto"/>
                <w:bottom w:val="none" w:sz="0" w:space="0" w:color="auto"/>
                <w:right w:val="none" w:sz="0" w:space="0" w:color="auto"/>
              </w:divBdr>
            </w:div>
            <w:div w:id="6397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2000</Words>
  <Characters>1141</Characters>
  <Application>Microsoft Office Word</Application>
  <DocSecurity>0</DocSecurity>
  <Lines>9</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2019-10-04T10:52:00Z</dcterms:created>
  <dcterms:modified xsi:type="dcterms:W3CDTF">2020-04-28T09:12:00Z</dcterms:modified>
</cp:coreProperties>
</file>