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FD393" w14:textId="77777777" w:rsidR="00F97638" w:rsidRPr="00F97638" w:rsidRDefault="00F97638" w:rsidP="00F97638">
      <w:pPr>
        <w:spacing w:after="0" w:line="240" w:lineRule="auto"/>
        <w:jc w:val="both"/>
        <w:rPr>
          <w:rFonts w:ascii="Times New Roman" w:hAnsi="Times New Roman"/>
          <w:sz w:val="24"/>
          <w:szCs w:val="24"/>
        </w:rPr>
      </w:pPr>
    </w:p>
    <w:p w14:paraId="5FC45D9B" w14:textId="77777777" w:rsidR="00F97638" w:rsidRPr="00F97638" w:rsidRDefault="00F97638" w:rsidP="00F97638">
      <w:pPr>
        <w:widowControl w:val="0"/>
        <w:spacing w:after="0" w:line="240" w:lineRule="auto"/>
        <w:jc w:val="both"/>
        <w:rPr>
          <w:rFonts w:ascii="Times New Roman" w:hAnsi="Times New Roman"/>
          <w:sz w:val="20"/>
          <w:szCs w:val="24"/>
        </w:rPr>
      </w:pPr>
      <w:r w:rsidRPr="00F97638">
        <w:rPr>
          <w:rFonts w:ascii="Times New Roman" w:hAnsi="Times New Roman"/>
          <w:sz w:val="20"/>
          <w:szCs w:val="24"/>
        </w:rPr>
        <w:t xml:space="preserve">Text consolidated by </w:t>
      </w:r>
      <w:proofErr w:type="spellStart"/>
      <w:r w:rsidRPr="00F97638">
        <w:rPr>
          <w:rFonts w:ascii="Times New Roman" w:hAnsi="Times New Roman"/>
          <w:sz w:val="20"/>
          <w:szCs w:val="24"/>
        </w:rPr>
        <w:t>Valsts</w:t>
      </w:r>
      <w:proofErr w:type="spellEnd"/>
      <w:r w:rsidRPr="00F97638">
        <w:rPr>
          <w:rFonts w:ascii="Times New Roman" w:hAnsi="Times New Roman"/>
          <w:sz w:val="20"/>
          <w:szCs w:val="24"/>
        </w:rPr>
        <w:t xml:space="preserve"> </w:t>
      </w:r>
      <w:proofErr w:type="spellStart"/>
      <w:r w:rsidRPr="00F97638">
        <w:rPr>
          <w:rFonts w:ascii="Times New Roman" w:hAnsi="Times New Roman"/>
          <w:sz w:val="20"/>
          <w:szCs w:val="24"/>
        </w:rPr>
        <w:t>valodas</w:t>
      </w:r>
      <w:proofErr w:type="spellEnd"/>
      <w:r w:rsidRPr="00F97638">
        <w:rPr>
          <w:rFonts w:ascii="Times New Roman" w:hAnsi="Times New Roman"/>
          <w:sz w:val="20"/>
          <w:szCs w:val="24"/>
        </w:rPr>
        <w:t xml:space="preserve"> </w:t>
      </w:r>
      <w:proofErr w:type="spellStart"/>
      <w:r w:rsidRPr="00F97638">
        <w:rPr>
          <w:rFonts w:ascii="Times New Roman" w:hAnsi="Times New Roman"/>
          <w:sz w:val="20"/>
          <w:szCs w:val="24"/>
        </w:rPr>
        <w:t>centrs</w:t>
      </w:r>
      <w:proofErr w:type="spellEnd"/>
      <w:r w:rsidRPr="00F97638">
        <w:rPr>
          <w:rFonts w:ascii="Times New Roman" w:hAnsi="Times New Roman"/>
          <w:sz w:val="20"/>
          <w:szCs w:val="24"/>
        </w:rPr>
        <w:t xml:space="preserve"> (State Language Centre) with amending regulations of:</w:t>
      </w:r>
    </w:p>
    <w:p w14:paraId="0B47EDCA" w14:textId="56F9C0FE" w:rsidR="00F97638" w:rsidRPr="00F97638" w:rsidRDefault="0050664D" w:rsidP="00F97638">
      <w:pPr>
        <w:pStyle w:val="Tekstabloks"/>
        <w:ind w:left="0" w:right="26"/>
        <w:jc w:val="center"/>
        <w:rPr>
          <w:szCs w:val="24"/>
        </w:rPr>
      </w:pPr>
      <w:r>
        <w:rPr>
          <w:szCs w:val="24"/>
        </w:rPr>
        <w:t>17 December 2020</w:t>
      </w:r>
      <w:r w:rsidR="00F97638" w:rsidRPr="00F97638">
        <w:rPr>
          <w:szCs w:val="24"/>
        </w:rPr>
        <w:t xml:space="preserve"> [shall come into force on</w:t>
      </w:r>
      <w:r>
        <w:rPr>
          <w:szCs w:val="24"/>
        </w:rPr>
        <w:t xml:space="preserve"> 24 December </w:t>
      </w:r>
      <w:r w:rsidR="00600621">
        <w:rPr>
          <w:szCs w:val="24"/>
        </w:rPr>
        <w:t>2020</w:t>
      </w:r>
      <w:r w:rsidR="00F97638" w:rsidRPr="00F97638">
        <w:rPr>
          <w:szCs w:val="24"/>
        </w:rPr>
        <w:t>].</w:t>
      </w:r>
    </w:p>
    <w:p w14:paraId="617A06C4" w14:textId="77777777" w:rsidR="00F97638" w:rsidRPr="00F97638" w:rsidRDefault="00F97638" w:rsidP="00F97638">
      <w:pPr>
        <w:widowControl w:val="0"/>
        <w:spacing w:after="0" w:line="240" w:lineRule="auto"/>
        <w:jc w:val="both"/>
        <w:rPr>
          <w:rFonts w:ascii="Times New Roman" w:hAnsi="Times New Roman"/>
          <w:sz w:val="20"/>
          <w:szCs w:val="24"/>
        </w:rPr>
      </w:pPr>
      <w:r w:rsidRPr="00F97638">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16289BC" w14:textId="77777777" w:rsidR="00F97638" w:rsidRPr="00F97638" w:rsidRDefault="00F97638" w:rsidP="00F97638">
      <w:pPr>
        <w:spacing w:after="0" w:line="240" w:lineRule="auto"/>
        <w:jc w:val="both"/>
        <w:rPr>
          <w:rFonts w:ascii="Times New Roman" w:hAnsi="Times New Roman"/>
          <w:sz w:val="24"/>
          <w:szCs w:val="24"/>
        </w:rPr>
      </w:pPr>
    </w:p>
    <w:p w14:paraId="415F5F82" w14:textId="77777777" w:rsidR="00F97638" w:rsidRPr="00F97638" w:rsidRDefault="00F97638" w:rsidP="00F97638">
      <w:pPr>
        <w:spacing w:after="0" w:line="240" w:lineRule="auto"/>
        <w:rPr>
          <w:rFonts w:ascii="Times New Roman" w:hAnsi="Times New Roman"/>
          <w:sz w:val="24"/>
        </w:rPr>
      </w:pPr>
    </w:p>
    <w:p w14:paraId="0FB684C7" w14:textId="6E86B875" w:rsidR="00D3219C" w:rsidRDefault="00D3219C" w:rsidP="00CD1BCD">
      <w:pPr>
        <w:spacing w:after="0" w:line="240" w:lineRule="auto"/>
        <w:jc w:val="center"/>
        <w:rPr>
          <w:rFonts w:ascii="Times New Roman" w:hAnsi="Times New Roman"/>
          <w:sz w:val="24"/>
        </w:rPr>
      </w:pPr>
      <w:r>
        <w:rPr>
          <w:rFonts w:ascii="Times New Roman" w:hAnsi="Times New Roman"/>
          <w:sz w:val="24"/>
        </w:rPr>
        <w:t>Republic of Latvia</w:t>
      </w:r>
    </w:p>
    <w:p w14:paraId="5A1F579E" w14:textId="77777777" w:rsidR="00D3219C" w:rsidRDefault="00D3219C" w:rsidP="00CD1BCD">
      <w:pPr>
        <w:spacing w:after="0" w:line="240" w:lineRule="auto"/>
        <w:jc w:val="center"/>
        <w:rPr>
          <w:rFonts w:ascii="Times New Roman" w:hAnsi="Times New Roman"/>
          <w:sz w:val="24"/>
        </w:rPr>
      </w:pPr>
    </w:p>
    <w:p w14:paraId="60A39479" w14:textId="6810732C" w:rsidR="00CD1BCD" w:rsidRPr="00CD1BCD" w:rsidRDefault="002F212F" w:rsidP="00CD1BC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6AC4ED02" w14:textId="6535EBCA" w:rsidR="00CD1BCD" w:rsidRPr="00CD1BCD" w:rsidRDefault="002F212F" w:rsidP="00CD1BC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537</w:t>
      </w:r>
    </w:p>
    <w:p w14:paraId="6A7F6261" w14:textId="7C7F4715" w:rsidR="002F212F" w:rsidRPr="002F212F" w:rsidRDefault="002F212F" w:rsidP="00CD1BC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19 November 2019</w:t>
      </w:r>
    </w:p>
    <w:p w14:paraId="04581EEC" w14:textId="77777777" w:rsidR="00CD1BCD" w:rsidRDefault="00CD1BCD" w:rsidP="00CD1BCD">
      <w:pPr>
        <w:spacing w:after="0" w:line="240" w:lineRule="auto"/>
        <w:jc w:val="both"/>
        <w:rPr>
          <w:rFonts w:ascii="Times New Roman" w:eastAsia="Times New Roman" w:hAnsi="Times New Roman" w:cs="Times New Roman"/>
          <w:noProof/>
          <w:sz w:val="24"/>
          <w:szCs w:val="24"/>
          <w:lang w:eastAsia="lv-LV"/>
        </w:rPr>
      </w:pPr>
    </w:p>
    <w:p w14:paraId="77CB3FC2" w14:textId="77777777" w:rsidR="00CD1BCD" w:rsidRDefault="00CD1BCD" w:rsidP="00CD1BCD">
      <w:pPr>
        <w:spacing w:after="0" w:line="240" w:lineRule="auto"/>
        <w:jc w:val="both"/>
        <w:rPr>
          <w:rFonts w:ascii="Times New Roman" w:eastAsia="Times New Roman" w:hAnsi="Times New Roman" w:cs="Times New Roman"/>
          <w:noProof/>
          <w:sz w:val="24"/>
          <w:szCs w:val="24"/>
          <w:lang w:eastAsia="lv-LV"/>
        </w:rPr>
      </w:pPr>
    </w:p>
    <w:p w14:paraId="33EE25C4" w14:textId="43A6F9D5" w:rsidR="002F212F" w:rsidRPr="002F212F" w:rsidRDefault="002F212F" w:rsidP="00CD1BCD">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the Implementation of the Activity “Innovation Centres” of the Programme “Research and Education” of the European Economic Area Financial Mechanism and the Norwegian Financial Mechanism for the Period 2014–2021</w:t>
      </w:r>
    </w:p>
    <w:p w14:paraId="568336C0" w14:textId="77777777" w:rsidR="00CD1BCD" w:rsidRDefault="00CD1BCD" w:rsidP="00CD1BCD">
      <w:pPr>
        <w:spacing w:after="0" w:line="240" w:lineRule="auto"/>
        <w:jc w:val="both"/>
        <w:rPr>
          <w:rFonts w:ascii="Times New Roman" w:eastAsia="Times New Roman" w:hAnsi="Times New Roman" w:cs="Times New Roman"/>
          <w:noProof/>
          <w:sz w:val="24"/>
          <w:szCs w:val="24"/>
          <w:lang w:eastAsia="lv-LV"/>
        </w:rPr>
      </w:pPr>
    </w:p>
    <w:p w14:paraId="3F299FB9" w14:textId="77777777" w:rsidR="00CD1BCD" w:rsidRDefault="00CD1BCD" w:rsidP="00CD1BCD">
      <w:pPr>
        <w:spacing w:after="0" w:line="240" w:lineRule="auto"/>
        <w:jc w:val="both"/>
        <w:rPr>
          <w:rFonts w:ascii="Times New Roman" w:eastAsia="Times New Roman" w:hAnsi="Times New Roman" w:cs="Times New Roman"/>
          <w:noProof/>
          <w:sz w:val="24"/>
          <w:szCs w:val="24"/>
          <w:lang w:eastAsia="lv-LV"/>
        </w:rPr>
      </w:pPr>
    </w:p>
    <w:p w14:paraId="2E8DB09C" w14:textId="4B632B52" w:rsidR="00CD1BCD" w:rsidRPr="00CD1BCD" w:rsidRDefault="002F212F" w:rsidP="00CD1BCD">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522B93B6" w14:textId="69BCD151" w:rsidR="002F212F" w:rsidRPr="00CD1BCD" w:rsidRDefault="002F212F" w:rsidP="00CD1BCD">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15, Clause 12 of the Law on the Management of the European Economic Area Financial Mechanism and the Norwegian Financial Mechanism for the Period 2014–2021</w:t>
      </w:r>
    </w:p>
    <w:p w14:paraId="0BB6FFFF" w14:textId="06879EE0" w:rsidR="00CD1BCD" w:rsidRDefault="00CD1BCD" w:rsidP="00CD1BCD">
      <w:pPr>
        <w:spacing w:after="0" w:line="240" w:lineRule="auto"/>
        <w:jc w:val="both"/>
        <w:rPr>
          <w:rFonts w:ascii="Times New Roman" w:eastAsia="Times New Roman" w:hAnsi="Times New Roman" w:cs="Times New Roman"/>
          <w:noProof/>
          <w:sz w:val="24"/>
          <w:szCs w:val="24"/>
          <w:lang w:eastAsia="lv-LV"/>
        </w:rPr>
      </w:pPr>
    </w:p>
    <w:p w14:paraId="1BE6A48F" w14:textId="77777777" w:rsidR="00CD1BCD" w:rsidRPr="002F212F" w:rsidRDefault="00CD1BCD" w:rsidP="00CD1BCD">
      <w:pPr>
        <w:spacing w:after="0" w:line="240" w:lineRule="auto"/>
        <w:jc w:val="both"/>
        <w:rPr>
          <w:rFonts w:ascii="Times New Roman" w:eastAsia="Times New Roman" w:hAnsi="Times New Roman" w:cs="Times New Roman"/>
          <w:noProof/>
          <w:sz w:val="24"/>
          <w:szCs w:val="24"/>
          <w:lang w:eastAsia="lv-LV"/>
        </w:rPr>
      </w:pPr>
    </w:p>
    <w:p w14:paraId="6CCEA034" w14:textId="7A43C9BA" w:rsidR="002F212F" w:rsidRPr="00CD1BCD" w:rsidRDefault="002F212F" w:rsidP="00CD1BCD">
      <w:pPr>
        <w:spacing w:after="0" w:line="240" w:lineRule="auto"/>
        <w:jc w:val="center"/>
        <w:rPr>
          <w:rFonts w:ascii="Times New Roman" w:eastAsia="Times New Roman" w:hAnsi="Times New Roman" w:cs="Times New Roman"/>
          <w:b/>
          <w:bCs/>
          <w:noProof/>
          <w:sz w:val="24"/>
          <w:szCs w:val="24"/>
        </w:rPr>
      </w:pPr>
      <w:bookmarkStart w:id="0" w:name="n-709189"/>
      <w:bookmarkStart w:id="1" w:name="n1"/>
      <w:bookmarkEnd w:id="0"/>
      <w:bookmarkEnd w:id="1"/>
      <w:r>
        <w:rPr>
          <w:rFonts w:ascii="Times New Roman" w:hAnsi="Times New Roman"/>
          <w:b/>
          <w:sz w:val="24"/>
        </w:rPr>
        <w:t>I. General Provisions</w:t>
      </w:r>
    </w:p>
    <w:p w14:paraId="159EE53A" w14:textId="77777777" w:rsidR="00CD1BCD" w:rsidRPr="002F212F" w:rsidRDefault="00CD1BCD" w:rsidP="00CD1BCD">
      <w:pPr>
        <w:spacing w:after="0" w:line="240" w:lineRule="auto"/>
        <w:jc w:val="both"/>
        <w:rPr>
          <w:rFonts w:ascii="Times New Roman" w:eastAsia="Times New Roman" w:hAnsi="Times New Roman" w:cs="Times New Roman"/>
          <w:noProof/>
          <w:sz w:val="24"/>
          <w:szCs w:val="24"/>
          <w:lang w:eastAsia="lv-LV"/>
        </w:rPr>
      </w:pPr>
    </w:p>
    <w:p w14:paraId="4DE4EB18" w14:textId="77777777" w:rsidR="002F212F" w:rsidRPr="002F212F" w:rsidRDefault="002F212F" w:rsidP="00CD1BCD">
      <w:pPr>
        <w:spacing w:after="0" w:line="240" w:lineRule="auto"/>
        <w:jc w:val="both"/>
        <w:rPr>
          <w:rFonts w:ascii="Times New Roman" w:eastAsia="Times New Roman" w:hAnsi="Times New Roman" w:cs="Times New Roman"/>
          <w:noProof/>
          <w:sz w:val="24"/>
          <w:szCs w:val="24"/>
        </w:rPr>
      </w:pPr>
      <w:bookmarkStart w:id="2" w:name="p-709190"/>
      <w:bookmarkStart w:id="3" w:name="p1"/>
      <w:bookmarkEnd w:id="2"/>
      <w:bookmarkEnd w:id="3"/>
      <w:r>
        <w:rPr>
          <w:rFonts w:ascii="Times New Roman" w:hAnsi="Times New Roman"/>
          <w:sz w:val="24"/>
        </w:rPr>
        <w:t>1. The Regulation prescribes the following in relation to the activity “Innovation Centres” of the programme “Research and Education” of the European Economic Area Financial Mechanism and the Norwegian Financial Mechanism for the Period 2014–2021 (hereinafter – the Programme):</w:t>
      </w:r>
    </w:p>
    <w:p w14:paraId="621BC977" w14:textId="77777777" w:rsidR="002F212F" w:rsidRPr="002F212F" w:rsidRDefault="002F212F" w:rsidP="00CD1B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1.1. the objective, the available financing, and the results to be </w:t>
      </w:r>
      <w:proofErr w:type="gramStart"/>
      <w:r>
        <w:rPr>
          <w:rFonts w:ascii="Times New Roman" w:hAnsi="Times New Roman"/>
          <w:sz w:val="24"/>
        </w:rPr>
        <w:t>achieved;</w:t>
      </w:r>
      <w:proofErr w:type="gramEnd"/>
    </w:p>
    <w:p w14:paraId="5F0CBA96" w14:textId="77777777" w:rsidR="002F212F" w:rsidRPr="002F212F" w:rsidRDefault="002F212F" w:rsidP="00CD1B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1.2. the Programme Operator, the agency and its </w:t>
      </w:r>
      <w:proofErr w:type="gramStart"/>
      <w:r>
        <w:rPr>
          <w:rFonts w:ascii="Times New Roman" w:hAnsi="Times New Roman"/>
          <w:sz w:val="24"/>
        </w:rPr>
        <w:t>obligations;</w:t>
      </w:r>
      <w:proofErr w:type="gramEnd"/>
    </w:p>
    <w:p w14:paraId="065EFCF7" w14:textId="77777777" w:rsidR="002F212F" w:rsidRPr="002F212F" w:rsidRDefault="002F212F" w:rsidP="00CD1B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requirements for the applicant and project partners of the pre-defined project (hereinafter – the project</w:t>
      </w:r>
      <w:proofErr w:type="gramStart"/>
      <w:r>
        <w:rPr>
          <w:rFonts w:ascii="Times New Roman" w:hAnsi="Times New Roman"/>
          <w:sz w:val="24"/>
        </w:rPr>
        <w:t>);</w:t>
      </w:r>
      <w:proofErr w:type="gramEnd"/>
    </w:p>
    <w:p w14:paraId="051B3580" w14:textId="77777777" w:rsidR="002F212F" w:rsidRPr="002F212F" w:rsidRDefault="002F212F" w:rsidP="00CD1B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1.4. the activity to be supported and the conditions for the eligibility of </w:t>
      </w:r>
      <w:proofErr w:type="gramStart"/>
      <w:r>
        <w:rPr>
          <w:rFonts w:ascii="Times New Roman" w:hAnsi="Times New Roman"/>
          <w:sz w:val="24"/>
        </w:rPr>
        <w:t>costs;</w:t>
      </w:r>
      <w:proofErr w:type="gramEnd"/>
    </w:p>
    <w:p w14:paraId="7FE01197" w14:textId="77777777" w:rsidR="002F212F" w:rsidRPr="002F212F" w:rsidRDefault="002F212F" w:rsidP="00CD1B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1.5. the conditions for unilateral notice of termination of a project </w:t>
      </w:r>
      <w:proofErr w:type="gramStart"/>
      <w:r>
        <w:rPr>
          <w:rFonts w:ascii="Times New Roman" w:hAnsi="Times New Roman"/>
          <w:sz w:val="24"/>
        </w:rPr>
        <w:t>agreement;</w:t>
      </w:r>
      <w:proofErr w:type="gramEnd"/>
    </w:p>
    <w:p w14:paraId="520FC07F" w14:textId="77777777" w:rsidR="002F212F" w:rsidRPr="002F212F" w:rsidRDefault="002F212F" w:rsidP="00CD1B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the procedures for the implementation of activities of the bilateral cooperation fund.</w:t>
      </w:r>
    </w:p>
    <w:p w14:paraId="41DFB58D" w14:textId="77777777" w:rsidR="00CD1BCD" w:rsidRDefault="00CD1BCD" w:rsidP="00CD1BCD">
      <w:pPr>
        <w:spacing w:after="0" w:line="240" w:lineRule="auto"/>
        <w:jc w:val="both"/>
        <w:rPr>
          <w:rFonts w:ascii="Times New Roman" w:eastAsia="Times New Roman" w:hAnsi="Times New Roman" w:cs="Times New Roman"/>
          <w:noProof/>
          <w:sz w:val="24"/>
          <w:szCs w:val="24"/>
        </w:rPr>
      </w:pPr>
      <w:bookmarkStart w:id="4" w:name="p-709191"/>
      <w:bookmarkStart w:id="5" w:name="p2"/>
      <w:bookmarkEnd w:id="4"/>
      <w:bookmarkEnd w:id="5"/>
    </w:p>
    <w:p w14:paraId="41589EAE" w14:textId="0BCC90E7" w:rsidR="002F212F" w:rsidRPr="002F212F" w:rsidRDefault="002F212F" w:rsidP="00CD1BC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terms are used in the Regulation:</w:t>
      </w:r>
    </w:p>
    <w:p w14:paraId="7FCC4B2E" w14:textId="77777777" w:rsidR="002F212F" w:rsidRPr="002F212F" w:rsidRDefault="002F212F" w:rsidP="00CD1B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2.1. Programme partners – The Research Council of Norway, The Norwegian Agency for International Cooperation and Quality Enhancement in Higher Education, and the National Agency for International Education Affairs in </w:t>
      </w:r>
      <w:proofErr w:type="gramStart"/>
      <w:r>
        <w:rPr>
          <w:rFonts w:ascii="Times New Roman" w:hAnsi="Times New Roman"/>
          <w:sz w:val="24"/>
        </w:rPr>
        <w:t>Liechtenstein;</w:t>
      </w:r>
      <w:proofErr w:type="gramEnd"/>
    </w:p>
    <w:p w14:paraId="5B6D18F9" w14:textId="77777777" w:rsidR="002F212F" w:rsidRPr="002F212F" w:rsidRDefault="002F212F" w:rsidP="00CD1B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2.2. innovation centre – an entity which promotes the development of knowledge in the fields of science, technology, engineering, mathematics (hereinafter – STEM), the acquisition of skills and the choice of a career in the field of STEM by developing and implementing educational programmes, educational and interactive activities, demonstrations, exhibitions, including also travelling exhibitions, for children of pre-school age, pupils, learners (hereinafter – the </w:t>
      </w:r>
      <w:proofErr w:type="spellStart"/>
      <w:r>
        <w:rPr>
          <w:rFonts w:ascii="Times New Roman" w:hAnsi="Times New Roman"/>
          <w:sz w:val="24"/>
        </w:rPr>
        <w:t>educatees</w:t>
      </w:r>
      <w:proofErr w:type="spellEnd"/>
      <w:r>
        <w:rPr>
          <w:rFonts w:ascii="Times New Roman" w:hAnsi="Times New Roman"/>
          <w:sz w:val="24"/>
        </w:rPr>
        <w:t xml:space="preserve">), and </w:t>
      </w:r>
      <w:proofErr w:type="gramStart"/>
      <w:r>
        <w:rPr>
          <w:rFonts w:ascii="Times New Roman" w:hAnsi="Times New Roman"/>
          <w:sz w:val="24"/>
        </w:rPr>
        <w:t>teachers;</w:t>
      </w:r>
      <w:proofErr w:type="gramEnd"/>
    </w:p>
    <w:p w14:paraId="0363ECA4" w14:textId="77777777" w:rsidR="002F212F" w:rsidRPr="002F212F" w:rsidRDefault="002F212F" w:rsidP="00CD1B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2.3. educational programmes – interest-related education programmes developed and implemented in innovation centres and adult non-formal education programmes which have received a licence in the local </w:t>
      </w:r>
      <w:proofErr w:type="gramStart"/>
      <w:r>
        <w:rPr>
          <w:rFonts w:ascii="Times New Roman" w:hAnsi="Times New Roman"/>
          <w:sz w:val="24"/>
        </w:rPr>
        <w:t>government;</w:t>
      </w:r>
      <w:proofErr w:type="gramEnd"/>
    </w:p>
    <w:p w14:paraId="2B79FD70" w14:textId="77777777" w:rsidR="002F212F" w:rsidRPr="002F212F" w:rsidRDefault="002F212F" w:rsidP="00CD1B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2.4. makerspace – a collective room of an innovation centre in which the </w:t>
      </w:r>
      <w:proofErr w:type="spellStart"/>
      <w:r>
        <w:rPr>
          <w:rFonts w:ascii="Times New Roman" w:hAnsi="Times New Roman"/>
          <w:sz w:val="24"/>
        </w:rPr>
        <w:t>educatees</w:t>
      </w:r>
      <w:proofErr w:type="spellEnd"/>
      <w:r>
        <w:rPr>
          <w:rFonts w:ascii="Times New Roman" w:hAnsi="Times New Roman"/>
          <w:sz w:val="24"/>
        </w:rPr>
        <w:t xml:space="preserve"> and teachers jointly or individually acquire, develop, and expand knowledge, including also experiment with new ideas in order to acquire skills, exchange ideas, knowledge, and skills, and also develop and implement projects, using portable equipment and </w:t>
      </w:r>
      <w:proofErr w:type="gramStart"/>
      <w:r>
        <w:rPr>
          <w:rFonts w:ascii="Times New Roman" w:hAnsi="Times New Roman"/>
          <w:sz w:val="24"/>
        </w:rPr>
        <w:t>materials;</w:t>
      </w:r>
      <w:proofErr w:type="gramEnd"/>
    </w:p>
    <w:p w14:paraId="01FC6B76" w14:textId="77777777" w:rsidR="002F212F" w:rsidRPr="002F212F" w:rsidRDefault="002F212F" w:rsidP="00CD1B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2.5. maker laboratory – a collective laboratory of an innovation centre in which the </w:t>
      </w:r>
      <w:proofErr w:type="spellStart"/>
      <w:r>
        <w:rPr>
          <w:rFonts w:ascii="Times New Roman" w:hAnsi="Times New Roman"/>
          <w:sz w:val="24"/>
        </w:rPr>
        <w:t>educatees</w:t>
      </w:r>
      <w:proofErr w:type="spellEnd"/>
      <w:r>
        <w:rPr>
          <w:rFonts w:ascii="Times New Roman" w:hAnsi="Times New Roman"/>
          <w:sz w:val="24"/>
        </w:rPr>
        <w:t xml:space="preserve"> and teachers, by using materials and portable equipment, experiment and try different solutions for ideas in the field of STEM, acquiring, developing, and expanding knowledge and </w:t>
      </w:r>
      <w:proofErr w:type="gramStart"/>
      <w:r>
        <w:rPr>
          <w:rFonts w:ascii="Times New Roman" w:hAnsi="Times New Roman"/>
          <w:sz w:val="24"/>
        </w:rPr>
        <w:t>skills;</w:t>
      </w:r>
      <w:proofErr w:type="gramEnd"/>
    </w:p>
    <w:p w14:paraId="4BB34311" w14:textId="77777777" w:rsidR="002F212F" w:rsidRPr="002F212F" w:rsidRDefault="002F212F" w:rsidP="00CD1B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 portable equipment – the demonstration devices, facilities, or installations which are necessary for the educational measures of the thematic specialisation field of the innovation centre specified in Paragraph 5 of this Regulation and which has been purchased or made and used for educational activities inside and outside the premises of the innovation centre. For this purpose, the facility may be assembled and built in the innovation centre provided that the facility conforms to the objective of the Programme and the project and is necessary for the implementation of the planned activities of the project.</w:t>
      </w:r>
    </w:p>
    <w:p w14:paraId="5510AF31" w14:textId="77777777" w:rsidR="00CD1BCD" w:rsidRDefault="00CD1BCD" w:rsidP="00CD1BCD">
      <w:pPr>
        <w:spacing w:after="0" w:line="240" w:lineRule="auto"/>
        <w:jc w:val="both"/>
        <w:rPr>
          <w:rFonts w:ascii="Times New Roman" w:eastAsia="Times New Roman" w:hAnsi="Times New Roman" w:cs="Times New Roman"/>
          <w:noProof/>
          <w:sz w:val="24"/>
          <w:szCs w:val="24"/>
        </w:rPr>
      </w:pPr>
      <w:bookmarkStart w:id="6" w:name="p-709192"/>
      <w:bookmarkStart w:id="7" w:name="p3"/>
      <w:bookmarkEnd w:id="6"/>
      <w:bookmarkEnd w:id="7"/>
    </w:p>
    <w:p w14:paraId="3720BBAB" w14:textId="56F3765D" w:rsidR="002F212F" w:rsidRPr="002F212F" w:rsidRDefault="002F212F" w:rsidP="00CD1BC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objective of the Programme is to promote the development of knowledge and the choice of a career in the field of STEM by creating innovation centres in bilateral cooperation in which educational programmes, workshops, makerspaces, maker laboratories, and other interactive measures in the field of STEM are developed and implemented for the </w:t>
      </w:r>
      <w:proofErr w:type="spellStart"/>
      <w:r>
        <w:rPr>
          <w:rFonts w:ascii="Times New Roman" w:hAnsi="Times New Roman"/>
          <w:sz w:val="24"/>
        </w:rPr>
        <w:t>educatees</w:t>
      </w:r>
      <w:proofErr w:type="spellEnd"/>
      <w:r>
        <w:rPr>
          <w:rFonts w:ascii="Times New Roman" w:hAnsi="Times New Roman"/>
          <w:sz w:val="24"/>
        </w:rPr>
        <w:t xml:space="preserve"> and teachers. The results and outcomes to be achieved by the objective of the Programme, their indicators, sources of inspection, and frequency of the provision of reports are indicated in Annex to this Regulation.</w:t>
      </w:r>
    </w:p>
    <w:p w14:paraId="2EA0A69F" w14:textId="77777777" w:rsidR="00D84CFD" w:rsidRDefault="00D84CFD" w:rsidP="00CD1BCD">
      <w:pPr>
        <w:spacing w:after="0" w:line="240" w:lineRule="auto"/>
        <w:jc w:val="both"/>
        <w:rPr>
          <w:rFonts w:ascii="Times New Roman" w:eastAsia="Times New Roman" w:hAnsi="Times New Roman" w:cs="Times New Roman"/>
          <w:noProof/>
          <w:sz w:val="24"/>
          <w:szCs w:val="24"/>
        </w:rPr>
      </w:pPr>
      <w:bookmarkStart w:id="8" w:name="p-709193"/>
      <w:bookmarkStart w:id="9" w:name="p4"/>
      <w:bookmarkEnd w:id="8"/>
      <w:bookmarkEnd w:id="9"/>
    </w:p>
    <w:p w14:paraId="7DCC6D74" w14:textId="5C5B1E27" w:rsidR="002F212F" w:rsidRPr="002F212F" w:rsidRDefault="002F212F" w:rsidP="00CD1BC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programme shall be implemented in the form of projects. The project applicants shall be:</w:t>
      </w:r>
    </w:p>
    <w:p w14:paraId="268FEF48"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4.1. </w:t>
      </w:r>
      <w:proofErr w:type="spellStart"/>
      <w:r>
        <w:rPr>
          <w:rFonts w:ascii="Times New Roman" w:hAnsi="Times New Roman"/>
          <w:sz w:val="24"/>
        </w:rPr>
        <w:t>Cēsis</w:t>
      </w:r>
      <w:proofErr w:type="spellEnd"/>
      <w:r>
        <w:rPr>
          <w:rFonts w:ascii="Times New Roman" w:hAnsi="Times New Roman"/>
          <w:sz w:val="24"/>
        </w:rPr>
        <w:t xml:space="preserve"> municipality local </w:t>
      </w:r>
      <w:proofErr w:type="gramStart"/>
      <w:r>
        <w:rPr>
          <w:rFonts w:ascii="Times New Roman" w:hAnsi="Times New Roman"/>
          <w:sz w:val="24"/>
        </w:rPr>
        <w:t>government;</w:t>
      </w:r>
      <w:proofErr w:type="gramEnd"/>
    </w:p>
    <w:p w14:paraId="7ADB659C"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4.2. Daugavpils city local </w:t>
      </w:r>
      <w:proofErr w:type="gramStart"/>
      <w:r>
        <w:rPr>
          <w:rFonts w:ascii="Times New Roman" w:hAnsi="Times New Roman"/>
          <w:sz w:val="24"/>
        </w:rPr>
        <w:t>government;</w:t>
      </w:r>
      <w:proofErr w:type="gramEnd"/>
    </w:p>
    <w:p w14:paraId="4DD60450"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4.3. </w:t>
      </w:r>
      <w:proofErr w:type="spellStart"/>
      <w:r>
        <w:rPr>
          <w:rFonts w:ascii="Times New Roman" w:hAnsi="Times New Roman"/>
          <w:sz w:val="24"/>
        </w:rPr>
        <w:t>Liepāja</w:t>
      </w:r>
      <w:proofErr w:type="spellEnd"/>
      <w:r>
        <w:rPr>
          <w:rFonts w:ascii="Times New Roman" w:hAnsi="Times New Roman"/>
          <w:sz w:val="24"/>
        </w:rPr>
        <w:t xml:space="preserve"> city local </w:t>
      </w:r>
      <w:proofErr w:type="gramStart"/>
      <w:r>
        <w:rPr>
          <w:rFonts w:ascii="Times New Roman" w:hAnsi="Times New Roman"/>
          <w:sz w:val="24"/>
        </w:rPr>
        <w:t>government;</w:t>
      </w:r>
      <w:proofErr w:type="gramEnd"/>
    </w:p>
    <w:p w14:paraId="2670479B"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4.4. </w:t>
      </w:r>
      <w:proofErr w:type="spellStart"/>
      <w:r>
        <w:rPr>
          <w:rFonts w:ascii="Times New Roman" w:hAnsi="Times New Roman"/>
          <w:sz w:val="24"/>
        </w:rPr>
        <w:t>Ventspils</w:t>
      </w:r>
      <w:proofErr w:type="spellEnd"/>
      <w:r>
        <w:rPr>
          <w:rFonts w:ascii="Times New Roman" w:hAnsi="Times New Roman"/>
          <w:sz w:val="24"/>
        </w:rPr>
        <w:t xml:space="preserve"> city local government.</w:t>
      </w:r>
    </w:p>
    <w:p w14:paraId="7546091F" w14:textId="77777777" w:rsidR="00D84CFD" w:rsidRDefault="00D84CFD" w:rsidP="00CD1BCD">
      <w:pPr>
        <w:spacing w:after="0" w:line="240" w:lineRule="auto"/>
        <w:jc w:val="both"/>
        <w:rPr>
          <w:rFonts w:ascii="Times New Roman" w:eastAsia="Times New Roman" w:hAnsi="Times New Roman" w:cs="Times New Roman"/>
          <w:noProof/>
          <w:sz w:val="24"/>
          <w:szCs w:val="24"/>
        </w:rPr>
      </w:pPr>
      <w:bookmarkStart w:id="10" w:name="p-709194"/>
      <w:bookmarkStart w:id="11" w:name="p5"/>
      <w:bookmarkEnd w:id="10"/>
      <w:bookmarkEnd w:id="11"/>
    </w:p>
    <w:p w14:paraId="3C77D748" w14:textId="6424DD2E" w:rsidR="002F212F" w:rsidRPr="002F212F" w:rsidRDefault="002F212F" w:rsidP="00CD1BC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project applicants referred to in Paragraph 4 of this Regulation shall submit projects in the following thematic specialisation fields of innovation centres:</w:t>
      </w:r>
    </w:p>
    <w:p w14:paraId="5C8AB40E"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5.1. </w:t>
      </w:r>
      <w:proofErr w:type="spellStart"/>
      <w:r>
        <w:rPr>
          <w:rFonts w:ascii="Times New Roman" w:hAnsi="Times New Roman"/>
          <w:sz w:val="24"/>
        </w:rPr>
        <w:t>Cēsis</w:t>
      </w:r>
      <w:proofErr w:type="spellEnd"/>
      <w:r>
        <w:rPr>
          <w:rFonts w:ascii="Times New Roman" w:hAnsi="Times New Roman"/>
          <w:sz w:val="24"/>
        </w:rPr>
        <w:t xml:space="preserve"> municipality local government – in the field of </w:t>
      </w:r>
      <w:proofErr w:type="gramStart"/>
      <w:r>
        <w:rPr>
          <w:rFonts w:ascii="Times New Roman" w:hAnsi="Times New Roman"/>
          <w:sz w:val="24"/>
        </w:rPr>
        <w:t>space;</w:t>
      </w:r>
      <w:proofErr w:type="gramEnd"/>
    </w:p>
    <w:p w14:paraId="502A6131"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5.2. Daugavpils city local government – in the development of entrepreneurship and career in the field of </w:t>
      </w:r>
      <w:proofErr w:type="gramStart"/>
      <w:r>
        <w:rPr>
          <w:rFonts w:ascii="Times New Roman" w:hAnsi="Times New Roman"/>
          <w:sz w:val="24"/>
        </w:rPr>
        <w:t>STEM;</w:t>
      </w:r>
      <w:proofErr w:type="gramEnd"/>
    </w:p>
    <w:p w14:paraId="04DF620E"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5.3. </w:t>
      </w:r>
      <w:proofErr w:type="spellStart"/>
      <w:r>
        <w:rPr>
          <w:rFonts w:ascii="Times New Roman" w:hAnsi="Times New Roman"/>
          <w:sz w:val="24"/>
        </w:rPr>
        <w:t>Liepāja</w:t>
      </w:r>
      <w:proofErr w:type="spellEnd"/>
      <w:r>
        <w:rPr>
          <w:rFonts w:ascii="Times New Roman" w:hAnsi="Times New Roman"/>
          <w:sz w:val="24"/>
        </w:rPr>
        <w:t xml:space="preserve"> city local government – in the field of environmental </w:t>
      </w:r>
      <w:proofErr w:type="gramStart"/>
      <w:r>
        <w:rPr>
          <w:rFonts w:ascii="Times New Roman" w:hAnsi="Times New Roman"/>
          <w:sz w:val="24"/>
        </w:rPr>
        <w:t>science;</w:t>
      </w:r>
      <w:proofErr w:type="gramEnd"/>
    </w:p>
    <w:p w14:paraId="08C170FB"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5.4. </w:t>
      </w:r>
      <w:proofErr w:type="spellStart"/>
      <w:r>
        <w:rPr>
          <w:rFonts w:ascii="Times New Roman" w:hAnsi="Times New Roman"/>
          <w:sz w:val="24"/>
        </w:rPr>
        <w:t>Ventspils</w:t>
      </w:r>
      <w:proofErr w:type="spellEnd"/>
      <w:r>
        <w:rPr>
          <w:rFonts w:ascii="Times New Roman" w:hAnsi="Times New Roman"/>
          <w:sz w:val="24"/>
        </w:rPr>
        <w:t xml:space="preserve"> city local government – in the fields of natural sciences and information and communication technologies.</w:t>
      </w:r>
    </w:p>
    <w:p w14:paraId="0CA2EBC9" w14:textId="77777777" w:rsidR="00D84CFD" w:rsidRDefault="00D84CFD" w:rsidP="00CD1BCD">
      <w:pPr>
        <w:spacing w:after="0" w:line="240" w:lineRule="auto"/>
        <w:jc w:val="both"/>
        <w:rPr>
          <w:rFonts w:ascii="Times New Roman" w:eastAsia="Times New Roman" w:hAnsi="Times New Roman" w:cs="Times New Roman"/>
          <w:noProof/>
          <w:sz w:val="24"/>
          <w:szCs w:val="24"/>
        </w:rPr>
      </w:pPr>
      <w:bookmarkStart w:id="12" w:name="p-709195"/>
      <w:bookmarkStart w:id="13" w:name="p6"/>
      <w:bookmarkEnd w:id="12"/>
      <w:bookmarkEnd w:id="13"/>
    </w:p>
    <w:p w14:paraId="00180203" w14:textId="4184544D" w:rsidR="002F212F" w:rsidRPr="002F212F" w:rsidRDefault="002F212F" w:rsidP="00CD1BC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project partners shall be:</w:t>
      </w:r>
    </w:p>
    <w:p w14:paraId="3411E2BD"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 the project partners of the donor state:</w:t>
      </w:r>
    </w:p>
    <w:p w14:paraId="2D34489A" w14:textId="77777777" w:rsidR="002F212F" w:rsidRPr="002F212F" w:rsidRDefault="002F212F" w:rsidP="00D84CF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6.1.1. for the project applicant referred to in Sub-paragraph 4.1 of this Regulation – </w:t>
      </w:r>
      <w:proofErr w:type="spellStart"/>
      <w:r>
        <w:rPr>
          <w:rFonts w:ascii="Times New Roman" w:hAnsi="Times New Roman"/>
          <w:sz w:val="24"/>
        </w:rPr>
        <w:t>Andøya</w:t>
      </w:r>
      <w:proofErr w:type="spellEnd"/>
      <w:r>
        <w:rPr>
          <w:rFonts w:ascii="Times New Roman" w:hAnsi="Times New Roman"/>
          <w:sz w:val="24"/>
        </w:rPr>
        <w:t xml:space="preserve"> Space Centre </w:t>
      </w:r>
      <w:proofErr w:type="gramStart"/>
      <w:r>
        <w:rPr>
          <w:rFonts w:ascii="Times New Roman" w:hAnsi="Times New Roman"/>
          <w:sz w:val="24"/>
        </w:rPr>
        <w:t>NAROM;</w:t>
      </w:r>
      <w:proofErr w:type="gramEnd"/>
    </w:p>
    <w:p w14:paraId="49D1F830" w14:textId="77777777" w:rsidR="002F212F" w:rsidRPr="002F212F" w:rsidRDefault="002F212F" w:rsidP="00D84CF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6.1.2. for the project applicant referred to in Sub-paragraph 4.2 of this Regulation – Trondheim Science </w:t>
      </w:r>
      <w:proofErr w:type="gramStart"/>
      <w:r>
        <w:rPr>
          <w:rFonts w:ascii="Times New Roman" w:hAnsi="Times New Roman"/>
          <w:sz w:val="24"/>
        </w:rPr>
        <w:t>Centre;</w:t>
      </w:r>
      <w:proofErr w:type="gramEnd"/>
    </w:p>
    <w:p w14:paraId="172B24C7" w14:textId="77777777" w:rsidR="002F212F" w:rsidRPr="002F212F" w:rsidRDefault="002F212F" w:rsidP="00D84CF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6.1.3. for the project applicant referred to in Sub-paragraph 4.3 of this Regulation – Trondheim Science Centre and </w:t>
      </w:r>
      <w:proofErr w:type="spellStart"/>
      <w:r>
        <w:rPr>
          <w:rFonts w:ascii="Times New Roman" w:hAnsi="Times New Roman"/>
          <w:sz w:val="24"/>
        </w:rPr>
        <w:t>Nærbø</w:t>
      </w:r>
      <w:proofErr w:type="spellEnd"/>
      <w:r>
        <w:rPr>
          <w:rFonts w:ascii="Times New Roman" w:hAnsi="Times New Roman"/>
          <w:sz w:val="24"/>
        </w:rPr>
        <w:t xml:space="preserve"> travelling science centre “Science Circus</w:t>
      </w:r>
      <w:proofErr w:type="gramStart"/>
      <w:r>
        <w:rPr>
          <w:rFonts w:ascii="Times New Roman" w:hAnsi="Times New Roman"/>
          <w:sz w:val="24"/>
        </w:rPr>
        <w:t>”;</w:t>
      </w:r>
      <w:proofErr w:type="gramEnd"/>
    </w:p>
    <w:p w14:paraId="6D2EA9E0" w14:textId="77777777" w:rsidR="002F212F" w:rsidRPr="002F212F" w:rsidRDefault="002F212F" w:rsidP="00D84CF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6.1.4. for the project applicant referred to in Sub-paragraph 4.4 of this Regulation – Bergen Science Centre “</w:t>
      </w:r>
      <w:proofErr w:type="spellStart"/>
      <w:r>
        <w:rPr>
          <w:rFonts w:ascii="Times New Roman" w:hAnsi="Times New Roman"/>
          <w:sz w:val="24"/>
        </w:rPr>
        <w:t>VilVite</w:t>
      </w:r>
      <w:proofErr w:type="spellEnd"/>
      <w:proofErr w:type="gramStart"/>
      <w:r>
        <w:rPr>
          <w:rFonts w:ascii="Times New Roman" w:hAnsi="Times New Roman"/>
          <w:sz w:val="24"/>
        </w:rPr>
        <w:t>”;</w:t>
      </w:r>
      <w:proofErr w:type="gramEnd"/>
    </w:p>
    <w:p w14:paraId="3237F06F"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 Latvian project partners:</w:t>
      </w:r>
    </w:p>
    <w:p w14:paraId="270FA81E" w14:textId="77777777" w:rsidR="002F212F" w:rsidRPr="002F212F" w:rsidRDefault="002F212F" w:rsidP="00D84CF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6.2.1. for the project applicant referred to in Sub-paragraph 4.1 of this Regulation – Riga Technical </w:t>
      </w:r>
      <w:proofErr w:type="gramStart"/>
      <w:r>
        <w:rPr>
          <w:rFonts w:ascii="Times New Roman" w:hAnsi="Times New Roman"/>
          <w:sz w:val="24"/>
        </w:rPr>
        <w:t>University;</w:t>
      </w:r>
      <w:proofErr w:type="gramEnd"/>
    </w:p>
    <w:p w14:paraId="1EB15FEA" w14:textId="77777777" w:rsidR="002F212F" w:rsidRPr="002F212F" w:rsidRDefault="002F212F" w:rsidP="00D84CF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6.2.2. for the project applicant referred to in Sub-paragraph 4.2 of this Regulation – Daugavpils </w:t>
      </w:r>
      <w:proofErr w:type="gramStart"/>
      <w:r>
        <w:rPr>
          <w:rFonts w:ascii="Times New Roman" w:hAnsi="Times New Roman"/>
          <w:sz w:val="24"/>
        </w:rPr>
        <w:t>University;</w:t>
      </w:r>
      <w:proofErr w:type="gramEnd"/>
    </w:p>
    <w:p w14:paraId="15B965C2" w14:textId="77777777" w:rsidR="002F212F" w:rsidRPr="002F212F" w:rsidRDefault="002F212F" w:rsidP="00D84CF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6.2.3. for the project applicant referred to in Sub-paragraph 4.3 of this Regulation – </w:t>
      </w:r>
      <w:proofErr w:type="spellStart"/>
      <w:r>
        <w:rPr>
          <w:rFonts w:ascii="Times New Roman" w:hAnsi="Times New Roman"/>
          <w:sz w:val="24"/>
        </w:rPr>
        <w:t>Liepāja</w:t>
      </w:r>
      <w:proofErr w:type="spellEnd"/>
      <w:r>
        <w:rPr>
          <w:rFonts w:ascii="Times New Roman" w:hAnsi="Times New Roman"/>
          <w:sz w:val="24"/>
        </w:rPr>
        <w:t xml:space="preserve"> </w:t>
      </w:r>
      <w:proofErr w:type="gramStart"/>
      <w:r>
        <w:rPr>
          <w:rFonts w:ascii="Times New Roman" w:hAnsi="Times New Roman"/>
          <w:sz w:val="24"/>
        </w:rPr>
        <w:t>University;</w:t>
      </w:r>
      <w:proofErr w:type="gramEnd"/>
    </w:p>
    <w:p w14:paraId="04817D7A" w14:textId="77777777" w:rsidR="002F212F" w:rsidRPr="002F212F" w:rsidRDefault="002F212F" w:rsidP="00D84CF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6.2.4. for the project applicant referred to in Sub-paragraph 4.4 of this Regulation – </w:t>
      </w:r>
      <w:proofErr w:type="spellStart"/>
      <w:r>
        <w:rPr>
          <w:rFonts w:ascii="Times New Roman" w:hAnsi="Times New Roman"/>
          <w:sz w:val="24"/>
        </w:rPr>
        <w:t>Ventspils</w:t>
      </w:r>
      <w:proofErr w:type="spellEnd"/>
      <w:r>
        <w:rPr>
          <w:rFonts w:ascii="Times New Roman" w:hAnsi="Times New Roman"/>
          <w:sz w:val="24"/>
        </w:rPr>
        <w:t xml:space="preserve"> University of Applied Sciences.</w:t>
      </w:r>
    </w:p>
    <w:p w14:paraId="647F522C" w14:textId="77777777" w:rsidR="00D84CFD" w:rsidRDefault="00D84CFD" w:rsidP="00CD1BCD">
      <w:pPr>
        <w:spacing w:after="0" w:line="240" w:lineRule="auto"/>
        <w:jc w:val="both"/>
        <w:rPr>
          <w:rFonts w:ascii="Times New Roman" w:eastAsia="Times New Roman" w:hAnsi="Times New Roman" w:cs="Times New Roman"/>
          <w:noProof/>
          <w:sz w:val="24"/>
          <w:szCs w:val="24"/>
        </w:rPr>
      </w:pPr>
      <w:bookmarkStart w:id="14" w:name="p-709196"/>
      <w:bookmarkStart w:id="15" w:name="p7"/>
      <w:bookmarkEnd w:id="14"/>
      <w:bookmarkEnd w:id="15"/>
    </w:p>
    <w:p w14:paraId="76B7550F" w14:textId="014C3AFB" w:rsidR="002F212F" w:rsidRPr="002F212F" w:rsidRDefault="002F212F" w:rsidP="00CD1BC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Programme Operator shall be the Ministry of Education and Science.</w:t>
      </w:r>
    </w:p>
    <w:p w14:paraId="6E43D415" w14:textId="77777777" w:rsidR="00D84CFD" w:rsidRDefault="00D84CFD" w:rsidP="00CD1BCD">
      <w:pPr>
        <w:spacing w:after="0" w:line="240" w:lineRule="auto"/>
        <w:jc w:val="both"/>
        <w:rPr>
          <w:rFonts w:ascii="Times New Roman" w:eastAsia="Times New Roman" w:hAnsi="Times New Roman" w:cs="Times New Roman"/>
          <w:noProof/>
          <w:sz w:val="24"/>
          <w:szCs w:val="24"/>
        </w:rPr>
      </w:pPr>
      <w:bookmarkStart w:id="16" w:name="p-709197"/>
      <w:bookmarkStart w:id="17" w:name="p8"/>
      <w:bookmarkEnd w:id="16"/>
      <w:bookmarkEnd w:id="17"/>
    </w:p>
    <w:p w14:paraId="724712F0" w14:textId="03805B86" w:rsidR="002F212F" w:rsidRPr="002F212F" w:rsidRDefault="002F212F" w:rsidP="00CD1BC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Within the scope of the Programme, the functions of the agency shall be fulfilled by the State Education Development Agency (hereinafter – the Agency).</w:t>
      </w:r>
    </w:p>
    <w:p w14:paraId="558F618E" w14:textId="77777777" w:rsidR="00D84CFD" w:rsidRDefault="00D84CFD" w:rsidP="00CD1BCD">
      <w:pPr>
        <w:spacing w:after="0" w:line="240" w:lineRule="auto"/>
        <w:jc w:val="both"/>
        <w:rPr>
          <w:rFonts w:ascii="Times New Roman" w:eastAsia="Times New Roman" w:hAnsi="Times New Roman" w:cs="Times New Roman"/>
          <w:noProof/>
          <w:sz w:val="24"/>
          <w:szCs w:val="24"/>
        </w:rPr>
      </w:pPr>
      <w:bookmarkStart w:id="18" w:name="p-765269"/>
      <w:bookmarkStart w:id="19" w:name="p9"/>
      <w:bookmarkEnd w:id="18"/>
      <w:bookmarkEnd w:id="19"/>
    </w:p>
    <w:p w14:paraId="2BAE7002" w14:textId="409CAC6B" w:rsidR="002F212F" w:rsidRPr="002F212F" w:rsidRDefault="002F212F" w:rsidP="00CD1BC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Agency shall:</w:t>
      </w:r>
    </w:p>
    <w:p w14:paraId="5E0BC914"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9.1. develop the regulations for the assessment of projects (hereinafter – the assessment regulations) which shall be coordinated with the Programme Operator prior to </w:t>
      </w:r>
      <w:proofErr w:type="gramStart"/>
      <w:r>
        <w:rPr>
          <w:rFonts w:ascii="Times New Roman" w:hAnsi="Times New Roman"/>
          <w:sz w:val="24"/>
        </w:rPr>
        <w:t>approval;</w:t>
      </w:r>
      <w:proofErr w:type="gramEnd"/>
    </w:p>
    <w:p w14:paraId="052DE1A1"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9.2. create a committee for the assessment of projects (hereinafter – the assessment committee</w:t>
      </w:r>
      <w:proofErr w:type="gramStart"/>
      <w:r>
        <w:rPr>
          <w:rFonts w:ascii="Times New Roman" w:hAnsi="Times New Roman"/>
          <w:sz w:val="24"/>
        </w:rPr>
        <w:t>);</w:t>
      </w:r>
      <w:proofErr w:type="gramEnd"/>
    </w:p>
    <w:p w14:paraId="4C359D67"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9.3. evaluate the project and provide a positive or negative opinion or an opinion with a condition, control the fulfilment of the conditions, and notify the project applicant of their </w:t>
      </w:r>
      <w:proofErr w:type="gramStart"/>
      <w:r>
        <w:rPr>
          <w:rFonts w:ascii="Times New Roman" w:hAnsi="Times New Roman"/>
          <w:sz w:val="24"/>
        </w:rPr>
        <w:t>fulfilment;</w:t>
      </w:r>
      <w:proofErr w:type="gramEnd"/>
    </w:p>
    <w:p w14:paraId="3FE44FEF"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9.4. enter into the project agreement with the beneficiary of co-</w:t>
      </w:r>
      <w:proofErr w:type="gramStart"/>
      <w:r>
        <w:rPr>
          <w:rFonts w:ascii="Times New Roman" w:hAnsi="Times New Roman"/>
          <w:sz w:val="24"/>
        </w:rPr>
        <w:t>financing;</w:t>
      </w:r>
      <w:proofErr w:type="gramEnd"/>
    </w:p>
    <w:p w14:paraId="34DB63A9"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9.5. perform the supervision and control of the project implementation, including perform inspections at the sites where such project is </w:t>
      </w:r>
      <w:proofErr w:type="gramStart"/>
      <w:r>
        <w:rPr>
          <w:rFonts w:ascii="Times New Roman" w:hAnsi="Times New Roman"/>
          <w:sz w:val="24"/>
        </w:rPr>
        <w:t>implemented;</w:t>
      </w:r>
      <w:proofErr w:type="gramEnd"/>
    </w:p>
    <w:p w14:paraId="5F8B0A15"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9.6. during the depreciation period of investments made into the project, perform the supervision once a year, </w:t>
      </w:r>
      <w:proofErr w:type="gramStart"/>
      <w:r>
        <w:rPr>
          <w:rFonts w:ascii="Times New Roman" w:hAnsi="Times New Roman"/>
          <w:sz w:val="24"/>
        </w:rPr>
        <w:t>and also</w:t>
      </w:r>
      <w:proofErr w:type="gramEnd"/>
      <w:r>
        <w:rPr>
          <w:rFonts w:ascii="Times New Roman" w:hAnsi="Times New Roman"/>
          <w:sz w:val="24"/>
        </w:rPr>
        <w:t xml:space="preserve"> perform the supervision of the preservation and sustainability of the results of the project.</w:t>
      </w:r>
    </w:p>
    <w:p w14:paraId="740EB09A" w14:textId="77777777" w:rsidR="002F212F" w:rsidRPr="002F212F" w:rsidRDefault="002F212F" w:rsidP="00CD1BC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w:t>
      </w:r>
      <w:r>
        <w:rPr>
          <w:rFonts w:ascii="Times New Roman" w:hAnsi="Times New Roman"/>
          <w:sz w:val="24"/>
        </w:rPr>
        <w:t>]</w:t>
      </w:r>
    </w:p>
    <w:p w14:paraId="728FFF9D" w14:textId="77777777" w:rsidR="00D84CFD" w:rsidRDefault="00D84CFD" w:rsidP="00CD1BCD">
      <w:pPr>
        <w:spacing w:after="0" w:line="240" w:lineRule="auto"/>
        <w:jc w:val="both"/>
        <w:rPr>
          <w:rFonts w:ascii="Times New Roman" w:eastAsia="Times New Roman" w:hAnsi="Times New Roman" w:cs="Times New Roman"/>
          <w:noProof/>
          <w:sz w:val="24"/>
          <w:szCs w:val="24"/>
        </w:rPr>
      </w:pPr>
      <w:bookmarkStart w:id="20" w:name="p-709199"/>
      <w:bookmarkStart w:id="21" w:name="p10"/>
      <w:bookmarkEnd w:id="20"/>
      <w:bookmarkEnd w:id="21"/>
    </w:p>
    <w:p w14:paraId="7299F024" w14:textId="789E78DF" w:rsidR="002F212F" w:rsidRPr="002F212F" w:rsidRDefault="002F212F" w:rsidP="00CD1BC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start date of the eligibility period of expenditures of the project shall be the day when the Focal Point notifies the Norwegian Ministry of Foreign Affairs of a positive opinion of the Agency. The Agency shall, within two working days after receipt of information from the Focal Point, inform the project applicant of the start of the eligibility period of the project via electronic mail. The end date of the eligibility period of expenditures of the project shall be determined in the project agreement.</w:t>
      </w:r>
    </w:p>
    <w:p w14:paraId="60DAD7AA" w14:textId="77777777" w:rsidR="00D84CFD" w:rsidRDefault="00D84CFD" w:rsidP="00CD1BCD">
      <w:pPr>
        <w:spacing w:after="0" w:line="240" w:lineRule="auto"/>
        <w:jc w:val="both"/>
        <w:rPr>
          <w:rFonts w:ascii="Times New Roman" w:eastAsia="Times New Roman" w:hAnsi="Times New Roman" w:cs="Times New Roman"/>
          <w:noProof/>
          <w:sz w:val="24"/>
          <w:szCs w:val="24"/>
        </w:rPr>
      </w:pPr>
      <w:bookmarkStart w:id="22" w:name="p-709200"/>
      <w:bookmarkStart w:id="23" w:name="p11"/>
      <w:bookmarkEnd w:id="22"/>
      <w:bookmarkEnd w:id="23"/>
    </w:p>
    <w:p w14:paraId="169E7A02" w14:textId="59A9C441" w:rsidR="002F212F" w:rsidRPr="002F212F" w:rsidRDefault="002F212F" w:rsidP="00CD1BC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total available financing of the Programme shall be EUR 7 058 824 (hereinafter – the Programme financing) from which the co-financing from the State budget shall be 15 per cent or EUR 1 058 824 and the co-financing of the Norwegian Financial Mechanism shall be 85 per cent or EUR 6 000 000.</w:t>
      </w:r>
    </w:p>
    <w:p w14:paraId="67F97FD3" w14:textId="77777777" w:rsidR="00D84CFD" w:rsidRDefault="00D84CFD" w:rsidP="00CD1BCD">
      <w:pPr>
        <w:spacing w:after="0" w:line="240" w:lineRule="auto"/>
        <w:jc w:val="both"/>
        <w:rPr>
          <w:rFonts w:ascii="Times New Roman" w:eastAsia="Times New Roman" w:hAnsi="Times New Roman" w:cs="Times New Roman"/>
          <w:noProof/>
          <w:sz w:val="24"/>
          <w:szCs w:val="24"/>
        </w:rPr>
      </w:pPr>
      <w:bookmarkStart w:id="24" w:name="p-709201"/>
      <w:bookmarkStart w:id="25" w:name="p12"/>
      <w:bookmarkEnd w:id="24"/>
      <w:bookmarkEnd w:id="25"/>
    </w:p>
    <w:p w14:paraId="58BB6BFA" w14:textId="0B481926" w:rsidR="002F212F" w:rsidRPr="002F212F" w:rsidRDefault="002F212F" w:rsidP="00CD1BC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division of the Programme financing shall be as follows:</w:t>
      </w:r>
    </w:p>
    <w:p w14:paraId="292A3A13"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12.1. for administrative expenditures of the Programme – EUR 618 256 from which the co-financing from the State budget shall be 15 per cent or EUR 92 739 and the co-financing of the Norwegian Financial Mechanism shall be 85 per cent or EUR </w:t>
      </w:r>
      <w:proofErr w:type="gramStart"/>
      <w:r>
        <w:rPr>
          <w:rFonts w:ascii="Times New Roman" w:hAnsi="Times New Roman"/>
          <w:sz w:val="24"/>
        </w:rPr>
        <w:t>525 517;</w:t>
      </w:r>
      <w:proofErr w:type="gramEnd"/>
    </w:p>
    <w:p w14:paraId="5402C617"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12.2. for the project of </w:t>
      </w:r>
      <w:proofErr w:type="spellStart"/>
      <w:r>
        <w:rPr>
          <w:rFonts w:ascii="Times New Roman" w:hAnsi="Times New Roman"/>
          <w:sz w:val="24"/>
        </w:rPr>
        <w:t>Cēsis</w:t>
      </w:r>
      <w:proofErr w:type="spellEnd"/>
      <w:r>
        <w:rPr>
          <w:rFonts w:ascii="Times New Roman" w:hAnsi="Times New Roman"/>
          <w:sz w:val="24"/>
        </w:rPr>
        <w:t xml:space="preserve"> municipality local government – EUR </w:t>
      </w:r>
      <w:proofErr w:type="gramStart"/>
      <w:r>
        <w:rPr>
          <w:rFonts w:ascii="Times New Roman" w:hAnsi="Times New Roman"/>
          <w:sz w:val="24"/>
        </w:rPr>
        <w:t>1 932 172;</w:t>
      </w:r>
      <w:proofErr w:type="gramEnd"/>
    </w:p>
    <w:p w14:paraId="09763C5F"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12.3. for the project of Daugavpils city local government – EUR </w:t>
      </w:r>
      <w:proofErr w:type="gramStart"/>
      <w:r>
        <w:rPr>
          <w:rFonts w:ascii="Times New Roman" w:hAnsi="Times New Roman"/>
          <w:sz w:val="24"/>
        </w:rPr>
        <w:t>1 810 444;</w:t>
      </w:r>
      <w:proofErr w:type="gramEnd"/>
    </w:p>
    <w:p w14:paraId="17F6BE17"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12.4. for the project of </w:t>
      </w:r>
      <w:proofErr w:type="spellStart"/>
      <w:r>
        <w:rPr>
          <w:rFonts w:ascii="Times New Roman" w:hAnsi="Times New Roman"/>
          <w:sz w:val="24"/>
        </w:rPr>
        <w:t>Liepāja</w:t>
      </w:r>
      <w:proofErr w:type="spellEnd"/>
      <w:r>
        <w:rPr>
          <w:rFonts w:ascii="Times New Roman" w:hAnsi="Times New Roman"/>
          <w:sz w:val="24"/>
        </w:rPr>
        <w:t xml:space="preserve"> city local government – EUR </w:t>
      </w:r>
      <w:proofErr w:type="gramStart"/>
      <w:r>
        <w:rPr>
          <w:rFonts w:ascii="Times New Roman" w:hAnsi="Times New Roman"/>
          <w:sz w:val="24"/>
        </w:rPr>
        <w:t>887 444;</w:t>
      </w:r>
      <w:proofErr w:type="gramEnd"/>
    </w:p>
    <w:p w14:paraId="3AFD49CC" w14:textId="77777777" w:rsidR="00CD1BCD" w:rsidRDefault="002F212F" w:rsidP="00D84CFD">
      <w:pPr>
        <w:spacing w:after="0" w:line="240" w:lineRule="auto"/>
        <w:ind w:firstLine="709"/>
        <w:jc w:val="both"/>
        <w:rPr>
          <w:rFonts w:ascii="Times New Roman" w:eastAsia="Times New Roman" w:hAnsi="Times New Roman" w:cs="Times New Roman"/>
          <w:i/>
          <w:iCs/>
          <w:noProof/>
          <w:sz w:val="24"/>
          <w:szCs w:val="24"/>
        </w:rPr>
      </w:pPr>
      <w:r>
        <w:rPr>
          <w:rFonts w:ascii="Times New Roman" w:hAnsi="Times New Roman"/>
          <w:sz w:val="24"/>
        </w:rPr>
        <w:lastRenderedPageBreak/>
        <w:t xml:space="preserve">12.5. for the project of </w:t>
      </w:r>
      <w:proofErr w:type="spellStart"/>
      <w:r>
        <w:rPr>
          <w:rFonts w:ascii="Times New Roman" w:hAnsi="Times New Roman"/>
          <w:sz w:val="24"/>
        </w:rPr>
        <w:t>Ventspils</w:t>
      </w:r>
      <w:proofErr w:type="spellEnd"/>
      <w:r>
        <w:rPr>
          <w:rFonts w:ascii="Times New Roman" w:hAnsi="Times New Roman"/>
          <w:sz w:val="24"/>
        </w:rPr>
        <w:t xml:space="preserve"> city local government – EUR 1 810 508.</w:t>
      </w:r>
    </w:p>
    <w:p w14:paraId="2C0F5351" w14:textId="77777777" w:rsidR="00D84CFD" w:rsidRDefault="00D84CFD" w:rsidP="00CD1BCD">
      <w:pPr>
        <w:spacing w:after="0" w:line="240" w:lineRule="auto"/>
        <w:jc w:val="both"/>
        <w:rPr>
          <w:rFonts w:ascii="Times New Roman" w:eastAsia="Times New Roman" w:hAnsi="Times New Roman" w:cs="Times New Roman"/>
          <w:noProof/>
          <w:sz w:val="24"/>
          <w:szCs w:val="24"/>
        </w:rPr>
      </w:pPr>
      <w:bookmarkStart w:id="26" w:name="p-709202"/>
      <w:bookmarkStart w:id="27" w:name="p13"/>
      <w:bookmarkEnd w:id="26"/>
      <w:bookmarkEnd w:id="27"/>
    </w:p>
    <w:p w14:paraId="11CE8476" w14:textId="69A9A441" w:rsidR="002F212F" w:rsidRPr="002F212F" w:rsidRDefault="002F212F" w:rsidP="00CD1BC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beneficiary of co-financing referred to in Sub-paragraphs 12.2, 12.3, 12.4, and 12.5 of this Regulation shall ensure the project co-financing in the amount of 10 per cent from the total eligible costs of the project.</w:t>
      </w:r>
    </w:p>
    <w:p w14:paraId="512DA182" w14:textId="77777777" w:rsidR="00D84CFD" w:rsidRDefault="00D84CFD" w:rsidP="00CD1BCD">
      <w:pPr>
        <w:spacing w:after="0" w:line="240" w:lineRule="auto"/>
        <w:jc w:val="both"/>
        <w:rPr>
          <w:rFonts w:ascii="Times New Roman" w:eastAsia="Times New Roman" w:hAnsi="Times New Roman" w:cs="Times New Roman"/>
          <w:noProof/>
          <w:sz w:val="24"/>
          <w:szCs w:val="24"/>
        </w:rPr>
      </w:pPr>
      <w:bookmarkStart w:id="28" w:name="p-709203"/>
      <w:bookmarkStart w:id="29" w:name="p14"/>
      <w:bookmarkEnd w:id="28"/>
      <w:bookmarkEnd w:id="29"/>
    </w:p>
    <w:p w14:paraId="3ABC554B" w14:textId="5C30A4C3" w:rsidR="002F212F" w:rsidRPr="002F212F" w:rsidRDefault="002F212F" w:rsidP="00CD1BC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Agency shall, within one month from the day of entering into a project agreement, disburse an advance to the beneficiary of co-financing which is not more than 40 per cent from the division of the Programme financing specified in Sub-paragraph 12.2, 12.3, 12.4, or 12.5 of this Regulation for the project.</w:t>
      </w:r>
    </w:p>
    <w:p w14:paraId="4F925709" w14:textId="77777777" w:rsidR="00D84CFD" w:rsidRDefault="00D84CFD" w:rsidP="00CD1BCD">
      <w:pPr>
        <w:spacing w:after="0" w:line="240" w:lineRule="auto"/>
        <w:jc w:val="both"/>
        <w:rPr>
          <w:rFonts w:ascii="Times New Roman" w:eastAsia="Times New Roman" w:hAnsi="Times New Roman" w:cs="Times New Roman"/>
          <w:noProof/>
          <w:sz w:val="24"/>
          <w:szCs w:val="24"/>
        </w:rPr>
      </w:pPr>
      <w:bookmarkStart w:id="30" w:name="p-709204"/>
      <w:bookmarkStart w:id="31" w:name="p15"/>
      <w:bookmarkEnd w:id="30"/>
      <w:bookmarkEnd w:id="31"/>
    </w:p>
    <w:p w14:paraId="66210173" w14:textId="5E99DBCE" w:rsidR="002F212F" w:rsidRPr="002F212F" w:rsidRDefault="002F212F" w:rsidP="00CD1BC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chairperson of the cooperation committee shall be a representative of the Programme Operator. Representatives of the Programme Operator and Programme partners shall be included in the composition of the cooperation committee as members with the right to vote. The Programme Operator shall invite representatives of the Norwegian Ministry of Foreign Affairs, the Focal Point, and the Financial Mechanism Office to participate in meetings of the cooperation committee in the status of an observer. The operation of the cooperation committee shall be determined by the regulations of the cooperation committee which shall be prepared by the Programme Operator, coordinated with the Programme partner, and approved by the Minister for Education and Science.</w:t>
      </w:r>
    </w:p>
    <w:p w14:paraId="1DAEA4EE" w14:textId="77777777" w:rsidR="00D84CFD" w:rsidRDefault="00D84CFD" w:rsidP="00CD1BCD">
      <w:pPr>
        <w:spacing w:after="0" w:line="240" w:lineRule="auto"/>
        <w:jc w:val="both"/>
        <w:rPr>
          <w:rFonts w:ascii="Times New Roman" w:eastAsia="Times New Roman" w:hAnsi="Times New Roman" w:cs="Times New Roman"/>
          <w:noProof/>
          <w:sz w:val="24"/>
          <w:szCs w:val="24"/>
        </w:rPr>
      </w:pPr>
      <w:bookmarkStart w:id="32" w:name="n-709205"/>
      <w:bookmarkStart w:id="33" w:name="n2"/>
      <w:bookmarkEnd w:id="32"/>
      <w:bookmarkEnd w:id="33"/>
    </w:p>
    <w:p w14:paraId="1B418580" w14:textId="6220C190" w:rsidR="002F212F" w:rsidRPr="002F212F" w:rsidRDefault="002F212F" w:rsidP="00D84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Activities of the Project to be Supported and Conditions for the Eligibility of Costs of the Programme and the Project</w:t>
      </w:r>
    </w:p>
    <w:p w14:paraId="4452E3E2" w14:textId="77777777" w:rsidR="00D84CFD" w:rsidRDefault="00D84CFD" w:rsidP="00CD1BCD">
      <w:pPr>
        <w:spacing w:after="0" w:line="240" w:lineRule="auto"/>
        <w:jc w:val="both"/>
        <w:rPr>
          <w:rFonts w:ascii="Times New Roman" w:eastAsia="Times New Roman" w:hAnsi="Times New Roman" w:cs="Times New Roman"/>
          <w:noProof/>
          <w:sz w:val="24"/>
          <w:szCs w:val="24"/>
        </w:rPr>
      </w:pPr>
      <w:bookmarkStart w:id="34" w:name="p-709206"/>
      <w:bookmarkStart w:id="35" w:name="p16"/>
      <w:bookmarkEnd w:id="34"/>
      <w:bookmarkEnd w:id="35"/>
    </w:p>
    <w:p w14:paraId="3BAB487B" w14:textId="4FF9FC5A" w:rsidR="002F212F" w:rsidRPr="002F212F" w:rsidRDefault="002F212F" w:rsidP="00CD1BC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following activities shall be supported within the scope of projects:</w:t>
      </w:r>
    </w:p>
    <w:p w14:paraId="35086D60"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16.1. the development and implementation of educational programmes for the </w:t>
      </w:r>
      <w:proofErr w:type="spellStart"/>
      <w:r>
        <w:rPr>
          <w:rFonts w:ascii="Times New Roman" w:hAnsi="Times New Roman"/>
          <w:sz w:val="24"/>
        </w:rPr>
        <w:t>educatees</w:t>
      </w:r>
      <w:proofErr w:type="spellEnd"/>
      <w:r>
        <w:rPr>
          <w:rFonts w:ascii="Times New Roman" w:hAnsi="Times New Roman"/>
          <w:sz w:val="24"/>
        </w:rPr>
        <w:t xml:space="preserve"> and teachers for the acquisition and development of knowledge in the field of STEM, promoting the choice of a career in the field of </w:t>
      </w:r>
      <w:proofErr w:type="gramStart"/>
      <w:r>
        <w:rPr>
          <w:rFonts w:ascii="Times New Roman" w:hAnsi="Times New Roman"/>
          <w:sz w:val="24"/>
        </w:rPr>
        <w:t>STEM;</w:t>
      </w:r>
      <w:proofErr w:type="gramEnd"/>
    </w:p>
    <w:p w14:paraId="1F58DBC9"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16.2. educating of teachers in the field of STEM and in teaching methodology in order to improve the knowledge, skills, and competence of </w:t>
      </w:r>
      <w:proofErr w:type="gramStart"/>
      <w:r>
        <w:rPr>
          <w:rFonts w:ascii="Times New Roman" w:hAnsi="Times New Roman"/>
          <w:sz w:val="24"/>
        </w:rPr>
        <w:t>teachers;</w:t>
      </w:r>
      <w:proofErr w:type="gramEnd"/>
    </w:p>
    <w:p w14:paraId="2EF474AE"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16.3. organising of practical workshops, events outside the centre, science camps, and other events in the field of STEM, ensuring the necessary portable equipment and </w:t>
      </w:r>
      <w:proofErr w:type="gramStart"/>
      <w:r>
        <w:rPr>
          <w:rFonts w:ascii="Times New Roman" w:hAnsi="Times New Roman"/>
          <w:sz w:val="24"/>
        </w:rPr>
        <w:t>materials;</w:t>
      </w:r>
      <w:proofErr w:type="gramEnd"/>
    </w:p>
    <w:p w14:paraId="732CF5B3"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16.4. the creation of makerspaces and maker laboratories and ensuring of free access for the </w:t>
      </w:r>
      <w:proofErr w:type="spellStart"/>
      <w:r>
        <w:rPr>
          <w:rFonts w:ascii="Times New Roman" w:hAnsi="Times New Roman"/>
          <w:sz w:val="24"/>
        </w:rPr>
        <w:t>educatees</w:t>
      </w:r>
      <w:proofErr w:type="spellEnd"/>
      <w:r>
        <w:rPr>
          <w:rFonts w:ascii="Times New Roman" w:hAnsi="Times New Roman"/>
          <w:sz w:val="24"/>
        </w:rPr>
        <w:t xml:space="preserve"> and </w:t>
      </w:r>
      <w:proofErr w:type="gramStart"/>
      <w:r>
        <w:rPr>
          <w:rFonts w:ascii="Times New Roman" w:hAnsi="Times New Roman"/>
          <w:sz w:val="24"/>
        </w:rPr>
        <w:t>teachers;</w:t>
      </w:r>
      <w:proofErr w:type="gramEnd"/>
    </w:p>
    <w:p w14:paraId="1EDAC09A"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16.5. organising of the measures for the promotion of the development of entrepreneurial abilities for the </w:t>
      </w:r>
      <w:proofErr w:type="spellStart"/>
      <w:r>
        <w:rPr>
          <w:rFonts w:ascii="Times New Roman" w:hAnsi="Times New Roman"/>
          <w:sz w:val="24"/>
        </w:rPr>
        <w:t>educatees</w:t>
      </w:r>
      <w:proofErr w:type="spellEnd"/>
      <w:r>
        <w:rPr>
          <w:rFonts w:ascii="Times New Roman" w:hAnsi="Times New Roman"/>
          <w:sz w:val="24"/>
        </w:rPr>
        <w:t xml:space="preserve"> in the field of </w:t>
      </w:r>
      <w:proofErr w:type="gramStart"/>
      <w:r>
        <w:rPr>
          <w:rFonts w:ascii="Times New Roman" w:hAnsi="Times New Roman"/>
          <w:sz w:val="24"/>
        </w:rPr>
        <w:t>STEM;</w:t>
      </w:r>
      <w:proofErr w:type="gramEnd"/>
    </w:p>
    <w:p w14:paraId="491B8F10"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16.6. organising of seminars for the </w:t>
      </w:r>
      <w:proofErr w:type="spellStart"/>
      <w:r>
        <w:rPr>
          <w:rFonts w:ascii="Times New Roman" w:hAnsi="Times New Roman"/>
          <w:sz w:val="24"/>
        </w:rPr>
        <w:t>educatees</w:t>
      </w:r>
      <w:proofErr w:type="spellEnd"/>
      <w:r>
        <w:rPr>
          <w:rFonts w:ascii="Times New Roman" w:hAnsi="Times New Roman"/>
          <w:sz w:val="24"/>
        </w:rPr>
        <w:t xml:space="preserve"> and teachers, and also organising of joint measures for the </w:t>
      </w:r>
      <w:proofErr w:type="spellStart"/>
      <w:r>
        <w:rPr>
          <w:rFonts w:ascii="Times New Roman" w:hAnsi="Times New Roman"/>
          <w:sz w:val="24"/>
        </w:rPr>
        <w:t>educatees</w:t>
      </w:r>
      <w:proofErr w:type="spellEnd"/>
      <w:r>
        <w:rPr>
          <w:rFonts w:ascii="Times New Roman" w:hAnsi="Times New Roman"/>
          <w:sz w:val="24"/>
        </w:rPr>
        <w:t xml:space="preserve"> by inviting performers of economic activity for them to share their knowledge and </w:t>
      </w:r>
      <w:proofErr w:type="gramStart"/>
      <w:r>
        <w:rPr>
          <w:rFonts w:ascii="Times New Roman" w:hAnsi="Times New Roman"/>
          <w:sz w:val="24"/>
        </w:rPr>
        <w:t>experience;</w:t>
      </w:r>
      <w:proofErr w:type="gramEnd"/>
    </w:p>
    <w:p w14:paraId="414C3EB7"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16.7. the creation of interactive thematic, including travelling, exhibitions popularising the field of STEM in cooperation with project partners, vocational education institutions, scientific institutions, or representatives of the sectors of national </w:t>
      </w:r>
      <w:proofErr w:type="gramStart"/>
      <w:r>
        <w:rPr>
          <w:rFonts w:ascii="Times New Roman" w:hAnsi="Times New Roman"/>
          <w:sz w:val="24"/>
        </w:rPr>
        <w:t>economy;</w:t>
      </w:r>
      <w:proofErr w:type="gramEnd"/>
    </w:p>
    <w:p w14:paraId="250ECD85"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16.8. evaluation of the impact of the innovation centre and analysis of the factors of more efficient communication in the field of </w:t>
      </w:r>
      <w:proofErr w:type="gramStart"/>
      <w:r>
        <w:rPr>
          <w:rFonts w:ascii="Times New Roman" w:hAnsi="Times New Roman"/>
          <w:sz w:val="24"/>
        </w:rPr>
        <w:t>STEM;</w:t>
      </w:r>
      <w:proofErr w:type="gramEnd"/>
    </w:p>
    <w:p w14:paraId="43EF3564"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16.9. covering of transport expenditures in order to ensure access for the </w:t>
      </w:r>
      <w:proofErr w:type="spellStart"/>
      <w:r>
        <w:rPr>
          <w:rFonts w:ascii="Times New Roman" w:hAnsi="Times New Roman"/>
          <w:sz w:val="24"/>
        </w:rPr>
        <w:t>educatees</w:t>
      </w:r>
      <w:proofErr w:type="spellEnd"/>
      <w:r>
        <w:rPr>
          <w:rFonts w:ascii="Times New Roman" w:hAnsi="Times New Roman"/>
          <w:sz w:val="24"/>
        </w:rPr>
        <w:t xml:space="preserve"> and teachers of Latvia to the educational interactive activities, demonstrations, exhibitions, and other educational measures (if necessary) of the innovation </w:t>
      </w:r>
      <w:proofErr w:type="gramStart"/>
      <w:r>
        <w:rPr>
          <w:rFonts w:ascii="Times New Roman" w:hAnsi="Times New Roman"/>
          <w:sz w:val="24"/>
        </w:rPr>
        <w:t>centre;</w:t>
      </w:r>
      <w:proofErr w:type="gramEnd"/>
    </w:p>
    <w:p w14:paraId="4AE02182"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16.10. other activities which promote the development of knowledge of the </w:t>
      </w:r>
      <w:proofErr w:type="spellStart"/>
      <w:r>
        <w:rPr>
          <w:rFonts w:ascii="Times New Roman" w:hAnsi="Times New Roman"/>
          <w:sz w:val="24"/>
        </w:rPr>
        <w:t>educatees</w:t>
      </w:r>
      <w:proofErr w:type="spellEnd"/>
      <w:r>
        <w:rPr>
          <w:rFonts w:ascii="Times New Roman" w:hAnsi="Times New Roman"/>
          <w:sz w:val="24"/>
        </w:rPr>
        <w:t xml:space="preserve"> and teachers and their positive attitude in the field of STEM.</w:t>
      </w:r>
    </w:p>
    <w:p w14:paraId="26138430" w14:textId="77777777" w:rsidR="00D84CFD" w:rsidRDefault="00D84CFD" w:rsidP="00CD1BCD">
      <w:pPr>
        <w:spacing w:after="0" w:line="240" w:lineRule="auto"/>
        <w:jc w:val="both"/>
        <w:rPr>
          <w:rFonts w:ascii="Times New Roman" w:eastAsia="Times New Roman" w:hAnsi="Times New Roman" w:cs="Times New Roman"/>
          <w:noProof/>
          <w:sz w:val="24"/>
          <w:szCs w:val="24"/>
        </w:rPr>
      </w:pPr>
      <w:bookmarkStart w:id="36" w:name="p-765270"/>
      <w:bookmarkStart w:id="37" w:name="p16.1"/>
      <w:bookmarkEnd w:id="36"/>
      <w:bookmarkEnd w:id="37"/>
    </w:p>
    <w:p w14:paraId="13724C73" w14:textId="4B0F53ED" w:rsidR="002F212F" w:rsidRPr="002F212F" w:rsidRDefault="002F212F" w:rsidP="00CD1BC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w:t>
      </w:r>
      <w:r>
        <w:rPr>
          <w:rFonts w:ascii="Times New Roman" w:hAnsi="Times New Roman"/>
          <w:sz w:val="24"/>
          <w:vertAlign w:val="superscript"/>
        </w:rPr>
        <w:t>1</w:t>
      </w:r>
      <w:r>
        <w:rPr>
          <w:rFonts w:ascii="Times New Roman" w:hAnsi="Times New Roman"/>
          <w:sz w:val="24"/>
        </w:rPr>
        <w:t xml:space="preserve"> Such activities of the project applicant or project partner are not supported within the scope of the project the support provided to which is to be qualified as aid for commercial activity.</w:t>
      </w:r>
    </w:p>
    <w:p w14:paraId="22EB918D" w14:textId="77777777" w:rsidR="002F212F" w:rsidRPr="002F212F" w:rsidRDefault="002F212F" w:rsidP="00CD1BC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17 December 2020</w:t>
      </w:r>
      <w:r>
        <w:rPr>
          <w:rFonts w:ascii="Times New Roman" w:hAnsi="Times New Roman"/>
          <w:sz w:val="24"/>
        </w:rPr>
        <w:t>]</w:t>
      </w:r>
    </w:p>
    <w:p w14:paraId="1E520179" w14:textId="77777777" w:rsidR="00D84CFD" w:rsidRDefault="00D84CFD" w:rsidP="00CD1BCD">
      <w:pPr>
        <w:spacing w:after="0" w:line="240" w:lineRule="auto"/>
        <w:jc w:val="both"/>
        <w:rPr>
          <w:rFonts w:ascii="Times New Roman" w:eastAsia="Times New Roman" w:hAnsi="Times New Roman" w:cs="Times New Roman"/>
          <w:noProof/>
          <w:sz w:val="24"/>
          <w:szCs w:val="24"/>
        </w:rPr>
      </w:pPr>
      <w:bookmarkStart w:id="38" w:name="p-765271"/>
      <w:bookmarkStart w:id="39" w:name="p16.2"/>
      <w:bookmarkEnd w:id="38"/>
      <w:bookmarkEnd w:id="39"/>
    </w:p>
    <w:p w14:paraId="423B836C" w14:textId="3AFD311D" w:rsidR="002F212F" w:rsidRPr="002F212F" w:rsidRDefault="002F212F" w:rsidP="00CD1BC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w:t>
      </w:r>
      <w:r>
        <w:rPr>
          <w:rFonts w:ascii="Times New Roman" w:hAnsi="Times New Roman"/>
          <w:sz w:val="24"/>
          <w:vertAlign w:val="superscript"/>
        </w:rPr>
        <w:t>2</w:t>
      </w:r>
      <w:r>
        <w:rPr>
          <w:rFonts w:ascii="Times New Roman" w:hAnsi="Times New Roman"/>
          <w:sz w:val="24"/>
        </w:rPr>
        <w:t xml:space="preserve"> If the project during its implementation and during the depreciation period of the investments made therein does not conform to the conditions referred to in Paragraph 16.</w:t>
      </w:r>
      <w:r>
        <w:rPr>
          <w:rFonts w:ascii="Times New Roman" w:hAnsi="Times New Roman"/>
          <w:sz w:val="24"/>
          <w:vertAlign w:val="superscript"/>
        </w:rPr>
        <w:t>1</w:t>
      </w:r>
      <w:r>
        <w:rPr>
          <w:rFonts w:ascii="Times New Roman" w:hAnsi="Times New Roman"/>
          <w:sz w:val="24"/>
        </w:rPr>
        <w:t xml:space="preserve"> of this Regulation, the beneficiary of co-financing has the obligation to refund all the public financing received within the scope of the project to the Agency together with interest the rate of which is published by the European Commission in accordance with Article 10 of Commission Regulation (EC) No 794/2004 of 21 April 2004 implementing Council Regulation (EU) 2015/1589 laying down detailed rules for the application of Article 108 of the Treaty on the Functioning of the European Union (hereinafter – Commission Regulation No 794/2004), adding 100 base points thereto, from the day when public financing was disbursed to the project applicant until the day of the recovery thereof, in conformity with the method for the application of interest rate specified in Article 11 of Commission Regulation No 794/2004.</w:t>
      </w:r>
    </w:p>
    <w:p w14:paraId="002D9EBB" w14:textId="77777777" w:rsidR="002F212F" w:rsidRPr="002F212F" w:rsidRDefault="002F212F" w:rsidP="00CD1BC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w:t>
      </w:r>
      <w:r>
        <w:rPr>
          <w:rFonts w:ascii="Times New Roman" w:hAnsi="Times New Roman"/>
          <w:sz w:val="24"/>
        </w:rPr>
        <w:t>]</w:t>
      </w:r>
    </w:p>
    <w:p w14:paraId="36356A34" w14:textId="77777777" w:rsidR="00D84CFD" w:rsidRDefault="00D84CFD" w:rsidP="00CD1BCD">
      <w:pPr>
        <w:spacing w:after="0" w:line="240" w:lineRule="auto"/>
        <w:jc w:val="both"/>
        <w:rPr>
          <w:rFonts w:ascii="Times New Roman" w:eastAsia="Times New Roman" w:hAnsi="Times New Roman" w:cs="Times New Roman"/>
          <w:noProof/>
          <w:sz w:val="24"/>
          <w:szCs w:val="24"/>
        </w:rPr>
      </w:pPr>
      <w:bookmarkStart w:id="40" w:name="p-765272"/>
      <w:bookmarkStart w:id="41" w:name="p17"/>
      <w:bookmarkEnd w:id="40"/>
      <w:bookmarkEnd w:id="41"/>
    </w:p>
    <w:p w14:paraId="712F0CE6" w14:textId="7791FA1F" w:rsidR="002F212F" w:rsidRPr="002F212F" w:rsidRDefault="002F212F" w:rsidP="00CD1BC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following costs shall be eligible within the scope of the Programme:</w:t>
      </w:r>
    </w:p>
    <w:p w14:paraId="350ED0C3"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17.1. the administrative costs of the Programme Operator and the Agency:</w:t>
      </w:r>
    </w:p>
    <w:p w14:paraId="146B9EC9" w14:textId="77777777" w:rsidR="002F212F" w:rsidRPr="002F212F" w:rsidRDefault="002F212F" w:rsidP="00D84CF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17.1.1. the direct eligible costs which are directly related to the administration of the preparation and implementation of the Programme, including the staff costs for strengthening bilateral cooperation between the Latvian and Norwegian </w:t>
      </w:r>
      <w:proofErr w:type="gramStart"/>
      <w:r>
        <w:rPr>
          <w:rFonts w:ascii="Times New Roman" w:hAnsi="Times New Roman"/>
          <w:sz w:val="24"/>
        </w:rPr>
        <w:t>authorities;</w:t>
      </w:r>
      <w:proofErr w:type="gramEnd"/>
    </w:p>
    <w:p w14:paraId="7FB7459B" w14:textId="77777777" w:rsidR="002F212F" w:rsidRPr="002F212F" w:rsidRDefault="002F212F" w:rsidP="00D84CF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17.1.2. the indirect eligible costs, including costs which are related to the lease of premises, public utilities, purchase of stationery, equipment, and software, and other costs which are indirectly related to the administration of the preparation and implementation of the Programme and which are calculated as a uniform rate in the amount of 10 per cent from the direct eligible costs of the remuneration of the </w:t>
      </w:r>
      <w:proofErr w:type="gramStart"/>
      <w:r>
        <w:rPr>
          <w:rFonts w:ascii="Times New Roman" w:hAnsi="Times New Roman"/>
          <w:sz w:val="24"/>
        </w:rPr>
        <w:t>staff;</w:t>
      </w:r>
      <w:proofErr w:type="gramEnd"/>
    </w:p>
    <w:p w14:paraId="34F63B2D"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17.2. the direct eligible costs of the project:</w:t>
      </w:r>
    </w:p>
    <w:p w14:paraId="65490E87" w14:textId="77777777" w:rsidR="002F212F" w:rsidRPr="002F212F" w:rsidRDefault="002F212F" w:rsidP="00D84CF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17.2.1. the costs for the work of the administrative and implementation staff of the project – the remuneration and also other mandatory payments to be made for the benefit of the employer, including mandatory State social insurance payments of the </w:t>
      </w:r>
      <w:proofErr w:type="gramStart"/>
      <w:r>
        <w:rPr>
          <w:rFonts w:ascii="Times New Roman" w:hAnsi="Times New Roman"/>
          <w:sz w:val="24"/>
        </w:rPr>
        <w:t>employer;</w:t>
      </w:r>
      <w:proofErr w:type="gramEnd"/>
    </w:p>
    <w:p w14:paraId="3EBF4170" w14:textId="77777777" w:rsidR="002F212F" w:rsidRPr="002F212F" w:rsidRDefault="002F212F" w:rsidP="00D84CF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17.2.2. the costs of official travels and work journeys in accordance with the procedures laid down in the laws and regulations regarding reimbursement of expenditures related to official </w:t>
      </w:r>
      <w:proofErr w:type="gramStart"/>
      <w:r>
        <w:rPr>
          <w:rFonts w:ascii="Times New Roman" w:hAnsi="Times New Roman"/>
          <w:sz w:val="24"/>
        </w:rPr>
        <w:t>travels;</w:t>
      </w:r>
      <w:proofErr w:type="gramEnd"/>
    </w:p>
    <w:p w14:paraId="4A3E2AD9" w14:textId="77777777" w:rsidR="002F212F" w:rsidRPr="002F212F" w:rsidRDefault="002F212F" w:rsidP="00D84CF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17.2.3. the costs of external expert-examinations and </w:t>
      </w:r>
      <w:proofErr w:type="gramStart"/>
      <w:r>
        <w:rPr>
          <w:rFonts w:ascii="Times New Roman" w:hAnsi="Times New Roman"/>
          <w:sz w:val="24"/>
        </w:rPr>
        <w:t>services;</w:t>
      </w:r>
      <w:proofErr w:type="gramEnd"/>
    </w:p>
    <w:p w14:paraId="4DFE9369" w14:textId="77777777" w:rsidR="002F212F" w:rsidRPr="002F212F" w:rsidRDefault="002F212F" w:rsidP="00D84CF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17.2.4. the costs of organising events, including the costs of </w:t>
      </w:r>
      <w:proofErr w:type="gramStart"/>
      <w:r>
        <w:rPr>
          <w:rFonts w:ascii="Times New Roman" w:hAnsi="Times New Roman"/>
          <w:sz w:val="24"/>
        </w:rPr>
        <w:t>materials;</w:t>
      </w:r>
      <w:proofErr w:type="gramEnd"/>
    </w:p>
    <w:p w14:paraId="3A69EF0C" w14:textId="77777777" w:rsidR="002F212F" w:rsidRPr="002F212F" w:rsidRDefault="002F212F" w:rsidP="00D84CF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17.2.5. the costs of portable equipment which conform to the purchase price and do not exceed 60 per cent of the total eligible costs of the project, including the costs of purchase and maintenance of laboratory inventory, computer hardware, software, printers provided that they are located in the makerspaces or maker laboratories and are necessary for the implementation of educational programmes or for ensuring other educational </w:t>
      </w:r>
      <w:proofErr w:type="gramStart"/>
      <w:r>
        <w:rPr>
          <w:rFonts w:ascii="Times New Roman" w:hAnsi="Times New Roman"/>
          <w:sz w:val="24"/>
        </w:rPr>
        <w:t>measures;</w:t>
      </w:r>
      <w:proofErr w:type="gramEnd"/>
    </w:p>
    <w:p w14:paraId="0D047947" w14:textId="77777777" w:rsidR="002F212F" w:rsidRPr="002F212F" w:rsidRDefault="002F212F" w:rsidP="00D84CF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17.2.6. the part of depreciation of the portable equipment referred to in Sub-paragraph 2.6 of this Regulation which conforms to the duration of the project and the amount of the actual </w:t>
      </w:r>
      <w:proofErr w:type="gramStart"/>
      <w:r>
        <w:rPr>
          <w:rFonts w:ascii="Times New Roman" w:hAnsi="Times New Roman"/>
          <w:sz w:val="24"/>
        </w:rPr>
        <w:t>use;</w:t>
      </w:r>
      <w:proofErr w:type="gramEnd"/>
    </w:p>
    <w:p w14:paraId="7FAD4B11"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17.3. the indirect eligible costs of the project, including costs which are related to the lease of premises, public utilities, purchase of stationery, equipment, and software, and other costs which are indirectly related to the administration of the implementation of the </w:t>
      </w:r>
      <w:proofErr w:type="gramStart"/>
      <w:r>
        <w:rPr>
          <w:rFonts w:ascii="Times New Roman" w:hAnsi="Times New Roman"/>
          <w:sz w:val="24"/>
        </w:rPr>
        <w:t>project</w:t>
      </w:r>
      <w:proofErr w:type="gramEnd"/>
      <w:r>
        <w:rPr>
          <w:rFonts w:ascii="Times New Roman" w:hAnsi="Times New Roman"/>
          <w:sz w:val="24"/>
        </w:rPr>
        <w:t xml:space="preserve"> and which are calculated as a uniform rate, without exceeding 15 per cent of the costs referred to in Sub-paragraph 17.2.1 of this Regulation. The amount of the uniform rate of the indirect eligible costs of the project shall be determined in the project agreement.</w:t>
      </w:r>
    </w:p>
    <w:p w14:paraId="3625C6CF" w14:textId="77777777" w:rsidR="002F212F" w:rsidRPr="002F212F" w:rsidRDefault="002F212F" w:rsidP="00CD1BC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w:t>
      </w:r>
      <w:r>
        <w:rPr>
          <w:rFonts w:ascii="Times New Roman" w:hAnsi="Times New Roman"/>
          <w:sz w:val="24"/>
        </w:rPr>
        <w:t>]</w:t>
      </w:r>
    </w:p>
    <w:p w14:paraId="1521BD68" w14:textId="77777777" w:rsidR="00D84CFD" w:rsidRDefault="00D84CFD" w:rsidP="00CD1BCD">
      <w:pPr>
        <w:spacing w:after="0" w:line="240" w:lineRule="auto"/>
        <w:jc w:val="both"/>
        <w:rPr>
          <w:rFonts w:ascii="Times New Roman" w:eastAsia="Times New Roman" w:hAnsi="Times New Roman" w:cs="Times New Roman"/>
          <w:noProof/>
          <w:sz w:val="24"/>
          <w:szCs w:val="24"/>
        </w:rPr>
      </w:pPr>
      <w:bookmarkStart w:id="42" w:name="p-709208"/>
      <w:bookmarkStart w:id="43" w:name="p18"/>
      <w:bookmarkEnd w:id="42"/>
      <w:bookmarkEnd w:id="43"/>
    </w:p>
    <w:p w14:paraId="6248C1F2" w14:textId="3A3818F2" w:rsidR="002F212F" w:rsidRPr="002F212F" w:rsidRDefault="002F212F" w:rsidP="00CD1BC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18. The following costs shall not be eligible within the scope of the Programme:</w:t>
      </w:r>
    </w:p>
    <w:p w14:paraId="1C455D73"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18.1. investments in the infrastructure and the acquisition of fixed assets, except for the costs referred to in Sub-paragraphs 17.2.5 and 17.2.6 of this </w:t>
      </w:r>
      <w:proofErr w:type="gramStart"/>
      <w:r>
        <w:rPr>
          <w:rFonts w:ascii="Times New Roman" w:hAnsi="Times New Roman"/>
          <w:sz w:val="24"/>
        </w:rPr>
        <w:t>Regulation;</w:t>
      </w:r>
      <w:proofErr w:type="gramEnd"/>
    </w:p>
    <w:p w14:paraId="2C1EB3E9"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18.2. losses which have arisen as a result of fluctuations in the currency </w:t>
      </w:r>
      <w:proofErr w:type="gramStart"/>
      <w:r>
        <w:rPr>
          <w:rFonts w:ascii="Times New Roman" w:hAnsi="Times New Roman"/>
          <w:sz w:val="24"/>
        </w:rPr>
        <w:t>rate;</w:t>
      </w:r>
      <w:proofErr w:type="gramEnd"/>
    </w:p>
    <w:p w14:paraId="30E8AECA"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18.3. payment for financial </w:t>
      </w:r>
      <w:proofErr w:type="gramStart"/>
      <w:r>
        <w:rPr>
          <w:rFonts w:ascii="Times New Roman" w:hAnsi="Times New Roman"/>
          <w:sz w:val="24"/>
        </w:rPr>
        <w:t>transactions;</w:t>
      </w:r>
      <w:proofErr w:type="gramEnd"/>
    </w:p>
    <w:p w14:paraId="69863740"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18.4. costs covered from other </w:t>
      </w:r>
      <w:proofErr w:type="gramStart"/>
      <w:r>
        <w:rPr>
          <w:rFonts w:ascii="Times New Roman" w:hAnsi="Times New Roman"/>
          <w:sz w:val="24"/>
        </w:rPr>
        <w:t>sources;</w:t>
      </w:r>
      <w:proofErr w:type="gramEnd"/>
    </w:p>
    <w:p w14:paraId="5D02711C"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18.5. fines, sanctions, and legal expenditures, except for the case if litigation is necessary for the achievement of the project objectives and is related </w:t>
      </w:r>
      <w:proofErr w:type="gramStart"/>
      <w:r>
        <w:rPr>
          <w:rFonts w:ascii="Times New Roman" w:hAnsi="Times New Roman"/>
          <w:sz w:val="24"/>
        </w:rPr>
        <w:t>thereto;</w:t>
      </w:r>
      <w:proofErr w:type="gramEnd"/>
    </w:p>
    <w:p w14:paraId="41BA175D"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18.6. all payments, including advance payments, and expenditures for the actually performed deliveries, the work carried out, and the services performed outside the eligibility period of the project expenditures specified in the project </w:t>
      </w:r>
      <w:proofErr w:type="gramStart"/>
      <w:r>
        <w:rPr>
          <w:rFonts w:ascii="Times New Roman" w:hAnsi="Times New Roman"/>
          <w:sz w:val="24"/>
        </w:rPr>
        <w:t>agreement;</w:t>
      </w:r>
      <w:proofErr w:type="gramEnd"/>
    </w:p>
    <w:p w14:paraId="1B1F1C9C"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18.7. debt interest, payment for servicing loans, and fine for late </w:t>
      </w:r>
      <w:proofErr w:type="gramStart"/>
      <w:r>
        <w:rPr>
          <w:rFonts w:ascii="Times New Roman" w:hAnsi="Times New Roman"/>
          <w:sz w:val="24"/>
        </w:rPr>
        <w:t>payment;</w:t>
      </w:r>
      <w:proofErr w:type="gramEnd"/>
    </w:p>
    <w:p w14:paraId="13994DA3"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18.8. value added tax to be </w:t>
      </w:r>
      <w:proofErr w:type="gramStart"/>
      <w:r>
        <w:rPr>
          <w:rFonts w:ascii="Times New Roman" w:hAnsi="Times New Roman"/>
          <w:sz w:val="24"/>
        </w:rPr>
        <w:t>recovered;</w:t>
      </w:r>
      <w:proofErr w:type="gramEnd"/>
    </w:p>
    <w:p w14:paraId="7B442C32"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18.9. costs which are not referred to in Paragraph 17 of this Regulation.</w:t>
      </w:r>
    </w:p>
    <w:p w14:paraId="1A5917ED" w14:textId="77777777" w:rsidR="00D84CFD" w:rsidRDefault="00D84CFD" w:rsidP="00CD1BCD">
      <w:pPr>
        <w:spacing w:after="0" w:line="240" w:lineRule="auto"/>
        <w:jc w:val="both"/>
        <w:rPr>
          <w:rFonts w:ascii="Times New Roman" w:eastAsia="Times New Roman" w:hAnsi="Times New Roman" w:cs="Times New Roman"/>
          <w:noProof/>
          <w:sz w:val="24"/>
          <w:szCs w:val="24"/>
        </w:rPr>
      </w:pPr>
      <w:bookmarkStart w:id="44" w:name="p-709209"/>
      <w:bookmarkStart w:id="45" w:name="p19"/>
      <w:bookmarkEnd w:id="44"/>
      <w:bookmarkEnd w:id="45"/>
    </w:p>
    <w:p w14:paraId="01606D09" w14:textId="2DC93092" w:rsidR="002F212F" w:rsidRPr="002F212F" w:rsidRDefault="002F212F" w:rsidP="00CD1BC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duration of the project implementation shall be three years from the day of entering into the project agreement with the possibility of extending it without granting additional financing, however, not longer than until 30 April 2024.</w:t>
      </w:r>
    </w:p>
    <w:p w14:paraId="5C37272C" w14:textId="77777777" w:rsidR="00D84CFD" w:rsidRDefault="00D84CFD" w:rsidP="00CD1BCD">
      <w:pPr>
        <w:spacing w:after="0" w:line="240" w:lineRule="auto"/>
        <w:jc w:val="both"/>
        <w:rPr>
          <w:rFonts w:ascii="Times New Roman" w:eastAsia="Times New Roman" w:hAnsi="Times New Roman" w:cs="Times New Roman"/>
          <w:noProof/>
          <w:sz w:val="24"/>
          <w:szCs w:val="24"/>
        </w:rPr>
      </w:pPr>
      <w:bookmarkStart w:id="46" w:name="p-765273"/>
      <w:bookmarkStart w:id="47" w:name="p19.1"/>
      <w:bookmarkEnd w:id="46"/>
      <w:bookmarkEnd w:id="47"/>
    </w:p>
    <w:p w14:paraId="6B4390EA" w14:textId="20CFBA9F" w:rsidR="002F212F" w:rsidRPr="002F212F" w:rsidRDefault="002F212F" w:rsidP="00CD1BC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w:t>
      </w:r>
      <w:r>
        <w:rPr>
          <w:rFonts w:ascii="Times New Roman" w:hAnsi="Times New Roman"/>
          <w:sz w:val="24"/>
          <w:vertAlign w:val="superscript"/>
        </w:rPr>
        <w:t>1</w:t>
      </w:r>
      <w:r>
        <w:rPr>
          <w:rFonts w:ascii="Times New Roman" w:hAnsi="Times New Roman"/>
          <w:sz w:val="24"/>
        </w:rPr>
        <w:t xml:space="preserve"> The depreciation period of the investments made into the project shall conform to the useful life of portable equipment.</w:t>
      </w:r>
    </w:p>
    <w:p w14:paraId="1A1B4604" w14:textId="77777777" w:rsidR="002F212F" w:rsidRPr="002F212F" w:rsidRDefault="002F212F" w:rsidP="00CD1BC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w:t>
      </w:r>
      <w:r>
        <w:rPr>
          <w:rFonts w:ascii="Times New Roman" w:hAnsi="Times New Roman"/>
          <w:sz w:val="24"/>
        </w:rPr>
        <w:t>]</w:t>
      </w:r>
    </w:p>
    <w:p w14:paraId="0F65566F" w14:textId="77777777" w:rsidR="00D84CFD" w:rsidRDefault="00D84CFD" w:rsidP="00CD1BCD">
      <w:pPr>
        <w:spacing w:after="0" w:line="240" w:lineRule="auto"/>
        <w:jc w:val="both"/>
        <w:rPr>
          <w:rFonts w:ascii="Times New Roman" w:eastAsia="Times New Roman" w:hAnsi="Times New Roman" w:cs="Times New Roman"/>
          <w:noProof/>
          <w:sz w:val="24"/>
          <w:szCs w:val="24"/>
        </w:rPr>
      </w:pPr>
      <w:bookmarkStart w:id="48" w:name="p-709210"/>
      <w:bookmarkStart w:id="49" w:name="p20"/>
      <w:bookmarkEnd w:id="48"/>
      <w:bookmarkEnd w:id="49"/>
    </w:p>
    <w:p w14:paraId="2359C0C6" w14:textId="4AE6B2C7" w:rsidR="002F212F" w:rsidRPr="002F212F" w:rsidRDefault="002F212F" w:rsidP="00CD1BC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Agency has the right to unilaterally terminate the project agreement if it is detected that:</w:t>
      </w:r>
    </w:p>
    <w:p w14:paraId="4545440C"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20.1. all expenditures of the project have been recognised as irregular </w:t>
      </w:r>
      <w:proofErr w:type="gramStart"/>
      <w:r>
        <w:rPr>
          <w:rFonts w:ascii="Times New Roman" w:hAnsi="Times New Roman"/>
          <w:sz w:val="24"/>
        </w:rPr>
        <w:t>expenditures;</w:t>
      </w:r>
      <w:proofErr w:type="gramEnd"/>
    </w:p>
    <w:p w14:paraId="0D504B37"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20.2. the project objective has not been achieved according to the project </w:t>
      </w:r>
      <w:proofErr w:type="gramStart"/>
      <w:r>
        <w:rPr>
          <w:rFonts w:ascii="Times New Roman" w:hAnsi="Times New Roman"/>
          <w:sz w:val="24"/>
        </w:rPr>
        <w:t>agreement;</w:t>
      </w:r>
      <w:proofErr w:type="gramEnd"/>
    </w:p>
    <w:p w14:paraId="5C624210"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20.3. that indicated in the request repeatedly expressed by the Agency regarding the project implementation has not been fulfilled during the project implementation according to the procedures and within the time period specified in the project agreement in accordance with the agreement </w:t>
      </w:r>
      <w:proofErr w:type="gramStart"/>
      <w:r>
        <w:rPr>
          <w:rFonts w:ascii="Times New Roman" w:hAnsi="Times New Roman"/>
          <w:sz w:val="24"/>
        </w:rPr>
        <w:t>entered into</w:t>
      </w:r>
      <w:proofErr w:type="gramEnd"/>
      <w:r>
        <w:rPr>
          <w:rFonts w:ascii="Times New Roman" w:hAnsi="Times New Roman"/>
          <w:sz w:val="24"/>
        </w:rPr>
        <w:t xml:space="preserve"> and the requirements of the laws and regulations specified therein.</w:t>
      </w:r>
    </w:p>
    <w:p w14:paraId="6373EF21" w14:textId="77777777" w:rsidR="00D84CFD" w:rsidRDefault="00D84CFD" w:rsidP="00CD1BCD">
      <w:pPr>
        <w:spacing w:after="0" w:line="240" w:lineRule="auto"/>
        <w:jc w:val="both"/>
        <w:rPr>
          <w:rFonts w:ascii="Times New Roman" w:eastAsia="Times New Roman" w:hAnsi="Times New Roman" w:cs="Times New Roman"/>
          <w:noProof/>
          <w:sz w:val="24"/>
          <w:szCs w:val="24"/>
        </w:rPr>
      </w:pPr>
      <w:bookmarkStart w:id="50" w:name="p-709211"/>
      <w:bookmarkStart w:id="51" w:name="p21"/>
      <w:bookmarkEnd w:id="50"/>
      <w:bookmarkEnd w:id="51"/>
    </w:p>
    <w:p w14:paraId="408D4BC9" w14:textId="3DB1A782" w:rsidR="002F212F" w:rsidRPr="002F212F" w:rsidRDefault="002F212F" w:rsidP="00CD1BC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If there are such eligible costs in the project which conform to full purchase price of equipment, the beneficiary of co-financing:</w:t>
      </w:r>
    </w:p>
    <w:p w14:paraId="07A12E0C"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21.1. shall keep the relevant equipment in its ownership for at least five years after approval of the final project report and continue to use it during this time period, promoting the achievement of general objectives of the </w:t>
      </w:r>
      <w:proofErr w:type="gramStart"/>
      <w:r>
        <w:rPr>
          <w:rFonts w:ascii="Times New Roman" w:hAnsi="Times New Roman"/>
          <w:sz w:val="24"/>
        </w:rPr>
        <w:t>project;</w:t>
      </w:r>
      <w:proofErr w:type="gramEnd"/>
    </w:p>
    <w:p w14:paraId="4D703589"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21.2. insure the relevant equipment against losses (for example, fire, theft, other risks to be usually insured) both during the project implementation and at least five years after approval of the final project </w:t>
      </w:r>
      <w:proofErr w:type="gramStart"/>
      <w:r>
        <w:rPr>
          <w:rFonts w:ascii="Times New Roman" w:hAnsi="Times New Roman"/>
          <w:sz w:val="24"/>
        </w:rPr>
        <w:t>report;</w:t>
      </w:r>
      <w:proofErr w:type="gramEnd"/>
    </w:p>
    <w:p w14:paraId="64C2A4EE"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21.3. provide for appropriate resources for the technical maintenance of equipment for at least five years after approval of the final project report. The resources must be sufficient to ensure the operation of equipment in full capacity.</w:t>
      </w:r>
    </w:p>
    <w:p w14:paraId="163FFEC9" w14:textId="77777777" w:rsidR="00D84CFD" w:rsidRDefault="00D84CFD" w:rsidP="00CD1BCD">
      <w:pPr>
        <w:spacing w:after="0" w:line="240" w:lineRule="auto"/>
        <w:jc w:val="both"/>
        <w:rPr>
          <w:rFonts w:ascii="Times New Roman" w:eastAsia="Times New Roman" w:hAnsi="Times New Roman" w:cs="Times New Roman"/>
          <w:noProof/>
          <w:sz w:val="24"/>
          <w:szCs w:val="24"/>
        </w:rPr>
      </w:pPr>
      <w:bookmarkStart w:id="52" w:name="p-709212"/>
      <w:bookmarkStart w:id="53" w:name="p22"/>
      <w:bookmarkEnd w:id="52"/>
      <w:bookmarkEnd w:id="53"/>
    </w:p>
    <w:p w14:paraId="1A3E2856" w14:textId="0AA5D098" w:rsidR="002F212F" w:rsidRPr="002F212F" w:rsidRDefault="002F212F" w:rsidP="00CD1BC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The beneficiary of co-financing shall submit an interim report of the project according to the procedures and within the time period specified in the project agreement, indicating detailed expenditures of the project, including the distribution of costs according to periods.</w:t>
      </w:r>
    </w:p>
    <w:p w14:paraId="57154821" w14:textId="77777777" w:rsidR="00D84CFD" w:rsidRDefault="00D84CFD" w:rsidP="00CD1BCD">
      <w:pPr>
        <w:spacing w:after="0" w:line="240" w:lineRule="auto"/>
        <w:jc w:val="both"/>
        <w:rPr>
          <w:rFonts w:ascii="Times New Roman" w:eastAsia="Times New Roman" w:hAnsi="Times New Roman" w:cs="Times New Roman"/>
          <w:noProof/>
          <w:sz w:val="24"/>
          <w:szCs w:val="24"/>
        </w:rPr>
      </w:pPr>
      <w:bookmarkStart w:id="54" w:name="p-765274"/>
      <w:bookmarkStart w:id="55" w:name="p23"/>
      <w:bookmarkEnd w:id="54"/>
      <w:bookmarkEnd w:id="55"/>
    </w:p>
    <w:p w14:paraId="5D9E37F8" w14:textId="1723E502" w:rsidR="002F212F" w:rsidRPr="002F212F" w:rsidRDefault="002F212F" w:rsidP="00CD1BC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beneficiary of co-financing may receive an interim payment if the interim report of the project contains an account regarding the utilisation of the advance of 70 per cent.</w:t>
      </w:r>
    </w:p>
    <w:p w14:paraId="19D5FEEF" w14:textId="77777777" w:rsidR="002F212F" w:rsidRPr="002F212F" w:rsidRDefault="002F212F" w:rsidP="00CD1BC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w:t>
      </w:r>
      <w:r>
        <w:rPr>
          <w:rFonts w:ascii="Times New Roman" w:hAnsi="Times New Roman"/>
          <w:sz w:val="24"/>
        </w:rPr>
        <w:t>]</w:t>
      </w:r>
    </w:p>
    <w:p w14:paraId="64C2253E" w14:textId="77777777" w:rsidR="00D84CFD" w:rsidRDefault="00D84CFD" w:rsidP="00CD1BCD">
      <w:pPr>
        <w:spacing w:after="0" w:line="240" w:lineRule="auto"/>
        <w:jc w:val="both"/>
        <w:rPr>
          <w:rFonts w:ascii="Times New Roman" w:eastAsia="Times New Roman" w:hAnsi="Times New Roman" w:cs="Times New Roman"/>
          <w:noProof/>
          <w:sz w:val="24"/>
          <w:szCs w:val="24"/>
        </w:rPr>
      </w:pPr>
      <w:bookmarkStart w:id="56" w:name="p-765275"/>
      <w:bookmarkStart w:id="57" w:name="p24"/>
      <w:bookmarkEnd w:id="56"/>
      <w:bookmarkEnd w:id="57"/>
    </w:p>
    <w:p w14:paraId="41A1E87F" w14:textId="667D01FD" w:rsidR="002F212F" w:rsidRPr="002F212F" w:rsidRDefault="002F212F" w:rsidP="00CD1BC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24. The beneficiary of co-financing shall ensure safe installation and use of the portable equipment referred to in Sub-paragraph 2.6 of this Regulation according to the provisions of the manufacturer.</w:t>
      </w:r>
    </w:p>
    <w:p w14:paraId="7B612986" w14:textId="77777777" w:rsidR="002F212F" w:rsidRPr="002F212F" w:rsidRDefault="002F212F" w:rsidP="00CD1BC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w:t>
      </w:r>
      <w:r>
        <w:rPr>
          <w:rFonts w:ascii="Times New Roman" w:hAnsi="Times New Roman"/>
          <w:sz w:val="24"/>
        </w:rPr>
        <w:t>]</w:t>
      </w:r>
    </w:p>
    <w:p w14:paraId="4C2ED510" w14:textId="77777777" w:rsidR="00D84CFD" w:rsidRDefault="00D84CFD" w:rsidP="00CD1BCD">
      <w:pPr>
        <w:spacing w:after="0" w:line="240" w:lineRule="auto"/>
        <w:jc w:val="both"/>
        <w:rPr>
          <w:rFonts w:ascii="Times New Roman" w:eastAsia="Times New Roman" w:hAnsi="Times New Roman" w:cs="Times New Roman"/>
          <w:noProof/>
          <w:sz w:val="24"/>
          <w:szCs w:val="24"/>
        </w:rPr>
      </w:pPr>
      <w:bookmarkStart w:id="58" w:name="p-709215"/>
      <w:bookmarkStart w:id="59" w:name="p25"/>
      <w:bookmarkEnd w:id="58"/>
      <w:bookmarkEnd w:id="59"/>
    </w:p>
    <w:p w14:paraId="5982EE44" w14:textId="071BAFAB" w:rsidR="002F212F" w:rsidRPr="002F212F" w:rsidRDefault="002F212F" w:rsidP="00CD1BC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Beneficiaries of co-financing and their partners shall perform purchase of goods and services for the needs of the project in an open, transparent, and non-discriminatory manner.</w:t>
      </w:r>
    </w:p>
    <w:p w14:paraId="03B0C597" w14:textId="77777777" w:rsidR="00D84CFD" w:rsidRDefault="00D84CFD" w:rsidP="00CD1BCD">
      <w:pPr>
        <w:spacing w:after="0" w:line="240" w:lineRule="auto"/>
        <w:jc w:val="both"/>
        <w:rPr>
          <w:rFonts w:ascii="Times New Roman" w:eastAsia="Times New Roman" w:hAnsi="Times New Roman" w:cs="Times New Roman"/>
          <w:noProof/>
          <w:sz w:val="24"/>
          <w:szCs w:val="24"/>
        </w:rPr>
      </w:pPr>
      <w:bookmarkStart w:id="60" w:name="p-765276"/>
      <w:bookmarkStart w:id="61" w:name="p25.1"/>
      <w:bookmarkEnd w:id="60"/>
      <w:bookmarkEnd w:id="61"/>
    </w:p>
    <w:p w14:paraId="0EFB98D2" w14:textId="3BB0AB84" w:rsidR="002F212F" w:rsidRPr="002F212F" w:rsidRDefault="002F212F" w:rsidP="00CD1BC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w:t>
      </w:r>
      <w:r>
        <w:rPr>
          <w:rFonts w:ascii="Times New Roman" w:hAnsi="Times New Roman"/>
          <w:sz w:val="24"/>
          <w:vertAlign w:val="superscript"/>
        </w:rPr>
        <w:t>1</w:t>
      </w:r>
      <w:r>
        <w:rPr>
          <w:rFonts w:ascii="Times New Roman" w:hAnsi="Times New Roman"/>
          <w:sz w:val="24"/>
        </w:rPr>
        <w:t xml:space="preserve"> The beneficiary of co-financing shall store all original copies of the documents related to the project implementation or their derivatives and ensure that they are available for inspection throughout the depreciation period of investments performed in the project. If the depreciation period of investments performed in the project is shorter than five years after approval of the final report, all original copies of documents related to the project implementation or their derivatives shall be </w:t>
      </w:r>
      <w:proofErr w:type="gramStart"/>
      <w:r>
        <w:rPr>
          <w:rFonts w:ascii="Times New Roman" w:hAnsi="Times New Roman"/>
          <w:sz w:val="24"/>
        </w:rPr>
        <w:t>stored</w:t>
      </w:r>
      <w:proofErr w:type="gramEnd"/>
      <w:r>
        <w:rPr>
          <w:rFonts w:ascii="Times New Roman" w:hAnsi="Times New Roman"/>
          <w:sz w:val="24"/>
        </w:rPr>
        <w:t xml:space="preserve"> and it shall be ensured that they are available for inspection at least five years after approval of the final project report.</w:t>
      </w:r>
    </w:p>
    <w:p w14:paraId="65227C44" w14:textId="77777777" w:rsidR="002F212F" w:rsidRPr="002F212F" w:rsidRDefault="002F212F" w:rsidP="00CD1BC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w:t>
      </w:r>
      <w:r>
        <w:rPr>
          <w:rFonts w:ascii="Times New Roman" w:hAnsi="Times New Roman"/>
          <w:sz w:val="24"/>
        </w:rPr>
        <w:t>]</w:t>
      </w:r>
    </w:p>
    <w:p w14:paraId="1A014444" w14:textId="77777777" w:rsidR="00D84CFD" w:rsidRDefault="00D84CFD" w:rsidP="00CD1BCD">
      <w:pPr>
        <w:spacing w:after="0" w:line="240" w:lineRule="auto"/>
        <w:jc w:val="both"/>
        <w:rPr>
          <w:rFonts w:ascii="Times New Roman" w:eastAsia="Times New Roman" w:hAnsi="Times New Roman" w:cs="Times New Roman"/>
          <w:noProof/>
          <w:sz w:val="24"/>
          <w:szCs w:val="24"/>
        </w:rPr>
      </w:pPr>
      <w:bookmarkStart w:id="62" w:name="n-709216"/>
      <w:bookmarkStart w:id="63" w:name="n3"/>
      <w:bookmarkEnd w:id="62"/>
      <w:bookmarkEnd w:id="63"/>
    </w:p>
    <w:p w14:paraId="77061D95" w14:textId="2F98F524" w:rsidR="002F212F" w:rsidRPr="002F212F" w:rsidRDefault="002F212F" w:rsidP="00D84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Measures for the Introduction of the Bilateral Cooperation Fund</w:t>
      </w:r>
    </w:p>
    <w:p w14:paraId="7049390B" w14:textId="77777777" w:rsidR="00D84CFD" w:rsidRDefault="00D84CFD" w:rsidP="00CD1BCD">
      <w:pPr>
        <w:spacing w:after="0" w:line="240" w:lineRule="auto"/>
        <w:jc w:val="both"/>
        <w:rPr>
          <w:rFonts w:ascii="Times New Roman" w:eastAsia="Times New Roman" w:hAnsi="Times New Roman" w:cs="Times New Roman"/>
          <w:noProof/>
          <w:sz w:val="24"/>
          <w:szCs w:val="24"/>
        </w:rPr>
      </w:pPr>
      <w:bookmarkStart w:id="64" w:name="p-709217"/>
      <w:bookmarkStart w:id="65" w:name="p26"/>
      <w:bookmarkEnd w:id="64"/>
      <w:bookmarkEnd w:id="65"/>
    </w:p>
    <w:p w14:paraId="40A9D803" w14:textId="3DA4A48B" w:rsidR="002F212F" w:rsidRPr="002F212F" w:rsidRDefault="002F212F" w:rsidP="00CD1BC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In accordance with the Memorandum of Understanding, EUR 50 000 have been granted for the implementation of the bilateral cooperation initiatives provided for in the Programme (hereinafter – the financing of the bilateral cooperation fund) which is the financing of the Norwegian Financial Mechanism in the amount of 100 per cent. Involvement of a partner of the donor state or a project partner, or an organisation of the donor state is mandatory for the implementation of the bilateral cooperation initiatives.</w:t>
      </w:r>
    </w:p>
    <w:p w14:paraId="5761D61B" w14:textId="77777777" w:rsidR="00D84CFD" w:rsidRDefault="00D84CFD" w:rsidP="00CD1BCD">
      <w:pPr>
        <w:spacing w:after="0" w:line="240" w:lineRule="auto"/>
        <w:jc w:val="both"/>
        <w:rPr>
          <w:rFonts w:ascii="Times New Roman" w:eastAsia="Times New Roman" w:hAnsi="Times New Roman" w:cs="Times New Roman"/>
          <w:noProof/>
          <w:sz w:val="24"/>
          <w:szCs w:val="24"/>
        </w:rPr>
      </w:pPr>
      <w:bookmarkStart w:id="66" w:name="p-709218"/>
      <w:bookmarkStart w:id="67" w:name="p27"/>
      <w:bookmarkEnd w:id="66"/>
      <w:bookmarkEnd w:id="67"/>
    </w:p>
    <w:p w14:paraId="4ED0C0BB" w14:textId="441E3EF3" w:rsidR="002F212F" w:rsidRPr="002F212F" w:rsidRDefault="002F212F" w:rsidP="00CD1BC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The following measures shall be supported within the scope of the financing of the bilateral cooperation fund:</w:t>
      </w:r>
    </w:p>
    <w:p w14:paraId="397EB760"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27.1. visits to Norway of the representatives of the project applicant and its potential Latvian project partners for training, exchange of experience, and planning of </w:t>
      </w:r>
      <w:proofErr w:type="gramStart"/>
      <w:r>
        <w:rPr>
          <w:rFonts w:ascii="Times New Roman" w:hAnsi="Times New Roman"/>
          <w:sz w:val="24"/>
        </w:rPr>
        <w:t>cooperation;</w:t>
      </w:r>
      <w:proofErr w:type="gramEnd"/>
    </w:p>
    <w:p w14:paraId="4D4DB7DD"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27.2. visits to Latvia of the potential Norwegian project partner in order to discuss and develop joint project activities, to provide support to the project applicant in preparation of the </w:t>
      </w:r>
      <w:proofErr w:type="gramStart"/>
      <w:r>
        <w:rPr>
          <w:rFonts w:ascii="Times New Roman" w:hAnsi="Times New Roman"/>
          <w:sz w:val="24"/>
        </w:rPr>
        <w:t>project;</w:t>
      </w:r>
      <w:proofErr w:type="gramEnd"/>
    </w:p>
    <w:p w14:paraId="399378E5" w14:textId="77777777" w:rsidR="002F212F" w:rsidRPr="002F212F" w:rsidRDefault="002F212F" w:rsidP="00D84C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27.3. measures organised by the Agency for the distribution of experience and project results of the beneficiary of co-financing and its project partners.</w:t>
      </w:r>
    </w:p>
    <w:p w14:paraId="723892EF" w14:textId="77777777" w:rsidR="00D84CFD" w:rsidRDefault="00D84CFD" w:rsidP="00CD1BCD">
      <w:pPr>
        <w:spacing w:after="0" w:line="240" w:lineRule="auto"/>
        <w:jc w:val="both"/>
        <w:rPr>
          <w:rFonts w:ascii="Times New Roman" w:eastAsia="Times New Roman" w:hAnsi="Times New Roman" w:cs="Times New Roman"/>
          <w:noProof/>
          <w:sz w:val="24"/>
          <w:szCs w:val="24"/>
        </w:rPr>
      </w:pPr>
      <w:bookmarkStart w:id="68" w:name="p-709219"/>
      <w:bookmarkStart w:id="69" w:name="p28"/>
      <w:bookmarkEnd w:id="68"/>
      <w:bookmarkEnd w:id="69"/>
    </w:p>
    <w:p w14:paraId="6991BA56" w14:textId="5F5F9DE0" w:rsidR="002F212F" w:rsidRPr="002F212F" w:rsidRDefault="002F212F" w:rsidP="00CD1BC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The plan of measures to be implemented within the scope of the financing of the bilateral cooperation fund shall be developed by the Programme Operator and approved by the cooperation committee.</w:t>
      </w:r>
    </w:p>
    <w:p w14:paraId="303D88C5" w14:textId="77777777" w:rsidR="00D84CFD" w:rsidRDefault="00D84CFD" w:rsidP="00CD1BCD">
      <w:pPr>
        <w:spacing w:after="0" w:line="240" w:lineRule="auto"/>
        <w:jc w:val="both"/>
        <w:rPr>
          <w:rFonts w:ascii="Times New Roman" w:eastAsia="Times New Roman" w:hAnsi="Times New Roman" w:cs="Times New Roman"/>
          <w:noProof/>
          <w:sz w:val="24"/>
          <w:szCs w:val="24"/>
        </w:rPr>
      </w:pPr>
      <w:bookmarkStart w:id="70" w:name="p-709220"/>
      <w:bookmarkStart w:id="71" w:name="p29"/>
      <w:bookmarkEnd w:id="70"/>
      <w:bookmarkEnd w:id="71"/>
    </w:p>
    <w:p w14:paraId="16A66A95" w14:textId="6ED659BD" w:rsidR="002F212F" w:rsidRPr="002F212F" w:rsidRDefault="002F212F" w:rsidP="00CD1BC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29. For the implementation of the measures referred to in Sub-paragraphs 27.1 and 27.2 of this Regulation the Agency shall </w:t>
      </w:r>
      <w:proofErr w:type="gramStart"/>
      <w:r>
        <w:rPr>
          <w:rFonts w:ascii="Times New Roman" w:hAnsi="Times New Roman"/>
          <w:sz w:val="24"/>
        </w:rPr>
        <w:t>enter into</w:t>
      </w:r>
      <w:proofErr w:type="gramEnd"/>
      <w:r>
        <w:rPr>
          <w:rFonts w:ascii="Times New Roman" w:hAnsi="Times New Roman"/>
          <w:sz w:val="24"/>
        </w:rPr>
        <w:t xml:space="preserve"> a contract with the project applicant or the potential Norwegian project partner and settle accounts according to the procedures laid down in this contract.</w:t>
      </w:r>
    </w:p>
    <w:p w14:paraId="05E8D9C6" w14:textId="77777777" w:rsidR="00D84CFD" w:rsidRDefault="00D84CFD" w:rsidP="00CD1BCD">
      <w:pPr>
        <w:spacing w:after="0" w:line="240" w:lineRule="auto"/>
        <w:jc w:val="both"/>
        <w:rPr>
          <w:rFonts w:ascii="Times New Roman" w:eastAsia="Times New Roman" w:hAnsi="Times New Roman" w:cs="Times New Roman"/>
          <w:noProof/>
          <w:sz w:val="24"/>
          <w:szCs w:val="24"/>
        </w:rPr>
      </w:pPr>
      <w:bookmarkStart w:id="72" w:name="p-709221"/>
      <w:bookmarkStart w:id="73" w:name="p30"/>
      <w:bookmarkEnd w:id="72"/>
      <w:bookmarkEnd w:id="73"/>
    </w:p>
    <w:p w14:paraId="09539AD8" w14:textId="43B4B0A1" w:rsidR="002F212F" w:rsidRPr="002F212F" w:rsidRDefault="002F212F" w:rsidP="00CD1BC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The Programme Operator has the right to submit an initiative to the committee of the bilateral cooperation fund in order to receive additional financing from the bilateral cooperation fund, approving the proposal with the cooperation committee beforehand.</w:t>
      </w:r>
    </w:p>
    <w:p w14:paraId="45697CBA" w14:textId="77777777" w:rsidR="00D84CFD" w:rsidRDefault="00D84CFD" w:rsidP="00CD1BCD">
      <w:pPr>
        <w:spacing w:after="0" w:line="240" w:lineRule="auto"/>
        <w:jc w:val="both"/>
        <w:rPr>
          <w:rFonts w:ascii="Times New Roman" w:eastAsia="Times New Roman" w:hAnsi="Times New Roman" w:cs="Times New Roman"/>
          <w:noProof/>
          <w:sz w:val="24"/>
          <w:szCs w:val="24"/>
          <w:lang w:eastAsia="lv-LV"/>
        </w:rPr>
      </w:pPr>
    </w:p>
    <w:p w14:paraId="6AB04850" w14:textId="77777777" w:rsidR="00D84CFD" w:rsidRDefault="00D84CFD" w:rsidP="00CD1BCD">
      <w:pPr>
        <w:spacing w:after="0" w:line="240" w:lineRule="auto"/>
        <w:jc w:val="both"/>
        <w:rPr>
          <w:rFonts w:ascii="Times New Roman" w:eastAsia="Times New Roman" w:hAnsi="Times New Roman" w:cs="Times New Roman"/>
          <w:noProof/>
          <w:sz w:val="24"/>
          <w:szCs w:val="24"/>
          <w:lang w:eastAsia="lv-LV"/>
        </w:rPr>
      </w:pPr>
    </w:p>
    <w:p w14:paraId="2FCDCC48" w14:textId="0B50FAF1" w:rsidR="00CD1BCD" w:rsidRPr="00D84CFD" w:rsidRDefault="002F212F" w:rsidP="00CD1BC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EC7470">
        <w:rPr>
          <w:rFonts w:ascii="Times New Roman" w:hAnsi="Times New Roman"/>
          <w:sz w:val="24"/>
        </w:rPr>
        <w:tab/>
      </w:r>
      <w:r w:rsidR="00EC7470">
        <w:rPr>
          <w:rFonts w:ascii="Times New Roman" w:hAnsi="Times New Roman"/>
          <w:sz w:val="24"/>
        </w:rPr>
        <w:tab/>
      </w:r>
      <w:r w:rsidR="00EC7470">
        <w:rPr>
          <w:rFonts w:ascii="Times New Roman" w:hAnsi="Times New Roman"/>
          <w:sz w:val="24"/>
        </w:rPr>
        <w:tab/>
      </w:r>
      <w:r w:rsidR="00EC7470">
        <w:rPr>
          <w:rFonts w:ascii="Times New Roman" w:hAnsi="Times New Roman"/>
          <w:sz w:val="24"/>
        </w:rPr>
        <w:tab/>
      </w:r>
      <w:r w:rsidR="00EC7470">
        <w:rPr>
          <w:rFonts w:ascii="Times New Roman" w:hAnsi="Times New Roman"/>
          <w:sz w:val="24"/>
        </w:rPr>
        <w:tab/>
      </w:r>
      <w:r w:rsidR="00EC7470">
        <w:rPr>
          <w:rFonts w:ascii="Times New Roman" w:hAnsi="Times New Roman"/>
          <w:sz w:val="24"/>
        </w:rPr>
        <w:tab/>
      </w:r>
      <w:r w:rsidR="00EC7470">
        <w:rPr>
          <w:rFonts w:ascii="Times New Roman" w:hAnsi="Times New Roman"/>
          <w:sz w:val="24"/>
        </w:rPr>
        <w:tab/>
      </w:r>
      <w:r w:rsidR="00EC7470">
        <w:rPr>
          <w:rFonts w:ascii="Times New Roman" w:hAnsi="Times New Roman"/>
          <w:sz w:val="24"/>
        </w:rPr>
        <w:tab/>
      </w:r>
      <w:r>
        <w:rPr>
          <w:rFonts w:ascii="Times New Roman" w:hAnsi="Times New Roman"/>
          <w:sz w:val="24"/>
        </w:rPr>
        <w:t>A. K. </w:t>
      </w:r>
      <w:proofErr w:type="spellStart"/>
      <w:r>
        <w:rPr>
          <w:rFonts w:ascii="Times New Roman" w:hAnsi="Times New Roman"/>
          <w:sz w:val="24"/>
        </w:rPr>
        <w:t>Kariņš</w:t>
      </w:r>
      <w:proofErr w:type="spellEnd"/>
    </w:p>
    <w:p w14:paraId="349722FE" w14:textId="77777777" w:rsidR="00D84CFD" w:rsidRPr="00D84CFD" w:rsidRDefault="00D84CFD" w:rsidP="00CD1BCD">
      <w:pPr>
        <w:spacing w:after="0" w:line="240" w:lineRule="auto"/>
        <w:jc w:val="both"/>
        <w:rPr>
          <w:rFonts w:ascii="Times New Roman" w:eastAsia="Times New Roman" w:hAnsi="Times New Roman" w:cs="Times New Roman"/>
          <w:noProof/>
          <w:sz w:val="24"/>
          <w:szCs w:val="24"/>
          <w:lang w:eastAsia="lv-LV"/>
        </w:rPr>
      </w:pPr>
    </w:p>
    <w:p w14:paraId="204675A8" w14:textId="368880EA" w:rsidR="00CD1BCD" w:rsidRPr="00D84CFD" w:rsidRDefault="002F212F" w:rsidP="00CD1BC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Minister for Education and Science</w:t>
      </w:r>
      <w:r w:rsidR="00EC7470">
        <w:rPr>
          <w:rFonts w:ascii="Times New Roman" w:hAnsi="Times New Roman"/>
          <w:sz w:val="24"/>
        </w:rPr>
        <w:tab/>
      </w:r>
      <w:r w:rsidR="00EC7470">
        <w:rPr>
          <w:rFonts w:ascii="Times New Roman" w:hAnsi="Times New Roman"/>
          <w:sz w:val="24"/>
        </w:rPr>
        <w:tab/>
      </w:r>
      <w:r w:rsidR="00EC7470">
        <w:rPr>
          <w:rFonts w:ascii="Times New Roman" w:hAnsi="Times New Roman"/>
          <w:sz w:val="24"/>
        </w:rPr>
        <w:tab/>
      </w:r>
      <w:r w:rsidR="00EC7470">
        <w:rPr>
          <w:rFonts w:ascii="Times New Roman" w:hAnsi="Times New Roman"/>
          <w:sz w:val="24"/>
        </w:rPr>
        <w:tab/>
      </w:r>
      <w:r w:rsidR="00EC7470">
        <w:rPr>
          <w:rFonts w:ascii="Times New Roman" w:hAnsi="Times New Roman"/>
          <w:sz w:val="24"/>
        </w:rPr>
        <w:tab/>
      </w:r>
      <w:r w:rsidR="00EC7470">
        <w:rPr>
          <w:rFonts w:ascii="Times New Roman" w:hAnsi="Times New Roman"/>
          <w:sz w:val="24"/>
        </w:rPr>
        <w:tab/>
      </w:r>
      <w:r>
        <w:rPr>
          <w:rFonts w:ascii="Times New Roman" w:hAnsi="Times New Roman"/>
          <w:sz w:val="24"/>
        </w:rPr>
        <w:t>I. </w:t>
      </w:r>
      <w:proofErr w:type="spellStart"/>
      <w:r>
        <w:rPr>
          <w:rFonts w:ascii="Times New Roman" w:hAnsi="Times New Roman"/>
          <w:sz w:val="24"/>
        </w:rPr>
        <w:t>Šuplinska</w:t>
      </w:r>
      <w:proofErr w:type="spellEnd"/>
    </w:p>
    <w:p w14:paraId="7BB69F4D" w14:textId="77777777" w:rsidR="00F915B2" w:rsidRDefault="00D84CFD">
      <w:pPr>
        <w:sectPr w:rsidR="00F915B2" w:rsidSect="00CD1BCD">
          <w:footerReference w:type="default" r:id="rId9"/>
          <w:footerReference w:type="first" r:id="rId10"/>
          <w:pgSz w:w="11906" w:h="16838" w:code="9"/>
          <w:pgMar w:top="1134" w:right="1134" w:bottom="1134" w:left="1701" w:header="567" w:footer="567" w:gutter="0"/>
          <w:cols w:space="708"/>
          <w:titlePg/>
          <w:docGrid w:linePitch="360"/>
        </w:sectPr>
      </w:pPr>
      <w:r>
        <w:br w:type="page"/>
      </w:r>
    </w:p>
    <w:p w14:paraId="36254CEF" w14:textId="77777777" w:rsidR="00D84CFD" w:rsidRDefault="00D84CFD" w:rsidP="00CD1BCD">
      <w:pPr>
        <w:spacing w:after="0" w:line="240" w:lineRule="auto"/>
        <w:jc w:val="both"/>
        <w:rPr>
          <w:rFonts w:ascii="Times New Roman" w:eastAsia="Times New Roman" w:hAnsi="Times New Roman" w:cs="Times New Roman"/>
          <w:noProof/>
          <w:sz w:val="24"/>
          <w:szCs w:val="24"/>
          <w:lang w:eastAsia="lv-LV"/>
        </w:rPr>
      </w:pPr>
    </w:p>
    <w:p w14:paraId="5B28424E" w14:textId="07D30A4B" w:rsidR="00CD1BCD" w:rsidRPr="00D84CFD" w:rsidRDefault="002F212F" w:rsidP="00D84CFD">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w:t>
      </w:r>
    </w:p>
    <w:p w14:paraId="22F48B52" w14:textId="77777777" w:rsidR="00CD1BCD" w:rsidRDefault="002F212F" w:rsidP="00D84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537</w:t>
      </w:r>
    </w:p>
    <w:p w14:paraId="19EB296E" w14:textId="74DEB447" w:rsidR="002F212F" w:rsidRDefault="002F212F" w:rsidP="00D84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19 November 2019</w:t>
      </w:r>
      <w:bookmarkStart w:id="78" w:name="piel-709223"/>
      <w:bookmarkStart w:id="79" w:name="piel0"/>
      <w:bookmarkEnd w:id="78"/>
      <w:bookmarkEnd w:id="79"/>
    </w:p>
    <w:p w14:paraId="1EB70BBE" w14:textId="6F4A4CEA" w:rsidR="00D84CFD" w:rsidRDefault="00D84CFD" w:rsidP="00CD1BCD">
      <w:pPr>
        <w:spacing w:after="0" w:line="240" w:lineRule="auto"/>
        <w:jc w:val="both"/>
        <w:rPr>
          <w:rFonts w:ascii="Times New Roman" w:eastAsia="Times New Roman" w:hAnsi="Times New Roman" w:cs="Times New Roman"/>
          <w:noProof/>
          <w:sz w:val="24"/>
          <w:szCs w:val="24"/>
          <w:lang w:eastAsia="lv-LV"/>
        </w:rPr>
      </w:pPr>
    </w:p>
    <w:p w14:paraId="1075A57F" w14:textId="77777777" w:rsidR="00D84CFD" w:rsidRPr="002F212F" w:rsidRDefault="00D84CFD" w:rsidP="00CD1BCD">
      <w:pPr>
        <w:spacing w:after="0" w:line="240" w:lineRule="auto"/>
        <w:jc w:val="both"/>
        <w:rPr>
          <w:rFonts w:ascii="Times New Roman" w:eastAsia="Times New Roman" w:hAnsi="Times New Roman" w:cs="Times New Roman"/>
          <w:noProof/>
          <w:sz w:val="24"/>
          <w:szCs w:val="24"/>
          <w:lang w:eastAsia="lv-LV"/>
        </w:rPr>
      </w:pPr>
    </w:p>
    <w:p w14:paraId="6DA11243" w14:textId="0C5AAF9D" w:rsidR="002F212F" w:rsidRPr="00D84CFD" w:rsidRDefault="002F212F" w:rsidP="00D84CFD">
      <w:pPr>
        <w:spacing w:after="0" w:line="240" w:lineRule="auto"/>
        <w:jc w:val="center"/>
        <w:rPr>
          <w:rFonts w:ascii="Times New Roman" w:eastAsia="Times New Roman" w:hAnsi="Times New Roman" w:cs="Times New Roman"/>
          <w:b/>
          <w:bCs/>
          <w:noProof/>
          <w:sz w:val="28"/>
          <w:szCs w:val="28"/>
        </w:rPr>
      </w:pPr>
      <w:bookmarkStart w:id="80" w:name="n-709224"/>
      <w:bookmarkStart w:id="81" w:name="709224"/>
      <w:bookmarkEnd w:id="80"/>
      <w:bookmarkEnd w:id="81"/>
      <w:r>
        <w:rPr>
          <w:rFonts w:ascii="Times New Roman" w:hAnsi="Times New Roman"/>
          <w:b/>
          <w:sz w:val="28"/>
        </w:rPr>
        <w:t>Results and Outcomes to be Achieved by the Activity “Innovation Centres” of the Programme “Research and Education” of the European Economic Area Financial Mechanism and the Norwegian Financial Mechanism for the Period 2014–2021, Their Indicators, Sources of Inspection, and Frequency of the Provision of Reports</w:t>
      </w:r>
    </w:p>
    <w:p w14:paraId="0E0FCF8A" w14:textId="0F9988C6" w:rsidR="00D84CFD" w:rsidRDefault="00D84CFD" w:rsidP="00CD1BCD">
      <w:pPr>
        <w:spacing w:after="0" w:line="240" w:lineRule="auto"/>
        <w:jc w:val="both"/>
        <w:rPr>
          <w:rFonts w:ascii="Times New Roman" w:eastAsia="Times New Roman" w:hAnsi="Times New Roman" w:cs="Times New Roman"/>
          <w:noProof/>
          <w:sz w:val="24"/>
          <w:szCs w:val="24"/>
          <w:lang w:eastAsia="lv-LV"/>
        </w:rPr>
      </w:pPr>
    </w:p>
    <w:p w14:paraId="1020CAC8" w14:textId="77777777" w:rsidR="00D84CFD" w:rsidRPr="002F212F" w:rsidRDefault="00D84CFD" w:rsidP="00CD1BCD">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50"/>
        <w:gridCol w:w="1439"/>
        <w:gridCol w:w="1753"/>
        <w:gridCol w:w="1736"/>
        <w:gridCol w:w="1769"/>
        <w:gridCol w:w="1494"/>
        <w:gridCol w:w="1391"/>
        <w:gridCol w:w="1167"/>
        <w:gridCol w:w="1066"/>
        <w:gridCol w:w="1528"/>
      </w:tblGrid>
      <w:tr w:rsidR="00D84CFD" w:rsidRPr="00EC7470" w14:paraId="1DE8D7B5" w14:textId="77777777" w:rsidTr="00EC7470">
        <w:tc>
          <w:tcPr>
            <w:tcW w:w="232" w:type="pct"/>
            <w:noWrap/>
            <w:vAlign w:val="center"/>
            <w:hideMark/>
          </w:tcPr>
          <w:p w14:paraId="5746821C"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No.</w:t>
            </w:r>
          </w:p>
        </w:tc>
        <w:tc>
          <w:tcPr>
            <w:tcW w:w="514" w:type="pct"/>
            <w:vAlign w:val="center"/>
            <w:hideMark/>
          </w:tcPr>
          <w:p w14:paraId="46FA4A0F"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Type</w:t>
            </w:r>
          </w:p>
        </w:tc>
        <w:tc>
          <w:tcPr>
            <w:tcW w:w="626" w:type="pct"/>
            <w:vAlign w:val="center"/>
            <w:hideMark/>
          </w:tcPr>
          <w:p w14:paraId="0AF7EBC8"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Results or outcome to be achieved by the Programme</w:t>
            </w:r>
          </w:p>
        </w:tc>
        <w:tc>
          <w:tcPr>
            <w:tcW w:w="620" w:type="pct"/>
            <w:vAlign w:val="center"/>
            <w:hideMark/>
          </w:tcPr>
          <w:p w14:paraId="641D1253"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Indicators</w:t>
            </w:r>
          </w:p>
        </w:tc>
        <w:tc>
          <w:tcPr>
            <w:tcW w:w="632" w:type="pct"/>
            <w:vAlign w:val="center"/>
            <w:hideMark/>
          </w:tcPr>
          <w:p w14:paraId="4A54DC9C"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Unit of measurement</w:t>
            </w:r>
          </w:p>
        </w:tc>
        <w:tc>
          <w:tcPr>
            <w:tcW w:w="534" w:type="pct"/>
            <w:vAlign w:val="center"/>
            <w:hideMark/>
          </w:tcPr>
          <w:p w14:paraId="34A01A13"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Source of inspection</w:t>
            </w:r>
          </w:p>
        </w:tc>
        <w:tc>
          <w:tcPr>
            <w:tcW w:w="497" w:type="pct"/>
            <w:vAlign w:val="center"/>
            <w:hideMark/>
          </w:tcPr>
          <w:p w14:paraId="7D1516BA"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Frequency of the provision of reports</w:t>
            </w:r>
          </w:p>
        </w:tc>
        <w:tc>
          <w:tcPr>
            <w:tcW w:w="417" w:type="pct"/>
            <w:vAlign w:val="center"/>
            <w:hideMark/>
          </w:tcPr>
          <w:p w14:paraId="2D15D6E1"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Starting stage</w:t>
            </w:r>
          </w:p>
        </w:tc>
        <w:tc>
          <w:tcPr>
            <w:tcW w:w="381" w:type="pct"/>
            <w:vAlign w:val="center"/>
            <w:hideMark/>
          </w:tcPr>
          <w:p w14:paraId="39E15293"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Starting year</w:t>
            </w:r>
          </w:p>
        </w:tc>
        <w:tc>
          <w:tcPr>
            <w:tcW w:w="546" w:type="pct"/>
            <w:vAlign w:val="center"/>
            <w:hideMark/>
          </w:tcPr>
          <w:p w14:paraId="1429AD44"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Target value</w:t>
            </w:r>
          </w:p>
        </w:tc>
      </w:tr>
      <w:tr w:rsidR="00D84CFD" w:rsidRPr="00EC7470" w14:paraId="54B4A750" w14:textId="77777777" w:rsidTr="00EC7470">
        <w:tc>
          <w:tcPr>
            <w:tcW w:w="232" w:type="pct"/>
            <w:vMerge w:val="restart"/>
            <w:hideMark/>
          </w:tcPr>
          <w:p w14:paraId="08A7F19B" w14:textId="77777777" w:rsidR="002F212F" w:rsidRPr="00EC7470" w:rsidRDefault="002F212F" w:rsidP="00CD1BCD">
            <w:pPr>
              <w:spacing w:after="0" w:line="240" w:lineRule="auto"/>
              <w:jc w:val="both"/>
              <w:rPr>
                <w:rFonts w:ascii="Times New Roman" w:eastAsia="Times New Roman" w:hAnsi="Times New Roman" w:cs="Times New Roman"/>
                <w:noProof/>
              </w:rPr>
            </w:pPr>
            <w:r w:rsidRPr="00EC7470">
              <w:rPr>
                <w:rFonts w:ascii="Times New Roman" w:hAnsi="Times New Roman"/>
              </w:rPr>
              <w:t>1.</w:t>
            </w:r>
          </w:p>
        </w:tc>
        <w:tc>
          <w:tcPr>
            <w:tcW w:w="514" w:type="pct"/>
            <w:vMerge w:val="restart"/>
            <w:hideMark/>
          </w:tcPr>
          <w:p w14:paraId="2DEC794A" w14:textId="77777777" w:rsidR="002F212F" w:rsidRPr="00EC7470" w:rsidRDefault="002F212F" w:rsidP="00CD1BCD">
            <w:pPr>
              <w:spacing w:after="0" w:line="240" w:lineRule="auto"/>
              <w:jc w:val="both"/>
              <w:rPr>
                <w:rFonts w:ascii="Times New Roman" w:eastAsia="Times New Roman" w:hAnsi="Times New Roman" w:cs="Times New Roman"/>
                <w:noProof/>
              </w:rPr>
            </w:pPr>
            <w:r w:rsidRPr="00EC7470">
              <w:rPr>
                <w:rFonts w:ascii="Times New Roman" w:hAnsi="Times New Roman"/>
              </w:rPr>
              <w:t>Result</w:t>
            </w:r>
          </w:p>
        </w:tc>
        <w:tc>
          <w:tcPr>
            <w:tcW w:w="626" w:type="pct"/>
            <w:vMerge w:val="restart"/>
            <w:hideMark/>
          </w:tcPr>
          <w:p w14:paraId="63F5C547" w14:textId="77777777" w:rsidR="002F212F" w:rsidRPr="00EC7470" w:rsidRDefault="002F212F" w:rsidP="00CD1BCD">
            <w:pPr>
              <w:spacing w:after="0" w:line="240" w:lineRule="auto"/>
              <w:jc w:val="both"/>
              <w:rPr>
                <w:rFonts w:ascii="Times New Roman" w:eastAsia="Times New Roman" w:hAnsi="Times New Roman" w:cs="Times New Roman"/>
                <w:noProof/>
              </w:rPr>
            </w:pPr>
            <w:r w:rsidRPr="00EC7470">
              <w:rPr>
                <w:rFonts w:ascii="Times New Roman" w:hAnsi="Times New Roman"/>
              </w:rPr>
              <w:t>Development of regional knowledge in the field of STEM (science, technology, engineering, mathematics) has been promoted</w:t>
            </w:r>
          </w:p>
        </w:tc>
        <w:tc>
          <w:tcPr>
            <w:tcW w:w="620" w:type="pct"/>
            <w:hideMark/>
          </w:tcPr>
          <w:p w14:paraId="669E13E0" w14:textId="77777777" w:rsidR="002F212F" w:rsidRPr="00EC7470" w:rsidRDefault="002F212F" w:rsidP="00CD1BCD">
            <w:pPr>
              <w:spacing w:after="0" w:line="240" w:lineRule="auto"/>
              <w:jc w:val="both"/>
              <w:rPr>
                <w:rFonts w:ascii="Times New Roman" w:eastAsia="Times New Roman" w:hAnsi="Times New Roman" w:cs="Times New Roman"/>
                <w:noProof/>
              </w:rPr>
            </w:pPr>
            <w:r w:rsidRPr="00EC7470">
              <w:rPr>
                <w:rFonts w:ascii="Times New Roman" w:hAnsi="Times New Roman"/>
              </w:rPr>
              <w:t xml:space="preserve">The number of </w:t>
            </w:r>
            <w:proofErr w:type="spellStart"/>
            <w:r w:rsidRPr="00EC7470">
              <w:rPr>
                <w:rFonts w:ascii="Times New Roman" w:hAnsi="Times New Roman"/>
              </w:rPr>
              <w:t>educatees</w:t>
            </w:r>
            <w:proofErr w:type="spellEnd"/>
            <w:r w:rsidRPr="00EC7470">
              <w:rPr>
                <w:rFonts w:ascii="Times New Roman" w:hAnsi="Times New Roman"/>
              </w:rPr>
              <w:t xml:space="preserve"> who have participated in the educational programmes organised at innovation centres (in division according to gender, age groups)</w:t>
            </w:r>
          </w:p>
        </w:tc>
        <w:tc>
          <w:tcPr>
            <w:tcW w:w="632" w:type="pct"/>
            <w:hideMark/>
          </w:tcPr>
          <w:p w14:paraId="596D6578"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Number</w:t>
            </w:r>
          </w:p>
        </w:tc>
        <w:tc>
          <w:tcPr>
            <w:tcW w:w="534" w:type="pct"/>
            <w:hideMark/>
          </w:tcPr>
          <w:p w14:paraId="54DA986A"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Reports of the beneficiary of co-financing</w:t>
            </w:r>
          </w:p>
        </w:tc>
        <w:tc>
          <w:tcPr>
            <w:tcW w:w="497" w:type="pct"/>
            <w:hideMark/>
          </w:tcPr>
          <w:p w14:paraId="611602F5"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Each year</w:t>
            </w:r>
          </w:p>
        </w:tc>
        <w:tc>
          <w:tcPr>
            <w:tcW w:w="417" w:type="pct"/>
            <w:hideMark/>
          </w:tcPr>
          <w:p w14:paraId="247C52CA"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0</w:t>
            </w:r>
          </w:p>
        </w:tc>
        <w:tc>
          <w:tcPr>
            <w:tcW w:w="381" w:type="pct"/>
            <w:hideMark/>
          </w:tcPr>
          <w:p w14:paraId="5080C46E"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N/A</w:t>
            </w:r>
          </w:p>
        </w:tc>
        <w:tc>
          <w:tcPr>
            <w:tcW w:w="546" w:type="pct"/>
            <w:hideMark/>
          </w:tcPr>
          <w:p w14:paraId="76FCA0E0"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800</w:t>
            </w:r>
          </w:p>
        </w:tc>
      </w:tr>
      <w:tr w:rsidR="00D84CFD" w:rsidRPr="00EC7470" w14:paraId="68692749" w14:textId="77777777" w:rsidTr="00EC7470">
        <w:tc>
          <w:tcPr>
            <w:tcW w:w="232" w:type="pct"/>
            <w:vMerge/>
            <w:hideMark/>
          </w:tcPr>
          <w:p w14:paraId="31837E4E" w14:textId="77777777" w:rsidR="002F212F" w:rsidRPr="00EC7470" w:rsidRDefault="002F212F" w:rsidP="00CD1BCD">
            <w:pPr>
              <w:spacing w:after="0" w:line="240" w:lineRule="auto"/>
              <w:jc w:val="both"/>
              <w:rPr>
                <w:rFonts w:ascii="Times New Roman" w:eastAsia="Times New Roman" w:hAnsi="Times New Roman" w:cs="Times New Roman"/>
                <w:noProof/>
                <w:lang w:eastAsia="lv-LV"/>
              </w:rPr>
            </w:pPr>
          </w:p>
        </w:tc>
        <w:tc>
          <w:tcPr>
            <w:tcW w:w="514" w:type="pct"/>
            <w:vMerge/>
            <w:hideMark/>
          </w:tcPr>
          <w:p w14:paraId="1C9152CD" w14:textId="77777777" w:rsidR="002F212F" w:rsidRPr="00EC7470" w:rsidRDefault="002F212F" w:rsidP="00CD1BCD">
            <w:pPr>
              <w:spacing w:after="0" w:line="240" w:lineRule="auto"/>
              <w:jc w:val="both"/>
              <w:rPr>
                <w:rFonts w:ascii="Times New Roman" w:eastAsia="Times New Roman" w:hAnsi="Times New Roman" w:cs="Times New Roman"/>
                <w:noProof/>
                <w:lang w:eastAsia="lv-LV"/>
              </w:rPr>
            </w:pPr>
          </w:p>
        </w:tc>
        <w:tc>
          <w:tcPr>
            <w:tcW w:w="626" w:type="pct"/>
            <w:vMerge/>
            <w:hideMark/>
          </w:tcPr>
          <w:p w14:paraId="0E223B7F" w14:textId="77777777" w:rsidR="002F212F" w:rsidRPr="00EC7470" w:rsidRDefault="002F212F" w:rsidP="00CD1BCD">
            <w:pPr>
              <w:spacing w:after="0" w:line="240" w:lineRule="auto"/>
              <w:jc w:val="both"/>
              <w:rPr>
                <w:rFonts w:ascii="Times New Roman" w:eastAsia="Times New Roman" w:hAnsi="Times New Roman" w:cs="Times New Roman"/>
                <w:noProof/>
                <w:lang w:eastAsia="lv-LV"/>
              </w:rPr>
            </w:pPr>
          </w:p>
        </w:tc>
        <w:tc>
          <w:tcPr>
            <w:tcW w:w="620" w:type="pct"/>
            <w:hideMark/>
          </w:tcPr>
          <w:p w14:paraId="52513361" w14:textId="77777777" w:rsidR="002F212F" w:rsidRPr="00EC7470" w:rsidRDefault="002F212F" w:rsidP="00CD1BCD">
            <w:pPr>
              <w:spacing w:after="0" w:line="240" w:lineRule="auto"/>
              <w:jc w:val="both"/>
              <w:rPr>
                <w:rFonts w:ascii="Times New Roman" w:eastAsia="Times New Roman" w:hAnsi="Times New Roman" w:cs="Times New Roman"/>
                <w:noProof/>
              </w:rPr>
            </w:pPr>
            <w:r w:rsidRPr="00EC7470">
              <w:rPr>
                <w:rFonts w:ascii="Times New Roman" w:hAnsi="Times New Roman"/>
              </w:rPr>
              <w:t xml:space="preserve">Part of </w:t>
            </w:r>
            <w:proofErr w:type="spellStart"/>
            <w:r w:rsidRPr="00EC7470">
              <w:rPr>
                <w:rFonts w:ascii="Times New Roman" w:hAnsi="Times New Roman"/>
              </w:rPr>
              <w:t>educatees</w:t>
            </w:r>
            <w:proofErr w:type="spellEnd"/>
            <w:r w:rsidRPr="00EC7470">
              <w:rPr>
                <w:rFonts w:ascii="Times New Roman" w:hAnsi="Times New Roman"/>
              </w:rPr>
              <w:t xml:space="preserve"> who have reported on increase in interest in the fields of STEM</w:t>
            </w:r>
          </w:p>
        </w:tc>
        <w:tc>
          <w:tcPr>
            <w:tcW w:w="632" w:type="pct"/>
            <w:hideMark/>
          </w:tcPr>
          <w:p w14:paraId="102CEB94"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Percentage</w:t>
            </w:r>
          </w:p>
        </w:tc>
        <w:tc>
          <w:tcPr>
            <w:tcW w:w="534" w:type="pct"/>
            <w:hideMark/>
          </w:tcPr>
          <w:p w14:paraId="2656505A"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Survey results</w:t>
            </w:r>
          </w:p>
        </w:tc>
        <w:tc>
          <w:tcPr>
            <w:tcW w:w="497" w:type="pct"/>
            <w:hideMark/>
          </w:tcPr>
          <w:p w14:paraId="58556064"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Each year</w:t>
            </w:r>
          </w:p>
        </w:tc>
        <w:tc>
          <w:tcPr>
            <w:tcW w:w="417" w:type="pct"/>
            <w:hideMark/>
          </w:tcPr>
          <w:p w14:paraId="5E5FB20B"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N/A</w:t>
            </w:r>
          </w:p>
        </w:tc>
        <w:tc>
          <w:tcPr>
            <w:tcW w:w="381" w:type="pct"/>
            <w:hideMark/>
          </w:tcPr>
          <w:p w14:paraId="183E4869"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N/A</w:t>
            </w:r>
          </w:p>
        </w:tc>
        <w:tc>
          <w:tcPr>
            <w:tcW w:w="546" w:type="pct"/>
            <w:hideMark/>
          </w:tcPr>
          <w:p w14:paraId="286C93A7"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 80 %</w:t>
            </w:r>
          </w:p>
        </w:tc>
      </w:tr>
      <w:tr w:rsidR="00D84CFD" w:rsidRPr="00EC7470" w14:paraId="5AC298B7" w14:textId="77777777" w:rsidTr="00EC7470">
        <w:tc>
          <w:tcPr>
            <w:tcW w:w="232" w:type="pct"/>
            <w:vMerge/>
            <w:hideMark/>
          </w:tcPr>
          <w:p w14:paraId="25150F83" w14:textId="77777777" w:rsidR="002F212F" w:rsidRPr="00EC7470" w:rsidRDefault="002F212F" w:rsidP="00CD1BCD">
            <w:pPr>
              <w:spacing w:after="0" w:line="240" w:lineRule="auto"/>
              <w:jc w:val="both"/>
              <w:rPr>
                <w:rFonts w:ascii="Times New Roman" w:eastAsia="Times New Roman" w:hAnsi="Times New Roman" w:cs="Times New Roman"/>
                <w:noProof/>
                <w:lang w:eastAsia="lv-LV"/>
              </w:rPr>
            </w:pPr>
          </w:p>
        </w:tc>
        <w:tc>
          <w:tcPr>
            <w:tcW w:w="514" w:type="pct"/>
            <w:vMerge/>
            <w:hideMark/>
          </w:tcPr>
          <w:p w14:paraId="3400CEF6" w14:textId="77777777" w:rsidR="002F212F" w:rsidRPr="00EC7470" w:rsidRDefault="002F212F" w:rsidP="00CD1BCD">
            <w:pPr>
              <w:spacing w:after="0" w:line="240" w:lineRule="auto"/>
              <w:jc w:val="both"/>
              <w:rPr>
                <w:rFonts w:ascii="Times New Roman" w:eastAsia="Times New Roman" w:hAnsi="Times New Roman" w:cs="Times New Roman"/>
                <w:noProof/>
                <w:lang w:eastAsia="lv-LV"/>
              </w:rPr>
            </w:pPr>
          </w:p>
        </w:tc>
        <w:tc>
          <w:tcPr>
            <w:tcW w:w="626" w:type="pct"/>
            <w:vMerge/>
            <w:hideMark/>
          </w:tcPr>
          <w:p w14:paraId="1E1079F4" w14:textId="77777777" w:rsidR="002F212F" w:rsidRPr="00EC7470" w:rsidRDefault="002F212F" w:rsidP="00CD1BCD">
            <w:pPr>
              <w:spacing w:after="0" w:line="240" w:lineRule="auto"/>
              <w:jc w:val="both"/>
              <w:rPr>
                <w:rFonts w:ascii="Times New Roman" w:eastAsia="Times New Roman" w:hAnsi="Times New Roman" w:cs="Times New Roman"/>
                <w:noProof/>
                <w:lang w:eastAsia="lv-LV"/>
              </w:rPr>
            </w:pPr>
          </w:p>
        </w:tc>
        <w:tc>
          <w:tcPr>
            <w:tcW w:w="620" w:type="pct"/>
            <w:hideMark/>
          </w:tcPr>
          <w:p w14:paraId="79233D29" w14:textId="77777777" w:rsidR="002F212F" w:rsidRPr="00EC7470" w:rsidRDefault="002F212F" w:rsidP="00CD1BCD">
            <w:pPr>
              <w:spacing w:after="0" w:line="240" w:lineRule="auto"/>
              <w:jc w:val="both"/>
              <w:rPr>
                <w:rFonts w:ascii="Times New Roman" w:eastAsia="Times New Roman" w:hAnsi="Times New Roman" w:cs="Times New Roman"/>
                <w:noProof/>
              </w:rPr>
            </w:pPr>
            <w:r w:rsidRPr="00EC7470">
              <w:rPr>
                <w:rFonts w:ascii="Times New Roman" w:hAnsi="Times New Roman"/>
              </w:rPr>
              <w:t xml:space="preserve">Part of teachers who have reported on improvement of competences in </w:t>
            </w:r>
            <w:r w:rsidRPr="00EC7470">
              <w:rPr>
                <w:rFonts w:ascii="Times New Roman" w:hAnsi="Times New Roman"/>
              </w:rPr>
              <w:lastRenderedPageBreak/>
              <w:t>teaching the fields of STEM</w:t>
            </w:r>
          </w:p>
        </w:tc>
        <w:tc>
          <w:tcPr>
            <w:tcW w:w="632" w:type="pct"/>
            <w:hideMark/>
          </w:tcPr>
          <w:p w14:paraId="57EE3E96"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lastRenderedPageBreak/>
              <w:t>Percentage</w:t>
            </w:r>
          </w:p>
        </w:tc>
        <w:tc>
          <w:tcPr>
            <w:tcW w:w="534" w:type="pct"/>
            <w:hideMark/>
          </w:tcPr>
          <w:p w14:paraId="69E3E186"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Survey results</w:t>
            </w:r>
          </w:p>
        </w:tc>
        <w:tc>
          <w:tcPr>
            <w:tcW w:w="497" w:type="pct"/>
            <w:hideMark/>
          </w:tcPr>
          <w:p w14:paraId="664FB422"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Each year</w:t>
            </w:r>
          </w:p>
        </w:tc>
        <w:tc>
          <w:tcPr>
            <w:tcW w:w="417" w:type="pct"/>
            <w:hideMark/>
          </w:tcPr>
          <w:p w14:paraId="1ABE701E"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N/A</w:t>
            </w:r>
          </w:p>
        </w:tc>
        <w:tc>
          <w:tcPr>
            <w:tcW w:w="381" w:type="pct"/>
            <w:hideMark/>
          </w:tcPr>
          <w:p w14:paraId="16DFFABB"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N/A</w:t>
            </w:r>
          </w:p>
        </w:tc>
        <w:tc>
          <w:tcPr>
            <w:tcW w:w="546" w:type="pct"/>
            <w:hideMark/>
          </w:tcPr>
          <w:p w14:paraId="29A28485"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 80 %</w:t>
            </w:r>
          </w:p>
        </w:tc>
      </w:tr>
      <w:tr w:rsidR="00D84CFD" w:rsidRPr="00EC7470" w14:paraId="178F4E58" w14:textId="77777777" w:rsidTr="00EC7470">
        <w:tc>
          <w:tcPr>
            <w:tcW w:w="232" w:type="pct"/>
            <w:vMerge w:val="restart"/>
            <w:hideMark/>
          </w:tcPr>
          <w:p w14:paraId="7669795F" w14:textId="77777777" w:rsidR="002F212F" w:rsidRPr="00EC7470" w:rsidRDefault="002F212F" w:rsidP="00CD1BCD">
            <w:pPr>
              <w:spacing w:after="0" w:line="240" w:lineRule="auto"/>
              <w:jc w:val="both"/>
              <w:rPr>
                <w:rFonts w:ascii="Times New Roman" w:eastAsia="Times New Roman" w:hAnsi="Times New Roman" w:cs="Times New Roman"/>
                <w:noProof/>
              </w:rPr>
            </w:pPr>
            <w:r w:rsidRPr="00EC7470">
              <w:rPr>
                <w:rFonts w:ascii="Times New Roman" w:hAnsi="Times New Roman"/>
              </w:rPr>
              <w:t>2.</w:t>
            </w:r>
          </w:p>
        </w:tc>
        <w:tc>
          <w:tcPr>
            <w:tcW w:w="514" w:type="pct"/>
            <w:vMerge w:val="restart"/>
            <w:hideMark/>
          </w:tcPr>
          <w:p w14:paraId="476229FF" w14:textId="77777777" w:rsidR="002F212F" w:rsidRPr="00EC7470" w:rsidRDefault="002F212F" w:rsidP="00CD1BCD">
            <w:pPr>
              <w:spacing w:after="0" w:line="240" w:lineRule="auto"/>
              <w:jc w:val="both"/>
              <w:rPr>
                <w:rFonts w:ascii="Times New Roman" w:eastAsia="Times New Roman" w:hAnsi="Times New Roman" w:cs="Times New Roman"/>
                <w:noProof/>
              </w:rPr>
            </w:pPr>
            <w:r w:rsidRPr="00EC7470">
              <w:rPr>
                <w:rFonts w:ascii="Times New Roman" w:hAnsi="Times New Roman"/>
              </w:rPr>
              <w:t>Outcome</w:t>
            </w:r>
          </w:p>
        </w:tc>
        <w:tc>
          <w:tcPr>
            <w:tcW w:w="626" w:type="pct"/>
            <w:vMerge w:val="restart"/>
            <w:hideMark/>
          </w:tcPr>
          <w:p w14:paraId="1BF1F87A" w14:textId="77777777" w:rsidR="002F212F" w:rsidRPr="00EC7470" w:rsidRDefault="002F212F" w:rsidP="00CD1BCD">
            <w:pPr>
              <w:spacing w:after="0" w:line="240" w:lineRule="auto"/>
              <w:jc w:val="both"/>
              <w:rPr>
                <w:rFonts w:ascii="Times New Roman" w:eastAsia="Times New Roman" w:hAnsi="Times New Roman" w:cs="Times New Roman"/>
                <w:noProof/>
              </w:rPr>
            </w:pPr>
            <w:r w:rsidRPr="00EC7470">
              <w:rPr>
                <w:rFonts w:ascii="Times New Roman" w:hAnsi="Times New Roman"/>
              </w:rPr>
              <w:t>Educational programmes and programmes of training methodology implemented at innovation centres</w:t>
            </w:r>
          </w:p>
        </w:tc>
        <w:tc>
          <w:tcPr>
            <w:tcW w:w="620" w:type="pct"/>
            <w:hideMark/>
          </w:tcPr>
          <w:p w14:paraId="2CD615D2" w14:textId="77777777" w:rsidR="002F212F" w:rsidRPr="00EC7470" w:rsidRDefault="002F212F" w:rsidP="00CD1BCD">
            <w:pPr>
              <w:spacing w:after="0" w:line="240" w:lineRule="auto"/>
              <w:jc w:val="both"/>
              <w:rPr>
                <w:rFonts w:ascii="Times New Roman" w:eastAsia="Times New Roman" w:hAnsi="Times New Roman" w:cs="Times New Roman"/>
                <w:noProof/>
              </w:rPr>
            </w:pPr>
            <w:r w:rsidRPr="00EC7470">
              <w:rPr>
                <w:rFonts w:ascii="Times New Roman" w:hAnsi="Times New Roman"/>
              </w:rPr>
              <w:t>Number of educational programmes implemented at innovation centres</w:t>
            </w:r>
          </w:p>
        </w:tc>
        <w:tc>
          <w:tcPr>
            <w:tcW w:w="632" w:type="pct"/>
            <w:hideMark/>
          </w:tcPr>
          <w:p w14:paraId="2C0FE74A"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Number</w:t>
            </w:r>
          </w:p>
        </w:tc>
        <w:tc>
          <w:tcPr>
            <w:tcW w:w="534" w:type="pct"/>
            <w:hideMark/>
          </w:tcPr>
          <w:p w14:paraId="7928DF17"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Reports of the beneficiary of co-financing</w:t>
            </w:r>
          </w:p>
        </w:tc>
        <w:tc>
          <w:tcPr>
            <w:tcW w:w="497" w:type="pct"/>
            <w:hideMark/>
          </w:tcPr>
          <w:p w14:paraId="3003740F"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Twice a year</w:t>
            </w:r>
          </w:p>
        </w:tc>
        <w:tc>
          <w:tcPr>
            <w:tcW w:w="417" w:type="pct"/>
            <w:hideMark/>
          </w:tcPr>
          <w:p w14:paraId="0F884349"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0</w:t>
            </w:r>
          </w:p>
        </w:tc>
        <w:tc>
          <w:tcPr>
            <w:tcW w:w="381" w:type="pct"/>
            <w:hideMark/>
          </w:tcPr>
          <w:p w14:paraId="798A0735"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N/A</w:t>
            </w:r>
          </w:p>
        </w:tc>
        <w:tc>
          <w:tcPr>
            <w:tcW w:w="546" w:type="pct"/>
            <w:hideMark/>
          </w:tcPr>
          <w:p w14:paraId="3F43653B"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12</w:t>
            </w:r>
          </w:p>
        </w:tc>
      </w:tr>
      <w:tr w:rsidR="00D84CFD" w:rsidRPr="00EC7470" w14:paraId="6B771113" w14:textId="77777777" w:rsidTr="00EC7470">
        <w:tc>
          <w:tcPr>
            <w:tcW w:w="232" w:type="pct"/>
            <w:vMerge/>
            <w:hideMark/>
          </w:tcPr>
          <w:p w14:paraId="6FBD4B80" w14:textId="77777777" w:rsidR="002F212F" w:rsidRPr="00EC7470" w:rsidRDefault="002F212F" w:rsidP="00CD1BCD">
            <w:pPr>
              <w:spacing w:after="0" w:line="240" w:lineRule="auto"/>
              <w:jc w:val="both"/>
              <w:rPr>
                <w:rFonts w:ascii="Times New Roman" w:eastAsia="Times New Roman" w:hAnsi="Times New Roman" w:cs="Times New Roman"/>
                <w:noProof/>
                <w:lang w:eastAsia="lv-LV"/>
              </w:rPr>
            </w:pPr>
          </w:p>
        </w:tc>
        <w:tc>
          <w:tcPr>
            <w:tcW w:w="514" w:type="pct"/>
            <w:vMerge/>
            <w:hideMark/>
          </w:tcPr>
          <w:p w14:paraId="4C065CEB" w14:textId="77777777" w:rsidR="002F212F" w:rsidRPr="00EC7470" w:rsidRDefault="002F212F" w:rsidP="00CD1BCD">
            <w:pPr>
              <w:spacing w:after="0" w:line="240" w:lineRule="auto"/>
              <w:jc w:val="both"/>
              <w:rPr>
                <w:rFonts w:ascii="Times New Roman" w:eastAsia="Times New Roman" w:hAnsi="Times New Roman" w:cs="Times New Roman"/>
                <w:noProof/>
                <w:lang w:eastAsia="lv-LV"/>
              </w:rPr>
            </w:pPr>
          </w:p>
        </w:tc>
        <w:tc>
          <w:tcPr>
            <w:tcW w:w="626" w:type="pct"/>
            <w:vMerge/>
            <w:hideMark/>
          </w:tcPr>
          <w:p w14:paraId="2B27811C" w14:textId="77777777" w:rsidR="002F212F" w:rsidRPr="00EC7470" w:rsidRDefault="002F212F" w:rsidP="00CD1BCD">
            <w:pPr>
              <w:spacing w:after="0" w:line="240" w:lineRule="auto"/>
              <w:jc w:val="both"/>
              <w:rPr>
                <w:rFonts w:ascii="Times New Roman" w:eastAsia="Times New Roman" w:hAnsi="Times New Roman" w:cs="Times New Roman"/>
                <w:noProof/>
                <w:lang w:eastAsia="lv-LV"/>
              </w:rPr>
            </w:pPr>
          </w:p>
        </w:tc>
        <w:tc>
          <w:tcPr>
            <w:tcW w:w="620" w:type="pct"/>
            <w:hideMark/>
          </w:tcPr>
          <w:p w14:paraId="2590CB91" w14:textId="77777777" w:rsidR="002F212F" w:rsidRPr="00EC7470" w:rsidRDefault="002F212F" w:rsidP="00CD1BCD">
            <w:pPr>
              <w:spacing w:after="0" w:line="240" w:lineRule="auto"/>
              <w:jc w:val="both"/>
              <w:rPr>
                <w:rFonts w:ascii="Times New Roman" w:eastAsia="Times New Roman" w:hAnsi="Times New Roman" w:cs="Times New Roman"/>
                <w:noProof/>
              </w:rPr>
            </w:pPr>
            <w:r w:rsidRPr="00EC7470">
              <w:rPr>
                <w:rFonts w:ascii="Times New Roman" w:hAnsi="Times New Roman"/>
              </w:rPr>
              <w:t>Number of teachers involved in educational programmes and workshops (in division according to gender)</w:t>
            </w:r>
          </w:p>
        </w:tc>
        <w:tc>
          <w:tcPr>
            <w:tcW w:w="632" w:type="pct"/>
            <w:hideMark/>
          </w:tcPr>
          <w:p w14:paraId="3EDE3C96"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Number</w:t>
            </w:r>
          </w:p>
        </w:tc>
        <w:tc>
          <w:tcPr>
            <w:tcW w:w="534" w:type="pct"/>
            <w:hideMark/>
          </w:tcPr>
          <w:p w14:paraId="6EC72832"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Reports of the beneficiary of co-financing</w:t>
            </w:r>
          </w:p>
        </w:tc>
        <w:tc>
          <w:tcPr>
            <w:tcW w:w="497" w:type="pct"/>
            <w:hideMark/>
          </w:tcPr>
          <w:p w14:paraId="695E00F8"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Twice a year</w:t>
            </w:r>
          </w:p>
        </w:tc>
        <w:tc>
          <w:tcPr>
            <w:tcW w:w="417" w:type="pct"/>
            <w:hideMark/>
          </w:tcPr>
          <w:p w14:paraId="56581F35"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0</w:t>
            </w:r>
          </w:p>
        </w:tc>
        <w:tc>
          <w:tcPr>
            <w:tcW w:w="381" w:type="pct"/>
            <w:hideMark/>
          </w:tcPr>
          <w:p w14:paraId="0DB20A6D"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N/A</w:t>
            </w:r>
          </w:p>
        </w:tc>
        <w:tc>
          <w:tcPr>
            <w:tcW w:w="546" w:type="pct"/>
            <w:hideMark/>
          </w:tcPr>
          <w:p w14:paraId="0246A6BB"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200</w:t>
            </w:r>
          </w:p>
        </w:tc>
      </w:tr>
      <w:tr w:rsidR="00D84CFD" w:rsidRPr="00EC7470" w14:paraId="36039068" w14:textId="77777777" w:rsidTr="00EC7470">
        <w:tc>
          <w:tcPr>
            <w:tcW w:w="232" w:type="pct"/>
            <w:vMerge w:val="restart"/>
            <w:hideMark/>
          </w:tcPr>
          <w:p w14:paraId="51D6E823" w14:textId="77777777" w:rsidR="002F212F" w:rsidRPr="00EC7470" w:rsidRDefault="002F212F" w:rsidP="00CD1BCD">
            <w:pPr>
              <w:spacing w:after="0" w:line="240" w:lineRule="auto"/>
              <w:jc w:val="both"/>
              <w:rPr>
                <w:rFonts w:ascii="Times New Roman" w:eastAsia="Times New Roman" w:hAnsi="Times New Roman" w:cs="Times New Roman"/>
                <w:noProof/>
              </w:rPr>
            </w:pPr>
            <w:r w:rsidRPr="00EC7470">
              <w:rPr>
                <w:rFonts w:ascii="Times New Roman" w:hAnsi="Times New Roman"/>
              </w:rPr>
              <w:t>3.</w:t>
            </w:r>
          </w:p>
        </w:tc>
        <w:tc>
          <w:tcPr>
            <w:tcW w:w="514" w:type="pct"/>
            <w:vMerge w:val="restart"/>
            <w:hideMark/>
          </w:tcPr>
          <w:p w14:paraId="3C945637" w14:textId="77777777" w:rsidR="002F212F" w:rsidRPr="00EC7470" w:rsidRDefault="002F212F" w:rsidP="00CD1BCD">
            <w:pPr>
              <w:spacing w:after="0" w:line="240" w:lineRule="auto"/>
              <w:jc w:val="both"/>
              <w:rPr>
                <w:rFonts w:ascii="Times New Roman" w:eastAsia="Times New Roman" w:hAnsi="Times New Roman" w:cs="Times New Roman"/>
                <w:noProof/>
              </w:rPr>
            </w:pPr>
            <w:r w:rsidRPr="00EC7470">
              <w:rPr>
                <w:rFonts w:ascii="Times New Roman" w:hAnsi="Times New Roman"/>
              </w:rPr>
              <w:t>Result of bilateral cooperation</w:t>
            </w:r>
          </w:p>
        </w:tc>
        <w:tc>
          <w:tcPr>
            <w:tcW w:w="626" w:type="pct"/>
            <w:vMerge w:val="restart"/>
            <w:hideMark/>
          </w:tcPr>
          <w:p w14:paraId="21BC4B1B" w14:textId="77777777" w:rsidR="002F212F" w:rsidRPr="00EC7470" w:rsidRDefault="002F212F" w:rsidP="00CD1BCD">
            <w:pPr>
              <w:spacing w:after="0" w:line="240" w:lineRule="auto"/>
              <w:jc w:val="both"/>
              <w:rPr>
                <w:rFonts w:ascii="Times New Roman" w:eastAsia="Times New Roman" w:hAnsi="Times New Roman" w:cs="Times New Roman"/>
                <w:noProof/>
              </w:rPr>
            </w:pPr>
            <w:r w:rsidRPr="00EC7470">
              <w:rPr>
                <w:rFonts w:ascii="Times New Roman" w:hAnsi="Times New Roman"/>
              </w:rPr>
              <w:t>Cooperation among the organisations of recipient countries and donor states involved in the Programme has been improved</w:t>
            </w:r>
          </w:p>
        </w:tc>
        <w:tc>
          <w:tcPr>
            <w:tcW w:w="620" w:type="pct"/>
            <w:hideMark/>
          </w:tcPr>
          <w:p w14:paraId="4F9A1D74" w14:textId="77777777" w:rsidR="002F212F" w:rsidRPr="00EC7470" w:rsidRDefault="002F212F" w:rsidP="00CD1BCD">
            <w:pPr>
              <w:spacing w:after="0" w:line="240" w:lineRule="auto"/>
              <w:jc w:val="both"/>
              <w:rPr>
                <w:rFonts w:ascii="Times New Roman" w:eastAsia="Times New Roman" w:hAnsi="Times New Roman" w:cs="Times New Roman"/>
                <w:noProof/>
              </w:rPr>
            </w:pPr>
            <w:r w:rsidRPr="00EC7470">
              <w:rPr>
                <w:rFonts w:ascii="Times New Roman" w:hAnsi="Times New Roman"/>
              </w:rPr>
              <w:t>Level of satisfaction with partnership (in division according to the types of states)</w:t>
            </w:r>
          </w:p>
        </w:tc>
        <w:tc>
          <w:tcPr>
            <w:tcW w:w="632" w:type="pct"/>
            <w:hideMark/>
          </w:tcPr>
          <w:p w14:paraId="6668D264"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Measurement from 1 to 7</w:t>
            </w:r>
          </w:p>
        </w:tc>
        <w:tc>
          <w:tcPr>
            <w:tcW w:w="534" w:type="pct"/>
            <w:hideMark/>
          </w:tcPr>
          <w:p w14:paraId="5E5C2BB4"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Survey results</w:t>
            </w:r>
          </w:p>
        </w:tc>
        <w:tc>
          <w:tcPr>
            <w:tcW w:w="497" w:type="pct"/>
            <w:hideMark/>
          </w:tcPr>
          <w:p w14:paraId="11058F61"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Each year</w:t>
            </w:r>
          </w:p>
        </w:tc>
        <w:tc>
          <w:tcPr>
            <w:tcW w:w="417" w:type="pct"/>
            <w:hideMark/>
          </w:tcPr>
          <w:p w14:paraId="1D5A40CD"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Will be updated</w:t>
            </w:r>
            <w:r w:rsidRPr="00EC7470">
              <w:rPr>
                <w:rFonts w:ascii="Times New Roman" w:hAnsi="Times New Roman"/>
                <w:vertAlign w:val="superscript"/>
              </w:rPr>
              <w:t>1</w:t>
            </w:r>
          </w:p>
        </w:tc>
        <w:tc>
          <w:tcPr>
            <w:tcW w:w="381" w:type="pct"/>
            <w:hideMark/>
          </w:tcPr>
          <w:p w14:paraId="2A74B3AB"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Will be updated</w:t>
            </w:r>
          </w:p>
        </w:tc>
        <w:tc>
          <w:tcPr>
            <w:tcW w:w="546" w:type="pct"/>
            <w:hideMark/>
          </w:tcPr>
          <w:p w14:paraId="5A1D6DA1"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 4.5 and increase in comparison with the initial state</w:t>
            </w:r>
          </w:p>
        </w:tc>
      </w:tr>
      <w:tr w:rsidR="00D84CFD" w:rsidRPr="00EC7470" w14:paraId="28A1A5DC" w14:textId="77777777" w:rsidTr="00EC7470">
        <w:tc>
          <w:tcPr>
            <w:tcW w:w="232" w:type="pct"/>
            <w:vMerge/>
            <w:hideMark/>
          </w:tcPr>
          <w:p w14:paraId="41C7B43B" w14:textId="77777777" w:rsidR="002F212F" w:rsidRPr="00EC7470" w:rsidRDefault="002F212F" w:rsidP="00CD1BCD">
            <w:pPr>
              <w:spacing w:after="0" w:line="240" w:lineRule="auto"/>
              <w:jc w:val="both"/>
              <w:rPr>
                <w:rFonts w:ascii="Times New Roman" w:eastAsia="Times New Roman" w:hAnsi="Times New Roman" w:cs="Times New Roman"/>
                <w:noProof/>
                <w:lang w:eastAsia="lv-LV"/>
              </w:rPr>
            </w:pPr>
          </w:p>
        </w:tc>
        <w:tc>
          <w:tcPr>
            <w:tcW w:w="514" w:type="pct"/>
            <w:vMerge/>
            <w:hideMark/>
          </w:tcPr>
          <w:p w14:paraId="255A1C18" w14:textId="77777777" w:rsidR="002F212F" w:rsidRPr="00EC7470" w:rsidRDefault="002F212F" w:rsidP="00CD1BCD">
            <w:pPr>
              <w:spacing w:after="0" w:line="240" w:lineRule="auto"/>
              <w:jc w:val="both"/>
              <w:rPr>
                <w:rFonts w:ascii="Times New Roman" w:eastAsia="Times New Roman" w:hAnsi="Times New Roman" w:cs="Times New Roman"/>
                <w:noProof/>
                <w:lang w:eastAsia="lv-LV"/>
              </w:rPr>
            </w:pPr>
          </w:p>
        </w:tc>
        <w:tc>
          <w:tcPr>
            <w:tcW w:w="626" w:type="pct"/>
            <w:vMerge/>
            <w:hideMark/>
          </w:tcPr>
          <w:p w14:paraId="0CF48456" w14:textId="77777777" w:rsidR="002F212F" w:rsidRPr="00EC7470" w:rsidRDefault="002F212F" w:rsidP="00CD1BCD">
            <w:pPr>
              <w:spacing w:after="0" w:line="240" w:lineRule="auto"/>
              <w:jc w:val="both"/>
              <w:rPr>
                <w:rFonts w:ascii="Times New Roman" w:eastAsia="Times New Roman" w:hAnsi="Times New Roman" w:cs="Times New Roman"/>
                <w:noProof/>
                <w:lang w:eastAsia="lv-LV"/>
              </w:rPr>
            </w:pPr>
          </w:p>
        </w:tc>
        <w:tc>
          <w:tcPr>
            <w:tcW w:w="620" w:type="pct"/>
            <w:hideMark/>
          </w:tcPr>
          <w:p w14:paraId="1B8592E3" w14:textId="77777777" w:rsidR="002F212F" w:rsidRPr="00EC7470" w:rsidRDefault="002F212F" w:rsidP="00CD1BCD">
            <w:pPr>
              <w:spacing w:after="0" w:line="240" w:lineRule="auto"/>
              <w:jc w:val="both"/>
              <w:rPr>
                <w:rFonts w:ascii="Times New Roman" w:eastAsia="Times New Roman" w:hAnsi="Times New Roman" w:cs="Times New Roman"/>
                <w:noProof/>
              </w:rPr>
            </w:pPr>
            <w:r w:rsidRPr="00EC7470">
              <w:rPr>
                <w:rFonts w:ascii="Times New Roman" w:hAnsi="Times New Roman"/>
              </w:rPr>
              <w:t>Level of trust among the organisations of recipient countries and donor states involved in cooperation (in division according to the types of states)</w:t>
            </w:r>
          </w:p>
        </w:tc>
        <w:tc>
          <w:tcPr>
            <w:tcW w:w="632" w:type="pct"/>
            <w:hideMark/>
          </w:tcPr>
          <w:p w14:paraId="6E60D86B"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Measurement from 1 to 7</w:t>
            </w:r>
          </w:p>
        </w:tc>
        <w:tc>
          <w:tcPr>
            <w:tcW w:w="534" w:type="pct"/>
            <w:hideMark/>
          </w:tcPr>
          <w:p w14:paraId="145B656E"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Survey results</w:t>
            </w:r>
          </w:p>
        </w:tc>
        <w:tc>
          <w:tcPr>
            <w:tcW w:w="497" w:type="pct"/>
            <w:hideMark/>
          </w:tcPr>
          <w:p w14:paraId="114ED773"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Each year</w:t>
            </w:r>
          </w:p>
        </w:tc>
        <w:tc>
          <w:tcPr>
            <w:tcW w:w="417" w:type="pct"/>
            <w:hideMark/>
          </w:tcPr>
          <w:p w14:paraId="18AC09E2"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Will be updated</w:t>
            </w:r>
            <w:r w:rsidRPr="00EC7470">
              <w:rPr>
                <w:rFonts w:ascii="Times New Roman" w:hAnsi="Times New Roman"/>
                <w:vertAlign w:val="superscript"/>
              </w:rPr>
              <w:t>1</w:t>
            </w:r>
          </w:p>
        </w:tc>
        <w:tc>
          <w:tcPr>
            <w:tcW w:w="381" w:type="pct"/>
            <w:hideMark/>
          </w:tcPr>
          <w:p w14:paraId="1B03D1EF"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Will be updated</w:t>
            </w:r>
          </w:p>
        </w:tc>
        <w:tc>
          <w:tcPr>
            <w:tcW w:w="546" w:type="pct"/>
            <w:hideMark/>
          </w:tcPr>
          <w:p w14:paraId="7C998574"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 4.5 and increase in comparison with the initial state</w:t>
            </w:r>
          </w:p>
        </w:tc>
      </w:tr>
      <w:tr w:rsidR="00D84CFD" w:rsidRPr="00EC7470" w14:paraId="628CF2F7" w14:textId="77777777" w:rsidTr="00EC7470">
        <w:tc>
          <w:tcPr>
            <w:tcW w:w="232" w:type="pct"/>
            <w:vMerge/>
            <w:hideMark/>
          </w:tcPr>
          <w:p w14:paraId="5C649FFE" w14:textId="77777777" w:rsidR="002F212F" w:rsidRPr="00EC7470" w:rsidRDefault="002F212F" w:rsidP="00CD1BCD">
            <w:pPr>
              <w:spacing w:after="0" w:line="240" w:lineRule="auto"/>
              <w:jc w:val="both"/>
              <w:rPr>
                <w:rFonts w:ascii="Times New Roman" w:eastAsia="Times New Roman" w:hAnsi="Times New Roman" w:cs="Times New Roman"/>
                <w:noProof/>
                <w:lang w:eastAsia="lv-LV"/>
              </w:rPr>
            </w:pPr>
          </w:p>
        </w:tc>
        <w:tc>
          <w:tcPr>
            <w:tcW w:w="514" w:type="pct"/>
            <w:vMerge/>
            <w:hideMark/>
          </w:tcPr>
          <w:p w14:paraId="1B5AC085" w14:textId="77777777" w:rsidR="002F212F" w:rsidRPr="00EC7470" w:rsidRDefault="002F212F" w:rsidP="00CD1BCD">
            <w:pPr>
              <w:spacing w:after="0" w:line="240" w:lineRule="auto"/>
              <w:jc w:val="both"/>
              <w:rPr>
                <w:rFonts w:ascii="Times New Roman" w:eastAsia="Times New Roman" w:hAnsi="Times New Roman" w:cs="Times New Roman"/>
                <w:noProof/>
                <w:lang w:eastAsia="lv-LV"/>
              </w:rPr>
            </w:pPr>
          </w:p>
        </w:tc>
        <w:tc>
          <w:tcPr>
            <w:tcW w:w="626" w:type="pct"/>
            <w:vMerge/>
            <w:hideMark/>
          </w:tcPr>
          <w:p w14:paraId="039881B7" w14:textId="77777777" w:rsidR="002F212F" w:rsidRPr="00EC7470" w:rsidRDefault="002F212F" w:rsidP="00CD1BCD">
            <w:pPr>
              <w:spacing w:after="0" w:line="240" w:lineRule="auto"/>
              <w:jc w:val="both"/>
              <w:rPr>
                <w:rFonts w:ascii="Times New Roman" w:eastAsia="Times New Roman" w:hAnsi="Times New Roman" w:cs="Times New Roman"/>
                <w:noProof/>
                <w:lang w:eastAsia="lv-LV"/>
              </w:rPr>
            </w:pPr>
          </w:p>
        </w:tc>
        <w:tc>
          <w:tcPr>
            <w:tcW w:w="620" w:type="pct"/>
            <w:hideMark/>
          </w:tcPr>
          <w:p w14:paraId="0CB50354" w14:textId="77777777" w:rsidR="002F212F" w:rsidRPr="00EC7470" w:rsidRDefault="002F212F" w:rsidP="00CD1BCD">
            <w:pPr>
              <w:spacing w:after="0" w:line="240" w:lineRule="auto"/>
              <w:jc w:val="both"/>
              <w:rPr>
                <w:rFonts w:ascii="Times New Roman" w:eastAsia="Times New Roman" w:hAnsi="Times New Roman" w:cs="Times New Roman"/>
                <w:noProof/>
              </w:rPr>
            </w:pPr>
            <w:r w:rsidRPr="00EC7470">
              <w:rPr>
                <w:rFonts w:ascii="Times New Roman" w:hAnsi="Times New Roman"/>
              </w:rPr>
              <w:t xml:space="preserve">Part of organisations involved in cooperation which use the knowledge acquired from </w:t>
            </w:r>
            <w:r w:rsidRPr="00EC7470">
              <w:rPr>
                <w:rFonts w:ascii="Times New Roman" w:hAnsi="Times New Roman"/>
              </w:rPr>
              <w:lastRenderedPageBreak/>
              <w:t>bilateral partnership</w:t>
            </w:r>
          </w:p>
        </w:tc>
        <w:tc>
          <w:tcPr>
            <w:tcW w:w="632" w:type="pct"/>
            <w:hideMark/>
          </w:tcPr>
          <w:p w14:paraId="174D69B0"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lastRenderedPageBreak/>
              <w:t>Percentage</w:t>
            </w:r>
          </w:p>
        </w:tc>
        <w:tc>
          <w:tcPr>
            <w:tcW w:w="534" w:type="pct"/>
            <w:hideMark/>
          </w:tcPr>
          <w:p w14:paraId="0FDC32F2"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Survey results</w:t>
            </w:r>
          </w:p>
        </w:tc>
        <w:tc>
          <w:tcPr>
            <w:tcW w:w="497" w:type="pct"/>
            <w:hideMark/>
          </w:tcPr>
          <w:p w14:paraId="0D9B35A0"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Each year</w:t>
            </w:r>
          </w:p>
        </w:tc>
        <w:tc>
          <w:tcPr>
            <w:tcW w:w="417" w:type="pct"/>
            <w:hideMark/>
          </w:tcPr>
          <w:p w14:paraId="1664E816"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N/A</w:t>
            </w:r>
          </w:p>
        </w:tc>
        <w:tc>
          <w:tcPr>
            <w:tcW w:w="381" w:type="pct"/>
            <w:hideMark/>
          </w:tcPr>
          <w:p w14:paraId="382846DF"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N/A</w:t>
            </w:r>
          </w:p>
        </w:tc>
        <w:tc>
          <w:tcPr>
            <w:tcW w:w="546" w:type="pct"/>
            <w:hideMark/>
          </w:tcPr>
          <w:p w14:paraId="7C33994C"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 50 % and increase in comparison with the initial state</w:t>
            </w:r>
          </w:p>
        </w:tc>
      </w:tr>
      <w:tr w:rsidR="00D84CFD" w:rsidRPr="00EC7470" w14:paraId="21164BAD" w14:textId="77777777" w:rsidTr="00EC7470">
        <w:tc>
          <w:tcPr>
            <w:tcW w:w="232" w:type="pct"/>
            <w:hideMark/>
          </w:tcPr>
          <w:p w14:paraId="5451DF65" w14:textId="77777777" w:rsidR="002F212F" w:rsidRPr="00EC7470" w:rsidRDefault="002F212F" w:rsidP="00CD1BCD">
            <w:pPr>
              <w:spacing w:after="0" w:line="240" w:lineRule="auto"/>
              <w:jc w:val="both"/>
              <w:rPr>
                <w:rFonts w:ascii="Times New Roman" w:eastAsia="Times New Roman" w:hAnsi="Times New Roman" w:cs="Times New Roman"/>
                <w:noProof/>
              </w:rPr>
            </w:pPr>
            <w:r w:rsidRPr="00EC7470">
              <w:rPr>
                <w:rFonts w:ascii="Times New Roman" w:hAnsi="Times New Roman"/>
              </w:rPr>
              <w:t>4.</w:t>
            </w:r>
          </w:p>
        </w:tc>
        <w:tc>
          <w:tcPr>
            <w:tcW w:w="514" w:type="pct"/>
            <w:hideMark/>
          </w:tcPr>
          <w:p w14:paraId="63F41495" w14:textId="77777777" w:rsidR="002F212F" w:rsidRPr="00EC7470" w:rsidRDefault="002F212F" w:rsidP="00CD1BCD">
            <w:pPr>
              <w:spacing w:after="0" w:line="240" w:lineRule="auto"/>
              <w:jc w:val="both"/>
              <w:rPr>
                <w:rFonts w:ascii="Times New Roman" w:eastAsia="Times New Roman" w:hAnsi="Times New Roman" w:cs="Times New Roman"/>
                <w:noProof/>
              </w:rPr>
            </w:pPr>
            <w:r w:rsidRPr="00EC7470">
              <w:rPr>
                <w:rFonts w:ascii="Times New Roman" w:hAnsi="Times New Roman"/>
              </w:rPr>
              <w:t>Outcome of bilateral cooperation</w:t>
            </w:r>
          </w:p>
        </w:tc>
        <w:tc>
          <w:tcPr>
            <w:tcW w:w="626" w:type="pct"/>
            <w:hideMark/>
          </w:tcPr>
          <w:p w14:paraId="25C691BD" w14:textId="77777777" w:rsidR="002F212F" w:rsidRPr="00EC7470" w:rsidRDefault="002F212F" w:rsidP="00CD1BCD">
            <w:pPr>
              <w:spacing w:after="0" w:line="240" w:lineRule="auto"/>
              <w:jc w:val="both"/>
              <w:rPr>
                <w:rFonts w:ascii="Times New Roman" w:eastAsia="Times New Roman" w:hAnsi="Times New Roman" w:cs="Times New Roman"/>
                <w:noProof/>
              </w:rPr>
            </w:pPr>
            <w:r w:rsidRPr="00EC7470">
              <w:rPr>
                <w:rFonts w:ascii="Times New Roman" w:hAnsi="Times New Roman"/>
              </w:rPr>
              <w:t>Cooperation between donor states and the recipient country has been promoted</w:t>
            </w:r>
          </w:p>
        </w:tc>
        <w:tc>
          <w:tcPr>
            <w:tcW w:w="620" w:type="pct"/>
            <w:hideMark/>
          </w:tcPr>
          <w:p w14:paraId="4DD1D1EE" w14:textId="77777777" w:rsidR="002F212F" w:rsidRPr="00EC7470" w:rsidRDefault="002F212F" w:rsidP="00CD1BCD">
            <w:pPr>
              <w:spacing w:after="0" w:line="240" w:lineRule="auto"/>
              <w:jc w:val="both"/>
              <w:rPr>
                <w:rFonts w:ascii="Times New Roman" w:eastAsia="Times New Roman" w:hAnsi="Times New Roman" w:cs="Times New Roman"/>
                <w:noProof/>
              </w:rPr>
            </w:pPr>
            <w:r w:rsidRPr="00EC7470">
              <w:rPr>
                <w:rFonts w:ascii="Times New Roman" w:hAnsi="Times New Roman"/>
              </w:rPr>
              <w:t>The number of projects within the scope of which cooperation with the project partner of the donor state has been specified (in division according to donor states)</w:t>
            </w:r>
          </w:p>
        </w:tc>
        <w:tc>
          <w:tcPr>
            <w:tcW w:w="632" w:type="pct"/>
            <w:hideMark/>
          </w:tcPr>
          <w:p w14:paraId="056F823D"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Number</w:t>
            </w:r>
          </w:p>
        </w:tc>
        <w:tc>
          <w:tcPr>
            <w:tcW w:w="534" w:type="pct"/>
            <w:hideMark/>
          </w:tcPr>
          <w:p w14:paraId="21E40B6B"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 xml:space="preserve">Contracts (copies) which have been entered into with the beneficiary of co-financing Partnership contracts (copies) </w:t>
            </w:r>
            <w:proofErr w:type="gramStart"/>
            <w:r w:rsidRPr="00EC7470">
              <w:rPr>
                <w:rFonts w:ascii="Times New Roman" w:hAnsi="Times New Roman"/>
              </w:rPr>
              <w:t>entered into</w:t>
            </w:r>
            <w:proofErr w:type="gramEnd"/>
            <w:r w:rsidRPr="00EC7470">
              <w:rPr>
                <w:rFonts w:ascii="Times New Roman" w:hAnsi="Times New Roman"/>
              </w:rPr>
              <w:t xml:space="preserve"> by and between the beneficiary of co-financing and project partners</w:t>
            </w:r>
          </w:p>
        </w:tc>
        <w:tc>
          <w:tcPr>
            <w:tcW w:w="497" w:type="pct"/>
            <w:hideMark/>
          </w:tcPr>
          <w:p w14:paraId="4496D69F"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Twice a year</w:t>
            </w:r>
          </w:p>
        </w:tc>
        <w:tc>
          <w:tcPr>
            <w:tcW w:w="417" w:type="pct"/>
            <w:hideMark/>
          </w:tcPr>
          <w:p w14:paraId="69B467ED"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0</w:t>
            </w:r>
          </w:p>
        </w:tc>
        <w:tc>
          <w:tcPr>
            <w:tcW w:w="381" w:type="pct"/>
            <w:hideMark/>
          </w:tcPr>
          <w:p w14:paraId="4903EAF4"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N/A</w:t>
            </w:r>
          </w:p>
        </w:tc>
        <w:tc>
          <w:tcPr>
            <w:tcW w:w="546" w:type="pct"/>
            <w:hideMark/>
          </w:tcPr>
          <w:p w14:paraId="36597625" w14:textId="77777777" w:rsidR="002F212F" w:rsidRPr="00EC7470" w:rsidRDefault="002F212F" w:rsidP="00D84CFD">
            <w:pPr>
              <w:spacing w:after="0" w:line="240" w:lineRule="auto"/>
              <w:jc w:val="center"/>
              <w:rPr>
                <w:rFonts w:ascii="Times New Roman" w:eastAsia="Times New Roman" w:hAnsi="Times New Roman" w:cs="Times New Roman"/>
                <w:noProof/>
              </w:rPr>
            </w:pPr>
            <w:r w:rsidRPr="00EC7470">
              <w:rPr>
                <w:rFonts w:ascii="Times New Roman" w:hAnsi="Times New Roman"/>
              </w:rPr>
              <w:t>4</w:t>
            </w:r>
          </w:p>
        </w:tc>
      </w:tr>
    </w:tbl>
    <w:p w14:paraId="63C1829C" w14:textId="77777777" w:rsidR="00D84CFD" w:rsidRDefault="00D84CFD" w:rsidP="00CD1BCD">
      <w:pPr>
        <w:spacing w:after="0" w:line="240" w:lineRule="auto"/>
        <w:jc w:val="both"/>
        <w:rPr>
          <w:rFonts w:ascii="Times New Roman" w:eastAsia="Times New Roman" w:hAnsi="Times New Roman" w:cs="Times New Roman"/>
          <w:noProof/>
          <w:sz w:val="24"/>
          <w:szCs w:val="24"/>
          <w:lang w:eastAsia="lv-LV"/>
        </w:rPr>
      </w:pPr>
    </w:p>
    <w:p w14:paraId="412E235C" w14:textId="55100CA2" w:rsidR="00CD1BCD" w:rsidRDefault="002F212F" w:rsidP="00CD1BC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w:t>
      </w:r>
    </w:p>
    <w:p w14:paraId="1981DC29" w14:textId="4A1C77D6" w:rsidR="002F212F" w:rsidRPr="002F212F" w:rsidRDefault="002F212F" w:rsidP="00CD1BCD">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1</w:t>
      </w:r>
      <w:r>
        <w:rPr>
          <w:rFonts w:ascii="Times New Roman" w:hAnsi="Times New Roman"/>
          <w:sz w:val="24"/>
        </w:rPr>
        <w:t xml:space="preserve"> The baseline assessment will be performed by the Financial Mechanism Office.</w:t>
      </w:r>
    </w:p>
    <w:p w14:paraId="0697CE36" w14:textId="77777777" w:rsidR="00D84CFD" w:rsidRDefault="00D84CFD" w:rsidP="00CD1BCD">
      <w:pPr>
        <w:spacing w:after="0" w:line="240" w:lineRule="auto"/>
        <w:jc w:val="both"/>
        <w:rPr>
          <w:rFonts w:ascii="Times New Roman" w:eastAsia="Times New Roman" w:hAnsi="Times New Roman" w:cs="Times New Roman"/>
          <w:noProof/>
          <w:sz w:val="24"/>
          <w:szCs w:val="24"/>
          <w:lang w:eastAsia="lv-LV"/>
        </w:rPr>
      </w:pPr>
    </w:p>
    <w:p w14:paraId="7CB8C859" w14:textId="77777777" w:rsidR="00D84CFD" w:rsidRDefault="00D84CFD" w:rsidP="00CD1BCD">
      <w:pPr>
        <w:spacing w:after="0" w:line="240" w:lineRule="auto"/>
        <w:jc w:val="both"/>
        <w:rPr>
          <w:rFonts w:ascii="Times New Roman" w:eastAsia="Times New Roman" w:hAnsi="Times New Roman" w:cs="Times New Roman"/>
          <w:noProof/>
          <w:sz w:val="24"/>
          <w:szCs w:val="24"/>
          <w:lang w:eastAsia="lv-LV"/>
        </w:rPr>
      </w:pPr>
    </w:p>
    <w:p w14:paraId="25E7E2CB" w14:textId="5DB60468" w:rsidR="002F212F" w:rsidRPr="00D84CFD" w:rsidRDefault="002F212F" w:rsidP="00CD1BC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Education and Science</w:t>
      </w:r>
      <w:r w:rsidR="00B00102">
        <w:rPr>
          <w:rFonts w:ascii="Times New Roman" w:hAnsi="Times New Roman"/>
          <w:sz w:val="24"/>
        </w:rPr>
        <w:tab/>
      </w:r>
      <w:r w:rsidR="00B00102">
        <w:rPr>
          <w:rFonts w:ascii="Times New Roman" w:hAnsi="Times New Roman"/>
          <w:sz w:val="24"/>
        </w:rPr>
        <w:tab/>
      </w:r>
      <w:r w:rsidR="00B00102">
        <w:rPr>
          <w:rFonts w:ascii="Times New Roman" w:hAnsi="Times New Roman"/>
          <w:sz w:val="24"/>
        </w:rPr>
        <w:tab/>
      </w:r>
      <w:r w:rsidR="00B00102">
        <w:rPr>
          <w:rFonts w:ascii="Times New Roman" w:hAnsi="Times New Roman"/>
          <w:sz w:val="24"/>
        </w:rPr>
        <w:tab/>
      </w:r>
      <w:r w:rsidR="00B00102">
        <w:rPr>
          <w:rFonts w:ascii="Times New Roman" w:hAnsi="Times New Roman"/>
          <w:sz w:val="24"/>
        </w:rPr>
        <w:tab/>
      </w:r>
      <w:r w:rsidR="00B00102">
        <w:rPr>
          <w:rFonts w:ascii="Times New Roman" w:hAnsi="Times New Roman"/>
          <w:sz w:val="24"/>
        </w:rPr>
        <w:tab/>
      </w:r>
      <w:r w:rsidR="00B00102">
        <w:rPr>
          <w:rFonts w:ascii="Times New Roman" w:hAnsi="Times New Roman"/>
          <w:sz w:val="24"/>
        </w:rPr>
        <w:tab/>
      </w:r>
      <w:r w:rsidR="00B00102">
        <w:rPr>
          <w:rFonts w:ascii="Times New Roman" w:hAnsi="Times New Roman"/>
          <w:sz w:val="24"/>
        </w:rPr>
        <w:tab/>
      </w:r>
      <w:r w:rsidR="00B00102">
        <w:rPr>
          <w:rFonts w:ascii="Times New Roman" w:hAnsi="Times New Roman"/>
          <w:sz w:val="24"/>
        </w:rPr>
        <w:tab/>
      </w:r>
      <w:r w:rsidR="00B00102">
        <w:rPr>
          <w:rFonts w:ascii="Times New Roman" w:hAnsi="Times New Roman"/>
          <w:sz w:val="24"/>
        </w:rPr>
        <w:tab/>
      </w:r>
      <w:r w:rsidR="00B00102">
        <w:rPr>
          <w:rFonts w:ascii="Times New Roman" w:hAnsi="Times New Roman"/>
          <w:sz w:val="24"/>
        </w:rPr>
        <w:tab/>
      </w:r>
      <w:r w:rsidR="00B00102">
        <w:rPr>
          <w:rFonts w:ascii="Times New Roman" w:hAnsi="Times New Roman"/>
          <w:sz w:val="24"/>
        </w:rPr>
        <w:tab/>
      </w:r>
      <w:r w:rsidR="00B00102">
        <w:rPr>
          <w:rFonts w:ascii="Times New Roman" w:hAnsi="Times New Roman"/>
          <w:sz w:val="24"/>
        </w:rPr>
        <w:tab/>
      </w:r>
      <w:r>
        <w:rPr>
          <w:rFonts w:ascii="Times New Roman" w:hAnsi="Times New Roman"/>
          <w:sz w:val="24"/>
        </w:rPr>
        <w:t>I. </w:t>
      </w:r>
      <w:proofErr w:type="spellStart"/>
      <w:r>
        <w:rPr>
          <w:rFonts w:ascii="Times New Roman" w:hAnsi="Times New Roman"/>
          <w:sz w:val="24"/>
        </w:rPr>
        <w:t>Šuplinska</w:t>
      </w:r>
      <w:proofErr w:type="spellEnd"/>
    </w:p>
    <w:sectPr w:rsidR="002F212F" w:rsidRPr="00D84CFD" w:rsidSect="005830E7">
      <w:pgSz w:w="16838" w:h="11906" w:orient="landscape" w:code="9"/>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6509B" w14:textId="77777777" w:rsidR="002F212F" w:rsidRPr="002F212F" w:rsidRDefault="002F212F" w:rsidP="002F212F">
      <w:pPr>
        <w:spacing w:after="0" w:line="240" w:lineRule="auto"/>
        <w:rPr>
          <w:noProof/>
          <w:lang w:val="en-US"/>
        </w:rPr>
      </w:pPr>
      <w:r w:rsidRPr="002F212F">
        <w:rPr>
          <w:noProof/>
          <w:lang w:val="en-US"/>
        </w:rPr>
        <w:separator/>
      </w:r>
    </w:p>
  </w:endnote>
  <w:endnote w:type="continuationSeparator" w:id="0">
    <w:p w14:paraId="7197D76B" w14:textId="77777777" w:rsidR="002F212F" w:rsidRPr="002F212F" w:rsidRDefault="002F212F" w:rsidP="002F212F">
      <w:pPr>
        <w:spacing w:after="0" w:line="240" w:lineRule="auto"/>
        <w:rPr>
          <w:noProof/>
          <w:lang w:val="en-US"/>
        </w:rPr>
      </w:pPr>
      <w:r w:rsidRPr="002F212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6BAED" w14:textId="77777777" w:rsidR="00234C12" w:rsidRPr="00750961" w:rsidRDefault="00234C12" w:rsidP="00234C12">
    <w:pPr>
      <w:pStyle w:val="Kjene"/>
      <w:tabs>
        <w:tab w:val="clear" w:pos="4153"/>
        <w:tab w:val="clear" w:pos="8306"/>
        <w:tab w:val="right" w:pos="9072"/>
      </w:tabs>
      <w:rPr>
        <w:rFonts w:ascii="Times New Roman" w:hAnsi="Times New Roman"/>
        <w:sz w:val="20"/>
      </w:rPr>
    </w:pPr>
  </w:p>
  <w:p w14:paraId="080DE646" w14:textId="77777777" w:rsidR="00234C12" w:rsidRPr="000523BF" w:rsidRDefault="00234C12" w:rsidP="00B00102">
    <w:pPr>
      <w:pStyle w:val="Kjene"/>
      <w:tabs>
        <w:tab w:val="clear" w:pos="4153"/>
        <w:tab w:val="clear" w:pos="8306"/>
        <w:tab w:val="right" w:pos="14570"/>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w:t>
    </w:r>
    <w:proofErr w:type="spellStart"/>
    <w:r w:rsidRPr="00750961">
      <w:rPr>
        <w:rFonts w:ascii="Times New Roman" w:hAnsi="Times New Roman"/>
        <w:sz w:val="20"/>
      </w:rPr>
      <w:t>Valsts</w:t>
    </w:r>
    <w:proofErr w:type="spellEnd"/>
    <w:r w:rsidRPr="00750961">
      <w:rPr>
        <w:rFonts w:ascii="Times New Roman" w:hAnsi="Times New Roman"/>
        <w:sz w:val="20"/>
      </w:rPr>
      <w:t xml:space="preserve"> </w:t>
    </w:r>
    <w:proofErr w:type="spellStart"/>
    <w:r w:rsidRPr="00750961">
      <w:rPr>
        <w:rFonts w:ascii="Times New Roman" w:hAnsi="Times New Roman"/>
        <w:sz w:val="20"/>
      </w:rPr>
      <w:t>valodas</w:t>
    </w:r>
    <w:proofErr w:type="spellEnd"/>
    <w:r w:rsidRPr="00750961">
      <w:rPr>
        <w:rFonts w:ascii="Times New Roman" w:hAnsi="Times New Roman"/>
        <w:sz w:val="20"/>
      </w:rPr>
      <w:t xml:space="preserve"> </w:t>
    </w:r>
    <w:proofErr w:type="spellStart"/>
    <w:r w:rsidRPr="00750961">
      <w:rPr>
        <w:rFonts w:ascii="Times New Roman" w:hAnsi="Times New Roman"/>
        <w:sz w:val="20"/>
      </w:rPr>
      <w:t>centrs</w:t>
    </w:r>
    <w:proofErr w:type="spellEnd"/>
    <w:r w:rsidRPr="00750961">
      <w:rPr>
        <w:rFonts w:ascii="Times New Roman" w:hAnsi="Times New Roman"/>
        <w:sz w:val="20"/>
      </w:rPr>
      <w:t xml:space="preserve">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3E6C3" w14:textId="77777777" w:rsidR="002547E1" w:rsidRPr="00750961" w:rsidRDefault="002547E1" w:rsidP="002547E1">
    <w:pPr>
      <w:pStyle w:val="Kjene"/>
      <w:rPr>
        <w:rFonts w:ascii="Times New Roman" w:hAnsi="Times New Roman"/>
        <w:sz w:val="20"/>
      </w:rPr>
    </w:pPr>
    <w:bookmarkStart w:id="74" w:name="_Hlk60653308"/>
    <w:bookmarkStart w:id="75" w:name="_Hlk60653309"/>
  </w:p>
  <w:p w14:paraId="65488A80" w14:textId="77777777" w:rsidR="002547E1" w:rsidRPr="000523BF" w:rsidRDefault="002547E1" w:rsidP="002547E1">
    <w:pPr>
      <w:pStyle w:val="Kjene"/>
      <w:rPr>
        <w:rFonts w:ascii="Times New Roman" w:hAnsi="Times New Roman"/>
        <w:sz w:val="20"/>
      </w:rPr>
    </w:pPr>
    <w:bookmarkStart w:id="76" w:name="_Hlk31896922"/>
    <w:bookmarkStart w:id="77"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w:t>
    </w:r>
    <w:proofErr w:type="spellStart"/>
    <w:r w:rsidRPr="00750961">
      <w:rPr>
        <w:rFonts w:ascii="Times New Roman" w:hAnsi="Times New Roman"/>
        <w:sz w:val="20"/>
      </w:rPr>
      <w:t>Valsts</w:t>
    </w:r>
    <w:proofErr w:type="spellEnd"/>
    <w:r w:rsidRPr="00750961">
      <w:rPr>
        <w:rFonts w:ascii="Times New Roman" w:hAnsi="Times New Roman"/>
        <w:sz w:val="20"/>
      </w:rPr>
      <w:t xml:space="preserve"> </w:t>
    </w:r>
    <w:proofErr w:type="spellStart"/>
    <w:r w:rsidRPr="00750961">
      <w:rPr>
        <w:rFonts w:ascii="Times New Roman" w:hAnsi="Times New Roman"/>
        <w:sz w:val="20"/>
      </w:rPr>
      <w:t>valodas</w:t>
    </w:r>
    <w:proofErr w:type="spellEnd"/>
    <w:r>
      <w:rPr>
        <w:rFonts w:ascii="Times New Roman" w:hAnsi="Times New Roman"/>
        <w:sz w:val="20"/>
      </w:rPr>
      <w:t xml:space="preserve"> </w:t>
    </w:r>
    <w:proofErr w:type="spellStart"/>
    <w:r>
      <w:rPr>
        <w:rFonts w:ascii="Times New Roman" w:hAnsi="Times New Roman"/>
        <w:sz w:val="20"/>
      </w:rPr>
      <w:t>centrs</w:t>
    </w:r>
    <w:proofErr w:type="spellEnd"/>
    <w:r>
      <w:rPr>
        <w:rFonts w:ascii="Times New Roman" w:hAnsi="Times New Roman"/>
        <w:sz w:val="20"/>
      </w:rPr>
      <w:t xml:space="preserve"> (State Language Centre)</w:t>
    </w:r>
    <w:bookmarkEnd w:id="74"/>
    <w:bookmarkEnd w:id="75"/>
    <w:bookmarkEnd w:id="76"/>
    <w:bookmarkEnd w:id="7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DDACF" w14:textId="77777777" w:rsidR="002F212F" w:rsidRPr="002F212F" w:rsidRDefault="002F212F" w:rsidP="002F212F">
      <w:pPr>
        <w:spacing w:after="0" w:line="240" w:lineRule="auto"/>
        <w:rPr>
          <w:noProof/>
          <w:lang w:val="en-US"/>
        </w:rPr>
      </w:pPr>
      <w:r w:rsidRPr="002F212F">
        <w:rPr>
          <w:noProof/>
          <w:lang w:val="en-US"/>
        </w:rPr>
        <w:separator/>
      </w:r>
    </w:p>
  </w:footnote>
  <w:footnote w:type="continuationSeparator" w:id="0">
    <w:p w14:paraId="162C2328" w14:textId="77777777" w:rsidR="002F212F" w:rsidRPr="002F212F" w:rsidRDefault="002F212F" w:rsidP="002F212F">
      <w:pPr>
        <w:spacing w:after="0" w:line="240" w:lineRule="auto"/>
        <w:rPr>
          <w:noProof/>
          <w:lang w:val="en-US"/>
        </w:rPr>
      </w:pPr>
      <w:r w:rsidRPr="002F212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706"/>
    <w:rsid w:val="00234C12"/>
    <w:rsid w:val="00247651"/>
    <w:rsid w:val="002547E1"/>
    <w:rsid w:val="002B3706"/>
    <w:rsid w:val="002F212F"/>
    <w:rsid w:val="0050664D"/>
    <w:rsid w:val="005830E7"/>
    <w:rsid w:val="005A2412"/>
    <w:rsid w:val="00600621"/>
    <w:rsid w:val="00727902"/>
    <w:rsid w:val="00960BD4"/>
    <w:rsid w:val="00B00102"/>
    <w:rsid w:val="00B81F0D"/>
    <w:rsid w:val="00CD1BCD"/>
    <w:rsid w:val="00D3219C"/>
    <w:rsid w:val="00D84CFD"/>
    <w:rsid w:val="00EC7470"/>
    <w:rsid w:val="00F915B2"/>
    <w:rsid w:val="00F976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0F59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2F212F"/>
    <w:rPr>
      <w:color w:val="0000FF"/>
      <w:u w:val="single"/>
    </w:rPr>
  </w:style>
  <w:style w:type="paragraph" w:customStyle="1" w:styleId="tv213">
    <w:name w:val="tv213"/>
    <w:basedOn w:val="Parasts"/>
    <w:rsid w:val="002F212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2F212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2F212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2F212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F212F"/>
  </w:style>
  <w:style w:type="paragraph" w:styleId="Kjene">
    <w:name w:val="footer"/>
    <w:basedOn w:val="Parasts"/>
    <w:link w:val="KjeneRakstz"/>
    <w:unhideWhenUsed/>
    <w:rsid w:val="002F212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F212F"/>
  </w:style>
  <w:style w:type="paragraph" w:styleId="Tekstabloks">
    <w:name w:val="Block Text"/>
    <w:basedOn w:val="Parasts"/>
    <w:rsid w:val="00F97638"/>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234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102615">
      <w:bodyDiv w:val="1"/>
      <w:marLeft w:val="0"/>
      <w:marRight w:val="0"/>
      <w:marTop w:val="0"/>
      <w:marBottom w:val="0"/>
      <w:divBdr>
        <w:top w:val="none" w:sz="0" w:space="0" w:color="auto"/>
        <w:left w:val="none" w:sz="0" w:space="0" w:color="auto"/>
        <w:bottom w:val="none" w:sz="0" w:space="0" w:color="auto"/>
        <w:right w:val="none" w:sz="0" w:space="0" w:color="auto"/>
      </w:divBdr>
      <w:divsChild>
        <w:div w:id="1829594442">
          <w:marLeft w:val="0"/>
          <w:marRight w:val="0"/>
          <w:marTop w:val="0"/>
          <w:marBottom w:val="0"/>
          <w:divBdr>
            <w:top w:val="none" w:sz="0" w:space="0" w:color="auto"/>
            <w:left w:val="none" w:sz="0" w:space="0" w:color="auto"/>
            <w:bottom w:val="none" w:sz="0" w:space="0" w:color="auto"/>
            <w:right w:val="none" w:sz="0" w:space="0" w:color="auto"/>
          </w:divBdr>
          <w:divsChild>
            <w:div w:id="1512181734">
              <w:marLeft w:val="0"/>
              <w:marRight w:val="0"/>
              <w:marTop w:val="0"/>
              <w:marBottom w:val="0"/>
              <w:divBdr>
                <w:top w:val="none" w:sz="0" w:space="0" w:color="auto"/>
                <w:left w:val="none" w:sz="0" w:space="0" w:color="auto"/>
                <w:bottom w:val="none" w:sz="0" w:space="0" w:color="auto"/>
                <w:right w:val="none" w:sz="0" w:space="0" w:color="auto"/>
              </w:divBdr>
            </w:div>
            <w:div w:id="1928617117">
              <w:marLeft w:val="0"/>
              <w:marRight w:val="0"/>
              <w:marTop w:val="0"/>
              <w:marBottom w:val="0"/>
              <w:divBdr>
                <w:top w:val="none" w:sz="0" w:space="0" w:color="auto"/>
                <w:left w:val="none" w:sz="0" w:space="0" w:color="auto"/>
                <w:bottom w:val="none" w:sz="0" w:space="0" w:color="auto"/>
                <w:right w:val="none" w:sz="0" w:space="0" w:color="auto"/>
              </w:divBdr>
            </w:div>
            <w:div w:id="348720400">
              <w:marLeft w:val="0"/>
              <w:marRight w:val="0"/>
              <w:marTop w:val="0"/>
              <w:marBottom w:val="0"/>
              <w:divBdr>
                <w:top w:val="none" w:sz="0" w:space="0" w:color="auto"/>
                <w:left w:val="none" w:sz="0" w:space="0" w:color="auto"/>
                <w:bottom w:val="none" w:sz="0" w:space="0" w:color="auto"/>
                <w:right w:val="none" w:sz="0" w:space="0" w:color="auto"/>
              </w:divBdr>
            </w:div>
            <w:div w:id="717440935">
              <w:marLeft w:val="0"/>
              <w:marRight w:val="0"/>
              <w:marTop w:val="0"/>
              <w:marBottom w:val="0"/>
              <w:divBdr>
                <w:top w:val="none" w:sz="0" w:space="0" w:color="auto"/>
                <w:left w:val="none" w:sz="0" w:space="0" w:color="auto"/>
                <w:bottom w:val="none" w:sz="0" w:space="0" w:color="auto"/>
                <w:right w:val="none" w:sz="0" w:space="0" w:color="auto"/>
              </w:divBdr>
            </w:div>
            <w:div w:id="1548489185">
              <w:marLeft w:val="0"/>
              <w:marRight w:val="0"/>
              <w:marTop w:val="0"/>
              <w:marBottom w:val="0"/>
              <w:divBdr>
                <w:top w:val="none" w:sz="0" w:space="0" w:color="auto"/>
                <w:left w:val="none" w:sz="0" w:space="0" w:color="auto"/>
                <w:bottom w:val="none" w:sz="0" w:space="0" w:color="auto"/>
                <w:right w:val="none" w:sz="0" w:space="0" w:color="auto"/>
              </w:divBdr>
            </w:div>
            <w:div w:id="1617979000">
              <w:marLeft w:val="0"/>
              <w:marRight w:val="0"/>
              <w:marTop w:val="0"/>
              <w:marBottom w:val="0"/>
              <w:divBdr>
                <w:top w:val="none" w:sz="0" w:space="0" w:color="auto"/>
                <w:left w:val="none" w:sz="0" w:space="0" w:color="auto"/>
                <w:bottom w:val="none" w:sz="0" w:space="0" w:color="auto"/>
                <w:right w:val="none" w:sz="0" w:space="0" w:color="auto"/>
              </w:divBdr>
            </w:div>
            <w:div w:id="543175976">
              <w:marLeft w:val="0"/>
              <w:marRight w:val="0"/>
              <w:marTop w:val="0"/>
              <w:marBottom w:val="0"/>
              <w:divBdr>
                <w:top w:val="none" w:sz="0" w:space="0" w:color="auto"/>
                <w:left w:val="none" w:sz="0" w:space="0" w:color="auto"/>
                <w:bottom w:val="none" w:sz="0" w:space="0" w:color="auto"/>
                <w:right w:val="none" w:sz="0" w:space="0" w:color="auto"/>
              </w:divBdr>
            </w:div>
            <w:div w:id="1410687702">
              <w:marLeft w:val="0"/>
              <w:marRight w:val="0"/>
              <w:marTop w:val="0"/>
              <w:marBottom w:val="0"/>
              <w:divBdr>
                <w:top w:val="none" w:sz="0" w:space="0" w:color="auto"/>
                <w:left w:val="none" w:sz="0" w:space="0" w:color="auto"/>
                <w:bottom w:val="none" w:sz="0" w:space="0" w:color="auto"/>
                <w:right w:val="none" w:sz="0" w:space="0" w:color="auto"/>
              </w:divBdr>
            </w:div>
            <w:div w:id="1066881988">
              <w:marLeft w:val="0"/>
              <w:marRight w:val="0"/>
              <w:marTop w:val="0"/>
              <w:marBottom w:val="0"/>
              <w:divBdr>
                <w:top w:val="none" w:sz="0" w:space="0" w:color="auto"/>
                <w:left w:val="none" w:sz="0" w:space="0" w:color="auto"/>
                <w:bottom w:val="none" w:sz="0" w:space="0" w:color="auto"/>
                <w:right w:val="none" w:sz="0" w:space="0" w:color="auto"/>
              </w:divBdr>
            </w:div>
            <w:div w:id="699476581">
              <w:marLeft w:val="0"/>
              <w:marRight w:val="0"/>
              <w:marTop w:val="0"/>
              <w:marBottom w:val="0"/>
              <w:divBdr>
                <w:top w:val="none" w:sz="0" w:space="0" w:color="auto"/>
                <w:left w:val="none" w:sz="0" w:space="0" w:color="auto"/>
                <w:bottom w:val="none" w:sz="0" w:space="0" w:color="auto"/>
                <w:right w:val="none" w:sz="0" w:space="0" w:color="auto"/>
              </w:divBdr>
            </w:div>
            <w:div w:id="2041010678">
              <w:marLeft w:val="0"/>
              <w:marRight w:val="0"/>
              <w:marTop w:val="0"/>
              <w:marBottom w:val="0"/>
              <w:divBdr>
                <w:top w:val="none" w:sz="0" w:space="0" w:color="auto"/>
                <w:left w:val="none" w:sz="0" w:space="0" w:color="auto"/>
                <w:bottom w:val="none" w:sz="0" w:space="0" w:color="auto"/>
                <w:right w:val="none" w:sz="0" w:space="0" w:color="auto"/>
              </w:divBdr>
            </w:div>
            <w:div w:id="1404527883">
              <w:marLeft w:val="0"/>
              <w:marRight w:val="0"/>
              <w:marTop w:val="0"/>
              <w:marBottom w:val="0"/>
              <w:divBdr>
                <w:top w:val="none" w:sz="0" w:space="0" w:color="auto"/>
                <w:left w:val="none" w:sz="0" w:space="0" w:color="auto"/>
                <w:bottom w:val="none" w:sz="0" w:space="0" w:color="auto"/>
                <w:right w:val="none" w:sz="0" w:space="0" w:color="auto"/>
              </w:divBdr>
            </w:div>
            <w:div w:id="2142309292">
              <w:marLeft w:val="0"/>
              <w:marRight w:val="0"/>
              <w:marTop w:val="0"/>
              <w:marBottom w:val="0"/>
              <w:divBdr>
                <w:top w:val="none" w:sz="0" w:space="0" w:color="auto"/>
                <w:left w:val="none" w:sz="0" w:space="0" w:color="auto"/>
                <w:bottom w:val="none" w:sz="0" w:space="0" w:color="auto"/>
                <w:right w:val="none" w:sz="0" w:space="0" w:color="auto"/>
              </w:divBdr>
            </w:div>
            <w:div w:id="1460293696">
              <w:marLeft w:val="0"/>
              <w:marRight w:val="0"/>
              <w:marTop w:val="0"/>
              <w:marBottom w:val="0"/>
              <w:divBdr>
                <w:top w:val="none" w:sz="0" w:space="0" w:color="auto"/>
                <w:left w:val="none" w:sz="0" w:space="0" w:color="auto"/>
                <w:bottom w:val="none" w:sz="0" w:space="0" w:color="auto"/>
                <w:right w:val="none" w:sz="0" w:space="0" w:color="auto"/>
              </w:divBdr>
            </w:div>
            <w:div w:id="1313217716">
              <w:marLeft w:val="0"/>
              <w:marRight w:val="0"/>
              <w:marTop w:val="0"/>
              <w:marBottom w:val="0"/>
              <w:divBdr>
                <w:top w:val="none" w:sz="0" w:space="0" w:color="auto"/>
                <w:left w:val="none" w:sz="0" w:space="0" w:color="auto"/>
                <w:bottom w:val="none" w:sz="0" w:space="0" w:color="auto"/>
                <w:right w:val="none" w:sz="0" w:space="0" w:color="auto"/>
              </w:divBdr>
            </w:div>
            <w:div w:id="1150366697">
              <w:marLeft w:val="0"/>
              <w:marRight w:val="0"/>
              <w:marTop w:val="0"/>
              <w:marBottom w:val="0"/>
              <w:divBdr>
                <w:top w:val="none" w:sz="0" w:space="0" w:color="auto"/>
                <w:left w:val="none" w:sz="0" w:space="0" w:color="auto"/>
                <w:bottom w:val="none" w:sz="0" w:space="0" w:color="auto"/>
                <w:right w:val="none" w:sz="0" w:space="0" w:color="auto"/>
              </w:divBdr>
            </w:div>
            <w:div w:id="2079786511">
              <w:marLeft w:val="0"/>
              <w:marRight w:val="0"/>
              <w:marTop w:val="0"/>
              <w:marBottom w:val="0"/>
              <w:divBdr>
                <w:top w:val="none" w:sz="0" w:space="0" w:color="auto"/>
                <w:left w:val="none" w:sz="0" w:space="0" w:color="auto"/>
                <w:bottom w:val="none" w:sz="0" w:space="0" w:color="auto"/>
                <w:right w:val="none" w:sz="0" w:space="0" w:color="auto"/>
              </w:divBdr>
            </w:div>
            <w:div w:id="2141263621">
              <w:marLeft w:val="0"/>
              <w:marRight w:val="0"/>
              <w:marTop w:val="0"/>
              <w:marBottom w:val="0"/>
              <w:divBdr>
                <w:top w:val="none" w:sz="0" w:space="0" w:color="auto"/>
                <w:left w:val="none" w:sz="0" w:space="0" w:color="auto"/>
                <w:bottom w:val="none" w:sz="0" w:space="0" w:color="auto"/>
                <w:right w:val="none" w:sz="0" w:space="0" w:color="auto"/>
              </w:divBdr>
            </w:div>
            <w:div w:id="779639854">
              <w:marLeft w:val="0"/>
              <w:marRight w:val="0"/>
              <w:marTop w:val="0"/>
              <w:marBottom w:val="0"/>
              <w:divBdr>
                <w:top w:val="none" w:sz="0" w:space="0" w:color="auto"/>
                <w:left w:val="none" w:sz="0" w:space="0" w:color="auto"/>
                <w:bottom w:val="none" w:sz="0" w:space="0" w:color="auto"/>
                <w:right w:val="none" w:sz="0" w:space="0" w:color="auto"/>
              </w:divBdr>
            </w:div>
            <w:div w:id="2096825515">
              <w:marLeft w:val="0"/>
              <w:marRight w:val="0"/>
              <w:marTop w:val="0"/>
              <w:marBottom w:val="0"/>
              <w:divBdr>
                <w:top w:val="none" w:sz="0" w:space="0" w:color="auto"/>
                <w:left w:val="none" w:sz="0" w:space="0" w:color="auto"/>
                <w:bottom w:val="none" w:sz="0" w:space="0" w:color="auto"/>
                <w:right w:val="none" w:sz="0" w:space="0" w:color="auto"/>
              </w:divBdr>
            </w:div>
            <w:div w:id="647631686">
              <w:marLeft w:val="0"/>
              <w:marRight w:val="0"/>
              <w:marTop w:val="0"/>
              <w:marBottom w:val="0"/>
              <w:divBdr>
                <w:top w:val="none" w:sz="0" w:space="0" w:color="auto"/>
                <w:left w:val="none" w:sz="0" w:space="0" w:color="auto"/>
                <w:bottom w:val="none" w:sz="0" w:space="0" w:color="auto"/>
                <w:right w:val="none" w:sz="0" w:space="0" w:color="auto"/>
              </w:divBdr>
            </w:div>
            <w:div w:id="1781139647">
              <w:marLeft w:val="0"/>
              <w:marRight w:val="0"/>
              <w:marTop w:val="0"/>
              <w:marBottom w:val="0"/>
              <w:divBdr>
                <w:top w:val="none" w:sz="0" w:space="0" w:color="auto"/>
                <w:left w:val="none" w:sz="0" w:space="0" w:color="auto"/>
                <w:bottom w:val="none" w:sz="0" w:space="0" w:color="auto"/>
                <w:right w:val="none" w:sz="0" w:space="0" w:color="auto"/>
              </w:divBdr>
            </w:div>
            <w:div w:id="358898502">
              <w:marLeft w:val="0"/>
              <w:marRight w:val="0"/>
              <w:marTop w:val="0"/>
              <w:marBottom w:val="0"/>
              <w:divBdr>
                <w:top w:val="none" w:sz="0" w:space="0" w:color="auto"/>
                <w:left w:val="none" w:sz="0" w:space="0" w:color="auto"/>
                <w:bottom w:val="none" w:sz="0" w:space="0" w:color="auto"/>
                <w:right w:val="none" w:sz="0" w:space="0" w:color="auto"/>
              </w:divBdr>
            </w:div>
            <w:div w:id="898708724">
              <w:marLeft w:val="0"/>
              <w:marRight w:val="0"/>
              <w:marTop w:val="0"/>
              <w:marBottom w:val="0"/>
              <w:divBdr>
                <w:top w:val="none" w:sz="0" w:space="0" w:color="auto"/>
                <w:left w:val="none" w:sz="0" w:space="0" w:color="auto"/>
                <w:bottom w:val="none" w:sz="0" w:space="0" w:color="auto"/>
                <w:right w:val="none" w:sz="0" w:space="0" w:color="auto"/>
              </w:divBdr>
            </w:div>
            <w:div w:id="2130006315">
              <w:marLeft w:val="0"/>
              <w:marRight w:val="0"/>
              <w:marTop w:val="0"/>
              <w:marBottom w:val="0"/>
              <w:divBdr>
                <w:top w:val="none" w:sz="0" w:space="0" w:color="auto"/>
                <w:left w:val="none" w:sz="0" w:space="0" w:color="auto"/>
                <w:bottom w:val="none" w:sz="0" w:space="0" w:color="auto"/>
                <w:right w:val="none" w:sz="0" w:space="0" w:color="auto"/>
              </w:divBdr>
            </w:div>
            <w:div w:id="27217862">
              <w:marLeft w:val="0"/>
              <w:marRight w:val="0"/>
              <w:marTop w:val="0"/>
              <w:marBottom w:val="0"/>
              <w:divBdr>
                <w:top w:val="none" w:sz="0" w:space="0" w:color="auto"/>
                <w:left w:val="none" w:sz="0" w:space="0" w:color="auto"/>
                <w:bottom w:val="none" w:sz="0" w:space="0" w:color="auto"/>
                <w:right w:val="none" w:sz="0" w:space="0" w:color="auto"/>
              </w:divBdr>
            </w:div>
            <w:div w:id="242763223">
              <w:marLeft w:val="0"/>
              <w:marRight w:val="0"/>
              <w:marTop w:val="0"/>
              <w:marBottom w:val="0"/>
              <w:divBdr>
                <w:top w:val="none" w:sz="0" w:space="0" w:color="auto"/>
                <w:left w:val="none" w:sz="0" w:space="0" w:color="auto"/>
                <w:bottom w:val="none" w:sz="0" w:space="0" w:color="auto"/>
                <w:right w:val="none" w:sz="0" w:space="0" w:color="auto"/>
              </w:divBdr>
            </w:div>
            <w:div w:id="1634402364">
              <w:marLeft w:val="0"/>
              <w:marRight w:val="0"/>
              <w:marTop w:val="0"/>
              <w:marBottom w:val="0"/>
              <w:divBdr>
                <w:top w:val="none" w:sz="0" w:space="0" w:color="auto"/>
                <w:left w:val="none" w:sz="0" w:space="0" w:color="auto"/>
                <w:bottom w:val="none" w:sz="0" w:space="0" w:color="auto"/>
                <w:right w:val="none" w:sz="0" w:space="0" w:color="auto"/>
              </w:divBdr>
            </w:div>
            <w:div w:id="96292309">
              <w:marLeft w:val="0"/>
              <w:marRight w:val="0"/>
              <w:marTop w:val="0"/>
              <w:marBottom w:val="0"/>
              <w:divBdr>
                <w:top w:val="none" w:sz="0" w:space="0" w:color="auto"/>
                <w:left w:val="none" w:sz="0" w:space="0" w:color="auto"/>
                <w:bottom w:val="none" w:sz="0" w:space="0" w:color="auto"/>
                <w:right w:val="none" w:sz="0" w:space="0" w:color="auto"/>
              </w:divBdr>
            </w:div>
            <w:div w:id="1897620289">
              <w:marLeft w:val="0"/>
              <w:marRight w:val="0"/>
              <w:marTop w:val="0"/>
              <w:marBottom w:val="0"/>
              <w:divBdr>
                <w:top w:val="none" w:sz="0" w:space="0" w:color="auto"/>
                <w:left w:val="none" w:sz="0" w:space="0" w:color="auto"/>
                <w:bottom w:val="none" w:sz="0" w:space="0" w:color="auto"/>
                <w:right w:val="none" w:sz="0" w:space="0" w:color="auto"/>
              </w:divBdr>
            </w:div>
            <w:div w:id="1363168262">
              <w:marLeft w:val="0"/>
              <w:marRight w:val="0"/>
              <w:marTop w:val="0"/>
              <w:marBottom w:val="0"/>
              <w:divBdr>
                <w:top w:val="none" w:sz="0" w:space="0" w:color="auto"/>
                <w:left w:val="none" w:sz="0" w:space="0" w:color="auto"/>
                <w:bottom w:val="none" w:sz="0" w:space="0" w:color="auto"/>
                <w:right w:val="none" w:sz="0" w:space="0" w:color="auto"/>
              </w:divBdr>
            </w:div>
            <w:div w:id="391733942">
              <w:marLeft w:val="0"/>
              <w:marRight w:val="0"/>
              <w:marTop w:val="0"/>
              <w:marBottom w:val="0"/>
              <w:divBdr>
                <w:top w:val="none" w:sz="0" w:space="0" w:color="auto"/>
                <w:left w:val="none" w:sz="0" w:space="0" w:color="auto"/>
                <w:bottom w:val="none" w:sz="0" w:space="0" w:color="auto"/>
                <w:right w:val="none" w:sz="0" w:space="0" w:color="auto"/>
              </w:divBdr>
            </w:div>
            <w:div w:id="374045650">
              <w:marLeft w:val="0"/>
              <w:marRight w:val="0"/>
              <w:marTop w:val="0"/>
              <w:marBottom w:val="0"/>
              <w:divBdr>
                <w:top w:val="none" w:sz="0" w:space="0" w:color="auto"/>
                <w:left w:val="none" w:sz="0" w:space="0" w:color="auto"/>
                <w:bottom w:val="none" w:sz="0" w:space="0" w:color="auto"/>
                <w:right w:val="none" w:sz="0" w:space="0" w:color="auto"/>
              </w:divBdr>
            </w:div>
            <w:div w:id="1185821821">
              <w:marLeft w:val="0"/>
              <w:marRight w:val="0"/>
              <w:marTop w:val="0"/>
              <w:marBottom w:val="0"/>
              <w:divBdr>
                <w:top w:val="none" w:sz="0" w:space="0" w:color="auto"/>
                <w:left w:val="none" w:sz="0" w:space="0" w:color="auto"/>
                <w:bottom w:val="none" w:sz="0" w:space="0" w:color="auto"/>
                <w:right w:val="none" w:sz="0" w:space="0" w:color="auto"/>
              </w:divBdr>
            </w:div>
            <w:div w:id="1104576461">
              <w:marLeft w:val="0"/>
              <w:marRight w:val="0"/>
              <w:marTop w:val="0"/>
              <w:marBottom w:val="0"/>
              <w:divBdr>
                <w:top w:val="none" w:sz="0" w:space="0" w:color="auto"/>
                <w:left w:val="none" w:sz="0" w:space="0" w:color="auto"/>
                <w:bottom w:val="none" w:sz="0" w:space="0" w:color="auto"/>
                <w:right w:val="none" w:sz="0" w:space="0" w:color="auto"/>
              </w:divBdr>
            </w:div>
            <w:div w:id="406540357">
              <w:marLeft w:val="0"/>
              <w:marRight w:val="0"/>
              <w:marTop w:val="0"/>
              <w:marBottom w:val="0"/>
              <w:divBdr>
                <w:top w:val="none" w:sz="0" w:space="0" w:color="auto"/>
                <w:left w:val="none" w:sz="0" w:space="0" w:color="auto"/>
                <w:bottom w:val="none" w:sz="0" w:space="0" w:color="auto"/>
                <w:right w:val="none" w:sz="0" w:space="0" w:color="auto"/>
              </w:divBdr>
            </w:div>
            <w:div w:id="308941850">
              <w:marLeft w:val="0"/>
              <w:marRight w:val="0"/>
              <w:marTop w:val="0"/>
              <w:marBottom w:val="0"/>
              <w:divBdr>
                <w:top w:val="none" w:sz="0" w:space="0" w:color="auto"/>
                <w:left w:val="none" w:sz="0" w:space="0" w:color="auto"/>
                <w:bottom w:val="none" w:sz="0" w:space="0" w:color="auto"/>
                <w:right w:val="none" w:sz="0" w:space="0" w:color="auto"/>
              </w:divBdr>
            </w:div>
            <w:div w:id="1034034716">
              <w:marLeft w:val="0"/>
              <w:marRight w:val="0"/>
              <w:marTop w:val="0"/>
              <w:marBottom w:val="0"/>
              <w:divBdr>
                <w:top w:val="none" w:sz="0" w:space="0" w:color="auto"/>
                <w:left w:val="none" w:sz="0" w:space="0" w:color="auto"/>
                <w:bottom w:val="none" w:sz="0" w:space="0" w:color="auto"/>
                <w:right w:val="none" w:sz="0" w:space="0" w:color="auto"/>
              </w:divBdr>
            </w:div>
            <w:div w:id="664671894">
              <w:marLeft w:val="0"/>
              <w:marRight w:val="0"/>
              <w:marTop w:val="0"/>
              <w:marBottom w:val="0"/>
              <w:divBdr>
                <w:top w:val="none" w:sz="0" w:space="0" w:color="auto"/>
                <w:left w:val="none" w:sz="0" w:space="0" w:color="auto"/>
                <w:bottom w:val="none" w:sz="0" w:space="0" w:color="auto"/>
                <w:right w:val="none" w:sz="0" w:space="0" w:color="auto"/>
              </w:divBdr>
            </w:div>
            <w:div w:id="385221899">
              <w:marLeft w:val="0"/>
              <w:marRight w:val="0"/>
              <w:marTop w:val="0"/>
              <w:marBottom w:val="0"/>
              <w:divBdr>
                <w:top w:val="none" w:sz="0" w:space="0" w:color="auto"/>
                <w:left w:val="none" w:sz="0" w:space="0" w:color="auto"/>
                <w:bottom w:val="none" w:sz="0" w:space="0" w:color="auto"/>
                <w:right w:val="none" w:sz="0" w:space="0" w:color="auto"/>
              </w:divBdr>
            </w:div>
            <w:div w:id="35082046">
              <w:marLeft w:val="0"/>
              <w:marRight w:val="0"/>
              <w:marTop w:val="0"/>
              <w:marBottom w:val="0"/>
              <w:divBdr>
                <w:top w:val="none" w:sz="0" w:space="0" w:color="auto"/>
                <w:left w:val="none" w:sz="0" w:space="0" w:color="auto"/>
                <w:bottom w:val="none" w:sz="0" w:space="0" w:color="auto"/>
                <w:right w:val="none" w:sz="0" w:space="0" w:color="auto"/>
              </w:divBdr>
            </w:div>
            <w:div w:id="783040189">
              <w:marLeft w:val="0"/>
              <w:marRight w:val="0"/>
              <w:marTop w:val="0"/>
              <w:marBottom w:val="0"/>
              <w:divBdr>
                <w:top w:val="none" w:sz="0" w:space="0" w:color="auto"/>
                <w:left w:val="none" w:sz="0" w:space="0" w:color="auto"/>
                <w:bottom w:val="none" w:sz="0" w:space="0" w:color="auto"/>
                <w:right w:val="none" w:sz="0" w:space="0" w:color="auto"/>
              </w:divBdr>
            </w:div>
            <w:div w:id="24520724">
              <w:marLeft w:val="0"/>
              <w:marRight w:val="0"/>
              <w:marTop w:val="0"/>
              <w:marBottom w:val="0"/>
              <w:divBdr>
                <w:top w:val="none" w:sz="0" w:space="0" w:color="auto"/>
                <w:left w:val="none" w:sz="0" w:space="0" w:color="auto"/>
                <w:bottom w:val="none" w:sz="0" w:space="0" w:color="auto"/>
                <w:right w:val="none" w:sz="0" w:space="0" w:color="auto"/>
              </w:divBdr>
            </w:div>
            <w:div w:id="1926454922">
              <w:marLeft w:val="0"/>
              <w:marRight w:val="0"/>
              <w:marTop w:val="0"/>
              <w:marBottom w:val="0"/>
              <w:divBdr>
                <w:top w:val="none" w:sz="0" w:space="0" w:color="auto"/>
                <w:left w:val="none" w:sz="0" w:space="0" w:color="auto"/>
                <w:bottom w:val="none" w:sz="0" w:space="0" w:color="auto"/>
                <w:right w:val="none" w:sz="0" w:space="0" w:color="auto"/>
              </w:divBdr>
              <w:divsChild>
                <w:div w:id="1290823804">
                  <w:marLeft w:val="0"/>
                  <w:marRight w:val="0"/>
                  <w:marTop w:val="0"/>
                  <w:marBottom w:val="0"/>
                  <w:divBdr>
                    <w:top w:val="none" w:sz="0" w:space="0" w:color="auto"/>
                    <w:left w:val="none" w:sz="0" w:space="0" w:color="auto"/>
                    <w:bottom w:val="none" w:sz="0" w:space="0" w:color="auto"/>
                    <w:right w:val="none" w:sz="0" w:space="0" w:color="auto"/>
                  </w:divBdr>
                </w:div>
              </w:divsChild>
            </w:div>
            <w:div w:id="1583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7914B-E924-4726-B861-7369E58630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27403A-536F-48DF-B719-03A7BA18F003}">
  <ds:schemaRefs>
    <ds:schemaRef ds:uri="http://schemas.microsoft.com/sharepoint/v3/contenttype/forms"/>
  </ds:schemaRefs>
</ds:datastoreItem>
</file>

<file path=customXml/itemProps3.xml><?xml version="1.0" encoding="utf-8"?>
<ds:datastoreItem xmlns:ds="http://schemas.openxmlformats.org/officeDocument/2006/customXml" ds:itemID="{7C2B9C7E-0673-45B6-9421-8E70BA20F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16540</Words>
  <Characters>9429</Characters>
  <Application>Microsoft Office Word</Application>
  <DocSecurity>0</DocSecurity>
  <Lines>78</Lines>
  <Paragraphs>51</Paragraphs>
  <ScaleCrop>false</ScaleCrop>
  <Company/>
  <LinksUpToDate>false</LinksUpToDate>
  <CharactersWithSpaces>25918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2021-02-12T11:47:00Z</dcterms:created>
  <dcterms:modified xsi:type="dcterms:W3CDTF">2021-04-30T11:10:00Z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