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028" w:rsidRPr="00D71AF2" w:rsidRDefault="00D71AF2" w:rsidP="00D71AF2">
      <w:pPr>
        <w:pStyle w:val="Heading2"/>
        <w:jc w:val="right"/>
        <w:rPr>
          <w:rFonts w:ascii="Times New Roman" w:hAnsi="Times New Roman" w:cs="Times New Roman"/>
          <w:b w:val="0"/>
          <w:color w:val="auto"/>
          <w:sz w:val="24"/>
          <w:szCs w:val="24"/>
        </w:rPr>
      </w:pPr>
      <w:r w:rsidRPr="00D71AF2">
        <w:rPr>
          <w:rFonts w:ascii="Times New Roman" w:hAnsi="Times New Roman" w:cs="Times New Roman"/>
          <w:b w:val="0"/>
          <w:color w:val="auto"/>
          <w:sz w:val="24"/>
          <w:szCs w:val="24"/>
        </w:rPr>
        <w:t>Announcement</w:t>
      </w:r>
    </w:p>
    <w:p w:rsidR="00FA0028" w:rsidRDefault="00FA0028" w:rsidP="00FA0028"/>
    <w:p w:rsidR="00D71AF2" w:rsidRDefault="00D71AF2" w:rsidP="00FA0028"/>
    <w:p w:rsidR="00D71AF2" w:rsidRPr="00D71AF2" w:rsidRDefault="00D71AF2" w:rsidP="00D71AF2">
      <w:pPr>
        <w:jc w:val="center"/>
        <w:rPr>
          <w:b/>
          <w:sz w:val="28"/>
          <w:szCs w:val="28"/>
        </w:rPr>
      </w:pPr>
      <w:r w:rsidRPr="00D71AF2">
        <w:rPr>
          <w:b/>
          <w:sz w:val="28"/>
          <w:szCs w:val="28"/>
        </w:rPr>
        <w:t>Declaration</w:t>
      </w:r>
      <w:r w:rsidRPr="00D71AF2">
        <w:rPr>
          <w:b/>
          <w:sz w:val="28"/>
          <w:szCs w:val="28"/>
        </w:rPr>
        <w:t xml:space="preserve"> </w:t>
      </w:r>
      <w:r w:rsidRPr="00D71AF2">
        <w:rPr>
          <w:b/>
          <w:sz w:val="28"/>
          <w:szCs w:val="28"/>
        </w:rPr>
        <w:t>on the Protection of the Rights of Minor Latvian Nationals in Foreign Countries</w:t>
      </w:r>
    </w:p>
    <w:p w:rsidR="00D71AF2" w:rsidRDefault="00D71AF2" w:rsidP="00FA0028"/>
    <w:p w:rsidR="00FA0028" w:rsidRPr="00CE5417" w:rsidRDefault="00FA0028" w:rsidP="00FA0028"/>
    <w:p w:rsidR="00FA0028" w:rsidRPr="00CE5417" w:rsidRDefault="00FA0028" w:rsidP="00FA0028">
      <w:pPr>
        <w:ind w:firstLine="567"/>
        <w:jc w:val="both"/>
      </w:pPr>
      <w:r w:rsidRPr="00CE5417">
        <w:t xml:space="preserve">This is to announce that the </w:t>
      </w:r>
      <w:r w:rsidRPr="00CE5417">
        <w:rPr>
          <w:i/>
        </w:rPr>
        <w:t>Saeima</w:t>
      </w:r>
      <w:r w:rsidRPr="00CE5417">
        <w:t xml:space="preserve"> has adopted the following declaration at its plenary sitting of 28 January 2016:</w:t>
      </w:r>
    </w:p>
    <w:p w:rsidR="008B53E9" w:rsidRPr="00CE5417" w:rsidRDefault="008B53E9" w:rsidP="008B53E9">
      <w:pPr>
        <w:jc w:val="center"/>
        <w:rPr>
          <w:b/>
        </w:rPr>
      </w:pPr>
      <w:r w:rsidRPr="00CE5417">
        <w:rPr>
          <w:b/>
        </w:rPr>
        <w:t>Declaration</w:t>
      </w:r>
    </w:p>
    <w:p w:rsidR="008B53E9" w:rsidRPr="00CE5417" w:rsidRDefault="008B53E9" w:rsidP="008B53E9">
      <w:pPr>
        <w:jc w:val="center"/>
        <w:rPr>
          <w:b/>
        </w:rPr>
      </w:pPr>
      <w:r w:rsidRPr="00CE5417">
        <w:rPr>
          <w:b/>
        </w:rPr>
        <w:t>on the Protection of the Rights of Minor Latvian Nationals in Foreign Countries</w:t>
      </w:r>
    </w:p>
    <w:p w:rsidR="008B53E9" w:rsidRPr="00CE5417" w:rsidRDefault="008B53E9" w:rsidP="008B53E9">
      <w:pPr>
        <w:jc w:val="both"/>
      </w:pPr>
    </w:p>
    <w:p w:rsidR="008B53E9" w:rsidRPr="00CE5417" w:rsidRDefault="008B53E9" w:rsidP="008B53E9">
      <w:pPr>
        <w:jc w:val="both"/>
      </w:pPr>
      <w:r w:rsidRPr="00CE5417">
        <w:rPr>
          <w:b/>
        </w:rPr>
        <w:t>Taking into consideration</w:t>
      </w:r>
      <w:r w:rsidRPr="00CE5417">
        <w:t xml:space="preserve"> that competent authorities of several countries have failed to observe consistently the obligations laid down in Articles 36 and 37 of the 1963 Vienna Convention on Consular Relations (hereinafter – Vienna Convention) in relation to the rights of diplomatic and consular missions of Latvia to freely communicate with Latvian nationals and to be informed regarding all cases when appointing of a guardian is within the interests of a minor Latvian national;</w:t>
      </w:r>
    </w:p>
    <w:p w:rsidR="008B53E9" w:rsidRPr="00CE5417" w:rsidRDefault="008B53E9" w:rsidP="008B53E9">
      <w:pPr>
        <w:jc w:val="both"/>
      </w:pPr>
    </w:p>
    <w:p w:rsidR="008B53E9" w:rsidRPr="00CE5417" w:rsidRDefault="008B53E9" w:rsidP="008B53E9">
      <w:pPr>
        <w:jc w:val="both"/>
      </w:pPr>
      <w:r w:rsidRPr="00CE5417">
        <w:rPr>
          <w:b/>
        </w:rPr>
        <w:t>due to the fact</w:t>
      </w:r>
      <w:r w:rsidRPr="00CE5417">
        <w:t xml:space="preserve"> that failure to observe the obligations laid down in Articles 36 and 37 of the Vienna Convention may lead to violation of the obligation laid down in Articles 8 and 20 of the United Nations Convention on the Rights of the Child of 20 November 1989 to respect the right of any child to preserve his or her identity, including name, nationality, family relations, native language, and to take into consideration the desirable continuity in the child's upbringing, as well as the child's ethnic, religious and cultural background;</w:t>
      </w:r>
    </w:p>
    <w:p w:rsidR="008B53E9" w:rsidRPr="00CE5417" w:rsidRDefault="008B53E9" w:rsidP="008B53E9">
      <w:pPr>
        <w:jc w:val="both"/>
      </w:pPr>
    </w:p>
    <w:p w:rsidR="008B53E9" w:rsidRPr="00CE5417" w:rsidRDefault="008B53E9" w:rsidP="008B53E9">
      <w:pPr>
        <w:jc w:val="both"/>
      </w:pPr>
      <w:r w:rsidRPr="00CE5417">
        <w:rPr>
          <w:b/>
        </w:rPr>
        <w:t>taking into consideration</w:t>
      </w:r>
      <w:r w:rsidRPr="00CE5417">
        <w:t xml:space="preserve"> that failure to inform the state in due time or at all regarding removal of minor nationals from parental care and regarding commencing of the adoption procedure can have an irreversible negative impact on full participation of the relevant state and its nationals in the abovementioned procedures;</w:t>
      </w:r>
    </w:p>
    <w:p w:rsidR="008B53E9" w:rsidRPr="00CE5417" w:rsidRDefault="008B53E9" w:rsidP="008B53E9">
      <w:pPr>
        <w:jc w:val="both"/>
      </w:pPr>
    </w:p>
    <w:p w:rsidR="008B53E9" w:rsidRPr="00CE5417" w:rsidRDefault="008B53E9" w:rsidP="008B53E9">
      <w:pPr>
        <w:jc w:val="both"/>
      </w:pPr>
      <w:r w:rsidRPr="00CE5417">
        <w:rPr>
          <w:b/>
        </w:rPr>
        <w:t>complying with</w:t>
      </w:r>
      <w:r w:rsidRPr="00CE5417">
        <w:t xml:space="preserve"> the consultations and efforts taking place within the European Union to ensure uniform application of Articles 36 and 37 of the Vienna Convention,</w:t>
      </w:r>
    </w:p>
    <w:p w:rsidR="008B53E9" w:rsidRPr="00CE5417" w:rsidRDefault="008B53E9" w:rsidP="008B53E9">
      <w:pPr>
        <w:jc w:val="both"/>
      </w:pPr>
    </w:p>
    <w:p w:rsidR="008B53E9" w:rsidRPr="00CE5417" w:rsidRDefault="008B53E9" w:rsidP="008B53E9">
      <w:pPr>
        <w:jc w:val="both"/>
        <w:rPr>
          <w:b/>
        </w:rPr>
      </w:pPr>
      <w:r w:rsidRPr="00CE5417">
        <w:rPr>
          <w:b/>
        </w:rPr>
        <w:t xml:space="preserve">The </w:t>
      </w:r>
      <w:r w:rsidRPr="00CE5417">
        <w:rPr>
          <w:b/>
          <w:i/>
        </w:rPr>
        <w:t>Saeima</w:t>
      </w:r>
      <w:r w:rsidRPr="00CE5417">
        <w:rPr>
          <w:b/>
        </w:rPr>
        <w:t xml:space="preserve"> of the Republic of Latvia</w:t>
      </w:r>
    </w:p>
    <w:p w:rsidR="008B53E9" w:rsidRPr="00CE5417" w:rsidRDefault="008B53E9" w:rsidP="008B53E9">
      <w:pPr>
        <w:jc w:val="both"/>
      </w:pPr>
    </w:p>
    <w:p w:rsidR="008B53E9" w:rsidRPr="00CE5417" w:rsidRDefault="008B53E9" w:rsidP="008B53E9">
      <w:pPr>
        <w:jc w:val="both"/>
      </w:pPr>
      <w:r w:rsidRPr="00CE5417">
        <w:t>1. Calls upon the competent authorities of foreign countries to respect the duty of the state of Latvia to protect the rights of Latvian nationals abroad and in conformity with Articles 36 and 37 of the Vienna Convention to inform, without delay, the diplomatic or consular missions of Latvia regarding all cases when appointing of a guardian is within the interests of a minor Latvian national.</w:t>
      </w:r>
    </w:p>
    <w:p w:rsidR="008B53E9" w:rsidRPr="00CE5417" w:rsidRDefault="008B53E9" w:rsidP="008B53E9">
      <w:pPr>
        <w:jc w:val="both"/>
      </w:pPr>
    </w:p>
    <w:p w:rsidR="008B53E9" w:rsidRPr="00CE5417" w:rsidRDefault="008B53E9" w:rsidP="008B53E9">
      <w:pPr>
        <w:jc w:val="both"/>
      </w:pPr>
      <w:r w:rsidRPr="00CE5417">
        <w:t>2. Urges the competent authorities of foreign countries to verify that specific activities in the cases that they are processing regarding provision of further care to minor Latvian nationals are performed in accordance with the Vienna Convention, and, should a negative conclusion be reached, to ensure re-examination of the respective cases, giving particular attention to the opinion of representatives of the state of Latvia.</w:t>
      </w:r>
    </w:p>
    <w:p w:rsidR="008B53E9" w:rsidRPr="00CE5417" w:rsidRDefault="008B53E9" w:rsidP="008B53E9">
      <w:pPr>
        <w:jc w:val="both"/>
      </w:pPr>
    </w:p>
    <w:p w:rsidR="008B53E9" w:rsidRPr="00CE5417" w:rsidRDefault="008B53E9" w:rsidP="008B53E9">
      <w:pPr>
        <w:jc w:val="both"/>
      </w:pPr>
      <w:r w:rsidRPr="00CE5417">
        <w:t>3. Calls upon the competent authorities of foreign countries to evaluate actions with the goal of putting a child up for adoption, which have been implemented prior to observing the obligations contained in the Convention on the Rights of the Child to respect the right of any child to preserve his or her identity, including name, nationality, family relations, native language and to take into consideration the desirable continuity in the child's upbringing, as well as the child's ethnic, religious and cultural background with legal precision, the highest level of responsibility and respect for the law, and to revise any procedures that are not in line with the abovementioned international legal standards.</w:t>
      </w:r>
    </w:p>
    <w:p w:rsidR="008B53E9" w:rsidRPr="00CE5417" w:rsidRDefault="008B53E9" w:rsidP="008B53E9">
      <w:pPr>
        <w:jc w:val="both"/>
      </w:pPr>
    </w:p>
    <w:p w:rsidR="008B53E9" w:rsidRPr="00CE5417" w:rsidRDefault="008B53E9" w:rsidP="008B53E9">
      <w:pPr>
        <w:jc w:val="both"/>
      </w:pPr>
      <w:r w:rsidRPr="00CE5417">
        <w:t>4. Calls upon the competent authorities of foreign countries to cooperate with the diplomatic and consular missions of Latvia and services responsible for protecting the rights of minor Latvian nationals by taking into special consideration their recommendations on further care for the child in a family environment consistent with Latvian culture and identity.</w:t>
      </w:r>
    </w:p>
    <w:p w:rsidR="008B53E9" w:rsidRPr="00CE5417" w:rsidRDefault="008B53E9" w:rsidP="008B53E9">
      <w:pPr>
        <w:jc w:val="both"/>
      </w:pPr>
    </w:p>
    <w:p w:rsidR="008B53E9" w:rsidRPr="00CE5417" w:rsidRDefault="008B53E9" w:rsidP="008B53E9">
      <w:pPr>
        <w:jc w:val="both"/>
      </w:pPr>
      <w:r w:rsidRPr="00CE5417">
        <w:t>5. Tasks the Cabinet with the following:</w:t>
      </w:r>
    </w:p>
    <w:p w:rsidR="008B53E9" w:rsidRPr="00CE5417" w:rsidRDefault="008B53E9" w:rsidP="00D71AF2">
      <w:pPr>
        <w:ind w:firstLine="709"/>
        <w:jc w:val="both"/>
      </w:pPr>
      <w:r w:rsidRPr="00CE5417">
        <w:t>5.1. To inform Member States of the European Union and of the European Economic Area, as well as other countries that have failed to comply consistently with the obligations laid down in Article 37 of the Vienna Convention, regarding Paragraphs 1, 2, 3, and 4 of this Declaration;</w:t>
      </w:r>
    </w:p>
    <w:p w:rsidR="008B53E9" w:rsidRPr="00CE5417" w:rsidRDefault="008B53E9" w:rsidP="00D71AF2">
      <w:pPr>
        <w:ind w:firstLine="709"/>
        <w:jc w:val="both"/>
      </w:pPr>
      <w:r w:rsidRPr="00CE5417">
        <w:t>5.2. To ensure protection of the rights of minor Latvian nationals outside the territory of Latvia by providing support to them and participating in processes taking place in foreign authorities, courts and international institutions in accordance with national and international legal standards, including requesting the competent authorities of foreign countries or courts to pass over custody cases involving minor Latvian nationals to the jurisdiction of the competent authorities of Latvia;</w:t>
      </w:r>
    </w:p>
    <w:p w:rsidR="008B53E9" w:rsidRPr="00CE5417" w:rsidRDefault="008B53E9" w:rsidP="00D71AF2">
      <w:pPr>
        <w:ind w:firstLine="709"/>
        <w:jc w:val="both"/>
      </w:pPr>
      <w:r w:rsidRPr="00CE5417">
        <w:t>5.3. To prepare information regarding legal norms, requirements and traditions of foreign countries in relation to the protection of the rights of the child and to distribute it to families of Latvian nationals residing in the particular countries.</w:t>
      </w:r>
    </w:p>
    <w:p w:rsidR="008B53E9" w:rsidRPr="00CE5417" w:rsidRDefault="008B53E9" w:rsidP="00D71AF2">
      <w:pPr>
        <w:jc w:val="both"/>
      </w:pPr>
    </w:p>
    <w:p w:rsidR="00FA0028" w:rsidRPr="00CE5417" w:rsidRDefault="00FA0028" w:rsidP="00D71AF2">
      <w:pPr>
        <w:jc w:val="both"/>
      </w:pPr>
    </w:p>
    <w:p w:rsidR="00FA0028" w:rsidRPr="004B00A8" w:rsidRDefault="00FA0028" w:rsidP="00D71AF2">
      <w:pPr>
        <w:tabs>
          <w:tab w:val="left" w:pos="6804"/>
        </w:tabs>
        <w:jc w:val="both"/>
      </w:pPr>
      <w:r w:rsidRPr="004B00A8">
        <w:t xml:space="preserve">Speaker of the </w:t>
      </w:r>
      <w:r w:rsidRPr="004B00A8">
        <w:rPr>
          <w:i/>
        </w:rPr>
        <w:t>Saeima</w:t>
      </w:r>
      <w:r w:rsidRPr="004B00A8">
        <w:tab/>
        <w:t>Ināra Mūrniece</w:t>
      </w:r>
    </w:p>
    <w:p w:rsidR="00FA0028" w:rsidRPr="004B00A8" w:rsidRDefault="00FA0028" w:rsidP="00D71AF2">
      <w:pPr>
        <w:tabs>
          <w:tab w:val="left" w:pos="6237"/>
        </w:tabs>
        <w:jc w:val="both"/>
      </w:pPr>
      <w:bookmarkStart w:id="0" w:name="_GoBack"/>
      <w:bookmarkEnd w:id="0"/>
    </w:p>
    <w:p w:rsidR="00FA0028" w:rsidRPr="004B00A8" w:rsidRDefault="00FA0028" w:rsidP="00D71AF2">
      <w:pPr>
        <w:pStyle w:val="BodyTextIndent"/>
        <w:tabs>
          <w:tab w:val="clear" w:pos="3261"/>
        </w:tabs>
        <w:ind w:left="0" w:firstLine="0"/>
        <w:jc w:val="both"/>
        <w:rPr>
          <w:rFonts w:ascii="Times New Roman" w:hAnsi="Times New Roman"/>
          <w:szCs w:val="24"/>
        </w:rPr>
      </w:pPr>
      <w:r w:rsidRPr="004B00A8">
        <w:rPr>
          <w:rFonts w:ascii="Times New Roman" w:hAnsi="Times New Roman"/>
          <w:szCs w:val="24"/>
        </w:rPr>
        <w:t>Riga, 28 January 2016</w:t>
      </w:r>
    </w:p>
    <w:sectPr w:rsidR="00FA0028" w:rsidRPr="004B00A8" w:rsidSect="00CE541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458" w:rsidRDefault="00246458" w:rsidP="00246458">
      <w:r>
        <w:separator/>
      </w:r>
    </w:p>
  </w:endnote>
  <w:endnote w:type="continuationSeparator" w:id="0">
    <w:p w:rsidR="00246458" w:rsidRDefault="00246458" w:rsidP="0024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KorinnaBR">
    <w:altName w:val="Times New Roman"/>
    <w:charset w:val="00"/>
    <w:family w:val="auto"/>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0A8" w:rsidRPr="00986E9B" w:rsidRDefault="004B00A8" w:rsidP="004B00A8">
    <w:pPr>
      <w:pStyle w:val="Footer"/>
      <w:tabs>
        <w:tab w:val="clear" w:pos="4153"/>
        <w:tab w:val="clear" w:pos="8306"/>
        <w:tab w:val="right" w:pos="9072"/>
      </w:tabs>
      <w:rPr>
        <w:sz w:val="20"/>
        <w:szCs w:val="20"/>
      </w:rPr>
    </w:pPr>
  </w:p>
  <w:p w:rsidR="004B00A8" w:rsidRPr="00986E9B" w:rsidRDefault="004B00A8" w:rsidP="004B00A8">
    <w:pPr>
      <w:pStyle w:val="Footer"/>
      <w:tabs>
        <w:tab w:val="clear" w:pos="4153"/>
        <w:tab w:val="clear" w:pos="8306"/>
        <w:tab w:val="right" w:pos="9072"/>
      </w:tabs>
      <w:rPr>
        <w:sz w:val="20"/>
        <w:szCs w:val="20"/>
      </w:rPr>
    </w:pPr>
    <w:r w:rsidRPr="00986E9B">
      <w:rPr>
        <w:sz w:val="20"/>
        <w:szCs w:val="20"/>
      </w:rPr>
      <w:t xml:space="preserve">Translation </w:t>
    </w:r>
    <w:r w:rsidRPr="00986E9B">
      <w:rPr>
        <w:sz w:val="20"/>
        <w:szCs w:val="20"/>
      </w:rPr>
      <w:fldChar w:fldCharType="begin"/>
    </w:r>
    <w:r w:rsidRPr="00986E9B">
      <w:rPr>
        <w:sz w:val="20"/>
        <w:szCs w:val="20"/>
      </w:rPr>
      <w:instrText>symbol 169 \f "UnivrstyRoman TL" \s 8</w:instrText>
    </w:r>
    <w:r w:rsidRPr="00986E9B">
      <w:rPr>
        <w:sz w:val="20"/>
        <w:szCs w:val="20"/>
      </w:rPr>
      <w:fldChar w:fldCharType="separate"/>
    </w:r>
    <w:r w:rsidRPr="00986E9B">
      <w:rPr>
        <w:sz w:val="20"/>
        <w:szCs w:val="20"/>
      </w:rPr>
      <w:t>©</w:t>
    </w:r>
    <w:r w:rsidRPr="00986E9B">
      <w:rPr>
        <w:sz w:val="20"/>
        <w:szCs w:val="20"/>
      </w:rPr>
      <w:fldChar w:fldCharType="end"/>
    </w:r>
    <w:r>
      <w:rPr>
        <w:sz w:val="20"/>
        <w:szCs w:val="20"/>
      </w:rPr>
      <w:t xml:space="preserve"> 2016</w:t>
    </w:r>
    <w:r w:rsidRPr="00986E9B">
      <w:rPr>
        <w:sz w:val="20"/>
        <w:szCs w:val="20"/>
      </w:rPr>
      <w:t xml:space="preserve"> Valsts valodas centrs (State Language Centre)</w:t>
    </w:r>
    <w:r w:rsidRPr="00986E9B">
      <w:rPr>
        <w:sz w:val="20"/>
        <w:szCs w:val="20"/>
      </w:rPr>
      <w:tab/>
    </w:r>
    <w:r w:rsidRPr="00986E9B">
      <w:rPr>
        <w:rStyle w:val="PageNumber"/>
        <w:sz w:val="20"/>
        <w:szCs w:val="20"/>
      </w:rPr>
      <w:fldChar w:fldCharType="begin"/>
    </w:r>
    <w:r w:rsidRPr="00986E9B">
      <w:rPr>
        <w:rStyle w:val="PageNumber"/>
        <w:sz w:val="20"/>
        <w:szCs w:val="20"/>
      </w:rPr>
      <w:instrText xml:space="preserve"> PAGE </w:instrText>
    </w:r>
    <w:r w:rsidRPr="00986E9B">
      <w:rPr>
        <w:rStyle w:val="PageNumber"/>
        <w:sz w:val="20"/>
        <w:szCs w:val="20"/>
      </w:rPr>
      <w:fldChar w:fldCharType="separate"/>
    </w:r>
    <w:r w:rsidR="00D71AF2">
      <w:rPr>
        <w:rStyle w:val="PageNumber"/>
        <w:noProof/>
        <w:sz w:val="20"/>
        <w:szCs w:val="20"/>
      </w:rPr>
      <w:t>2</w:t>
    </w:r>
    <w:r w:rsidRPr="00986E9B">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0A8" w:rsidRPr="00986E9B" w:rsidRDefault="004B00A8" w:rsidP="004B00A8">
    <w:pPr>
      <w:pStyle w:val="Footer"/>
      <w:rPr>
        <w:sz w:val="20"/>
        <w:szCs w:val="20"/>
      </w:rPr>
    </w:pPr>
  </w:p>
  <w:p w:rsidR="004B00A8" w:rsidRPr="00986E9B" w:rsidRDefault="004B00A8" w:rsidP="004B00A8">
    <w:pPr>
      <w:pStyle w:val="Footer"/>
      <w:rPr>
        <w:sz w:val="20"/>
        <w:szCs w:val="20"/>
      </w:rPr>
    </w:pPr>
    <w:r w:rsidRPr="00986E9B">
      <w:rPr>
        <w:sz w:val="20"/>
        <w:szCs w:val="20"/>
      </w:rPr>
      <w:t xml:space="preserve">Translation </w:t>
    </w:r>
    <w:r w:rsidRPr="00986E9B">
      <w:rPr>
        <w:sz w:val="20"/>
        <w:szCs w:val="20"/>
      </w:rPr>
      <w:fldChar w:fldCharType="begin"/>
    </w:r>
    <w:r w:rsidRPr="00986E9B">
      <w:rPr>
        <w:sz w:val="20"/>
        <w:szCs w:val="20"/>
      </w:rPr>
      <w:instrText>symbol 169 \f "UnivrstyRoman TL" \s 8</w:instrText>
    </w:r>
    <w:r w:rsidRPr="00986E9B">
      <w:rPr>
        <w:sz w:val="20"/>
        <w:szCs w:val="20"/>
      </w:rPr>
      <w:fldChar w:fldCharType="separate"/>
    </w:r>
    <w:r w:rsidRPr="00986E9B">
      <w:rPr>
        <w:sz w:val="20"/>
        <w:szCs w:val="20"/>
      </w:rPr>
      <w:t>©</w:t>
    </w:r>
    <w:r w:rsidRPr="00986E9B">
      <w:rPr>
        <w:sz w:val="20"/>
        <w:szCs w:val="20"/>
      </w:rPr>
      <w:fldChar w:fldCharType="end"/>
    </w:r>
    <w:r>
      <w:rPr>
        <w:sz w:val="20"/>
        <w:szCs w:val="20"/>
      </w:rPr>
      <w:t xml:space="preserve"> 2016</w:t>
    </w:r>
    <w:r w:rsidRPr="00986E9B">
      <w:rPr>
        <w:sz w:val="20"/>
        <w:szCs w:val="20"/>
      </w:rPr>
      <w:t xml:space="preserve">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458" w:rsidRDefault="00246458" w:rsidP="00246458">
      <w:r>
        <w:separator/>
      </w:r>
    </w:p>
  </w:footnote>
  <w:footnote w:type="continuationSeparator" w:id="0">
    <w:p w:rsidR="00246458" w:rsidRDefault="00246458" w:rsidP="00246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FD"/>
    <w:rsid w:val="00080CFD"/>
    <w:rsid w:val="00246458"/>
    <w:rsid w:val="002D39D2"/>
    <w:rsid w:val="003337F3"/>
    <w:rsid w:val="004B00A8"/>
    <w:rsid w:val="00724E19"/>
    <w:rsid w:val="008116FB"/>
    <w:rsid w:val="00873F31"/>
    <w:rsid w:val="008B53E9"/>
    <w:rsid w:val="008B5539"/>
    <w:rsid w:val="009965CB"/>
    <w:rsid w:val="00A03569"/>
    <w:rsid w:val="00C660A6"/>
    <w:rsid w:val="00CD4F89"/>
    <w:rsid w:val="00CE5417"/>
    <w:rsid w:val="00D044D7"/>
    <w:rsid w:val="00D71AF2"/>
    <w:rsid w:val="00DC22F5"/>
    <w:rsid w:val="00ED1618"/>
    <w:rsid w:val="00FA00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B6BFA-7E8E-4620-B84D-7CB13F47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0A6"/>
    <w:rPr>
      <w:rFonts w:eastAsia="MS Mincho"/>
      <w:sz w:val="24"/>
      <w:szCs w:val="24"/>
    </w:rPr>
  </w:style>
  <w:style w:type="paragraph" w:styleId="Heading1">
    <w:name w:val="heading 1"/>
    <w:basedOn w:val="Normal"/>
    <w:next w:val="Normal"/>
    <w:link w:val="Heading1Char"/>
    <w:qFormat/>
    <w:rsid w:val="008116FB"/>
    <w:pPr>
      <w:keepNext/>
      <w:jc w:val="right"/>
      <w:outlineLvl w:val="0"/>
    </w:pPr>
    <w:rPr>
      <w:rFonts w:eastAsia="Times New Roman"/>
      <w:i/>
      <w:iCs/>
    </w:rPr>
  </w:style>
  <w:style w:type="paragraph" w:styleId="Heading2">
    <w:name w:val="heading 2"/>
    <w:basedOn w:val="Normal"/>
    <w:next w:val="Normal"/>
    <w:link w:val="Heading2Char"/>
    <w:uiPriority w:val="9"/>
    <w:semiHidden/>
    <w:unhideWhenUsed/>
    <w:qFormat/>
    <w:rsid w:val="00FA00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6FB"/>
    <w:pPr>
      <w:ind w:left="720"/>
      <w:contextualSpacing/>
    </w:pPr>
  </w:style>
  <w:style w:type="character" w:customStyle="1" w:styleId="Heading1Char">
    <w:name w:val="Heading 1 Char"/>
    <w:basedOn w:val="DefaultParagraphFont"/>
    <w:link w:val="Heading1"/>
    <w:rsid w:val="008116FB"/>
    <w:rPr>
      <w:rFonts w:eastAsia="Times New Roman"/>
      <w:i/>
      <w:iCs/>
      <w:sz w:val="24"/>
      <w:szCs w:val="24"/>
      <w:lang w:eastAsia="en-GB"/>
    </w:rPr>
  </w:style>
  <w:style w:type="paragraph" w:styleId="BalloonText">
    <w:name w:val="Balloon Text"/>
    <w:basedOn w:val="Normal"/>
    <w:link w:val="BalloonTextChar"/>
    <w:uiPriority w:val="99"/>
    <w:semiHidden/>
    <w:unhideWhenUsed/>
    <w:rsid w:val="003337F3"/>
    <w:rPr>
      <w:rFonts w:ascii="Tahoma" w:hAnsi="Tahoma" w:cs="Tahoma"/>
      <w:sz w:val="16"/>
      <w:szCs w:val="16"/>
    </w:rPr>
  </w:style>
  <w:style w:type="character" w:customStyle="1" w:styleId="BalloonTextChar">
    <w:name w:val="Balloon Text Char"/>
    <w:basedOn w:val="DefaultParagraphFont"/>
    <w:link w:val="BalloonText"/>
    <w:uiPriority w:val="99"/>
    <w:semiHidden/>
    <w:rsid w:val="003337F3"/>
    <w:rPr>
      <w:rFonts w:ascii="Tahoma" w:eastAsia="MS Mincho" w:hAnsi="Tahoma" w:cs="Tahoma"/>
      <w:sz w:val="16"/>
      <w:szCs w:val="16"/>
      <w:lang w:val="en-GB" w:eastAsia="en-GB"/>
    </w:rPr>
  </w:style>
  <w:style w:type="paragraph" w:styleId="Header">
    <w:name w:val="header"/>
    <w:basedOn w:val="Normal"/>
    <w:link w:val="HeaderChar"/>
    <w:uiPriority w:val="99"/>
    <w:unhideWhenUsed/>
    <w:rsid w:val="00246458"/>
    <w:pPr>
      <w:tabs>
        <w:tab w:val="center" w:pos="4153"/>
        <w:tab w:val="right" w:pos="8306"/>
      </w:tabs>
    </w:pPr>
  </w:style>
  <w:style w:type="character" w:customStyle="1" w:styleId="HeaderChar">
    <w:name w:val="Header Char"/>
    <w:basedOn w:val="DefaultParagraphFont"/>
    <w:link w:val="Header"/>
    <w:uiPriority w:val="99"/>
    <w:rsid w:val="00246458"/>
    <w:rPr>
      <w:rFonts w:eastAsia="MS Mincho"/>
      <w:sz w:val="24"/>
      <w:szCs w:val="24"/>
      <w:lang w:val="en-GB" w:eastAsia="en-GB"/>
    </w:rPr>
  </w:style>
  <w:style w:type="paragraph" w:styleId="Footer">
    <w:name w:val="footer"/>
    <w:basedOn w:val="Normal"/>
    <w:link w:val="FooterChar"/>
    <w:unhideWhenUsed/>
    <w:rsid w:val="00246458"/>
    <w:pPr>
      <w:tabs>
        <w:tab w:val="center" w:pos="4153"/>
        <w:tab w:val="right" w:pos="8306"/>
      </w:tabs>
    </w:pPr>
  </w:style>
  <w:style w:type="character" w:customStyle="1" w:styleId="FooterChar">
    <w:name w:val="Footer Char"/>
    <w:basedOn w:val="DefaultParagraphFont"/>
    <w:link w:val="Footer"/>
    <w:uiPriority w:val="99"/>
    <w:rsid w:val="00246458"/>
    <w:rPr>
      <w:rFonts w:eastAsia="MS Mincho"/>
      <w:sz w:val="24"/>
      <w:szCs w:val="24"/>
      <w:lang w:val="en-GB" w:eastAsia="en-GB"/>
    </w:rPr>
  </w:style>
  <w:style w:type="character" w:customStyle="1" w:styleId="Heading2Char">
    <w:name w:val="Heading 2 Char"/>
    <w:basedOn w:val="DefaultParagraphFont"/>
    <w:link w:val="Heading2"/>
    <w:uiPriority w:val="9"/>
    <w:semiHidden/>
    <w:rsid w:val="00FA0028"/>
    <w:rPr>
      <w:rFonts w:asciiTheme="majorHAnsi" w:eastAsiaTheme="majorEastAsia" w:hAnsiTheme="majorHAnsi" w:cstheme="majorBidi"/>
      <w:b/>
      <w:bCs/>
      <w:color w:val="4F81BD" w:themeColor="accent1"/>
      <w:sz w:val="26"/>
      <w:szCs w:val="26"/>
      <w:lang w:val="en-GB" w:eastAsia="en-GB"/>
    </w:rPr>
  </w:style>
  <w:style w:type="paragraph" w:styleId="BodyTextIndent">
    <w:name w:val="Body Text Indent"/>
    <w:basedOn w:val="Normal"/>
    <w:link w:val="BodyTextIndentChar"/>
    <w:semiHidden/>
    <w:rsid w:val="00FA0028"/>
    <w:pPr>
      <w:tabs>
        <w:tab w:val="left" w:pos="3261"/>
      </w:tabs>
      <w:ind w:left="2700" w:hanging="2700"/>
    </w:pPr>
    <w:rPr>
      <w:rFonts w:ascii="KorinnaBR" w:eastAsia="Times New Roman" w:hAnsi="KorinnaBR"/>
      <w:szCs w:val="20"/>
    </w:rPr>
  </w:style>
  <w:style w:type="character" w:customStyle="1" w:styleId="BodyTextIndentChar">
    <w:name w:val="Body Text Indent Char"/>
    <w:basedOn w:val="DefaultParagraphFont"/>
    <w:link w:val="BodyTextIndent"/>
    <w:semiHidden/>
    <w:rsid w:val="00FA0028"/>
    <w:rPr>
      <w:rFonts w:ascii="KorinnaBR" w:eastAsia="Times New Roman" w:hAnsi="KorinnaBR"/>
      <w:sz w:val="24"/>
      <w:lang w:eastAsia="en-GB"/>
    </w:rPr>
  </w:style>
  <w:style w:type="character" w:styleId="PageNumber">
    <w:name w:val="page number"/>
    <w:basedOn w:val="DefaultParagraphFont"/>
    <w:rsid w:val="004B0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3128</Words>
  <Characters>1784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Saeima</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Zemlicka</dc:creator>
  <cp:keywords/>
  <dc:description/>
  <cp:lastModifiedBy>Liga Dombrovska</cp:lastModifiedBy>
  <cp:revision>5</cp:revision>
  <cp:lastPrinted>2016-01-21T12:34:00Z</cp:lastPrinted>
  <dcterms:created xsi:type="dcterms:W3CDTF">2016-02-22T09:32:00Z</dcterms:created>
  <dcterms:modified xsi:type="dcterms:W3CDTF">2016-03-15T07:40:00Z</dcterms:modified>
</cp:coreProperties>
</file>