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6B68" w14:textId="77777777" w:rsidR="00A97C5D" w:rsidRDefault="00A97C5D" w:rsidP="00A97C5D">
      <w:pPr>
        <w:widowControl/>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19602A6" wp14:editId="0571F723">
            <wp:extent cx="1173480" cy="598879"/>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5683" cy="605107"/>
                    </a:xfrm>
                    <a:prstGeom prst="rect">
                      <a:avLst/>
                    </a:prstGeom>
                  </pic:spPr>
                </pic:pic>
              </a:graphicData>
            </a:graphic>
          </wp:inline>
        </w:drawing>
      </w:r>
    </w:p>
    <w:p w14:paraId="4AA93631" w14:textId="77777777" w:rsidR="00A97C5D" w:rsidRPr="001B6FDE" w:rsidRDefault="00A97C5D" w:rsidP="00A97C5D">
      <w:pPr>
        <w:widowControl/>
        <w:jc w:val="both"/>
        <w:rPr>
          <w:rFonts w:ascii="Times New Roman" w:eastAsia="Times New Roman" w:hAnsi="Times New Roman" w:cs="Times New Roman"/>
          <w:noProof/>
        </w:rPr>
      </w:pPr>
      <w:r w:rsidRPr="001B6FDE">
        <w:rPr>
          <w:rFonts w:ascii="Times New Roman" w:hAnsi="Times New Roman"/>
          <w:szCs w:val="20"/>
        </w:rPr>
        <w:t>PASAULES ANTIDOPINGA AĢENTŪRA</w:t>
      </w:r>
    </w:p>
    <w:p w14:paraId="5890E598" w14:textId="77777777" w:rsidR="00A97C5D" w:rsidRPr="001B6FDE" w:rsidRDefault="00A97C5D" w:rsidP="00A97C5D">
      <w:pPr>
        <w:widowControl/>
        <w:jc w:val="both"/>
        <w:rPr>
          <w:rFonts w:ascii="Times New Roman" w:eastAsia="Times New Roman" w:hAnsi="Times New Roman" w:cs="Times New Roman"/>
          <w:noProof/>
        </w:rPr>
      </w:pPr>
      <w:r w:rsidRPr="001B6FDE">
        <w:rPr>
          <w:rFonts w:ascii="Times New Roman" w:hAnsi="Times New Roman"/>
          <w:szCs w:val="20"/>
        </w:rPr>
        <w:t>Godīga spēle</w:t>
      </w:r>
    </w:p>
    <w:p w14:paraId="49C4D25B" w14:textId="77777777" w:rsidR="00A97C5D" w:rsidRDefault="00A97C5D" w:rsidP="00A97C5D">
      <w:pPr>
        <w:widowControl/>
        <w:jc w:val="both"/>
        <w:rPr>
          <w:rFonts w:ascii="Times New Roman" w:eastAsia="Times New Roman" w:hAnsi="Times New Roman" w:cs="Times New Roman"/>
          <w:noProof/>
          <w:sz w:val="24"/>
          <w:szCs w:val="24"/>
        </w:rPr>
      </w:pPr>
    </w:p>
    <w:p w14:paraId="1EC6DA9B" w14:textId="72F50FFC" w:rsidR="00A97C5D" w:rsidRPr="00237257" w:rsidRDefault="00A97C5D" w:rsidP="00A97C5D">
      <w:pPr>
        <w:widowControl/>
        <w:jc w:val="center"/>
        <w:rPr>
          <w:rFonts w:ascii="Times New Roman" w:eastAsia="Times New Roman" w:hAnsi="Times New Roman" w:cs="Times New Roman"/>
          <w:b/>
          <w:bCs/>
          <w:i/>
          <w:iCs/>
          <w:noProof/>
          <w:sz w:val="24"/>
          <w:szCs w:val="24"/>
        </w:rPr>
      </w:pPr>
      <w:r w:rsidRPr="00237257">
        <w:rPr>
          <w:rFonts w:ascii="Times New Roman" w:hAnsi="Times New Roman"/>
          <w:b/>
          <w:i/>
          <w:iCs/>
          <w:sz w:val="24"/>
          <w:szCs w:val="20"/>
        </w:rPr>
        <w:t>WADA tehniskais dokuments</w:t>
      </w:r>
      <w:r w:rsidRPr="00237257">
        <w:rPr>
          <w:rFonts w:ascii="Times New Roman" w:hAnsi="Times New Roman"/>
          <w:b/>
          <w:sz w:val="24"/>
          <w:szCs w:val="20"/>
        </w:rPr>
        <w:t xml:space="preserve"> – TD2021CG/LH</w:t>
      </w: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868"/>
        <w:gridCol w:w="3282"/>
        <w:gridCol w:w="1974"/>
        <w:gridCol w:w="2004"/>
      </w:tblGrid>
      <w:tr w:rsidR="00A97C5D" w:rsidRPr="00443BB1" w14:paraId="4CD89C33" w14:textId="77777777" w:rsidTr="001B6FDE">
        <w:tc>
          <w:tcPr>
            <w:tcW w:w="0" w:type="auto"/>
            <w:tcBorders>
              <w:top w:val="single" w:sz="5" w:space="0" w:color="000000"/>
              <w:left w:val="single" w:sz="5" w:space="0" w:color="000000"/>
              <w:bottom w:val="single" w:sz="5" w:space="0" w:color="000000"/>
              <w:right w:val="single" w:sz="5" w:space="0" w:color="000000"/>
            </w:tcBorders>
          </w:tcPr>
          <w:p w14:paraId="4DBD3537"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Dokumenta numurs:</w:t>
            </w:r>
          </w:p>
        </w:tc>
        <w:tc>
          <w:tcPr>
            <w:tcW w:w="0" w:type="auto"/>
            <w:tcBorders>
              <w:top w:val="single" w:sz="5" w:space="0" w:color="000000"/>
              <w:left w:val="single" w:sz="5" w:space="0" w:color="000000"/>
              <w:bottom w:val="single" w:sz="5" w:space="0" w:color="000000"/>
              <w:right w:val="single" w:sz="5" w:space="0" w:color="000000"/>
            </w:tcBorders>
          </w:tcPr>
          <w:p w14:paraId="6EAF4EB4" w14:textId="11B5968B"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TD2021CG/LH</w:t>
            </w:r>
          </w:p>
        </w:tc>
        <w:tc>
          <w:tcPr>
            <w:tcW w:w="0" w:type="auto"/>
            <w:tcBorders>
              <w:top w:val="single" w:sz="5" w:space="0" w:color="000000"/>
              <w:left w:val="single" w:sz="5" w:space="0" w:color="000000"/>
              <w:bottom w:val="single" w:sz="5" w:space="0" w:color="000000"/>
              <w:right w:val="single" w:sz="5" w:space="0" w:color="000000"/>
            </w:tcBorders>
          </w:tcPr>
          <w:p w14:paraId="566B336B"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Versijas numurs:</w:t>
            </w:r>
          </w:p>
        </w:tc>
        <w:tc>
          <w:tcPr>
            <w:tcW w:w="0" w:type="auto"/>
            <w:tcBorders>
              <w:top w:val="single" w:sz="5" w:space="0" w:color="000000"/>
              <w:left w:val="single" w:sz="5" w:space="0" w:color="000000"/>
              <w:bottom w:val="single" w:sz="5" w:space="0" w:color="000000"/>
              <w:right w:val="single" w:sz="5" w:space="0" w:color="000000"/>
            </w:tcBorders>
          </w:tcPr>
          <w:p w14:paraId="69A07C97"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1.0</w:t>
            </w:r>
          </w:p>
        </w:tc>
      </w:tr>
      <w:tr w:rsidR="00A97C5D" w:rsidRPr="00443BB1" w14:paraId="1394085A" w14:textId="77777777" w:rsidTr="001B6FDE">
        <w:tc>
          <w:tcPr>
            <w:tcW w:w="0" w:type="auto"/>
            <w:tcBorders>
              <w:top w:val="single" w:sz="5" w:space="0" w:color="000000"/>
              <w:left w:val="single" w:sz="5" w:space="0" w:color="000000"/>
              <w:bottom w:val="single" w:sz="5" w:space="0" w:color="000000"/>
              <w:right w:val="single" w:sz="5" w:space="0" w:color="000000"/>
            </w:tcBorders>
          </w:tcPr>
          <w:p w14:paraId="2CED2739"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Sarakstījusi:</w:t>
            </w:r>
          </w:p>
          <w:p w14:paraId="21066F41" w14:textId="77777777" w:rsidR="00A97C5D" w:rsidRDefault="00A97C5D" w:rsidP="000F37BE">
            <w:pPr>
              <w:pStyle w:val="TableParagraph"/>
              <w:widowControl/>
              <w:jc w:val="both"/>
              <w:rPr>
                <w:rFonts w:ascii="Times New Roman" w:eastAsia="Times New Roman" w:hAnsi="Times New Roman" w:cs="Times New Roman"/>
                <w:noProof/>
              </w:rPr>
            </w:pPr>
          </w:p>
          <w:p w14:paraId="0EE6D746" w14:textId="77777777" w:rsidR="00A97C5D" w:rsidRPr="00443BB1" w:rsidRDefault="00A97C5D" w:rsidP="000F37BE">
            <w:pPr>
              <w:pStyle w:val="TableParagraph"/>
              <w:widowControl/>
              <w:jc w:val="both"/>
              <w:rPr>
                <w:rFonts w:ascii="Times New Roman" w:eastAsia="Times New Roman" w:hAnsi="Times New Roman" w:cs="Times New Roman"/>
                <w:noProof/>
              </w:rPr>
            </w:pPr>
          </w:p>
          <w:p w14:paraId="48DD56EB"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Pārskatījusi:</w:t>
            </w:r>
          </w:p>
        </w:tc>
        <w:tc>
          <w:tcPr>
            <w:tcW w:w="0" w:type="auto"/>
            <w:tcBorders>
              <w:top w:val="single" w:sz="5" w:space="0" w:color="000000"/>
              <w:left w:val="single" w:sz="5" w:space="0" w:color="000000"/>
              <w:bottom w:val="single" w:sz="5" w:space="0" w:color="000000"/>
              <w:right w:val="single" w:sz="5" w:space="0" w:color="000000"/>
            </w:tcBorders>
          </w:tcPr>
          <w:p w14:paraId="6E5C61F1" w14:textId="39C669A8" w:rsidR="00A97C5D" w:rsidRPr="00443BB1" w:rsidRDefault="00A97C5D" w:rsidP="000F37BE">
            <w:pPr>
              <w:pStyle w:val="TableParagraph"/>
              <w:widowControl/>
              <w:jc w:val="both"/>
              <w:rPr>
                <w:rFonts w:ascii="Times New Roman" w:eastAsia="Arial" w:hAnsi="Times New Roman" w:cs="Times New Roman"/>
                <w:noProof/>
              </w:rPr>
            </w:pPr>
            <w:r>
              <w:rPr>
                <w:rFonts w:ascii="Times New Roman" w:hAnsi="Times New Roman"/>
                <w:i/>
              </w:rPr>
              <w:t>WADA</w:t>
            </w:r>
            <w:r>
              <w:rPr>
                <w:rFonts w:ascii="Times New Roman" w:hAnsi="Times New Roman"/>
              </w:rPr>
              <w:t xml:space="preserve"> zinātnes/</w:t>
            </w:r>
            <w:r>
              <w:rPr>
                <w:rFonts w:ascii="Times New Roman" w:hAnsi="Times New Roman"/>
                <w:i/>
                <w:iCs/>
              </w:rPr>
              <w:t>CG</w:t>
            </w:r>
            <w:r>
              <w:rPr>
                <w:rFonts w:ascii="Times New Roman" w:hAnsi="Times New Roman"/>
              </w:rPr>
              <w:t>/LH darba grupa</w:t>
            </w:r>
          </w:p>
          <w:p w14:paraId="69263BF5" w14:textId="77777777" w:rsidR="00A97C5D" w:rsidRPr="00443BB1" w:rsidRDefault="00A97C5D" w:rsidP="000F37BE">
            <w:pPr>
              <w:pStyle w:val="TableParagraph"/>
              <w:widowControl/>
              <w:jc w:val="both"/>
              <w:rPr>
                <w:rFonts w:ascii="Times New Roman" w:eastAsia="Times New Roman" w:hAnsi="Times New Roman" w:cs="Times New Roman"/>
                <w:noProof/>
              </w:rPr>
            </w:pPr>
          </w:p>
          <w:p w14:paraId="7AD704EF" w14:textId="77777777" w:rsidR="00A97C5D" w:rsidRPr="00443BB1" w:rsidRDefault="00A97C5D" w:rsidP="000F37BE">
            <w:pPr>
              <w:pStyle w:val="TableParagraph"/>
              <w:widowControl/>
              <w:jc w:val="both"/>
              <w:rPr>
                <w:rFonts w:ascii="Times New Roman" w:eastAsia="Arial" w:hAnsi="Times New Roman" w:cs="Times New Roman"/>
                <w:noProof/>
              </w:rPr>
            </w:pPr>
            <w:r>
              <w:rPr>
                <w:rFonts w:ascii="Times New Roman" w:hAnsi="Times New Roman"/>
                <w:i/>
              </w:rPr>
              <w:t>WADA</w:t>
            </w:r>
            <w:r>
              <w:rPr>
                <w:rFonts w:ascii="Times New Roman" w:hAnsi="Times New Roman"/>
              </w:rPr>
              <w:t xml:space="preserve"> </w:t>
            </w:r>
            <w:r>
              <w:rPr>
                <w:rFonts w:ascii="Times New Roman" w:hAnsi="Times New Roman"/>
                <w:u w:val="single"/>
              </w:rPr>
              <w:t>Laboratoriju ekspertu grupa</w:t>
            </w:r>
          </w:p>
        </w:tc>
        <w:tc>
          <w:tcPr>
            <w:tcW w:w="0" w:type="auto"/>
            <w:tcBorders>
              <w:top w:val="single" w:sz="5" w:space="0" w:color="000000"/>
              <w:left w:val="single" w:sz="5" w:space="0" w:color="000000"/>
              <w:bottom w:val="single" w:sz="5" w:space="0" w:color="000000"/>
              <w:right w:val="single" w:sz="5" w:space="0" w:color="000000"/>
            </w:tcBorders>
            <w:vAlign w:val="center"/>
          </w:tcPr>
          <w:p w14:paraId="25E54A59" w14:textId="77777777" w:rsidR="00A97C5D" w:rsidRPr="00443BB1" w:rsidRDefault="00A97C5D" w:rsidP="000F37BE">
            <w:pPr>
              <w:pStyle w:val="TableParagraph"/>
              <w:widowControl/>
              <w:rPr>
                <w:rFonts w:ascii="Times New Roman" w:hAnsi="Times New Roman" w:cs="Times New Roman"/>
                <w:noProof/>
              </w:rPr>
            </w:pPr>
            <w:r>
              <w:rPr>
                <w:rFonts w:ascii="Times New Roman" w:hAnsi="Times New Roman"/>
              </w:rPr>
              <w:t>Apstiprinājusi:</w:t>
            </w:r>
          </w:p>
        </w:tc>
        <w:tc>
          <w:tcPr>
            <w:tcW w:w="0" w:type="auto"/>
            <w:tcBorders>
              <w:top w:val="single" w:sz="5" w:space="0" w:color="000000"/>
              <w:left w:val="single" w:sz="5" w:space="0" w:color="000000"/>
              <w:bottom w:val="single" w:sz="5" w:space="0" w:color="000000"/>
              <w:right w:val="single" w:sz="5" w:space="0" w:color="000000"/>
            </w:tcBorders>
            <w:vAlign w:val="center"/>
          </w:tcPr>
          <w:p w14:paraId="6862062E" w14:textId="77777777" w:rsidR="00A97C5D" w:rsidRPr="00443BB1" w:rsidRDefault="00A97C5D" w:rsidP="000F37BE">
            <w:pPr>
              <w:pStyle w:val="TableParagraph"/>
              <w:widowControl/>
              <w:rPr>
                <w:rFonts w:ascii="Times New Roman" w:eastAsia="Arial" w:hAnsi="Times New Roman" w:cs="Times New Roman"/>
                <w:noProof/>
              </w:rPr>
            </w:pPr>
            <w:r>
              <w:rPr>
                <w:rFonts w:ascii="Times New Roman" w:hAnsi="Times New Roman"/>
                <w:i/>
                <w:iCs/>
              </w:rPr>
              <w:t>WADA</w:t>
            </w:r>
            <w:r>
              <w:rPr>
                <w:rFonts w:ascii="Times New Roman" w:hAnsi="Times New Roman"/>
              </w:rPr>
              <w:t xml:space="preserve"> izpildkomiteja</w:t>
            </w:r>
          </w:p>
        </w:tc>
      </w:tr>
      <w:tr w:rsidR="00A97C5D" w:rsidRPr="00443BB1" w14:paraId="201155B4" w14:textId="77777777" w:rsidTr="001B6FDE">
        <w:tc>
          <w:tcPr>
            <w:tcW w:w="0" w:type="auto"/>
            <w:tcBorders>
              <w:top w:val="single" w:sz="5" w:space="0" w:color="000000"/>
              <w:left w:val="single" w:sz="5" w:space="0" w:color="000000"/>
              <w:bottom w:val="single" w:sz="5" w:space="0" w:color="000000"/>
              <w:right w:val="single" w:sz="5" w:space="0" w:color="000000"/>
            </w:tcBorders>
          </w:tcPr>
          <w:p w14:paraId="31111EEA"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Datums:</w:t>
            </w:r>
          </w:p>
        </w:tc>
        <w:tc>
          <w:tcPr>
            <w:tcW w:w="0" w:type="auto"/>
            <w:tcBorders>
              <w:top w:val="single" w:sz="5" w:space="0" w:color="000000"/>
              <w:left w:val="single" w:sz="5" w:space="0" w:color="000000"/>
              <w:bottom w:val="single" w:sz="5" w:space="0" w:color="000000"/>
              <w:right w:val="single" w:sz="5" w:space="0" w:color="000000"/>
            </w:tcBorders>
          </w:tcPr>
          <w:p w14:paraId="78DBD604"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2020. gada 21. decembris</w:t>
            </w:r>
          </w:p>
        </w:tc>
        <w:tc>
          <w:tcPr>
            <w:tcW w:w="0" w:type="auto"/>
            <w:tcBorders>
              <w:top w:val="single" w:sz="5" w:space="0" w:color="000000"/>
              <w:left w:val="single" w:sz="5" w:space="0" w:color="000000"/>
              <w:bottom w:val="single" w:sz="5" w:space="0" w:color="000000"/>
              <w:right w:val="single" w:sz="5" w:space="0" w:color="000000"/>
            </w:tcBorders>
          </w:tcPr>
          <w:p w14:paraId="24AE3D95"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Spēkā stāšanās diena:</w:t>
            </w:r>
          </w:p>
        </w:tc>
        <w:tc>
          <w:tcPr>
            <w:tcW w:w="0" w:type="auto"/>
            <w:tcBorders>
              <w:top w:val="single" w:sz="5" w:space="0" w:color="000000"/>
              <w:left w:val="single" w:sz="5" w:space="0" w:color="000000"/>
              <w:bottom w:val="single" w:sz="5" w:space="0" w:color="000000"/>
              <w:right w:val="single" w:sz="5" w:space="0" w:color="000000"/>
            </w:tcBorders>
          </w:tcPr>
          <w:p w14:paraId="4B7D46C8" w14:textId="77777777" w:rsidR="00A97C5D" w:rsidRPr="00443BB1" w:rsidRDefault="00A97C5D" w:rsidP="000F37BE">
            <w:pPr>
              <w:pStyle w:val="TableParagraph"/>
              <w:widowControl/>
              <w:jc w:val="both"/>
              <w:rPr>
                <w:rFonts w:ascii="Times New Roman" w:hAnsi="Times New Roman" w:cs="Times New Roman"/>
                <w:noProof/>
              </w:rPr>
            </w:pPr>
            <w:r>
              <w:rPr>
                <w:rFonts w:ascii="Times New Roman" w:hAnsi="Times New Roman"/>
              </w:rPr>
              <w:t>2021. gada 1. aprīlis</w:t>
            </w:r>
          </w:p>
        </w:tc>
      </w:tr>
    </w:tbl>
    <w:p w14:paraId="54119535" w14:textId="77777777" w:rsidR="00A97C5D" w:rsidRDefault="00A97C5D" w:rsidP="00A97C5D">
      <w:pPr>
        <w:widowControl/>
        <w:jc w:val="both"/>
        <w:rPr>
          <w:rFonts w:ascii="Times New Roman" w:eastAsia="Times New Roman" w:hAnsi="Times New Roman" w:cs="Times New Roman"/>
          <w:noProof/>
          <w:sz w:val="24"/>
          <w:szCs w:val="24"/>
        </w:rPr>
      </w:pPr>
    </w:p>
    <w:p w14:paraId="1375B96D" w14:textId="26CA227E" w:rsidR="003C61A2" w:rsidRPr="004E3455" w:rsidRDefault="003C61A2" w:rsidP="004E3455">
      <w:pPr>
        <w:pStyle w:val="Heading1"/>
        <w:widowControl/>
        <w:spacing w:before="0"/>
        <w:ind w:left="0"/>
        <w:jc w:val="center"/>
        <w:rPr>
          <w:rFonts w:ascii="Times New Roman" w:hAnsi="Times New Roman" w:cs="Times New Roman"/>
          <w:i/>
          <w:noProof/>
          <w:sz w:val="28"/>
          <w:szCs w:val="28"/>
        </w:rPr>
      </w:pPr>
      <w:bookmarkStart w:id="0" w:name="ANALYSIS,_REPORTING_&amp;_MANAGEMENT_of_URIN"/>
      <w:bookmarkEnd w:id="0"/>
      <w:r w:rsidRPr="004E3455">
        <w:rPr>
          <w:rFonts w:ascii="Times New Roman" w:hAnsi="Times New Roman" w:cs="Times New Roman"/>
          <w:sz w:val="28"/>
        </w:rPr>
        <w:t>ANALĪZES CILVĒKA HORIONU GONADOTROPĪNA (</w:t>
      </w:r>
      <w:r w:rsidRPr="004E3455">
        <w:rPr>
          <w:rFonts w:ascii="Times New Roman" w:hAnsi="Times New Roman" w:cs="Times New Roman"/>
          <w:i/>
          <w:iCs/>
          <w:sz w:val="28"/>
        </w:rPr>
        <w:t>hCG</w:t>
      </w:r>
      <w:r w:rsidRPr="004E3455">
        <w:rPr>
          <w:rFonts w:ascii="Times New Roman" w:hAnsi="Times New Roman" w:cs="Times New Roman"/>
          <w:sz w:val="28"/>
        </w:rPr>
        <w:t xml:space="preserve">) UN LUTEINIZĒJOŠĀ HORMONA (LH) KONSTATĒŠANAI VĪRIEŠU DZIMUMA </w:t>
      </w:r>
      <w:r w:rsidRPr="004E3455">
        <w:rPr>
          <w:rFonts w:ascii="Times New Roman" w:hAnsi="Times New Roman" w:cs="Times New Roman"/>
          <w:i/>
          <w:sz w:val="28"/>
        </w:rPr>
        <w:t>SPORTISTU</w:t>
      </w:r>
      <w:r w:rsidRPr="004E3455">
        <w:rPr>
          <w:rFonts w:ascii="Times New Roman" w:hAnsi="Times New Roman" w:cs="Times New Roman"/>
          <w:sz w:val="28"/>
        </w:rPr>
        <w:t xml:space="preserve"> URĪNĀ, ZIŅOŠANA PAR ŠĀDĀM ATRADĒM UN TO PĀRVALDĪBA</w:t>
      </w:r>
    </w:p>
    <w:p w14:paraId="3399FD1D" w14:textId="77777777" w:rsidR="00FC75A5" w:rsidRPr="004E3455" w:rsidRDefault="00FC75A5" w:rsidP="004E3455">
      <w:pPr>
        <w:pStyle w:val="Heading1"/>
        <w:widowControl/>
        <w:spacing w:before="0"/>
        <w:ind w:left="0"/>
        <w:jc w:val="both"/>
        <w:rPr>
          <w:rFonts w:ascii="Times New Roman" w:hAnsi="Times New Roman" w:cs="Times New Roman"/>
          <w:b w:val="0"/>
          <w:bCs w:val="0"/>
          <w:noProof/>
        </w:rPr>
      </w:pPr>
    </w:p>
    <w:p w14:paraId="26575800" w14:textId="359003FF" w:rsidR="003C61A2" w:rsidRPr="004E3455" w:rsidRDefault="003C61A2" w:rsidP="004E3455">
      <w:pPr>
        <w:pStyle w:val="BodyText"/>
        <w:rPr>
          <w:rFonts w:cs="Times New Roman"/>
          <w:noProof/>
          <w:szCs w:val="24"/>
        </w:rPr>
      </w:pPr>
      <w:r w:rsidRPr="004E3455">
        <w:rPr>
          <w:rFonts w:cs="Times New Roman"/>
        </w:rPr>
        <w:t xml:space="preserve">Šis </w:t>
      </w:r>
      <w:r w:rsidRPr="004E3455">
        <w:rPr>
          <w:rFonts w:cs="Times New Roman"/>
          <w:i/>
        </w:rPr>
        <w:t>tehniskais dokuments</w:t>
      </w:r>
      <w:r w:rsidRPr="004E3455">
        <w:rPr>
          <w:rFonts w:cs="Times New Roman"/>
        </w:rPr>
        <w:t xml:space="preserve"> (</w:t>
      </w:r>
      <w:r w:rsidRPr="004E3455">
        <w:rPr>
          <w:rFonts w:cs="Times New Roman"/>
          <w:i/>
        </w:rPr>
        <w:t>TD</w:t>
      </w:r>
      <w:r w:rsidRPr="004E3455">
        <w:rPr>
          <w:rFonts w:cs="Times New Roman"/>
        </w:rPr>
        <w:t>) ir izstrādāts, lai nodrošinātu saskaņotu pieeju ziņošanai par paaugstinātu cilvēka horionu gonadotropīna (</w:t>
      </w:r>
      <w:r w:rsidRPr="004E3455">
        <w:rPr>
          <w:rFonts w:cs="Times New Roman"/>
          <w:i/>
          <w:iCs/>
        </w:rPr>
        <w:t>hCG</w:t>
      </w:r>
      <w:r w:rsidRPr="004E3455">
        <w:rPr>
          <w:rFonts w:cs="Times New Roman"/>
        </w:rPr>
        <w:t>) un luteinizējošā hormona (LH) koncentrāciju urīnā un šādas atrades pārvaldībai.</w:t>
      </w:r>
    </w:p>
    <w:p w14:paraId="70F62BE5" w14:textId="77777777" w:rsidR="00FC75A5" w:rsidRPr="004E3455" w:rsidRDefault="00FC75A5" w:rsidP="004E3455">
      <w:pPr>
        <w:pStyle w:val="BodyText"/>
        <w:rPr>
          <w:rFonts w:cs="Times New Roman"/>
          <w:noProof/>
        </w:rPr>
      </w:pPr>
    </w:p>
    <w:p w14:paraId="7FD7C3D3" w14:textId="66DA2B4C" w:rsidR="003C61A2" w:rsidRPr="004E3455" w:rsidRDefault="003C61A2" w:rsidP="004E3455">
      <w:pPr>
        <w:pStyle w:val="BodyText"/>
        <w:rPr>
          <w:rFonts w:cs="Times New Roman"/>
          <w:noProof/>
          <w:szCs w:val="24"/>
        </w:rPr>
      </w:pPr>
      <w:r w:rsidRPr="004E3455">
        <w:rPr>
          <w:rFonts w:cs="Times New Roman"/>
          <w:i/>
          <w:iCs/>
        </w:rPr>
        <w:t>hCG</w:t>
      </w:r>
      <w:r w:rsidRPr="004E3455">
        <w:rPr>
          <w:rFonts w:cs="Times New Roman"/>
        </w:rPr>
        <w:t xml:space="preserve"> α/β heterodimēra atrade vīriešu dzimuma </w:t>
      </w:r>
      <w:r w:rsidRPr="004E3455">
        <w:rPr>
          <w:rFonts w:cs="Times New Roman"/>
          <w:i/>
        </w:rPr>
        <w:t>sportistu</w:t>
      </w:r>
      <w:r w:rsidRPr="004E3455">
        <w:rPr>
          <w:rFonts w:cs="Times New Roman"/>
        </w:rPr>
        <w:t xml:space="preserve"> urīnā koncentrācijā, kas ir augstāka par noteikto </w:t>
      </w:r>
      <w:r w:rsidRPr="004E3455">
        <w:rPr>
          <w:rFonts w:cs="Times New Roman"/>
          <w:i/>
        </w:rPr>
        <w:t xml:space="preserve">izšķiršanas robežu </w:t>
      </w:r>
      <w:r w:rsidRPr="004E3455">
        <w:rPr>
          <w:rFonts w:cs="Times New Roman"/>
        </w:rPr>
        <w:t>(</w:t>
      </w:r>
      <w:r w:rsidRPr="004E3455">
        <w:rPr>
          <w:rFonts w:cs="Times New Roman"/>
          <w:i/>
          <w:iCs/>
        </w:rPr>
        <w:t>DL</w:t>
      </w:r>
      <w:r w:rsidRPr="004E3455">
        <w:rPr>
          <w:rFonts w:cs="Times New Roman"/>
        </w:rPr>
        <w:t xml:space="preserve">), var norādīt, ka </w:t>
      </w:r>
      <w:r w:rsidRPr="004E3455">
        <w:rPr>
          <w:rFonts w:cs="Times New Roman"/>
          <w:i/>
          <w:iCs/>
        </w:rPr>
        <w:t>hCG</w:t>
      </w:r>
      <w:r w:rsidRPr="004E3455">
        <w:rPr>
          <w:rFonts w:cs="Times New Roman"/>
        </w:rPr>
        <w:t xml:space="preserve"> ir </w:t>
      </w:r>
      <w:r w:rsidRPr="004E3455">
        <w:rPr>
          <w:rFonts w:cs="Times New Roman"/>
          <w:i/>
        </w:rPr>
        <w:t>lietots</w:t>
      </w:r>
      <w:r w:rsidRPr="004E3455">
        <w:rPr>
          <w:rFonts w:cs="Times New Roman"/>
        </w:rPr>
        <w:t xml:space="preserve"> dopingam. Tomēr, tā kā paaugstinātu </w:t>
      </w:r>
      <w:r w:rsidRPr="004E3455">
        <w:rPr>
          <w:rFonts w:cs="Times New Roman"/>
          <w:i/>
          <w:iCs/>
        </w:rPr>
        <w:t>hCG</w:t>
      </w:r>
      <w:r w:rsidRPr="004E3455">
        <w:rPr>
          <w:rFonts w:cs="Times New Roman"/>
        </w:rPr>
        <w:t xml:space="preserve"> koncentrāciju urīnā saista ar patoloģiju, piemēram, sēklinieku vēzi, ir jāapsver citi iespējamie cēloņi, kas nav saistīti ar dopingu un var izraisīt paaugstinātu </w:t>
      </w:r>
      <w:r w:rsidRPr="004E3455">
        <w:rPr>
          <w:rFonts w:cs="Times New Roman"/>
          <w:i/>
          <w:iCs/>
        </w:rPr>
        <w:t>hCG</w:t>
      </w:r>
      <w:r w:rsidRPr="004E3455">
        <w:rPr>
          <w:rFonts w:cs="Times New Roman"/>
        </w:rPr>
        <w:t xml:space="preserve"> koncentrāciju vīriešu dzimuma </w:t>
      </w:r>
      <w:r w:rsidRPr="004E3455">
        <w:rPr>
          <w:rFonts w:cs="Times New Roman"/>
          <w:i/>
        </w:rPr>
        <w:t>sportistu</w:t>
      </w:r>
      <w:r w:rsidRPr="004E3455">
        <w:rPr>
          <w:rFonts w:cs="Times New Roman"/>
        </w:rPr>
        <w:t xml:space="preserve"> urīna </w:t>
      </w:r>
      <w:r w:rsidRPr="004E3455">
        <w:rPr>
          <w:rFonts w:cs="Times New Roman"/>
          <w:i/>
        </w:rPr>
        <w:t>paraugos</w:t>
      </w:r>
      <w:r w:rsidRPr="004E3455">
        <w:rPr>
          <w:rFonts w:cs="Times New Roman"/>
        </w:rPr>
        <w:t>.</w:t>
      </w:r>
    </w:p>
    <w:p w14:paraId="5ABBE91C" w14:textId="77777777" w:rsidR="00AA0131" w:rsidRPr="004E3455" w:rsidRDefault="00AA0131" w:rsidP="004E3455">
      <w:pPr>
        <w:pStyle w:val="BodyText"/>
        <w:rPr>
          <w:rFonts w:cs="Times New Roman"/>
          <w:noProof/>
        </w:rPr>
      </w:pPr>
    </w:p>
    <w:p w14:paraId="412DB034" w14:textId="2EA5B23B" w:rsidR="003C61A2" w:rsidRPr="004E3455" w:rsidRDefault="003C61A2" w:rsidP="001B6FDE">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w:t>
      </w:r>
      <w:r w:rsidRPr="004E3455">
        <w:rPr>
          <w:rFonts w:ascii="Times New Roman" w:hAnsi="Times New Roman" w:cs="Times New Roman"/>
          <w:i/>
          <w:iCs/>
          <w:sz w:val="24"/>
        </w:rPr>
        <w:t>hCG</w:t>
      </w:r>
      <w:r w:rsidRPr="004E3455">
        <w:rPr>
          <w:rFonts w:ascii="Times New Roman" w:hAnsi="Times New Roman" w:cs="Times New Roman"/>
          <w:i/>
          <w:sz w:val="24"/>
        </w:rPr>
        <w:t xml:space="preserve"> α/β heterodimērs ietver nešķeltu α/β heterodimēru un šķeltu α/β heterodimēru, kurā β frakcija (parasti) ir sadalīta starp 47. un 48. atliekvielu. Lai gan α un β frakcijas ir sadalītas, tās sašķeltajā </w:t>
      </w:r>
      <w:r w:rsidRPr="004E3455">
        <w:rPr>
          <w:rFonts w:ascii="Times New Roman" w:hAnsi="Times New Roman" w:cs="Times New Roman"/>
          <w:i/>
          <w:iCs/>
          <w:sz w:val="24"/>
        </w:rPr>
        <w:t>hCG</w:t>
      </w:r>
      <w:r w:rsidRPr="004E3455">
        <w:rPr>
          <w:rFonts w:ascii="Times New Roman" w:hAnsi="Times New Roman" w:cs="Times New Roman"/>
          <w:i/>
          <w:sz w:val="24"/>
        </w:rPr>
        <w:t xml:space="preserve"> kopā satur nekovalentās saites.</w:t>
      </w:r>
    </w:p>
    <w:p w14:paraId="25B34C70" w14:textId="77777777" w:rsidR="000A3454" w:rsidRPr="004E3455" w:rsidRDefault="000A3454" w:rsidP="001B6FDE">
      <w:pPr>
        <w:widowControl/>
        <w:ind w:left="284"/>
        <w:jc w:val="both"/>
        <w:rPr>
          <w:rFonts w:ascii="Times New Roman" w:eastAsia="Arial" w:hAnsi="Times New Roman" w:cs="Times New Roman"/>
          <w:noProof/>
          <w:sz w:val="24"/>
          <w:szCs w:val="24"/>
        </w:rPr>
      </w:pPr>
    </w:p>
    <w:p w14:paraId="10CD96C2" w14:textId="0CAB8DE4" w:rsidR="003C61A2" w:rsidRPr="004E3455" w:rsidRDefault="003C61A2" w:rsidP="001B6FDE">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Imūntestos, kas izstrādāti atbilstīgi nešķeltajam </w:t>
      </w:r>
      <w:r w:rsidRPr="004E3455">
        <w:rPr>
          <w:rFonts w:ascii="Times New Roman" w:hAnsi="Times New Roman" w:cs="Times New Roman"/>
          <w:i/>
          <w:iCs/>
          <w:sz w:val="24"/>
        </w:rPr>
        <w:t>hCG</w:t>
      </w:r>
      <w:r w:rsidRPr="004E3455">
        <w:rPr>
          <w:rFonts w:ascii="Times New Roman" w:hAnsi="Times New Roman" w:cs="Times New Roman"/>
          <w:i/>
          <w:sz w:val="24"/>
        </w:rPr>
        <w:t xml:space="preserve">, parasti mēra divas α/β heterodimēriskā </w:t>
      </w:r>
      <w:r w:rsidRPr="004E3455">
        <w:rPr>
          <w:rFonts w:ascii="Times New Roman" w:hAnsi="Times New Roman" w:cs="Times New Roman"/>
          <w:i/>
          <w:iCs/>
          <w:sz w:val="24"/>
        </w:rPr>
        <w:t>hCG</w:t>
      </w:r>
      <w:r w:rsidRPr="004E3455">
        <w:rPr>
          <w:rFonts w:ascii="Times New Roman" w:hAnsi="Times New Roman" w:cs="Times New Roman"/>
          <w:i/>
          <w:sz w:val="24"/>
        </w:rPr>
        <w:t xml:space="preserve"> molekulas. Turpretī “kopējā hCG” pārbaudes metodēs papildus α/β heterodimēram mēra arī citas hCG molekulārās formas (piemēram, α un β frakcijas vai noārdīšanās fragmentus, piemēram, β pamatfragmentu).]</w:t>
      </w:r>
    </w:p>
    <w:p w14:paraId="2C6F28FD" w14:textId="77777777" w:rsidR="00916C31" w:rsidRPr="004E3455" w:rsidRDefault="00916C31" w:rsidP="004E3455">
      <w:pPr>
        <w:widowControl/>
        <w:jc w:val="both"/>
        <w:rPr>
          <w:rFonts w:ascii="Times New Roman" w:eastAsia="Arial" w:hAnsi="Times New Roman" w:cs="Times New Roman"/>
          <w:noProof/>
          <w:sz w:val="24"/>
          <w:szCs w:val="24"/>
        </w:rPr>
      </w:pPr>
    </w:p>
    <w:p w14:paraId="3A1D381D" w14:textId="7659843A" w:rsidR="003C61A2" w:rsidRPr="004E3455" w:rsidRDefault="003C61A2" w:rsidP="004E3455">
      <w:pPr>
        <w:pStyle w:val="BodyText"/>
        <w:rPr>
          <w:rFonts w:cs="Times New Roman"/>
          <w:noProof/>
          <w:szCs w:val="24"/>
        </w:rPr>
      </w:pPr>
      <w:r w:rsidRPr="004E3455">
        <w:rPr>
          <w:rFonts w:cs="Times New Roman"/>
        </w:rPr>
        <w:t xml:space="preserve">Paaugstināts kopējā LH daudzums vīriešu dzimuma </w:t>
      </w:r>
      <w:r w:rsidRPr="004E3455">
        <w:rPr>
          <w:rFonts w:cs="Times New Roman"/>
          <w:i/>
        </w:rPr>
        <w:t>sportistu</w:t>
      </w:r>
      <w:r w:rsidRPr="004E3455">
        <w:rPr>
          <w:rFonts w:cs="Times New Roman"/>
        </w:rPr>
        <w:t xml:space="preserve"> urīnā var arī norādīt, ka šī </w:t>
      </w:r>
      <w:r w:rsidRPr="004E3455">
        <w:rPr>
          <w:rFonts w:cs="Times New Roman"/>
          <w:i/>
        </w:rPr>
        <w:t>aizliegtā viela</w:t>
      </w:r>
      <w:r w:rsidRPr="004E3455">
        <w:rPr>
          <w:rFonts w:cs="Times New Roman"/>
        </w:rPr>
        <w:t xml:space="preserve"> ir ievadīta dopingam vai ka ir </w:t>
      </w:r>
      <w:r w:rsidRPr="004E3455">
        <w:rPr>
          <w:rFonts w:cs="Times New Roman"/>
          <w:i/>
        </w:rPr>
        <w:t>lietotas</w:t>
      </w:r>
      <w:r w:rsidRPr="004E3455">
        <w:rPr>
          <w:rFonts w:cs="Times New Roman"/>
        </w:rPr>
        <w:t xml:space="preserve"> citas </w:t>
      </w:r>
      <w:r w:rsidRPr="004E3455">
        <w:rPr>
          <w:rFonts w:cs="Times New Roman"/>
          <w:i/>
        </w:rPr>
        <w:t>aizliegtās vielas</w:t>
      </w:r>
      <w:r w:rsidRPr="004E3455">
        <w:rPr>
          <w:rFonts w:cs="Times New Roman"/>
        </w:rPr>
        <w:t>, kas palīdz atbrīvot endogēno LH, piemēram, gonadotropīna atbrīvotājfaktori (t. i., gonadotropīna atbrīvotājhormons (</w:t>
      </w:r>
      <w:r w:rsidRPr="004E3455">
        <w:rPr>
          <w:rFonts w:cs="Times New Roman"/>
          <w:i/>
          <w:iCs/>
        </w:rPr>
        <w:t>GnRH</w:t>
      </w:r>
      <w:r w:rsidRPr="004E3455">
        <w:rPr>
          <w:rFonts w:cs="Times New Roman"/>
        </w:rPr>
        <w:t xml:space="preserve">) un tā sintētiskie analogi) vai estrogēna blokatori (antiestrogēni, aromatāzes inhibitori). Turpretim pazemināta LH koncentrācija vīriešu dzimuma </w:t>
      </w:r>
      <w:r w:rsidRPr="004E3455">
        <w:rPr>
          <w:rFonts w:cs="Times New Roman"/>
          <w:i/>
        </w:rPr>
        <w:t>sportistu</w:t>
      </w:r>
      <w:r w:rsidRPr="004E3455">
        <w:rPr>
          <w:rFonts w:cs="Times New Roman"/>
        </w:rPr>
        <w:t xml:space="preserve"> urīnā var norādīt uz androgēnu </w:t>
      </w:r>
      <w:r w:rsidRPr="004E3455">
        <w:rPr>
          <w:rFonts w:cs="Times New Roman"/>
          <w:i/>
        </w:rPr>
        <w:t>lietošanu</w:t>
      </w:r>
      <w:r w:rsidRPr="004E3455">
        <w:rPr>
          <w:rFonts w:cs="Times New Roman"/>
        </w:rPr>
        <w:t xml:space="preserve"> vai pierādīt šādu lietošanu.</w:t>
      </w:r>
    </w:p>
    <w:p w14:paraId="633291B7" w14:textId="77777777" w:rsidR="00E55C73" w:rsidRPr="004E3455" w:rsidRDefault="00E55C73" w:rsidP="004E3455">
      <w:pPr>
        <w:pStyle w:val="BodyText"/>
        <w:rPr>
          <w:rFonts w:cs="Times New Roman"/>
          <w:noProof/>
        </w:rPr>
      </w:pPr>
    </w:p>
    <w:p w14:paraId="0DFE8DC0" w14:textId="57BA34D3" w:rsidR="003C61A2" w:rsidRPr="004E3455" w:rsidRDefault="003C61A2" w:rsidP="001B6FDE">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Kopējais LH ietver α/β </w:t>
      </w:r>
      <w:r w:rsidRPr="004E3455">
        <w:rPr>
          <w:rFonts w:ascii="Times New Roman" w:hAnsi="Times New Roman" w:cs="Times New Roman"/>
          <w:i/>
          <w:iCs/>
          <w:sz w:val="24"/>
        </w:rPr>
        <w:t>LH</w:t>
      </w:r>
      <w:r w:rsidRPr="004E3455">
        <w:rPr>
          <w:rFonts w:ascii="Times New Roman" w:hAnsi="Times New Roman" w:cs="Times New Roman"/>
          <w:i/>
          <w:sz w:val="24"/>
        </w:rPr>
        <w:t xml:space="preserve"> heterodimēru, kā arī atdalītas β frakcijas un to noārdīšanās produktus.]</w:t>
      </w:r>
    </w:p>
    <w:p w14:paraId="1D8973F2" w14:textId="77777777" w:rsidR="00E55C73" w:rsidRPr="004E3455" w:rsidRDefault="00E55C73" w:rsidP="004E3455">
      <w:pPr>
        <w:widowControl/>
        <w:jc w:val="both"/>
        <w:rPr>
          <w:rFonts w:ascii="Times New Roman" w:eastAsia="Arial" w:hAnsi="Times New Roman" w:cs="Times New Roman"/>
          <w:noProof/>
          <w:sz w:val="24"/>
          <w:szCs w:val="24"/>
        </w:rPr>
      </w:pPr>
    </w:p>
    <w:p w14:paraId="7990B0B9" w14:textId="3D31D6F7" w:rsidR="003C61A2" w:rsidRPr="004E3455" w:rsidRDefault="003C61A2" w:rsidP="004E3455">
      <w:pPr>
        <w:pStyle w:val="BodyText"/>
        <w:rPr>
          <w:rFonts w:cs="Times New Roman"/>
          <w:noProof/>
          <w:szCs w:val="24"/>
        </w:rPr>
      </w:pPr>
      <w:r w:rsidRPr="004E3455">
        <w:rPr>
          <w:rFonts w:cs="Times New Roman"/>
        </w:rPr>
        <w:t xml:space="preserve">Šis </w:t>
      </w:r>
      <w:r w:rsidRPr="004E3455">
        <w:rPr>
          <w:rFonts w:cs="Times New Roman"/>
          <w:i/>
        </w:rPr>
        <w:t>TD</w:t>
      </w:r>
      <w:r w:rsidRPr="004E3455">
        <w:rPr>
          <w:rFonts w:cs="Times New Roman"/>
        </w:rPr>
        <w:t xml:space="preserve"> ir izstrādāts, lai palīdzētu </w:t>
      </w:r>
      <w:r w:rsidRPr="004E3455">
        <w:rPr>
          <w:rFonts w:cs="Times New Roman"/>
          <w:u w:val="single" w:color="000000"/>
        </w:rPr>
        <w:t>laboratorijām</w:t>
      </w:r>
      <w:r w:rsidRPr="004E3455">
        <w:rPr>
          <w:rFonts w:cs="Times New Roman"/>
        </w:rPr>
        <w:t xml:space="preserve"> ziņot par </w:t>
      </w:r>
      <w:r w:rsidRPr="004E3455">
        <w:rPr>
          <w:rFonts w:cs="Times New Roman"/>
          <w:i/>
          <w:iCs/>
        </w:rPr>
        <w:t>hCG</w:t>
      </w:r>
      <w:r w:rsidRPr="004E3455">
        <w:rPr>
          <w:rFonts w:cs="Times New Roman"/>
        </w:rPr>
        <w:t xml:space="preserve"> un LH analīžu rezultātiem un </w:t>
      </w:r>
      <w:r w:rsidRPr="004E3455">
        <w:rPr>
          <w:rFonts w:cs="Times New Roman"/>
          <w:i/>
        </w:rPr>
        <w:t>antidopinga organizācijām</w:t>
      </w:r>
      <w:r w:rsidRPr="004E3455">
        <w:rPr>
          <w:rFonts w:cs="Times New Roman"/>
        </w:rPr>
        <w:t xml:space="preserve"> (</w:t>
      </w:r>
      <w:r w:rsidRPr="004E3455">
        <w:rPr>
          <w:rFonts w:cs="Times New Roman"/>
          <w:i/>
        </w:rPr>
        <w:t>ADO</w:t>
      </w:r>
      <w:r w:rsidRPr="004E3455">
        <w:rPr>
          <w:rFonts w:cs="Times New Roman"/>
        </w:rPr>
        <w:t>) noteikt, vai ir noticis antidopinga noteikumu pārkāpums (</w:t>
      </w:r>
      <w:r w:rsidRPr="004E3455">
        <w:rPr>
          <w:rFonts w:cs="Times New Roman"/>
          <w:i/>
          <w:iCs/>
        </w:rPr>
        <w:t>ADRV</w:t>
      </w:r>
      <w:r w:rsidRPr="004E3455">
        <w:rPr>
          <w:rFonts w:cs="Times New Roman"/>
        </w:rPr>
        <w:t>).</w:t>
      </w:r>
    </w:p>
    <w:p w14:paraId="4BACA5D0" w14:textId="396207C9" w:rsidR="00FA45DC" w:rsidRPr="00FA45DC" w:rsidRDefault="00FA45DC">
      <w:pPr>
        <w:rPr>
          <w:rFonts w:ascii="Times New Roman" w:eastAsia="Arial" w:hAnsi="Times New Roman" w:cs="Times New Roman"/>
          <w:sz w:val="24"/>
        </w:rPr>
      </w:pPr>
      <w:bookmarkStart w:id="1" w:name="1.0__Introduction"/>
      <w:bookmarkEnd w:id="1"/>
    </w:p>
    <w:p w14:paraId="6C4D2F03" w14:textId="53BB18A0" w:rsidR="003C61A2" w:rsidRPr="004E3455" w:rsidRDefault="00A56583" w:rsidP="004E3455">
      <w:pPr>
        <w:pStyle w:val="Heading1"/>
        <w:widowControl/>
        <w:tabs>
          <w:tab w:val="left" w:pos="1007"/>
        </w:tabs>
        <w:spacing w:before="0"/>
        <w:ind w:left="0"/>
        <w:jc w:val="both"/>
        <w:rPr>
          <w:rFonts w:ascii="Times New Roman" w:hAnsi="Times New Roman" w:cs="Times New Roman"/>
          <w:noProof/>
          <w:sz w:val="28"/>
          <w:szCs w:val="28"/>
        </w:rPr>
      </w:pPr>
      <w:r w:rsidRPr="004E3455">
        <w:rPr>
          <w:rFonts w:ascii="Times New Roman" w:hAnsi="Times New Roman" w:cs="Times New Roman"/>
          <w:sz w:val="28"/>
        </w:rPr>
        <w:t>1.0. Ievads</w:t>
      </w:r>
    </w:p>
    <w:p w14:paraId="628043B4" w14:textId="77777777" w:rsidR="00E55C73" w:rsidRPr="004E3455" w:rsidRDefault="00E55C73" w:rsidP="004E3455">
      <w:pPr>
        <w:pStyle w:val="Heading1"/>
        <w:widowControl/>
        <w:tabs>
          <w:tab w:val="left" w:pos="1007"/>
        </w:tabs>
        <w:spacing w:before="0"/>
        <w:ind w:left="0"/>
        <w:jc w:val="both"/>
        <w:rPr>
          <w:rFonts w:ascii="Times New Roman" w:hAnsi="Times New Roman" w:cs="Times New Roman"/>
          <w:noProof/>
        </w:rPr>
      </w:pPr>
    </w:p>
    <w:p w14:paraId="68117E33" w14:textId="3592055F" w:rsidR="003C61A2" w:rsidRPr="004E3455" w:rsidRDefault="00A56583" w:rsidP="004E3455">
      <w:pPr>
        <w:pStyle w:val="BodyText"/>
        <w:rPr>
          <w:rFonts w:cs="Times New Roman"/>
          <w:noProof/>
          <w:szCs w:val="24"/>
        </w:rPr>
      </w:pPr>
      <w:r w:rsidRPr="004E3455">
        <w:rPr>
          <w:rFonts w:cs="Times New Roman"/>
        </w:rPr>
        <w:t xml:space="preserve">• </w:t>
      </w:r>
      <w:r w:rsidRPr="004E3455">
        <w:rPr>
          <w:rFonts w:cs="Times New Roman"/>
          <w:i/>
          <w:iCs/>
        </w:rPr>
        <w:t>hCG</w:t>
      </w:r>
      <w:r w:rsidRPr="004E3455">
        <w:rPr>
          <w:rFonts w:cs="Times New Roman"/>
        </w:rPr>
        <w:t xml:space="preserve"> un LH ir aizliegti tikai vīriešu dzimuma </w:t>
      </w:r>
      <w:r w:rsidRPr="004E3455">
        <w:rPr>
          <w:rFonts w:cs="Times New Roman"/>
          <w:i/>
        </w:rPr>
        <w:t>sportistiem</w:t>
      </w:r>
      <w:r w:rsidRPr="004E3455">
        <w:rPr>
          <w:rFonts w:cs="Times New Roman"/>
        </w:rPr>
        <w:t>.</w:t>
      </w:r>
    </w:p>
    <w:p w14:paraId="3DE4EB66" w14:textId="77777777" w:rsidR="00A56583" w:rsidRPr="004E3455" w:rsidRDefault="00A56583" w:rsidP="004E3455">
      <w:pPr>
        <w:pStyle w:val="BodyText"/>
        <w:rPr>
          <w:rFonts w:cs="Times New Roman"/>
          <w:noProof/>
        </w:rPr>
      </w:pPr>
    </w:p>
    <w:p w14:paraId="02234AF7" w14:textId="5603BC29" w:rsidR="003C61A2" w:rsidRPr="004E3455" w:rsidRDefault="00A56583" w:rsidP="004E3455">
      <w:pPr>
        <w:pStyle w:val="BodyText"/>
        <w:rPr>
          <w:rFonts w:cs="Times New Roman"/>
          <w:noProof/>
          <w:szCs w:val="24"/>
        </w:rPr>
      </w:pPr>
      <w:r w:rsidRPr="004E3455">
        <w:rPr>
          <w:rFonts w:cs="Times New Roman"/>
        </w:rPr>
        <w:t xml:space="preserve">• Gan </w:t>
      </w:r>
      <w:r w:rsidRPr="004E3455">
        <w:rPr>
          <w:rFonts w:cs="Times New Roman"/>
          <w:i/>
          <w:iCs/>
        </w:rPr>
        <w:t>hCG</w:t>
      </w:r>
      <w:r w:rsidRPr="004E3455">
        <w:rPr>
          <w:rFonts w:cs="Times New Roman"/>
        </w:rPr>
        <w:t>, gan LH ir heterodimēriski proteīni, kas ietver divas (2) polipeptīdu ķēdes, kopēju α frakciju un unikālu β frakciju (</w:t>
      </w:r>
      <w:r w:rsidRPr="004E3455">
        <w:rPr>
          <w:rFonts w:cs="Times New Roman"/>
          <w:i/>
          <w:iCs/>
        </w:rPr>
        <w:t>hCG</w:t>
      </w:r>
      <w:r w:rsidRPr="004E3455">
        <w:rPr>
          <w:rFonts w:cs="Times New Roman"/>
        </w:rPr>
        <w:t>β, LHβ). Bioloģiski aktīvs ir tikai α/β heterodimērs, ko raksturo hormonam raksturīgā β frakcija.</w:t>
      </w:r>
    </w:p>
    <w:p w14:paraId="685662B5" w14:textId="77777777" w:rsidR="00FC3DCA" w:rsidRPr="004E3455" w:rsidRDefault="00FC3DCA" w:rsidP="004E3455">
      <w:pPr>
        <w:pStyle w:val="BodyText"/>
        <w:rPr>
          <w:rFonts w:cs="Times New Roman"/>
          <w:noProof/>
        </w:rPr>
      </w:pPr>
    </w:p>
    <w:p w14:paraId="1EFF9071" w14:textId="4A0D2C47" w:rsidR="003C61A2" w:rsidRPr="004E3455" w:rsidRDefault="00FC3DCA" w:rsidP="004E3455">
      <w:pPr>
        <w:pStyle w:val="BodyText"/>
        <w:rPr>
          <w:rFonts w:cs="Times New Roman"/>
          <w:noProof/>
          <w:szCs w:val="24"/>
        </w:rPr>
      </w:pPr>
      <w:r w:rsidRPr="004E3455">
        <w:rPr>
          <w:rFonts w:cs="Times New Roman"/>
        </w:rPr>
        <w:t xml:space="preserve">• Urīnā ir sastopamas dažādas </w:t>
      </w:r>
      <w:r w:rsidRPr="004E3455">
        <w:rPr>
          <w:rFonts w:cs="Times New Roman"/>
          <w:i/>
          <w:iCs/>
        </w:rPr>
        <w:t>hCG</w:t>
      </w:r>
      <w:r w:rsidRPr="004E3455">
        <w:rPr>
          <w:rFonts w:cs="Times New Roman"/>
        </w:rPr>
        <w:t xml:space="preserve"> un LH molekulārās formas, tostarp nešķeltie un šķeltie α/β heterodimēri, kā arī atdalītas α un β frakcijas un to noārdīšanās produkti (piemēram, β pamatfragmenti, šķeltie produkti utt.).</w:t>
      </w:r>
    </w:p>
    <w:p w14:paraId="766886E4" w14:textId="77777777" w:rsidR="0053741B" w:rsidRPr="004E3455" w:rsidRDefault="0053741B" w:rsidP="004E3455">
      <w:pPr>
        <w:pStyle w:val="BodyText"/>
        <w:rPr>
          <w:rFonts w:cs="Times New Roman"/>
          <w:noProof/>
        </w:rPr>
      </w:pPr>
    </w:p>
    <w:p w14:paraId="4D55070F" w14:textId="0D4B1C29" w:rsidR="003C61A2" w:rsidRPr="004E3455" w:rsidRDefault="0053741B" w:rsidP="004E3455">
      <w:pPr>
        <w:pStyle w:val="BodyText"/>
        <w:rPr>
          <w:rFonts w:cs="Times New Roman"/>
          <w:noProof/>
          <w:szCs w:val="24"/>
        </w:rPr>
      </w:pPr>
      <w:r w:rsidRPr="004E3455">
        <w:rPr>
          <w:rFonts w:cs="Times New Roman"/>
        </w:rPr>
        <w:t xml:space="preserve">• Vīriešu organismā </w:t>
      </w:r>
      <w:r w:rsidRPr="004E3455">
        <w:rPr>
          <w:rFonts w:cs="Times New Roman"/>
          <w:i/>
          <w:iCs/>
        </w:rPr>
        <w:t>hCG</w:t>
      </w:r>
      <w:r w:rsidRPr="004E3455">
        <w:rPr>
          <w:rFonts w:cs="Times New Roman"/>
        </w:rPr>
        <w:t xml:space="preserve"> un LH stimulē testosterona veidošanos, ko izraisa Leidiga šūnas, piesaistoties </w:t>
      </w:r>
      <w:r w:rsidRPr="004E3455">
        <w:rPr>
          <w:rFonts w:cs="Times New Roman"/>
          <w:i/>
          <w:iCs/>
        </w:rPr>
        <w:t>CG</w:t>
      </w:r>
      <w:r w:rsidRPr="004E3455">
        <w:rPr>
          <w:rFonts w:cs="Times New Roman"/>
        </w:rPr>
        <w:t>/LH receptoriem un tos aktivizējot.</w:t>
      </w:r>
    </w:p>
    <w:p w14:paraId="15841AA0" w14:textId="77777777" w:rsidR="0053741B" w:rsidRPr="004E3455" w:rsidRDefault="0053741B" w:rsidP="004E3455">
      <w:pPr>
        <w:pStyle w:val="BodyText"/>
        <w:rPr>
          <w:rFonts w:cs="Times New Roman"/>
          <w:noProof/>
        </w:rPr>
      </w:pPr>
    </w:p>
    <w:p w14:paraId="51FCAA48" w14:textId="70AFAFEE" w:rsidR="003C61A2" w:rsidRPr="004E3455" w:rsidRDefault="0053741B" w:rsidP="004E3455">
      <w:pPr>
        <w:pStyle w:val="BodyText"/>
        <w:rPr>
          <w:rFonts w:cs="Times New Roman"/>
          <w:noProof/>
          <w:szCs w:val="24"/>
        </w:rPr>
      </w:pPr>
      <w:r w:rsidRPr="004E3455">
        <w:rPr>
          <w:rFonts w:cs="Times New Roman"/>
        </w:rPr>
        <w:t xml:space="preserve">• Veselu vīriešu, kuri nelieto dopingu, urīnā heterodimēriskais </w:t>
      </w:r>
      <w:r w:rsidRPr="004E3455">
        <w:rPr>
          <w:rFonts w:cs="Times New Roman"/>
          <w:i/>
          <w:iCs/>
        </w:rPr>
        <w:t>hCG</w:t>
      </w:r>
      <w:r w:rsidRPr="004E3455">
        <w:rPr>
          <w:rFonts w:cs="Times New Roman"/>
        </w:rPr>
        <w:t xml:space="preserve"> vai nu nav atrodams, vai ir atrodams tikai ļoti zemā līmenī (parasti zem 2 IU/l). Tomēr paaugstinātu heterodimēriskā </w:t>
      </w:r>
      <w:r w:rsidRPr="004E3455">
        <w:rPr>
          <w:rFonts w:cs="Times New Roman"/>
          <w:i/>
          <w:iCs/>
        </w:rPr>
        <w:t>hCG</w:t>
      </w:r>
      <w:r w:rsidRPr="004E3455">
        <w:rPr>
          <w:rFonts w:cs="Times New Roman"/>
        </w:rPr>
        <w:t xml:space="preserve">, brīvā </w:t>
      </w:r>
      <w:r w:rsidRPr="004E3455">
        <w:rPr>
          <w:rFonts w:cs="Times New Roman"/>
          <w:i/>
          <w:iCs/>
        </w:rPr>
        <w:t>hCG</w:t>
      </w:r>
      <w:r w:rsidRPr="004E3455">
        <w:rPr>
          <w:rFonts w:cs="Times New Roman"/>
        </w:rPr>
        <w:t xml:space="preserve">β, </w:t>
      </w:r>
      <w:r w:rsidRPr="004E3455">
        <w:rPr>
          <w:rFonts w:cs="Times New Roman"/>
          <w:i/>
          <w:iCs/>
        </w:rPr>
        <w:t>hCG</w:t>
      </w:r>
      <w:r w:rsidRPr="004E3455">
        <w:rPr>
          <w:rFonts w:cs="Times New Roman"/>
        </w:rPr>
        <w:t>β pamatfragmentu līmeni izraisa daži ļaundabīgi audzēji,</w:t>
      </w:r>
      <w:r w:rsidRPr="004E3455">
        <w:rPr>
          <w:rFonts w:cs="Times New Roman"/>
          <w:i/>
        </w:rPr>
        <w:t xml:space="preserve"> </w:t>
      </w:r>
      <w:r w:rsidRPr="004E3455">
        <w:rPr>
          <w:rFonts w:cs="Times New Roman"/>
        </w:rPr>
        <w:t xml:space="preserve">jo īpaši sēklinieku vēža gadījumos. Heterodimērisko </w:t>
      </w:r>
      <w:r w:rsidRPr="004E3455">
        <w:rPr>
          <w:rFonts w:cs="Times New Roman"/>
          <w:i/>
          <w:iCs/>
        </w:rPr>
        <w:t>hCG</w:t>
      </w:r>
      <w:r w:rsidRPr="004E3455">
        <w:rPr>
          <w:rFonts w:cs="Times New Roman"/>
        </w:rPr>
        <w:t xml:space="preserve"> var veidot arī dzimumšūnu audzēji ārpus sēkliniekiem. Turklāt </w:t>
      </w:r>
      <w:r w:rsidRPr="004E3455">
        <w:rPr>
          <w:rFonts w:cs="Times New Roman"/>
          <w:i/>
          <w:iCs/>
        </w:rPr>
        <w:t>hCG</w:t>
      </w:r>
      <w:r w:rsidRPr="004E3455">
        <w:rPr>
          <w:rFonts w:cs="Times New Roman"/>
        </w:rPr>
        <w:t>β var veidot dažādi vēža veidi, kas nav trofoblastiski.</w:t>
      </w:r>
    </w:p>
    <w:p w14:paraId="1EFD26D0" w14:textId="77777777" w:rsidR="00CD3F59" w:rsidRPr="004E3455" w:rsidRDefault="00CD3F59" w:rsidP="004E3455">
      <w:pPr>
        <w:pStyle w:val="BodyText"/>
        <w:rPr>
          <w:rFonts w:cs="Times New Roman"/>
          <w:noProof/>
        </w:rPr>
      </w:pPr>
    </w:p>
    <w:p w14:paraId="651D7235" w14:textId="0A0773BB" w:rsidR="003C61A2" w:rsidRPr="004E3455" w:rsidRDefault="001272EF" w:rsidP="004E3455">
      <w:pPr>
        <w:pStyle w:val="BodyText"/>
        <w:rPr>
          <w:rFonts w:cs="Times New Roman"/>
          <w:noProof/>
          <w:szCs w:val="24"/>
        </w:rPr>
      </w:pPr>
      <w:r w:rsidRPr="004E3455">
        <w:rPr>
          <w:rFonts w:cs="Times New Roman"/>
        </w:rPr>
        <w:t xml:space="preserve">• Endogēno LH parasti var atrast veselu vīriešu urīnā. LH ir īsāks cirkulācijas puslaiks nekā </w:t>
      </w:r>
      <w:r w:rsidRPr="004E3455">
        <w:rPr>
          <w:rFonts w:cs="Times New Roman"/>
          <w:i/>
          <w:iCs/>
        </w:rPr>
        <w:t>hCG</w:t>
      </w:r>
      <w:r w:rsidRPr="004E3455">
        <w:rPr>
          <w:rFonts w:cs="Times New Roman"/>
        </w:rPr>
        <w:t>. Cirkulējošs LH izraisa negatīvu reakciju, veidojot endogēno testosteronu vai ievadot androgēnus.</w:t>
      </w:r>
    </w:p>
    <w:p w14:paraId="35B3443B" w14:textId="7B1BD1BE" w:rsidR="003C61A2" w:rsidRPr="004E3455" w:rsidRDefault="003C61A2" w:rsidP="004E3455">
      <w:pPr>
        <w:widowControl/>
        <w:jc w:val="both"/>
        <w:rPr>
          <w:rFonts w:ascii="Times New Roman" w:eastAsia="Arial" w:hAnsi="Times New Roman" w:cs="Times New Roman"/>
          <w:noProof/>
          <w:sz w:val="24"/>
          <w:szCs w:val="24"/>
        </w:rPr>
      </w:pPr>
    </w:p>
    <w:p w14:paraId="394D5144" w14:textId="039E8E1D" w:rsidR="003C61A2" w:rsidRPr="004E3455" w:rsidRDefault="001272EF" w:rsidP="004E3455">
      <w:pPr>
        <w:pStyle w:val="Heading1"/>
        <w:widowControl/>
        <w:tabs>
          <w:tab w:val="left" w:pos="1012"/>
        </w:tabs>
        <w:spacing w:before="0"/>
        <w:ind w:left="0"/>
        <w:jc w:val="both"/>
        <w:rPr>
          <w:rFonts w:ascii="Times New Roman" w:hAnsi="Times New Roman" w:cs="Times New Roman"/>
          <w:noProof/>
          <w:sz w:val="28"/>
          <w:szCs w:val="28"/>
        </w:rPr>
      </w:pPr>
      <w:bookmarkStart w:id="2" w:name="2.0_Pre-analytical_Procedure"/>
      <w:bookmarkEnd w:id="2"/>
      <w:r w:rsidRPr="004E3455">
        <w:rPr>
          <w:rFonts w:ascii="Times New Roman" w:hAnsi="Times New Roman" w:cs="Times New Roman"/>
          <w:sz w:val="28"/>
        </w:rPr>
        <w:t>2.0. Pirmsanalītiskā procedūra</w:t>
      </w:r>
    </w:p>
    <w:p w14:paraId="494DC7DB" w14:textId="77777777" w:rsidR="0039037F" w:rsidRPr="004E3455" w:rsidRDefault="0039037F" w:rsidP="004E3455">
      <w:pPr>
        <w:pStyle w:val="BodyText"/>
        <w:rPr>
          <w:rFonts w:cs="Times New Roman"/>
          <w:noProof/>
        </w:rPr>
      </w:pPr>
    </w:p>
    <w:p w14:paraId="663382A1" w14:textId="0FC7A744" w:rsidR="003C61A2" w:rsidRPr="004E3455" w:rsidRDefault="001272EF" w:rsidP="004E3455">
      <w:pPr>
        <w:pStyle w:val="BodyText"/>
        <w:rPr>
          <w:rFonts w:cs="Times New Roman"/>
          <w:noProof/>
          <w:szCs w:val="24"/>
        </w:rPr>
      </w:pPr>
      <w:r w:rsidRPr="004E3455">
        <w:rPr>
          <w:rFonts w:cs="Times New Roman"/>
        </w:rPr>
        <w:t xml:space="preserve">• Pirms sadalīšanas alikvotās, lai veiktu analīzi, </w:t>
      </w:r>
      <w:r w:rsidRPr="004E3455">
        <w:rPr>
          <w:rFonts w:cs="Times New Roman"/>
          <w:i/>
        </w:rPr>
        <w:t>parauga</w:t>
      </w:r>
      <w:r w:rsidRPr="004E3455">
        <w:rPr>
          <w:rFonts w:cs="Times New Roman"/>
        </w:rPr>
        <w:t xml:space="preserve"> pudelē ir jāveic urīna </w:t>
      </w:r>
      <w:r w:rsidRPr="004E3455">
        <w:rPr>
          <w:rFonts w:cs="Times New Roman"/>
          <w:i/>
        </w:rPr>
        <w:t>parauga</w:t>
      </w:r>
      <w:r w:rsidRPr="004E3455">
        <w:rPr>
          <w:rFonts w:cs="Times New Roman"/>
        </w:rPr>
        <w:t xml:space="preserve"> homogenizācija.</w:t>
      </w:r>
    </w:p>
    <w:p w14:paraId="796898C4" w14:textId="77777777" w:rsidR="0039037F" w:rsidRPr="004E3455" w:rsidRDefault="0039037F" w:rsidP="004E3455">
      <w:pPr>
        <w:pStyle w:val="BodyText"/>
        <w:rPr>
          <w:rFonts w:cs="Times New Roman"/>
          <w:noProof/>
        </w:rPr>
      </w:pPr>
    </w:p>
    <w:p w14:paraId="61274E07" w14:textId="3CB998D4" w:rsidR="003C61A2" w:rsidRPr="004E3455" w:rsidRDefault="0039037F" w:rsidP="004E3455">
      <w:pPr>
        <w:pStyle w:val="BodyText"/>
        <w:rPr>
          <w:rFonts w:cs="Times New Roman"/>
          <w:noProof/>
          <w:szCs w:val="24"/>
        </w:rPr>
      </w:pPr>
      <w:r w:rsidRPr="004E3455">
        <w:rPr>
          <w:rFonts w:cs="Times New Roman"/>
        </w:rPr>
        <w:t xml:space="preserve">• Analīzei paņemtās </w:t>
      </w:r>
      <w:r w:rsidRPr="004E3455">
        <w:rPr>
          <w:rFonts w:cs="Times New Roman"/>
          <w:u w:val="single"/>
        </w:rPr>
        <w:t>alikvotas</w:t>
      </w:r>
      <w:r w:rsidRPr="004E3455">
        <w:rPr>
          <w:rFonts w:cs="Times New Roman"/>
        </w:rPr>
        <w:t xml:space="preserve"> ir jāanalizē nekavējoties. Tomēr nepieciešamības gadījumā </w:t>
      </w:r>
      <w:r w:rsidRPr="004E3455">
        <w:rPr>
          <w:rFonts w:cs="Times New Roman"/>
          <w:u w:val="single" w:color="000000"/>
        </w:rPr>
        <w:t>alikvotas</w:t>
      </w:r>
      <w:r w:rsidRPr="004E3455">
        <w:rPr>
          <w:rFonts w:cs="Times New Roman"/>
        </w:rPr>
        <w:t xml:space="preserve"> var uzglabāt atdzesētā veidā septiņas (7) dienas līdz analīzei. </w:t>
      </w:r>
      <w:r w:rsidRPr="004E3455">
        <w:rPr>
          <w:rFonts w:cs="Times New Roman"/>
          <w:u w:val="single" w:color="000000"/>
        </w:rPr>
        <w:t>Alikvotas</w:t>
      </w:r>
      <w:r w:rsidRPr="004E3455">
        <w:rPr>
          <w:rFonts w:cs="Times New Roman"/>
        </w:rPr>
        <w:t xml:space="preserve"> nedrīkst sasaldēt.</w:t>
      </w:r>
    </w:p>
    <w:p w14:paraId="04D4D7B5" w14:textId="77777777" w:rsidR="00235709" w:rsidRPr="004E3455" w:rsidRDefault="00235709" w:rsidP="004E3455">
      <w:pPr>
        <w:pStyle w:val="BodyText"/>
        <w:rPr>
          <w:rFonts w:cs="Times New Roman"/>
          <w:noProof/>
        </w:rPr>
      </w:pPr>
    </w:p>
    <w:p w14:paraId="3BE93FD4" w14:textId="6018F5EA" w:rsidR="003C61A2" w:rsidRPr="004E3455" w:rsidRDefault="00235709" w:rsidP="004E3455">
      <w:pPr>
        <w:pStyle w:val="BodyText"/>
        <w:rPr>
          <w:rFonts w:cs="Times New Roman"/>
          <w:noProof/>
          <w:szCs w:val="24"/>
        </w:rPr>
      </w:pPr>
      <w:r w:rsidRPr="004E3455">
        <w:rPr>
          <w:rFonts w:cs="Times New Roman"/>
        </w:rPr>
        <w:t xml:space="preserve">• Ja </w:t>
      </w:r>
      <w:r w:rsidRPr="004E3455">
        <w:rPr>
          <w:rFonts w:cs="Times New Roman"/>
          <w:u w:val="single" w:color="000000"/>
        </w:rPr>
        <w:t>alikvotas</w:t>
      </w:r>
      <w:r w:rsidRPr="004E3455">
        <w:rPr>
          <w:rFonts w:cs="Times New Roman"/>
        </w:rPr>
        <w:t xml:space="preserve"> uzglabā atdzesētā veidā, pēc izņemšanas no glabātavas atkārtoti jāveic to suspendēšana (piemēram, izmantojot pipeti, samaisot vai sakratot). Pirms ievietošanas instrumentā analīzes veikšanai, ir jānogaida, līdz </w:t>
      </w:r>
      <w:r w:rsidRPr="004E3455">
        <w:rPr>
          <w:rFonts w:cs="Times New Roman"/>
          <w:u w:val="single" w:color="000000"/>
        </w:rPr>
        <w:t>alikvotas</w:t>
      </w:r>
      <w:r w:rsidRPr="004E3455">
        <w:rPr>
          <w:rFonts w:cs="Times New Roman"/>
        </w:rPr>
        <w:t xml:space="preserve"> sasilst līdz istabas temperatūrai.</w:t>
      </w:r>
    </w:p>
    <w:p w14:paraId="389EF18B" w14:textId="77777777" w:rsidR="00235709" w:rsidRPr="004E3455" w:rsidRDefault="00235709" w:rsidP="004E3455">
      <w:pPr>
        <w:pStyle w:val="BodyText"/>
        <w:rPr>
          <w:rFonts w:cs="Times New Roman"/>
          <w:noProof/>
        </w:rPr>
      </w:pPr>
    </w:p>
    <w:p w14:paraId="594E56CA" w14:textId="22232DC7" w:rsidR="003C61A2" w:rsidRPr="004E3455" w:rsidRDefault="00300B82" w:rsidP="004E3455">
      <w:pPr>
        <w:widowControl/>
        <w:tabs>
          <w:tab w:val="left" w:pos="1101"/>
        </w:tabs>
        <w:jc w:val="both"/>
        <w:rPr>
          <w:rFonts w:ascii="Times New Roman" w:hAnsi="Times New Roman" w:cs="Times New Roman"/>
          <w:noProof/>
          <w:sz w:val="24"/>
          <w:szCs w:val="24"/>
        </w:rPr>
      </w:pPr>
      <w:r w:rsidRPr="004E3455">
        <w:rPr>
          <w:rFonts w:ascii="Times New Roman" w:hAnsi="Times New Roman" w:cs="Times New Roman"/>
          <w:sz w:val="24"/>
          <w:u w:val="single" w:color="000000"/>
        </w:rPr>
        <w:t xml:space="preserve">Varbūtēja </w:t>
      </w:r>
      <w:r w:rsidRPr="004E3455">
        <w:rPr>
          <w:rFonts w:ascii="Times New Roman" w:hAnsi="Times New Roman" w:cs="Times New Roman"/>
          <w:i/>
          <w:sz w:val="24"/>
          <w:u w:val="single" w:color="000000"/>
        </w:rPr>
        <w:t>nelabvēlīga analīžu rezultāta</w:t>
      </w:r>
      <w:r w:rsidRPr="004E3455">
        <w:rPr>
          <w:rFonts w:ascii="Times New Roman" w:hAnsi="Times New Roman" w:cs="Times New Roman"/>
          <w:sz w:val="24"/>
        </w:rPr>
        <w:t xml:space="preserve"> (</w:t>
      </w:r>
      <w:r w:rsidRPr="004E3455">
        <w:rPr>
          <w:rFonts w:ascii="Times New Roman" w:hAnsi="Times New Roman" w:cs="Times New Roman"/>
          <w:i/>
          <w:sz w:val="24"/>
          <w:u w:val="single" w:color="000000"/>
        </w:rPr>
        <w:t>PAAF</w:t>
      </w:r>
      <w:r w:rsidRPr="004E3455">
        <w:rPr>
          <w:rFonts w:ascii="Times New Roman" w:hAnsi="Times New Roman" w:cs="Times New Roman"/>
          <w:sz w:val="24"/>
        </w:rPr>
        <w:t xml:space="preserve">) gadījumā </w:t>
      </w:r>
      <w:r w:rsidRPr="004E3455">
        <w:rPr>
          <w:rFonts w:ascii="Times New Roman" w:hAnsi="Times New Roman" w:cs="Times New Roman"/>
          <w:i/>
          <w:iCs/>
          <w:sz w:val="24"/>
        </w:rPr>
        <w:t>paraugu</w:t>
      </w:r>
      <w:r w:rsidRPr="004E3455">
        <w:rPr>
          <w:rFonts w:ascii="Times New Roman" w:hAnsi="Times New Roman" w:cs="Times New Roman"/>
          <w:sz w:val="24"/>
        </w:rPr>
        <w:t xml:space="preserve"> “A” daļām, ko glabā –20 °C temperatūrā, iespējami īsā laikā ir jāveic </w:t>
      </w:r>
      <w:r w:rsidRPr="004E3455">
        <w:rPr>
          <w:rFonts w:ascii="Times New Roman" w:hAnsi="Times New Roman" w:cs="Times New Roman"/>
          <w:sz w:val="24"/>
          <w:u w:val="single" w:color="000000"/>
        </w:rPr>
        <w:t>apstiprināšanas procedūra</w:t>
      </w:r>
      <w:r w:rsidRPr="004E3455">
        <w:rPr>
          <w:rFonts w:ascii="Times New Roman" w:hAnsi="Times New Roman" w:cs="Times New Roman"/>
          <w:sz w:val="24"/>
        </w:rPr>
        <w:t xml:space="preserve"> (</w:t>
      </w:r>
      <w:r w:rsidRPr="004E3455">
        <w:rPr>
          <w:rFonts w:ascii="Times New Roman" w:hAnsi="Times New Roman" w:cs="Times New Roman"/>
          <w:i/>
          <w:sz w:val="24"/>
          <w:u w:val="single" w:color="000000"/>
        </w:rPr>
        <w:t>CP</w:t>
      </w:r>
      <w:r w:rsidRPr="004E3455">
        <w:rPr>
          <w:rFonts w:ascii="Times New Roman" w:hAnsi="Times New Roman" w:cs="Times New Roman"/>
          <w:sz w:val="24"/>
        </w:rPr>
        <w:t>).</w:t>
      </w:r>
    </w:p>
    <w:p w14:paraId="2FB4563E" w14:textId="345D4CDC" w:rsidR="001930AE" w:rsidRPr="004E3455" w:rsidRDefault="001930AE" w:rsidP="004E3455">
      <w:pPr>
        <w:widowControl/>
        <w:tabs>
          <w:tab w:val="left" w:pos="1101"/>
        </w:tabs>
        <w:jc w:val="both"/>
        <w:rPr>
          <w:rFonts w:ascii="Times New Roman" w:hAnsi="Times New Roman" w:cs="Times New Roman"/>
          <w:noProof/>
          <w:sz w:val="24"/>
          <w:szCs w:val="24"/>
        </w:rPr>
      </w:pPr>
    </w:p>
    <w:p w14:paraId="3E62DA4A" w14:textId="2908F5B5" w:rsidR="003C61A2" w:rsidRPr="004E3455" w:rsidRDefault="001930AE" w:rsidP="004E3455">
      <w:pPr>
        <w:widowControl/>
        <w:tabs>
          <w:tab w:val="left" w:pos="1101"/>
        </w:tabs>
        <w:jc w:val="both"/>
        <w:rPr>
          <w:rFonts w:ascii="Times New Roman" w:eastAsia="Arial" w:hAnsi="Times New Roman" w:cs="Times New Roman"/>
          <w:noProof/>
          <w:sz w:val="24"/>
          <w:szCs w:val="24"/>
        </w:rPr>
      </w:pPr>
      <w:r w:rsidRPr="004E3455">
        <w:rPr>
          <w:rFonts w:ascii="Times New Roman" w:hAnsi="Times New Roman" w:cs="Times New Roman"/>
          <w:i/>
          <w:iCs/>
          <w:sz w:val="24"/>
        </w:rPr>
        <w:t>Paraugu</w:t>
      </w:r>
      <w:r w:rsidRPr="004E3455">
        <w:rPr>
          <w:rFonts w:ascii="Times New Roman" w:hAnsi="Times New Roman" w:cs="Times New Roman"/>
          <w:sz w:val="24"/>
        </w:rPr>
        <w:t xml:space="preserve"> “B” daļām, kas saistītas ar </w:t>
      </w:r>
      <w:r w:rsidRPr="004E3455">
        <w:rPr>
          <w:rFonts w:ascii="Times New Roman" w:hAnsi="Times New Roman" w:cs="Times New Roman"/>
          <w:i/>
          <w:sz w:val="24"/>
        </w:rPr>
        <w:t>nelabvēlīgu analīžu rezultātu</w:t>
      </w:r>
      <w:r w:rsidRPr="004E3455">
        <w:rPr>
          <w:rFonts w:ascii="Times New Roman" w:hAnsi="Times New Roman" w:cs="Times New Roman"/>
          <w:sz w:val="24"/>
        </w:rPr>
        <w:t xml:space="preserve"> (</w:t>
      </w:r>
      <w:r w:rsidRPr="004E3455">
        <w:rPr>
          <w:rFonts w:ascii="Times New Roman" w:hAnsi="Times New Roman" w:cs="Times New Roman"/>
          <w:i/>
          <w:sz w:val="24"/>
        </w:rPr>
        <w:t>AAF</w:t>
      </w:r>
      <w:r w:rsidRPr="004E3455">
        <w:rPr>
          <w:rFonts w:ascii="Times New Roman" w:hAnsi="Times New Roman" w:cs="Times New Roman"/>
          <w:sz w:val="24"/>
        </w:rPr>
        <w:t xml:space="preserve">) attiecībā uz </w:t>
      </w:r>
      <w:r w:rsidRPr="004E3455">
        <w:rPr>
          <w:rFonts w:ascii="Times New Roman" w:hAnsi="Times New Roman" w:cs="Times New Roman"/>
          <w:i/>
          <w:iCs/>
          <w:sz w:val="24"/>
        </w:rPr>
        <w:t>parauga</w:t>
      </w:r>
      <w:r w:rsidRPr="004E3455">
        <w:rPr>
          <w:rFonts w:ascii="Times New Roman" w:hAnsi="Times New Roman" w:cs="Times New Roman"/>
          <w:sz w:val="24"/>
        </w:rPr>
        <w:t xml:space="preserve"> “A” daļā konstatētu </w:t>
      </w:r>
      <w:r w:rsidRPr="004E3455">
        <w:rPr>
          <w:rFonts w:ascii="Times New Roman" w:hAnsi="Times New Roman" w:cs="Times New Roman"/>
          <w:i/>
          <w:iCs/>
          <w:sz w:val="24"/>
        </w:rPr>
        <w:t>hCG</w:t>
      </w:r>
      <w:r w:rsidRPr="004E3455">
        <w:rPr>
          <w:rFonts w:ascii="Times New Roman" w:hAnsi="Times New Roman" w:cs="Times New Roman"/>
          <w:sz w:val="24"/>
        </w:rPr>
        <w:t xml:space="preserve">, jāveic </w:t>
      </w:r>
      <w:r w:rsidRPr="004E3455">
        <w:rPr>
          <w:rFonts w:ascii="Times New Roman" w:hAnsi="Times New Roman" w:cs="Times New Roman"/>
          <w:i/>
          <w:sz w:val="24"/>
          <w:u w:val="single" w:color="000000"/>
        </w:rPr>
        <w:t>CP</w:t>
      </w:r>
      <w:r w:rsidRPr="004E3455">
        <w:rPr>
          <w:rFonts w:ascii="Times New Roman" w:hAnsi="Times New Roman" w:cs="Times New Roman"/>
          <w:sz w:val="24"/>
        </w:rPr>
        <w:t xml:space="preserve"> vai tās iespējami īsā laikā jānogādā uz saldētavu (–70 </w:t>
      </w:r>
      <w:r w:rsidRPr="004E3455">
        <w:rPr>
          <w:rFonts w:ascii="Times New Roman" w:hAnsi="Times New Roman" w:cs="Times New Roman"/>
          <w:i/>
          <w:sz w:val="24"/>
        </w:rPr>
        <w:t>°</w:t>
      </w:r>
      <w:r w:rsidRPr="004E3455">
        <w:rPr>
          <w:rFonts w:ascii="Times New Roman" w:hAnsi="Times New Roman" w:cs="Times New Roman"/>
          <w:sz w:val="24"/>
        </w:rPr>
        <w:t>C vai zemākā temperatūrā), kur tās jātur līdz analīžu veikšanai.</w:t>
      </w:r>
    </w:p>
    <w:p w14:paraId="715D11A3" w14:textId="77777777" w:rsidR="003C61A2" w:rsidRPr="004E3455" w:rsidRDefault="003C61A2" w:rsidP="004E3455">
      <w:pPr>
        <w:widowControl/>
        <w:jc w:val="both"/>
        <w:rPr>
          <w:rFonts w:ascii="Times New Roman" w:eastAsia="Arial" w:hAnsi="Times New Roman" w:cs="Times New Roman"/>
          <w:noProof/>
          <w:sz w:val="24"/>
          <w:szCs w:val="24"/>
        </w:rPr>
      </w:pPr>
    </w:p>
    <w:p w14:paraId="1A7A825E" w14:textId="77777777" w:rsidR="003C61A2" w:rsidRPr="004E3455" w:rsidRDefault="003C61A2" w:rsidP="00B91E16">
      <w:pPr>
        <w:keepNext/>
        <w:widowControl/>
        <w:jc w:val="both"/>
        <w:rPr>
          <w:rFonts w:ascii="Times New Roman" w:eastAsia="Arial" w:hAnsi="Times New Roman" w:cs="Times New Roman"/>
          <w:noProof/>
          <w:sz w:val="28"/>
          <w:szCs w:val="28"/>
        </w:rPr>
      </w:pPr>
      <w:bookmarkStart w:id="3" w:name="3.0_Analytical_Testing_Strategy"/>
      <w:bookmarkEnd w:id="3"/>
      <w:r w:rsidRPr="004E3455">
        <w:rPr>
          <w:rFonts w:ascii="Times New Roman" w:hAnsi="Times New Roman" w:cs="Times New Roman"/>
          <w:b/>
          <w:sz w:val="28"/>
        </w:rPr>
        <w:t xml:space="preserve">3.0. </w:t>
      </w:r>
      <w:r w:rsidRPr="004E3455">
        <w:rPr>
          <w:rFonts w:ascii="Times New Roman" w:hAnsi="Times New Roman" w:cs="Times New Roman"/>
          <w:b/>
          <w:sz w:val="28"/>
          <w:u w:val="single"/>
        </w:rPr>
        <w:t xml:space="preserve">Analītiskās </w:t>
      </w:r>
      <w:r w:rsidRPr="004E3455">
        <w:rPr>
          <w:rFonts w:ascii="Times New Roman" w:hAnsi="Times New Roman" w:cs="Times New Roman"/>
          <w:b/>
          <w:i/>
          <w:sz w:val="28"/>
          <w:u w:val="single"/>
        </w:rPr>
        <w:t>pārbaudes</w:t>
      </w:r>
      <w:r w:rsidRPr="004E3455">
        <w:rPr>
          <w:rFonts w:ascii="Times New Roman" w:hAnsi="Times New Roman" w:cs="Times New Roman"/>
          <w:b/>
          <w:sz w:val="28"/>
        </w:rPr>
        <w:t xml:space="preserve"> stratēģija</w:t>
      </w:r>
    </w:p>
    <w:p w14:paraId="68E81634" w14:textId="5C16903E" w:rsidR="003C61A2" w:rsidRPr="004E3455" w:rsidRDefault="003C61A2" w:rsidP="00B91E16">
      <w:pPr>
        <w:keepNext/>
        <w:widowControl/>
        <w:jc w:val="both"/>
        <w:rPr>
          <w:rFonts w:ascii="Times New Roman" w:eastAsia="Arial" w:hAnsi="Times New Roman" w:cs="Times New Roman"/>
          <w:b/>
          <w:bCs/>
          <w:noProof/>
          <w:sz w:val="24"/>
          <w:szCs w:val="24"/>
        </w:rPr>
      </w:pPr>
    </w:p>
    <w:p w14:paraId="2AA8C2BA" w14:textId="4DD6D480" w:rsidR="003C61A2" w:rsidRPr="004E3455" w:rsidRDefault="001930AE" w:rsidP="00B91E16">
      <w:pPr>
        <w:keepNext/>
        <w:widowControl/>
        <w:tabs>
          <w:tab w:val="left" w:pos="1012"/>
        </w:tabs>
        <w:jc w:val="both"/>
        <w:rPr>
          <w:rFonts w:ascii="Times New Roman" w:eastAsia="Arial" w:hAnsi="Times New Roman" w:cs="Times New Roman"/>
          <w:noProof/>
          <w:sz w:val="28"/>
          <w:szCs w:val="28"/>
        </w:rPr>
      </w:pPr>
      <w:r w:rsidRPr="004E3455">
        <w:rPr>
          <w:rFonts w:ascii="Times New Roman" w:hAnsi="Times New Roman" w:cs="Times New Roman"/>
          <w:sz w:val="28"/>
        </w:rPr>
        <w:lastRenderedPageBreak/>
        <w:t xml:space="preserve">3.1. </w:t>
      </w:r>
      <w:r w:rsidRPr="004E3455">
        <w:rPr>
          <w:rFonts w:ascii="Times New Roman" w:hAnsi="Times New Roman" w:cs="Times New Roman"/>
          <w:i/>
          <w:iCs/>
          <w:sz w:val="28"/>
        </w:rPr>
        <w:t>hCG</w:t>
      </w:r>
      <w:r w:rsidRPr="004E3455">
        <w:rPr>
          <w:rFonts w:ascii="Times New Roman" w:hAnsi="Times New Roman" w:cs="Times New Roman"/>
          <w:sz w:val="28"/>
        </w:rPr>
        <w:t xml:space="preserve"> </w:t>
      </w:r>
      <w:r w:rsidRPr="004E3455">
        <w:rPr>
          <w:rFonts w:ascii="Times New Roman" w:hAnsi="Times New Roman" w:cs="Times New Roman"/>
          <w:sz w:val="28"/>
          <w:u w:val="single"/>
        </w:rPr>
        <w:t xml:space="preserve">analītiskā </w:t>
      </w:r>
      <w:r w:rsidRPr="004E3455">
        <w:rPr>
          <w:rFonts w:ascii="Times New Roman" w:hAnsi="Times New Roman" w:cs="Times New Roman"/>
          <w:i/>
          <w:sz w:val="28"/>
          <w:u w:val="single"/>
        </w:rPr>
        <w:t>pārbaude</w:t>
      </w:r>
    </w:p>
    <w:p w14:paraId="1C8766FC" w14:textId="77777777" w:rsidR="001930AE" w:rsidRPr="004E3455" w:rsidRDefault="001930AE" w:rsidP="00B91E16">
      <w:pPr>
        <w:keepNext/>
        <w:widowControl/>
        <w:tabs>
          <w:tab w:val="left" w:pos="1280"/>
        </w:tabs>
        <w:jc w:val="both"/>
        <w:rPr>
          <w:rFonts w:ascii="Times New Roman" w:hAnsi="Times New Roman" w:cs="Times New Roman"/>
          <w:noProof/>
          <w:sz w:val="24"/>
          <w:szCs w:val="24"/>
          <w:u w:val="single" w:color="000000"/>
        </w:rPr>
      </w:pPr>
    </w:p>
    <w:p w14:paraId="27431A63" w14:textId="48EF7944" w:rsidR="003C61A2" w:rsidRPr="004E3455" w:rsidRDefault="00BF4C3C" w:rsidP="00B91E16">
      <w:pPr>
        <w:keepNext/>
        <w:widowControl/>
        <w:tabs>
          <w:tab w:val="left" w:pos="1280"/>
        </w:tabs>
        <w:jc w:val="both"/>
        <w:rPr>
          <w:rFonts w:ascii="Times New Roman" w:hAnsi="Times New Roman" w:cs="Times New Roman"/>
          <w:noProof/>
          <w:sz w:val="24"/>
          <w:szCs w:val="24"/>
        </w:rPr>
      </w:pPr>
      <w:r w:rsidRPr="004E3455">
        <w:rPr>
          <w:rFonts w:ascii="Times New Roman" w:hAnsi="Times New Roman" w:cs="Times New Roman"/>
          <w:sz w:val="24"/>
        </w:rPr>
        <w:t xml:space="preserve">3.1.1. </w:t>
      </w:r>
      <w:r w:rsidRPr="004E3455">
        <w:rPr>
          <w:rFonts w:ascii="Times New Roman" w:hAnsi="Times New Roman" w:cs="Times New Roman"/>
          <w:sz w:val="24"/>
          <w:u w:val="single" w:color="000000"/>
        </w:rPr>
        <w:t xml:space="preserve">Sākotnējās </w:t>
      </w:r>
      <w:r w:rsidRPr="004E3455">
        <w:rPr>
          <w:rFonts w:ascii="Times New Roman" w:hAnsi="Times New Roman" w:cs="Times New Roman"/>
          <w:i/>
          <w:iCs/>
          <w:sz w:val="24"/>
          <w:u w:val="single" w:color="000000"/>
        </w:rPr>
        <w:t>pārbaudes</w:t>
      </w:r>
      <w:r w:rsidRPr="004E3455">
        <w:rPr>
          <w:rFonts w:ascii="Times New Roman" w:hAnsi="Times New Roman" w:cs="Times New Roman"/>
          <w:sz w:val="24"/>
          <w:u w:val="single" w:color="000000"/>
        </w:rPr>
        <w:t xml:space="preserve"> procedūra</w:t>
      </w:r>
      <w:r w:rsidRPr="004E3455">
        <w:rPr>
          <w:rFonts w:ascii="Times New Roman" w:hAnsi="Times New Roman" w:cs="Times New Roman"/>
          <w:sz w:val="24"/>
        </w:rPr>
        <w:t xml:space="preserve"> (</w:t>
      </w:r>
      <w:r w:rsidRPr="004E3455">
        <w:rPr>
          <w:rFonts w:ascii="Times New Roman" w:hAnsi="Times New Roman" w:cs="Times New Roman"/>
          <w:i/>
          <w:iCs/>
          <w:sz w:val="24"/>
          <w:u w:val="single" w:color="000000"/>
        </w:rPr>
        <w:t>ITP</w:t>
      </w:r>
      <w:r w:rsidRPr="004E3455">
        <w:rPr>
          <w:rFonts w:ascii="Times New Roman" w:hAnsi="Times New Roman" w:cs="Times New Roman"/>
          <w:sz w:val="24"/>
        </w:rPr>
        <w:t>)</w:t>
      </w:r>
    </w:p>
    <w:p w14:paraId="209C7342" w14:textId="77777777" w:rsidR="00BF4C3C" w:rsidRPr="004E3455" w:rsidRDefault="00BF4C3C" w:rsidP="00B91E16">
      <w:pPr>
        <w:pStyle w:val="BodyText"/>
        <w:keepNext/>
        <w:rPr>
          <w:rFonts w:cs="Times New Roman"/>
          <w:noProof/>
        </w:rPr>
      </w:pPr>
    </w:p>
    <w:p w14:paraId="54580003" w14:textId="032E1E7C" w:rsidR="003C61A2" w:rsidRPr="004E3455" w:rsidRDefault="00BF4C3C" w:rsidP="00B91E16">
      <w:pPr>
        <w:pStyle w:val="BodyText"/>
        <w:keepNext/>
        <w:rPr>
          <w:rFonts w:cs="Times New Roman"/>
          <w:noProof/>
          <w:szCs w:val="24"/>
        </w:rPr>
      </w:pPr>
      <w:r w:rsidRPr="004E3455">
        <w:rPr>
          <w:rFonts w:cs="Times New Roman"/>
        </w:rPr>
        <w:t xml:space="preserve">• </w:t>
      </w:r>
      <w:r w:rsidRPr="004E3455">
        <w:rPr>
          <w:rFonts w:cs="Times New Roman"/>
          <w:i/>
          <w:iCs/>
          <w:u w:val="single" w:color="000000"/>
        </w:rPr>
        <w:t>ITP</w:t>
      </w:r>
      <w:r w:rsidRPr="004E3455">
        <w:rPr>
          <w:rFonts w:cs="Times New Roman"/>
        </w:rPr>
        <w:t xml:space="preserve"> vajadzībām var izmantot pārbaudes metodes (imūntestu un hromatogrāfijas masas spektrometrijas pārbaudes metodes</w:t>
      </w:r>
      <w:r w:rsidRPr="004E3455">
        <w:rPr>
          <w:rFonts w:cs="Times New Roman"/>
          <w:vertAlign w:val="superscript"/>
        </w:rPr>
        <w:t>[1]</w:t>
      </w:r>
      <w:r w:rsidRPr="004E3455">
        <w:rPr>
          <w:rFonts w:cs="Times New Roman"/>
        </w:rPr>
        <w:t xml:space="preserve">), ko izmanto vai nu </w:t>
      </w:r>
      <w:r w:rsidRPr="004E3455">
        <w:rPr>
          <w:rFonts w:cs="Times New Roman"/>
          <w:i/>
          <w:iCs/>
        </w:rPr>
        <w:t>hCG</w:t>
      </w:r>
      <w:r w:rsidRPr="004E3455">
        <w:rPr>
          <w:rFonts w:cs="Times New Roman"/>
        </w:rPr>
        <w:t xml:space="preserve"> α/β heterodimēra, vai “kopējā </w:t>
      </w:r>
      <w:r w:rsidRPr="004E3455">
        <w:rPr>
          <w:rFonts w:cs="Times New Roman"/>
          <w:i/>
          <w:iCs/>
        </w:rPr>
        <w:t>hCG</w:t>
      </w:r>
      <w:r w:rsidRPr="004E3455">
        <w:rPr>
          <w:rFonts w:cs="Times New Roman"/>
        </w:rPr>
        <w:t>” noteikšanai.</w:t>
      </w:r>
    </w:p>
    <w:p w14:paraId="1B54357E" w14:textId="77777777" w:rsidR="00BF4C3C" w:rsidRPr="004E3455" w:rsidRDefault="00BF4C3C" w:rsidP="004E3455">
      <w:pPr>
        <w:pStyle w:val="BodyText"/>
        <w:rPr>
          <w:rFonts w:cs="Times New Roman"/>
          <w:noProof/>
        </w:rPr>
      </w:pPr>
    </w:p>
    <w:p w14:paraId="4F0547D5" w14:textId="231E615B" w:rsidR="003C61A2" w:rsidRPr="004E3455" w:rsidRDefault="003C61A2" w:rsidP="00B91E16">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Vīriešiem, kuriem ir “pārmantots </w:t>
      </w:r>
      <w:r w:rsidRPr="004E3455">
        <w:rPr>
          <w:rFonts w:ascii="Times New Roman" w:hAnsi="Times New Roman" w:cs="Times New Roman"/>
          <w:i/>
          <w:iCs/>
          <w:sz w:val="24"/>
        </w:rPr>
        <w:t>hCG</w:t>
      </w:r>
      <w:r w:rsidRPr="004E3455">
        <w:rPr>
          <w:rFonts w:ascii="Times New Roman" w:hAnsi="Times New Roman" w:cs="Times New Roman"/>
          <w:i/>
          <w:sz w:val="24"/>
        </w:rPr>
        <w:t xml:space="preserve">” – </w:t>
      </w:r>
      <w:r w:rsidRPr="004E3455">
        <w:rPr>
          <w:rFonts w:ascii="Times New Roman" w:hAnsi="Times New Roman" w:cs="Times New Roman"/>
          <w:i/>
          <w:iCs/>
          <w:sz w:val="24"/>
        </w:rPr>
        <w:t>hCG</w:t>
      </w:r>
      <w:r w:rsidRPr="004E3455">
        <w:rPr>
          <w:rFonts w:ascii="Times New Roman" w:hAnsi="Times New Roman" w:cs="Times New Roman"/>
          <w:i/>
          <w:sz w:val="24"/>
        </w:rPr>
        <w:t xml:space="preserve"> sekrēcijas anomālija, kas ir acīmredzami fizioloģiska un nav patoloģiska –, serumā un urīnā pastāvīgi ir paaugstināta </w:t>
      </w:r>
      <w:r w:rsidRPr="004E3455">
        <w:rPr>
          <w:rFonts w:ascii="Times New Roman" w:hAnsi="Times New Roman" w:cs="Times New Roman"/>
          <w:i/>
          <w:iCs/>
          <w:sz w:val="24"/>
        </w:rPr>
        <w:t>hCGβ</w:t>
      </w:r>
      <w:r w:rsidRPr="004E3455">
        <w:rPr>
          <w:rFonts w:ascii="Times New Roman" w:hAnsi="Times New Roman" w:cs="Times New Roman"/>
          <w:i/>
          <w:sz w:val="24"/>
        </w:rPr>
        <w:t xml:space="preserve"> koncentrācija. Tas var izraisīt pozitīvu rezultātu, ja izmanto pārbaudes metodi, kas paredzēta kopējā </w:t>
      </w:r>
      <w:r w:rsidRPr="004E3455">
        <w:rPr>
          <w:rFonts w:ascii="Times New Roman" w:hAnsi="Times New Roman" w:cs="Times New Roman"/>
          <w:i/>
          <w:iCs/>
          <w:sz w:val="24"/>
        </w:rPr>
        <w:t>hCG</w:t>
      </w:r>
      <w:r w:rsidRPr="004E3455">
        <w:rPr>
          <w:rFonts w:ascii="Times New Roman" w:hAnsi="Times New Roman" w:cs="Times New Roman"/>
          <w:i/>
          <w:sz w:val="24"/>
        </w:rPr>
        <w:t xml:space="preserve"> noteikšanai. Tāpēc praktisku iemeslu dēļ (piemēram, ja nav automatizētas pārbaudes metodes heterodimēriskā hCG noteikšanai) </w:t>
      </w:r>
      <w:r w:rsidRPr="004E3455">
        <w:rPr>
          <w:rFonts w:ascii="Times New Roman" w:hAnsi="Times New Roman" w:cs="Times New Roman"/>
          <w:i/>
          <w:sz w:val="24"/>
          <w:u w:val="single" w:color="000000"/>
        </w:rPr>
        <w:t>laboratorija</w:t>
      </w:r>
      <w:r w:rsidRPr="004E3455">
        <w:rPr>
          <w:rFonts w:ascii="Times New Roman" w:hAnsi="Times New Roman" w:cs="Times New Roman"/>
          <w:i/>
          <w:sz w:val="24"/>
        </w:rPr>
        <w:t xml:space="preserve"> var arī apsvērt kopējā hCG līmeņa noteikšanu, tikai veicot sākotnējo priekšatlases pārbaudi, un pēc tam ikvienam paraugam, kam ir aizdomīgi rezultāti (&gt; 5,00 IU/l), veikt </w:t>
      </w:r>
      <w:r w:rsidRPr="004E3455">
        <w:rPr>
          <w:rFonts w:ascii="Times New Roman" w:hAnsi="Times New Roman" w:cs="Times New Roman"/>
          <w:i/>
          <w:sz w:val="24"/>
          <w:u w:val="single" w:color="000000"/>
        </w:rPr>
        <w:t>ITP</w:t>
      </w:r>
      <w:r w:rsidRPr="004E3455">
        <w:rPr>
          <w:rFonts w:ascii="Times New Roman" w:hAnsi="Times New Roman" w:cs="Times New Roman"/>
          <w:i/>
          <w:sz w:val="24"/>
        </w:rPr>
        <w:t>, izmantojot heterodimēriskam hCG raksturīgu pārbaudes metodi.]</w:t>
      </w:r>
    </w:p>
    <w:p w14:paraId="5F89A943" w14:textId="77777777" w:rsidR="00353C43" w:rsidRPr="004E3455" w:rsidRDefault="00353C43" w:rsidP="004E3455">
      <w:pPr>
        <w:widowControl/>
        <w:jc w:val="both"/>
        <w:rPr>
          <w:rFonts w:ascii="Times New Roman" w:eastAsia="Arial" w:hAnsi="Times New Roman" w:cs="Times New Roman"/>
          <w:noProof/>
          <w:sz w:val="24"/>
          <w:szCs w:val="24"/>
        </w:rPr>
      </w:pPr>
    </w:p>
    <w:p w14:paraId="18A1A0EE" w14:textId="2749848B" w:rsidR="003C61A2" w:rsidRPr="004E3455" w:rsidRDefault="00353C43"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izmanto vismaz vienu kvalitātes kontroles (</w:t>
      </w:r>
      <w:r w:rsidRPr="004E3455">
        <w:rPr>
          <w:rFonts w:cs="Times New Roman"/>
          <w:i/>
          <w:iCs/>
        </w:rPr>
        <w:t>QC</w:t>
      </w:r>
      <w:r w:rsidRPr="004E3455">
        <w:rPr>
          <w:rFonts w:cs="Times New Roman"/>
        </w:rPr>
        <w:t xml:space="preserve">) paraugu līmenī, kas ir tuvu 5 IU/l (imūntesti) vai 2 IU/l (hromatogrāfijas masas spektrometrijas pārbaudes metodes). </w:t>
      </w:r>
      <w:r w:rsidRPr="004E3455">
        <w:rPr>
          <w:rFonts w:cs="Times New Roman"/>
          <w:i/>
          <w:iCs/>
        </w:rPr>
        <w:t>QC</w:t>
      </w:r>
      <w:r w:rsidRPr="004E3455">
        <w:rPr>
          <w:rFonts w:cs="Times New Roman"/>
        </w:rPr>
        <w:t xml:space="preserve"> veikto </w:t>
      </w:r>
      <w:r w:rsidRPr="004E3455">
        <w:rPr>
          <w:rFonts w:cs="Times New Roman"/>
          <w:i/>
          <w:iCs/>
        </w:rPr>
        <w:t>hCG</w:t>
      </w:r>
      <w:r w:rsidRPr="004E3455">
        <w:rPr>
          <w:rFonts w:cs="Times New Roman"/>
        </w:rPr>
        <w:t xml:space="preserve"> mērījumu konsekvenci uzrauga, izmantojot </w:t>
      </w:r>
      <w:r w:rsidRPr="004E3455">
        <w:rPr>
          <w:rFonts w:cs="Times New Roman"/>
          <w:i/>
          <w:iCs/>
        </w:rPr>
        <w:t>QC</w:t>
      </w:r>
      <w:r w:rsidRPr="004E3455">
        <w:rPr>
          <w:rFonts w:cs="Times New Roman"/>
        </w:rPr>
        <w:t xml:space="preserve"> tabulas.</w:t>
      </w:r>
    </w:p>
    <w:p w14:paraId="4A6E8A48" w14:textId="77777777" w:rsidR="00405AE4" w:rsidRPr="004E3455" w:rsidRDefault="00405AE4" w:rsidP="004E3455">
      <w:pPr>
        <w:pStyle w:val="BodyText"/>
        <w:rPr>
          <w:rFonts w:cs="Times New Roman"/>
          <w:noProof/>
        </w:rPr>
      </w:pPr>
    </w:p>
    <w:p w14:paraId="0BA7892E" w14:textId="7A6AB97E" w:rsidR="003C61A2" w:rsidRPr="004E3455" w:rsidRDefault="003C61A2" w:rsidP="00B91E16">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[Piezīme. </w:t>
      </w:r>
      <w:r w:rsidRPr="004E3455">
        <w:rPr>
          <w:rFonts w:ascii="Times New Roman" w:hAnsi="Times New Roman" w:cs="Times New Roman"/>
          <w:i/>
          <w:iCs/>
          <w:sz w:val="24"/>
        </w:rPr>
        <w:t>QC</w:t>
      </w:r>
      <w:r w:rsidRPr="004E3455">
        <w:rPr>
          <w:rFonts w:ascii="Times New Roman" w:hAnsi="Times New Roman" w:cs="Times New Roman"/>
          <w:i/>
          <w:sz w:val="24"/>
        </w:rPr>
        <w:t xml:space="preserve"> paraugus ieteicams sagatavot analīzes matricē (urīnā), sadalīt alikvotās un līdz lietošanai uzglabāt sasaldētus (–70 °C vai zemākā temperatūrā).]</w:t>
      </w:r>
    </w:p>
    <w:p w14:paraId="54882D21" w14:textId="77777777" w:rsidR="00BF4C3C" w:rsidRPr="004E3455" w:rsidRDefault="00BF4C3C" w:rsidP="004E3455">
      <w:pPr>
        <w:widowControl/>
        <w:jc w:val="both"/>
        <w:rPr>
          <w:rFonts w:ascii="Times New Roman" w:eastAsia="Arial" w:hAnsi="Times New Roman" w:cs="Times New Roman"/>
          <w:i/>
          <w:noProof/>
          <w:sz w:val="24"/>
          <w:szCs w:val="24"/>
        </w:rPr>
      </w:pPr>
    </w:p>
    <w:p w14:paraId="67A2A9E9" w14:textId="3F786C75" w:rsidR="003C61A2" w:rsidRPr="004E3455" w:rsidRDefault="007E60A7" w:rsidP="004E3455">
      <w:pPr>
        <w:pStyle w:val="BodyText"/>
        <w:rPr>
          <w:rFonts w:cs="Times New Roman"/>
          <w:noProof/>
          <w:szCs w:val="24"/>
        </w:rPr>
      </w:pPr>
      <w:r w:rsidRPr="004E3455">
        <w:rPr>
          <w:rFonts w:cs="Times New Roman"/>
          <w:u w:color="000000"/>
        </w:rPr>
        <w:t xml:space="preserve">3.1.2. </w:t>
      </w:r>
      <w:r w:rsidRPr="00957992">
        <w:rPr>
          <w:rFonts w:cs="Times New Roman"/>
          <w:u w:val="single" w:color="000000"/>
        </w:rPr>
        <w:t>Apstiprināšanas procedūra</w:t>
      </w:r>
      <w:r w:rsidRPr="00957992">
        <w:rPr>
          <w:rFonts w:cs="Times New Roman"/>
          <w:u w:val="single"/>
        </w:rPr>
        <w:t xml:space="preserve"> (</w:t>
      </w:r>
      <w:r w:rsidRPr="00957992">
        <w:rPr>
          <w:rFonts w:cs="Times New Roman"/>
          <w:i/>
          <w:iCs/>
          <w:u w:val="single" w:color="000000"/>
        </w:rPr>
        <w:t>CP</w:t>
      </w:r>
      <w:r w:rsidRPr="00957992">
        <w:rPr>
          <w:rFonts w:cs="Times New Roman"/>
          <w:u w:val="single"/>
        </w:rPr>
        <w:t>)</w:t>
      </w:r>
    </w:p>
    <w:p w14:paraId="49704B16" w14:textId="77777777" w:rsidR="007E60A7" w:rsidRPr="004E3455" w:rsidRDefault="007E60A7" w:rsidP="004E3455">
      <w:pPr>
        <w:pStyle w:val="BodyText"/>
        <w:rPr>
          <w:rFonts w:cs="Times New Roman"/>
          <w:noProof/>
        </w:rPr>
      </w:pPr>
    </w:p>
    <w:p w14:paraId="665D2FB3" w14:textId="6433D07C" w:rsidR="003C61A2" w:rsidRPr="004E3455" w:rsidRDefault="007E60A7" w:rsidP="004E3455">
      <w:pPr>
        <w:pStyle w:val="BodyText"/>
        <w:rPr>
          <w:rFonts w:cs="Times New Roman"/>
          <w:noProof/>
          <w:szCs w:val="24"/>
        </w:rPr>
      </w:pPr>
      <w:r w:rsidRPr="004E3455">
        <w:rPr>
          <w:rFonts w:cs="Times New Roman"/>
        </w:rPr>
        <w:t xml:space="preserve">• </w:t>
      </w:r>
      <w:r w:rsidRPr="004E3455">
        <w:rPr>
          <w:rFonts w:cs="Times New Roman"/>
          <w:i/>
          <w:iCs/>
          <w:u w:val="single" w:color="000000"/>
        </w:rPr>
        <w:t>CP</w:t>
      </w:r>
      <w:r w:rsidRPr="004E3455">
        <w:rPr>
          <w:rFonts w:cs="Times New Roman"/>
        </w:rPr>
        <w:t xml:space="preserve"> vajadzībām </w:t>
      </w:r>
      <w:r w:rsidRPr="004E3455">
        <w:rPr>
          <w:rFonts w:cs="Times New Roman"/>
          <w:u w:val="single" w:color="000000"/>
        </w:rPr>
        <w:t>laboratorijas</w:t>
      </w:r>
      <w:r w:rsidRPr="004E3455">
        <w:rPr>
          <w:rFonts w:cs="Times New Roman"/>
        </w:rPr>
        <w:t xml:space="preserve"> piemēro pārbaudes metodi, kas ir validēta kā </w:t>
      </w:r>
      <w:r w:rsidRPr="004E3455">
        <w:rPr>
          <w:rFonts w:cs="Times New Roman"/>
          <w:u w:val="single" w:color="000000"/>
        </w:rPr>
        <w:t>nolūkam atbilstīga</w:t>
      </w:r>
      <w:r w:rsidRPr="004E3455">
        <w:rPr>
          <w:rFonts w:cs="Times New Roman"/>
        </w:rPr>
        <w:t xml:space="preserve"> tieši </w:t>
      </w:r>
      <w:r w:rsidRPr="004E3455">
        <w:rPr>
          <w:rFonts w:cs="Times New Roman"/>
          <w:i/>
          <w:iCs/>
        </w:rPr>
        <w:t>hCG</w:t>
      </w:r>
      <w:r w:rsidRPr="004E3455">
        <w:rPr>
          <w:rFonts w:cs="Times New Roman"/>
        </w:rPr>
        <w:t xml:space="preserve"> α/β heterodimēra noteikšanai un kvantitatīvai noteikšanai (imūntests vai hromatogrāfijas masas spektrometrijas pārbaudes metode</w:t>
      </w:r>
      <w:r w:rsidRPr="004E3455">
        <w:rPr>
          <w:rFonts w:cs="Times New Roman"/>
          <w:vertAlign w:val="superscript"/>
        </w:rPr>
        <w:t>[1]</w:t>
      </w:r>
      <w:r w:rsidRPr="004E3455">
        <w:rPr>
          <w:rFonts w:cs="Times New Roman"/>
        </w:rPr>
        <w:t xml:space="preserve">). Gan </w:t>
      </w:r>
      <w:r w:rsidRPr="004E3455">
        <w:rPr>
          <w:rFonts w:cs="Times New Roman"/>
          <w:i/>
          <w:iCs/>
        </w:rPr>
        <w:t>parauga</w:t>
      </w:r>
      <w:r w:rsidRPr="004E3455">
        <w:rPr>
          <w:rFonts w:cs="Times New Roman"/>
        </w:rPr>
        <w:t xml:space="preserve"> “A” daļas, gan </w:t>
      </w:r>
      <w:r w:rsidRPr="004E3455">
        <w:rPr>
          <w:rFonts w:cs="Times New Roman"/>
          <w:i/>
          <w:iCs/>
        </w:rPr>
        <w:t>parauga</w:t>
      </w:r>
      <w:r w:rsidRPr="004E3455">
        <w:rPr>
          <w:rFonts w:cs="Times New Roman"/>
        </w:rPr>
        <w:t xml:space="preserve"> “B” daļas </w:t>
      </w:r>
      <w:r w:rsidRPr="004E3455">
        <w:rPr>
          <w:rFonts w:cs="Times New Roman"/>
          <w:i/>
          <w:iCs/>
          <w:u w:val="single" w:color="000000"/>
        </w:rPr>
        <w:t>CP</w:t>
      </w:r>
      <w:r w:rsidRPr="004E3455">
        <w:rPr>
          <w:rFonts w:cs="Times New Roman"/>
        </w:rPr>
        <w:t xml:space="preserve"> vajadzībām izmanto vienu un to pašu pārbaudes metodi (imūntestu vai </w:t>
      </w:r>
      <w:r w:rsidRPr="004E3455">
        <w:rPr>
          <w:rFonts w:cs="Times New Roman"/>
          <w:i/>
          <w:iCs/>
        </w:rPr>
        <w:t>LC-MS/MS</w:t>
      </w:r>
      <w:r w:rsidRPr="004E3455">
        <w:rPr>
          <w:rFonts w:cs="Times New Roman"/>
        </w:rPr>
        <w:t xml:space="preserve"> pārbaudes metodi).</w:t>
      </w:r>
    </w:p>
    <w:p w14:paraId="32D21A16" w14:textId="77777777" w:rsidR="00EB70FC" w:rsidRPr="004E3455" w:rsidRDefault="00EB70FC" w:rsidP="004E3455">
      <w:pPr>
        <w:pStyle w:val="BodyText"/>
        <w:rPr>
          <w:rFonts w:cs="Times New Roman"/>
          <w:noProof/>
        </w:rPr>
      </w:pPr>
    </w:p>
    <w:p w14:paraId="1FFBE0FD" w14:textId="2EEF84FB" w:rsidR="003C61A2" w:rsidRPr="004E3455" w:rsidRDefault="003C61A2" w:rsidP="00957992">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w:t>
      </w:r>
      <w:r w:rsidRPr="004E3455">
        <w:rPr>
          <w:rFonts w:ascii="Times New Roman" w:hAnsi="Times New Roman" w:cs="Times New Roman"/>
          <w:i/>
          <w:sz w:val="24"/>
          <w:u w:val="single" w:color="000000"/>
        </w:rPr>
        <w:t>Nolūkam atbilstīgi</w:t>
      </w:r>
      <w:r w:rsidRPr="004E3455">
        <w:rPr>
          <w:rFonts w:ascii="Times New Roman" w:hAnsi="Times New Roman" w:cs="Times New Roman"/>
          <w:i/>
          <w:sz w:val="24"/>
        </w:rPr>
        <w:t xml:space="preserve"> imūntesti hCG α/β heterodimēra kvantitatīvai noteikšanai urīnā ir, piemēram, Roche hCG STAT, DELFIA un Siemens EXL Dimension pārbaudes metodes. Tomēr pirms pārbaudes metodes piemērošanas paraugu analīzei </w:t>
      </w:r>
      <w:r w:rsidRPr="004E3455">
        <w:rPr>
          <w:rFonts w:ascii="Times New Roman" w:hAnsi="Times New Roman" w:cs="Times New Roman"/>
          <w:i/>
          <w:sz w:val="24"/>
          <w:u w:val="single" w:color="000000"/>
        </w:rPr>
        <w:t>laboratorija</w:t>
      </w:r>
      <w:r w:rsidRPr="004E3455">
        <w:rPr>
          <w:rFonts w:ascii="Times New Roman" w:hAnsi="Times New Roman" w:cs="Times New Roman"/>
          <w:i/>
          <w:sz w:val="24"/>
        </w:rPr>
        <w:t xml:space="preserve"> to validē un iekļauj ISO/IEC 17025 standarta akreditācijas darbības jomā.]</w:t>
      </w:r>
    </w:p>
    <w:p w14:paraId="35CD5C43" w14:textId="77777777" w:rsidR="00AA15AE" w:rsidRPr="004E3455" w:rsidRDefault="00AA15AE" w:rsidP="004E3455">
      <w:pPr>
        <w:widowControl/>
        <w:jc w:val="both"/>
        <w:rPr>
          <w:rFonts w:ascii="Times New Roman" w:eastAsia="Arial" w:hAnsi="Times New Roman" w:cs="Times New Roman"/>
          <w:noProof/>
          <w:sz w:val="24"/>
          <w:szCs w:val="24"/>
        </w:rPr>
      </w:pPr>
    </w:p>
    <w:p w14:paraId="1CF30029" w14:textId="1CD669D7" w:rsidR="003C61A2" w:rsidRPr="004E3455" w:rsidRDefault="00AA15AE" w:rsidP="004E3455">
      <w:pPr>
        <w:pStyle w:val="BodyText"/>
        <w:rPr>
          <w:rFonts w:cs="Times New Roman"/>
          <w:noProof/>
          <w:szCs w:val="24"/>
        </w:rPr>
      </w:pPr>
      <w:r w:rsidRPr="004E3455">
        <w:rPr>
          <w:rFonts w:cs="Times New Roman"/>
        </w:rPr>
        <w:t xml:space="preserve">• Pieļaujamās vērtības šādiem α/β heterodimēriskā </w:t>
      </w:r>
      <w:r w:rsidRPr="004E3455">
        <w:rPr>
          <w:rFonts w:cs="Times New Roman"/>
          <w:i/>
          <w:iCs/>
        </w:rPr>
        <w:t>hCG</w:t>
      </w:r>
      <w:r w:rsidRPr="004E3455">
        <w:rPr>
          <w:rFonts w:cs="Times New Roman"/>
        </w:rPr>
        <w:t xml:space="preserve"> pārbaudes metodes veiktspējas parametriem, kas noteikti </w:t>
      </w:r>
      <w:r w:rsidRPr="004E3455">
        <w:rPr>
          <w:rFonts w:cs="Times New Roman"/>
          <w:i/>
          <w:iCs/>
          <w:u w:val="single" w:color="000000"/>
        </w:rPr>
        <w:t>CP</w:t>
      </w:r>
      <w:r w:rsidRPr="004E3455">
        <w:rPr>
          <w:rFonts w:cs="Times New Roman"/>
          <w:u w:val="single" w:color="000000"/>
        </w:rPr>
        <w:t xml:space="preserve"> pārbaudes metodes</w:t>
      </w:r>
      <w:r w:rsidRPr="004E3455">
        <w:rPr>
          <w:rFonts w:cs="Times New Roman"/>
        </w:rPr>
        <w:t xml:space="preserve"> validācijas laikā, ir norādītas turpmāk iekļautajā tabulā.</w:t>
      </w:r>
    </w:p>
    <w:p w14:paraId="1482F4FE" w14:textId="20DB0D1E" w:rsidR="00AA15AE" w:rsidRPr="004E3455" w:rsidRDefault="00AA15AE" w:rsidP="004E3455">
      <w:pPr>
        <w:pStyle w:val="BodyText"/>
        <w:rPr>
          <w:rFonts w:cs="Times New Roman"/>
          <w:noProof/>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5568"/>
        <w:gridCol w:w="1780"/>
        <w:gridCol w:w="1780"/>
      </w:tblGrid>
      <w:tr w:rsidR="003C61A2" w:rsidRPr="004E3455" w14:paraId="6915AA0C" w14:textId="77777777" w:rsidTr="004E3455">
        <w:tc>
          <w:tcPr>
            <w:tcW w:w="0" w:type="auto"/>
            <w:tcBorders>
              <w:top w:val="single" w:sz="5" w:space="0" w:color="000000"/>
              <w:left w:val="single" w:sz="5" w:space="0" w:color="000000"/>
              <w:bottom w:val="nil"/>
              <w:right w:val="single" w:sz="4" w:space="0" w:color="auto"/>
            </w:tcBorders>
            <w:vAlign w:val="center"/>
          </w:tcPr>
          <w:p w14:paraId="3A1A6FC6" w14:textId="77777777" w:rsidR="003C61A2" w:rsidRPr="004E3455" w:rsidRDefault="003C61A2" w:rsidP="004E3455">
            <w:pPr>
              <w:pStyle w:val="TableParagraph"/>
              <w:widowControl/>
              <w:jc w:val="center"/>
              <w:rPr>
                <w:rFonts w:ascii="Times New Roman" w:eastAsia="Arial" w:hAnsi="Times New Roman" w:cs="Times New Roman"/>
                <w:noProof/>
                <w:szCs w:val="20"/>
              </w:rPr>
            </w:pPr>
          </w:p>
          <w:p w14:paraId="233EC173" w14:textId="77777777" w:rsidR="003C61A2" w:rsidRPr="004E3455" w:rsidRDefault="003C61A2" w:rsidP="004E3455">
            <w:pPr>
              <w:pStyle w:val="TableParagraph"/>
              <w:widowControl/>
              <w:jc w:val="center"/>
              <w:rPr>
                <w:rFonts w:ascii="Times New Roman" w:hAnsi="Times New Roman" w:cs="Times New Roman"/>
                <w:b/>
                <w:noProof/>
                <w:szCs w:val="20"/>
              </w:rPr>
            </w:pPr>
            <w:r w:rsidRPr="004E3455">
              <w:rPr>
                <w:rFonts w:ascii="Times New Roman" w:hAnsi="Times New Roman" w:cs="Times New Roman"/>
                <w:b/>
                <w:szCs w:val="20"/>
              </w:rPr>
              <w:t>Validācijas parametrs</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9901F83" w14:textId="77777777" w:rsidR="003C61A2" w:rsidRPr="004E3455" w:rsidRDefault="003C61A2" w:rsidP="004E3455">
            <w:pPr>
              <w:pStyle w:val="TableParagraph"/>
              <w:widowControl/>
              <w:jc w:val="center"/>
              <w:rPr>
                <w:rFonts w:ascii="Times New Roman" w:hAnsi="Times New Roman" w:cs="Times New Roman"/>
                <w:b/>
                <w:noProof/>
                <w:szCs w:val="20"/>
              </w:rPr>
            </w:pPr>
            <w:r w:rsidRPr="004E3455">
              <w:rPr>
                <w:rFonts w:ascii="Times New Roman" w:hAnsi="Times New Roman" w:cs="Times New Roman"/>
                <w:b/>
                <w:szCs w:val="20"/>
              </w:rPr>
              <w:t>Apstiprinājuma kritērijs</w:t>
            </w:r>
          </w:p>
        </w:tc>
      </w:tr>
      <w:tr w:rsidR="003C61A2" w:rsidRPr="004E3455" w14:paraId="74911414" w14:textId="77777777" w:rsidTr="004E3455">
        <w:tc>
          <w:tcPr>
            <w:tcW w:w="0" w:type="auto"/>
            <w:tcBorders>
              <w:top w:val="nil"/>
              <w:left w:val="single" w:sz="5" w:space="0" w:color="000000"/>
              <w:bottom w:val="single" w:sz="5" w:space="0" w:color="000000"/>
              <w:right w:val="single" w:sz="4" w:space="0" w:color="auto"/>
            </w:tcBorders>
            <w:vAlign w:val="center"/>
          </w:tcPr>
          <w:p w14:paraId="7F2976CE" w14:textId="77777777" w:rsidR="003C61A2" w:rsidRPr="004E3455" w:rsidRDefault="003C61A2" w:rsidP="004E3455">
            <w:pPr>
              <w:widowControl/>
              <w:jc w:val="center"/>
              <w:rPr>
                <w:rFonts w:ascii="Times New Roman" w:hAnsi="Times New Roman" w:cs="Times New Roman"/>
                <w:noProof/>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4BFC4FA" w14:textId="77777777" w:rsidR="003C61A2" w:rsidRPr="004E3455" w:rsidRDefault="003C61A2" w:rsidP="004E3455">
            <w:pPr>
              <w:pStyle w:val="TableParagraph"/>
              <w:widowControl/>
              <w:jc w:val="center"/>
              <w:rPr>
                <w:rFonts w:ascii="Times New Roman" w:hAnsi="Times New Roman" w:cs="Times New Roman"/>
                <w:b/>
                <w:noProof/>
                <w:szCs w:val="20"/>
              </w:rPr>
            </w:pPr>
            <w:r w:rsidRPr="004E3455">
              <w:rPr>
                <w:rFonts w:ascii="Times New Roman" w:hAnsi="Times New Roman" w:cs="Times New Roman"/>
                <w:b/>
                <w:szCs w:val="20"/>
              </w:rPr>
              <w:t>Imūntesti</w:t>
            </w:r>
          </w:p>
        </w:tc>
        <w:tc>
          <w:tcPr>
            <w:tcW w:w="0" w:type="auto"/>
            <w:tcBorders>
              <w:top w:val="single" w:sz="4" w:space="0" w:color="auto"/>
              <w:left w:val="single" w:sz="4" w:space="0" w:color="auto"/>
              <w:bottom w:val="single" w:sz="4" w:space="0" w:color="auto"/>
              <w:right w:val="single" w:sz="4" w:space="0" w:color="auto"/>
            </w:tcBorders>
            <w:vAlign w:val="center"/>
          </w:tcPr>
          <w:p w14:paraId="7BF4ACAB" w14:textId="77777777" w:rsidR="003C61A2" w:rsidRPr="004E3455" w:rsidRDefault="003C61A2" w:rsidP="004E3455">
            <w:pPr>
              <w:pStyle w:val="TableParagraph"/>
              <w:widowControl/>
              <w:jc w:val="center"/>
              <w:rPr>
                <w:rFonts w:ascii="Times New Roman" w:hAnsi="Times New Roman" w:cs="Times New Roman"/>
                <w:b/>
                <w:noProof/>
                <w:szCs w:val="20"/>
              </w:rPr>
            </w:pPr>
            <w:r w:rsidRPr="004E3455">
              <w:rPr>
                <w:rFonts w:ascii="Times New Roman" w:hAnsi="Times New Roman" w:cs="Times New Roman"/>
                <w:b/>
                <w:i/>
                <w:iCs/>
                <w:szCs w:val="20"/>
              </w:rPr>
              <w:t>LC-MS/MS</w:t>
            </w:r>
          </w:p>
        </w:tc>
      </w:tr>
      <w:tr w:rsidR="003C61A2" w:rsidRPr="004E3455" w14:paraId="2F74AA1B" w14:textId="77777777" w:rsidTr="004E3455">
        <w:tc>
          <w:tcPr>
            <w:tcW w:w="0" w:type="auto"/>
            <w:tcBorders>
              <w:top w:val="single" w:sz="5" w:space="0" w:color="000000"/>
              <w:left w:val="single" w:sz="5" w:space="0" w:color="000000"/>
              <w:bottom w:val="single" w:sz="5" w:space="0" w:color="000000"/>
              <w:right w:val="single" w:sz="5" w:space="0" w:color="000000"/>
            </w:tcBorders>
            <w:vAlign w:val="center"/>
          </w:tcPr>
          <w:p w14:paraId="7CBC3C1F" w14:textId="77777777" w:rsidR="003C61A2" w:rsidRPr="004E3455" w:rsidRDefault="003C61A2" w:rsidP="004E3455">
            <w:pPr>
              <w:pStyle w:val="TableParagraph"/>
              <w:widowControl/>
              <w:jc w:val="center"/>
              <w:rPr>
                <w:rFonts w:ascii="Times New Roman" w:eastAsia="Times New Roman" w:hAnsi="Times New Roman" w:cs="Times New Roman"/>
                <w:noProof/>
                <w:szCs w:val="20"/>
              </w:rPr>
            </w:pPr>
            <w:r w:rsidRPr="004E3455">
              <w:rPr>
                <w:rFonts w:ascii="Times New Roman" w:hAnsi="Times New Roman" w:cs="Times New Roman"/>
                <w:b/>
                <w:i/>
                <w:szCs w:val="20"/>
              </w:rPr>
              <w:t>s</w:t>
            </w:r>
            <w:r w:rsidRPr="004E3455">
              <w:rPr>
                <w:rFonts w:ascii="Times New Roman" w:hAnsi="Times New Roman" w:cs="Times New Roman"/>
                <w:b/>
                <w:i/>
                <w:szCs w:val="20"/>
                <w:vertAlign w:val="subscript"/>
              </w:rPr>
              <w:t>r</w:t>
            </w:r>
          </w:p>
          <w:p w14:paraId="183EE991" w14:textId="77777777" w:rsidR="003C61A2" w:rsidRPr="004E3455" w:rsidRDefault="003C61A2" w:rsidP="004E3455">
            <w:pPr>
              <w:pStyle w:val="TableParagraph"/>
              <w:widowControl/>
              <w:jc w:val="center"/>
              <w:rPr>
                <w:rFonts w:ascii="Times New Roman" w:hAnsi="Times New Roman" w:cs="Times New Roman"/>
                <w:i/>
                <w:noProof/>
                <w:szCs w:val="20"/>
              </w:rPr>
            </w:pPr>
            <w:r w:rsidRPr="004E3455">
              <w:rPr>
                <w:rFonts w:ascii="Times New Roman" w:hAnsi="Times New Roman" w:cs="Times New Roman"/>
                <w:szCs w:val="20"/>
              </w:rPr>
              <w:t>(</w:t>
            </w:r>
            <w:r w:rsidRPr="004E3455">
              <w:rPr>
                <w:rFonts w:ascii="Times New Roman" w:hAnsi="Times New Roman" w:cs="Times New Roman"/>
                <w:szCs w:val="20"/>
                <w:u w:val="single"/>
              </w:rPr>
              <w:t>Atkārtojamība</w:t>
            </w:r>
            <w:r w:rsidRPr="004E3455">
              <w:rPr>
                <w:rFonts w:ascii="Times New Roman" w:hAnsi="Times New Roman" w:cs="Times New Roman"/>
                <w:szCs w:val="20"/>
              </w:rPr>
              <w:t>)</w:t>
            </w:r>
          </w:p>
          <w:p w14:paraId="5C5B7103" w14:textId="56410A8F" w:rsidR="00764016" w:rsidRPr="004E3455" w:rsidRDefault="00764016" w:rsidP="004E3455">
            <w:pPr>
              <w:pStyle w:val="TableParagraph"/>
              <w:widowControl/>
              <w:jc w:val="center"/>
              <w:rPr>
                <w:rFonts w:ascii="Times New Roman" w:eastAsia="Arial" w:hAnsi="Times New Roman" w:cs="Times New Roman"/>
                <w:noProof/>
                <w:szCs w:val="20"/>
              </w:rPr>
            </w:pPr>
          </w:p>
        </w:tc>
        <w:tc>
          <w:tcPr>
            <w:tcW w:w="0" w:type="auto"/>
            <w:tcBorders>
              <w:top w:val="single" w:sz="4" w:space="0" w:color="auto"/>
              <w:left w:val="single" w:sz="5" w:space="0" w:color="000000"/>
              <w:bottom w:val="single" w:sz="5" w:space="0" w:color="000000"/>
              <w:right w:val="single" w:sz="5" w:space="0" w:color="000000"/>
            </w:tcBorders>
            <w:vAlign w:val="center"/>
          </w:tcPr>
          <w:p w14:paraId="3B0B74C1" w14:textId="2FC26FAA" w:rsidR="003C61A2" w:rsidRPr="004E3455" w:rsidRDefault="001A4ADF"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10 %</w:t>
            </w:r>
          </w:p>
          <w:p w14:paraId="418AE2D6"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5,00 IU/l)</w:t>
            </w:r>
          </w:p>
        </w:tc>
        <w:tc>
          <w:tcPr>
            <w:tcW w:w="0" w:type="auto"/>
            <w:tcBorders>
              <w:top w:val="single" w:sz="4" w:space="0" w:color="auto"/>
              <w:left w:val="single" w:sz="5" w:space="0" w:color="000000"/>
              <w:bottom w:val="single" w:sz="5" w:space="0" w:color="000000"/>
              <w:right w:val="single" w:sz="5" w:space="0" w:color="000000"/>
            </w:tcBorders>
            <w:vAlign w:val="center"/>
          </w:tcPr>
          <w:p w14:paraId="082CF39A" w14:textId="671E5C09" w:rsidR="003C61A2" w:rsidRPr="004E3455" w:rsidRDefault="001A4ADF"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10 %</w:t>
            </w:r>
          </w:p>
          <w:p w14:paraId="3F8A15D7"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2,00 IU/l)</w:t>
            </w:r>
          </w:p>
        </w:tc>
      </w:tr>
      <w:tr w:rsidR="003C61A2" w:rsidRPr="004E3455" w14:paraId="6381D454" w14:textId="77777777" w:rsidTr="004E3455">
        <w:tc>
          <w:tcPr>
            <w:tcW w:w="0" w:type="auto"/>
            <w:tcBorders>
              <w:top w:val="single" w:sz="5" w:space="0" w:color="000000"/>
              <w:left w:val="single" w:sz="5" w:space="0" w:color="000000"/>
              <w:bottom w:val="single" w:sz="5" w:space="0" w:color="000000"/>
              <w:right w:val="single" w:sz="5" w:space="0" w:color="000000"/>
            </w:tcBorders>
            <w:vAlign w:val="center"/>
          </w:tcPr>
          <w:p w14:paraId="29AE8ED9" w14:textId="77777777" w:rsidR="003C61A2" w:rsidRPr="004E3455" w:rsidRDefault="003C61A2" w:rsidP="004E3455">
            <w:pPr>
              <w:pStyle w:val="TableParagraph"/>
              <w:widowControl/>
              <w:jc w:val="center"/>
              <w:rPr>
                <w:rFonts w:ascii="Times New Roman" w:eastAsia="Times New Roman" w:hAnsi="Times New Roman" w:cs="Times New Roman"/>
                <w:noProof/>
                <w:szCs w:val="20"/>
              </w:rPr>
            </w:pPr>
            <w:r w:rsidRPr="004E3455">
              <w:rPr>
                <w:rFonts w:ascii="Times New Roman" w:hAnsi="Times New Roman" w:cs="Times New Roman"/>
                <w:b/>
                <w:i/>
                <w:szCs w:val="20"/>
              </w:rPr>
              <w:t>s</w:t>
            </w:r>
            <w:r w:rsidRPr="004E3455">
              <w:rPr>
                <w:rFonts w:ascii="Times New Roman" w:hAnsi="Times New Roman" w:cs="Times New Roman"/>
                <w:b/>
                <w:i/>
                <w:szCs w:val="20"/>
                <w:vertAlign w:val="subscript"/>
              </w:rPr>
              <w:t>w</w:t>
            </w:r>
          </w:p>
          <w:p w14:paraId="5F8EAB56"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w:t>
            </w:r>
            <w:r w:rsidRPr="004E3455">
              <w:rPr>
                <w:rFonts w:ascii="Times New Roman" w:hAnsi="Times New Roman" w:cs="Times New Roman"/>
                <w:szCs w:val="20"/>
                <w:u w:val="single"/>
              </w:rPr>
              <w:t>Starpposma precizitāte</w:t>
            </w:r>
            <w:r w:rsidRPr="004E3455">
              <w:rPr>
                <w:rFonts w:ascii="Times New Roman" w:hAnsi="Times New Roman" w:cs="Times New Roman"/>
                <w:szCs w:val="20"/>
              </w:rPr>
              <w:t>)</w:t>
            </w:r>
          </w:p>
          <w:p w14:paraId="28AAE7C9" w14:textId="071F871A" w:rsidR="00AC4C86" w:rsidRPr="004E3455" w:rsidRDefault="00AC4C86" w:rsidP="004E3455">
            <w:pPr>
              <w:pStyle w:val="TableParagraph"/>
              <w:widowControl/>
              <w:jc w:val="center"/>
              <w:rPr>
                <w:rFonts w:ascii="Times New Roman" w:eastAsia="Arial" w:hAnsi="Times New Roman" w:cs="Times New Roman"/>
                <w:noProof/>
                <w:szCs w:val="20"/>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3F8AD267" w14:textId="36E274CA" w:rsidR="003C61A2" w:rsidRPr="004E3455" w:rsidRDefault="001A4ADF"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15 %</w:t>
            </w:r>
          </w:p>
          <w:p w14:paraId="4BB67EBA"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5,00 IU/l)</w:t>
            </w:r>
          </w:p>
        </w:tc>
        <w:tc>
          <w:tcPr>
            <w:tcW w:w="0" w:type="auto"/>
            <w:tcBorders>
              <w:top w:val="single" w:sz="5" w:space="0" w:color="000000"/>
              <w:left w:val="single" w:sz="5" w:space="0" w:color="000000"/>
              <w:bottom w:val="single" w:sz="5" w:space="0" w:color="000000"/>
              <w:right w:val="single" w:sz="5" w:space="0" w:color="000000"/>
            </w:tcBorders>
            <w:vAlign w:val="center"/>
          </w:tcPr>
          <w:p w14:paraId="33288016" w14:textId="58985793" w:rsidR="003C61A2" w:rsidRPr="004E3455" w:rsidRDefault="001A4ADF"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15 %</w:t>
            </w:r>
          </w:p>
          <w:p w14:paraId="33C68FA7"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2,00 IU/l)</w:t>
            </w:r>
          </w:p>
        </w:tc>
      </w:tr>
      <w:tr w:rsidR="003C61A2" w:rsidRPr="004E3455" w14:paraId="60881339" w14:textId="77777777" w:rsidTr="004E3455">
        <w:tc>
          <w:tcPr>
            <w:tcW w:w="0" w:type="auto"/>
            <w:tcBorders>
              <w:top w:val="single" w:sz="5" w:space="0" w:color="000000"/>
              <w:left w:val="single" w:sz="5" w:space="0" w:color="000000"/>
              <w:bottom w:val="single" w:sz="5" w:space="0" w:color="000000"/>
              <w:right w:val="single" w:sz="5" w:space="0" w:color="000000"/>
            </w:tcBorders>
            <w:vAlign w:val="center"/>
          </w:tcPr>
          <w:p w14:paraId="06BB927B" w14:textId="77777777" w:rsidR="003C61A2" w:rsidRPr="004E3455" w:rsidRDefault="003C61A2"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b/>
                <w:i/>
                <w:szCs w:val="20"/>
                <w:u w:val="thick" w:color="000000"/>
              </w:rPr>
              <w:t>LOQ</w:t>
            </w:r>
            <w:r w:rsidRPr="004E3455">
              <w:rPr>
                <w:rFonts w:ascii="Times New Roman" w:hAnsi="Times New Roman" w:cs="Times New Roman"/>
                <w:szCs w:val="20"/>
              </w:rPr>
              <w:t>*</w:t>
            </w:r>
          </w:p>
          <w:p w14:paraId="3A277059"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w:t>
            </w:r>
            <w:r w:rsidRPr="004E3455">
              <w:rPr>
                <w:rFonts w:ascii="Times New Roman" w:hAnsi="Times New Roman" w:cs="Times New Roman"/>
                <w:szCs w:val="20"/>
                <w:u w:val="single" w:color="000000"/>
              </w:rPr>
              <w:t>kvantifikācijas robeža</w:t>
            </w:r>
            <w:r w:rsidRPr="004E3455">
              <w:rPr>
                <w:rFonts w:ascii="Times New Roman" w:hAnsi="Times New Roman" w:cs="Times New Roman"/>
                <w:szCs w:val="20"/>
              </w:rPr>
              <w:t>)</w:t>
            </w:r>
          </w:p>
          <w:p w14:paraId="64EF24BD" w14:textId="7F4FF999" w:rsidR="00AC4C86" w:rsidRPr="004E3455" w:rsidRDefault="00AC4C86" w:rsidP="004E3455">
            <w:pPr>
              <w:pStyle w:val="TableParagraph"/>
              <w:widowControl/>
              <w:jc w:val="center"/>
              <w:rPr>
                <w:rFonts w:ascii="Times New Roman" w:eastAsia="Arial" w:hAnsi="Times New Roman" w:cs="Times New Roman"/>
                <w:noProof/>
                <w:szCs w:val="20"/>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43948AE4" w14:textId="486139DD" w:rsidR="003C61A2" w:rsidRPr="004E3455" w:rsidRDefault="00643EBE"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3,00 IU/l)</w:t>
            </w:r>
          </w:p>
        </w:tc>
        <w:tc>
          <w:tcPr>
            <w:tcW w:w="0" w:type="auto"/>
            <w:tcBorders>
              <w:top w:val="single" w:sz="5" w:space="0" w:color="000000"/>
              <w:left w:val="single" w:sz="5" w:space="0" w:color="000000"/>
              <w:bottom w:val="single" w:sz="5" w:space="0" w:color="000000"/>
              <w:right w:val="single" w:sz="5" w:space="0" w:color="000000"/>
            </w:tcBorders>
            <w:vAlign w:val="center"/>
          </w:tcPr>
          <w:p w14:paraId="23C891A4" w14:textId="4FDE5E78" w:rsidR="003C61A2" w:rsidRPr="004E3455" w:rsidRDefault="00643EBE" w:rsidP="004E3455">
            <w:pPr>
              <w:pStyle w:val="TableParagraph"/>
              <w:widowControl/>
              <w:jc w:val="center"/>
              <w:rPr>
                <w:rFonts w:ascii="Times New Roman" w:eastAsia="Arial" w:hAnsi="Times New Roman" w:cs="Times New Roman"/>
                <w:noProof/>
                <w:szCs w:val="20"/>
              </w:rPr>
            </w:pPr>
            <w:r w:rsidRPr="004E3455">
              <w:rPr>
                <w:rFonts w:ascii="Times New Roman" w:hAnsi="Times New Roman" w:cs="Times New Roman"/>
                <w:szCs w:val="20"/>
              </w:rPr>
              <w:t>≤ 0,50 IU/l)</w:t>
            </w:r>
          </w:p>
        </w:tc>
      </w:tr>
      <w:tr w:rsidR="003C61A2" w:rsidRPr="004E3455" w14:paraId="73AF155B" w14:textId="77777777" w:rsidTr="004E3455">
        <w:tc>
          <w:tcPr>
            <w:tcW w:w="0" w:type="auto"/>
            <w:tcBorders>
              <w:top w:val="single" w:sz="5" w:space="0" w:color="000000"/>
              <w:left w:val="single" w:sz="5" w:space="0" w:color="000000"/>
              <w:bottom w:val="single" w:sz="5" w:space="0" w:color="000000"/>
              <w:right w:val="single" w:sz="5" w:space="0" w:color="000000"/>
            </w:tcBorders>
            <w:vAlign w:val="center"/>
          </w:tcPr>
          <w:p w14:paraId="11AB928F" w14:textId="77777777" w:rsidR="00BC0529"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b/>
                <w:i/>
                <w:szCs w:val="20"/>
              </w:rPr>
              <w:t>u</w:t>
            </w:r>
            <w:r w:rsidRPr="004E3455">
              <w:rPr>
                <w:rFonts w:ascii="Times New Roman" w:hAnsi="Times New Roman" w:cs="Times New Roman"/>
                <w:b/>
                <w:i/>
                <w:szCs w:val="20"/>
                <w:vertAlign w:val="subscript"/>
              </w:rPr>
              <w:t>c_Max </w:t>
            </w:r>
            <w:r w:rsidRPr="004E3455">
              <w:rPr>
                <w:rFonts w:ascii="Times New Roman" w:hAnsi="Times New Roman" w:cs="Times New Roman"/>
                <w:szCs w:val="20"/>
              </w:rPr>
              <w:t>(%)</w:t>
            </w:r>
          </w:p>
          <w:p w14:paraId="2B6F5FE7" w14:textId="084FADB1"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(maksimālā kombinētā standarta nenoteiktība)</w:t>
            </w:r>
          </w:p>
          <w:p w14:paraId="0E9F9463" w14:textId="160DD349" w:rsidR="00AC4C86" w:rsidRPr="004E3455" w:rsidRDefault="00AC4C86" w:rsidP="004E3455">
            <w:pPr>
              <w:pStyle w:val="TableParagraph"/>
              <w:widowControl/>
              <w:jc w:val="center"/>
              <w:rPr>
                <w:rFonts w:ascii="Times New Roman" w:hAnsi="Times New Roman" w:cs="Times New Roman"/>
                <w:noProof/>
                <w:szCs w:val="20"/>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40A229A1"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20 %</w:t>
            </w:r>
          </w:p>
          <w:p w14:paraId="2823E70C"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5,00 IU/l)</w:t>
            </w:r>
          </w:p>
        </w:tc>
        <w:tc>
          <w:tcPr>
            <w:tcW w:w="0" w:type="auto"/>
            <w:tcBorders>
              <w:top w:val="single" w:sz="5" w:space="0" w:color="000000"/>
              <w:left w:val="single" w:sz="5" w:space="0" w:color="000000"/>
              <w:bottom w:val="single" w:sz="5" w:space="0" w:color="000000"/>
              <w:right w:val="single" w:sz="5" w:space="0" w:color="000000"/>
            </w:tcBorders>
            <w:vAlign w:val="center"/>
          </w:tcPr>
          <w:p w14:paraId="77E08490"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20 %</w:t>
            </w:r>
          </w:p>
          <w:p w14:paraId="7B4A7D1F" w14:textId="77777777" w:rsidR="003C61A2" w:rsidRPr="004E3455" w:rsidRDefault="003C61A2" w:rsidP="004E3455">
            <w:pPr>
              <w:pStyle w:val="TableParagraph"/>
              <w:widowControl/>
              <w:jc w:val="center"/>
              <w:rPr>
                <w:rFonts w:ascii="Times New Roman" w:hAnsi="Times New Roman" w:cs="Times New Roman"/>
                <w:noProof/>
                <w:szCs w:val="20"/>
              </w:rPr>
            </w:pPr>
            <w:r w:rsidRPr="004E3455">
              <w:rPr>
                <w:rFonts w:ascii="Times New Roman" w:hAnsi="Times New Roman" w:cs="Times New Roman"/>
                <w:szCs w:val="20"/>
              </w:rPr>
              <w:t>(pie 2,00 IU/l)</w:t>
            </w:r>
          </w:p>
        </w:tc>
      </w:tr>
    </w:tbl>
    <w:p w14:paraId="1ED33115" w14:textId="09BF29F0" w:rsidR="003C61A2" w:rsidRPr="004E3455" w:rsidRDefault="003C61A2" w:rsidP="004E3455">
      <w:pPr>
        <w:widowControl/>
        <w:jc w:val="both"/>
        <w:rPr>
          <w:rFonts w:ascii="Times New Roman" w:hAnsi="Times New Roman" w:cs="Times New Roman"/>
          <w:i/>
          <w:noProof/>
          <w:sz w:val="24"/>
          <w:szCs w:val="24"/>
        </w:rPr>
      </w:pPr>
      <w:r w:rsidRPr="004E3455">
        <w:rPr>
          <w:rFonts w:ascii="Times New Roman" w:hAnsi="Times New Roman" w:cs="Times New Roman"/>
          <w:sz w:val="24"/>
        </w:rPr>
        <w:t xml:space="preserve">* </w:t>
      </w:r>
      <w:r w:rsidRPr="004E3455">
        <w:rPr>
          <w:rFonts w:ascii="Times New Roman" w:hAnsi="Times New Roman" w:cs="Times New Roman"/>
          <w:b/>
          <w:i/>
          <w:sz w:val="24"/>
          <w:u w:val="thick" w:color="000000"/>
        </w:rPr>
        <w:t>LOQ</w:t>
      </w:r>
      <w:r w:rsidRPr="004E3455">
        <w:rPr>
          <w:rFonts w:ascii="Times New Roman" w:hAnsi="Times New Roman" w:cs="Times New Roman"/>
          <w:sz w:val="24"/>
        </w:rPr>
        <w:t xml:space="preserve"> ir definēta kā zemākā </w:t>
      </w:r>
      <w:r w:rsidRPr="004E3455">
        <w:rPr>
          <w:rFonts w:ascii="Times New Roman" w:hAnsi="Times New Roman" w:cs="Times New Roman"/>
          <w:i/>
          <w:iCs/>
          <w:sz w:val="24"/>
        </w:rPr>
        <w:t>hCG</w:t>
      </w:r>
      <w:r w:rsidRPr="004E3455">
        <w:rPr>
          <w:rFonts w:ascii="Times New Roman" w:hAnsi="Times New Roman" w:cs="Times New Roman"/>
          <w:sz w:val="24"/>
        </w:rPr>
        <w:t xml:space="preserve"> koncentrācija urīnā, kas atbilst noteiktajam </w:t>
      </w:r>
      <w:r w:rsidRPr="004E3455">
        <w:rPr>
          <w:rFonts w:ascii="Times New Roman" w:hAnsi="Times New Roman" w:cs="Times New Roman"/>
          <w:i/>
          <w:sz w:val="24"/>
        </w:rPr>
        <w:t>u</w:t>
      </w:r>
      <w:r w:rsidRPr="004E3455">
        <w:rPr>
          <w:rFonts w:ascii="Times New Roman" w:hAnsi="Times New Roman" w:cs="Times New Roman"/>
          <w:i/>
          <w:sz w:val="24"/>
          <w:vertAlign w:val="subscript"/>
        </w:rPr>
        <w:t>c_Max</w:t>
      </w:r>
      <w:r w:rsidRPr="004E3455">
        <w:rPr>
          <w:rFonts w:ascii="Times New Roman" w:hAnsi="Times New Roman" w:cs="Times New Roman"/>
          <w:sz w:val="24"/>
        </w:rPr>
        <w:t xml:space="preserve"> kritērijam.</w:t>
      </w:r>
    </w:p>
    <w:p w14:paraId="41C3E87A" w14:textId="77777777" w:rsidR="00B732C5" w:rsidRPr="004E3455" w:rsidRDefault="00B732C5" w:rsidP="004E3455">
      <w:pPr>
        <w:widowControl/>
        <w:jc w:val="both"/>
        <w:rPr>
          <w:rFonts w:ascii="Times New Roman" w:eastAsia="Arial" w:hAnsi="Times New Roman" w:cs="Times New Roman"/>
          <w:noProof/>
          <w:sz w:val="24"/>
          <w:szCs w:val="24"/>
        </w:rPr>
      </w:pPr>
    </w:p>
    <w:p w14:paraId="270EB132" w14:textId="46AF3573" w:rsidR="003C61A2" w:rsidRPr="004E3455" w:rsidRDefault="00B732C5" w:rsidP="004E3455">
      <w:pPr>
        <w:pStyle w:val="BodyText"/>
        <w:rPr>
          <w:rFonts w:cs="Times New Roman"/>
          <w:noProof/>
          <w:szCs w:val="24"/>
        </w:rPr>
      </w:pPr>
      <w:r w:rsidRPr="004E3455">
        <w:rPr>
          <w:rFonts w:cs="Times New Roman"/>
        </w:rPr>
        <w:t xml:space="preserve">• Ja </w:t>
      </w:r>
      <w:r w:rsidRPr="004E3455">
        <w:rPr>
          <w:rFonts w:cs="Times New Roman"/>
          <w:u w:val="single" w:color="000000"/>
        </w:rPr>
        <w:t>laboratorija</w:t>
      </w:r>
      <w:r w:rsidRPr="004E3455">
        <w:rPr>
          <w:rFonts w:cs="Times New Roman"/>
        </w:rPr>
        <w:t xml:space="preserve"> izmanto </w:t>
      </w:r>
      <w:r w:rsidRPr="004E3455">
        <w:rPr>
          <w:rFonts w:cs="Times New Roman"/>
          <w:i/>
          <w:iCs/>
          <w:u w:val="single" w:color="000000"/>
        </w:rPr>
        <w:t>ITP</w:t>
      </w:r>
      <w:r w:rsidRPr="004E3455">
        <w:rPr>
          <w:rFonts w:cs="Times New Roman"/>
        </w:rPr>
        <w:t xml:space="preserve"> imūntestu, kas ir specifisks kopējā </w:t>
      </w:r>
      <w:r w:rsidRPr="004E3455">
        <w:rPr>
          <w:rFonts w:cs="Times New Roman"/>
          <w:i/>
          <w:iCs/>
        </w:rPr>
        <w:t>hCG</w:t>
      </w:r>
      <w:r w:rsidRPr="004E3455">
        <w:rPr>
          <w:rFonts w:cs="Times New Roman"/>
        </w:rPr>
        <w:t xml:space="preserve"> līmeņa noteikšanai, tad </w:t>
      </w:r>
      <w:r w:rsidRPr="004E3455">
        <w:rPr>
          <w:rFonts w:cs="Times New Roman"/>
          <w:i/>
          <w:iCs/>
          <w:u w:val="single" w:color="000000"/>
        </w:rPr>
        <w:t>CP</w:t>
      </w:r>
      <w:r w:rsidRPr="004E3455">
        <w:rPr>
          <w:rFonts w:cs="Times New Roman"/>
        </w:rPr>
        <w:t xml:space="preserve"> vajadzībām izmanto </w:t>
      </w:r>
      <w:r w:rsidRPr="004E3455">
        <w:rPr>
          <w:rFonts w:cs="Times New Roman"/>
          <w:i/>
          <w:iCs/>
        </w:rPr>
        <w:t>hCG</w:t>
      </w:r>
      <w:r w:rsidRPr="004E3455">
        <w:rPr>
          <w:rFonts w:cs="Times New Roman"/>
        </w:rPr>
        <w:t xml:space="preserve"> α/β heterodimēra noteikšanai specifisku pārbaudes metodi (</w:t>
      </w:r>
      <w:r w:rsidRPr="004E3455">
        <w:rPr>
          <w:rFonts w:cs="Times New Roman"/>
          <w:i/>
          <w:iCs/>
        </w:rPr>
        <w:t>LC-MS/MS</w:t>
      </w:r>
      <w:r w:rsidRPr="004E3455">
        <w:rPr>
          <w:rFonts w:cs="Times New Roman"/>
        </w:rPr>
        <w:t xml:space="preserve"> vai imūntestu).</w:t>
      </w:r>
    </w:p>
    <w:p w14:paraId="4AA258DD" w14:textId="77777777" w:rsidR="003C782E" w:rsidRPr="004E3455" w:rsidRDefault="003C782E" w:rsidP="004E3455">
      <w:pPr>
        <w:pStyle w:val="BodyText"/>
        <w:rPr>
          <w:rFonts w:cs="Times New Roman"/>
          <w:noProof/>
        </w:rPr>
      </w:pPr>
    </w:p>
    <w:p w14:paraId="79B09856" w14:textId="016AEE78" w:rsidR="003C61A2" w:rsidRPr="004E3455" w:rsidRDefault="00B732C5" w:rsidP="004E3455">
      <w:pPr>
        <w:pStyle w:val="BodyText"/>
        <w:rPr>
          <w:rFonts w:cs="Times New Roman"/>
          <w:noProof/>
          <w:szCs w:val="24"/>
        </w:rPr>
      </w:pPr>
      <w:r w:rsidRPr="004E3455">
        <w:rPr>
          <w:rFonts w:cs="Times New Roman"/>
        </w:rPr>
        <w:t xml:space="preserve">• Ja </w:t>
      </w:r>
      <w:r w:rsidRPr="004E3455">
        <w:rPr>
          <w:rFonts w:cs="Times New Roman"/>
          <w:u w:val="single" w:color="000000"/>
        </w:rPr>
        <w:t>laboratorija</w:t>
      </w:r>
      <w:r w:rsidRPr="004E3455">
        <w:rPr>
          <w:rFonts w:cs="Times New Roman"/>
        </w:rPr>
        <w:t xml:space="preserve"> izmanto </w:t>
      </w:r>
      <w:r w:rsidRPr="004E3455">
        <w:rPr>
          <w:rFonts w:cs="Times New Roman"/>
          <w:i/>
          <w:iCs/>
        </w:rPr>
        <w:t>hCG</w:t>
      </w:r>
      <w:r w:rsidRPr="004E3455">
        <w:rPr>
          <w:rFonts w:cs="Times New Roman"/>
        </w:rPr>
        <w:t xml:space="preserve"> α/β heterodimēra noteikšanai specifiskus imūntestus gan </w:t>
      </w:r>
      <w:r w:rsidRPr="004E3455">
        <w:rPr>
          <w:rFonts w:cs="Times New Roman"/>
          <w:i/>
          <w:iCs/>
          <w:u w:val="single" w:color="000000"/>
        </w:rPr>
        <w:t>ITP</w:t>
      </w:r>
      <w:r w:rsidRPr="004E3455">
        <w:rPr>
          <w:rFonts w:cs="Times New Roman"/>
        </w:rPr>
        <w:t xml:space="preserve">, gan </w:t>
      </w:r>
      <w:r w:rsidRPr="004E3455">
        <w:rPr>
          <w:rFonts w:cs="Times New Roman"/>
          <w:i/>
          <w:iCs/>
          <w:u w:val="single" w:color="000000"/>
        </w:rPr>
        <w:t>CP</w:t>
      </w:r>
      <w:r w:rsidRPr="004E3455">
        <w:rPr>
          <w:rFonts w:cs="Times New Roman"/>
        </w:rPr>
        <w:t xml:space="preserve"> vajadzībām, tad apstiprinošais imūntests atšķiras no </w:t>
      </w:r>
      <w:r w:rsidRPr="004E3455">
        <w:rPr>
          <w:rFonts w:cs="Times New Roman"/>
          <w:i/>
          <w:iCs/>
          <w:u w:val="single" w:color="000000"/>
        </w:rPr>
        <w:t>ITP</w:t>
      </w:r>
      <w:r w:rsidRPr="004E3455">
        <w:rPr>
          <w:rFonts w:cs="Times New Roman"/>
        </w:rPr>
        <w:t xml:space="preserve"> nolūkos piemērotā imūntesta.</w:t>
      </w:r>
    </w:p>
    <w:p w14:paraId="7E4B2A76" w14:textId="77777777" w:rsidR="003C782E" w:rsidRPr="004E3455" w:rsidRDefault="003C782E" w:rsidP="004E3455">
      <w:pPr>
        <w:pStyle w:val="BodyText"/>
        <w:rPr>
          <w:rFonts w:cs="Times New Roman"/>
          <w:noProof/>
        </w:rPr>
      </w:pPr>
    </w:p>
    <w:p w14:paraId="1F9AF037" w14:textId="7486B845" w:rsidR="003C61A2" w:rsidRPr="004E3455" w:rsidRDefault="00B732C5" w:rsidP="004E3455">
      <w:pPr>
        <w:pStyle w:val="BodyText"/>
        <w:rPr>
          <w:rFonts w:cs="Times New Roman"/>
          <w:noProof/>
          <w:szCs w:val="24"/>
        </w:rPr>
      </w:pPr>
      <w:r w:rsidRPr="004E3455">
        <w:rPr>
          <w:rFonts w:cs="Times New Roman"/>
        </w:rPr>
        <w:t xml:space="preserve">• Ja </w:t>
      </w:r>
      <w:r w:rsidRPr="004E3455">
        <w:rPr>
          <w:rFonts w:cs="Times New Roman"/>
          <w:u w:val="single" w:color="000000"/>
        </w:rPr>
        <w:t>laboratorija</w:t>
      </w:r>
      <w:r w:rsidRPr="004E3455">
        <w:rPr>
          <w:rFonts w:cs="Times New Roman"/>
        </w:rPr>
        <w:t xml:space="preserve"> izmanto uz </w:t>
      </w:r>
      <w:r w:rsidRPr="004E3455">
        <w:rPr>
          <w:rFonts w:cs="Times New Roman"/>
          <w:i/>
          <w:iCs/>
        </w:rPr>
        <w:t>LC-MS/MS</w:t>
      </w:r>
      <w:r w:rsidRPr="004E3455">
        <w:rPr>
          <w:rFonts w:cs="Times New Roman"/>
        </w:rPr>
        <w:t xml:space="preserve"> balstītu pārbaudes metodi, kas ir specifiska </w:t>
      </w:r>
      <w:r w:rsidRPr="004E3455">
        <w:rPr>
          <w:rFonts w:cs="Times New Roman"/>
          <w:i/>
          <w:iCs/>
        </w:rPr>
        <w:t>hCG</w:t>
      </w:r>
      <w:r w:rsidRPr="004E3455">
        <w:rPr>
          <w:rFonts w:cs="Times New Roman"/>
        </w:rPr>
        <w:t xml:space="preserve"> α/β heterodimēra noteikšanai </w:t>
      </w:r>
      <w:r w:rsidRPr="004E3455">
        <w:rPr>
          <w:rFonts w:cs="Times New Roman"/>
          <w:i/>
          <w:iCs/>
          <w:u w:val="single" w:color="000000"/>
        </w:rPr>
        <w:t>ITP</w:t>
      </w:r>
      <w:r w:rsidRPr="004E3455">
        <w:rPr>
          <w:rFonts w:cs="Times New Roman"/>
        </w:rPr>
        <w:t xml:space="preserve"> vajadzībām, tad </w:t>
      </w:r>
      <w:r w:rsidRPr="004E3455">
        <w:rPr>
          <w:rFonts w:cs="Times New Roman"/>
          <w:i/>
          <w:iCs/>
          <w:u w:val="single" w:color="000000"/>
        </w:rPr>
        <w:t>CP</w:t>
      </w:r>
      <w:r w:rsidRPr="004E3455">
        <w:rPr>
          <w:rFonts w:cs="Times New Roman"/>
        </w:rPr>
        <w:t xml:space="preserve"> vajadzībām var izmantot to pašu pārbaudes metodi vai imūntestu, kas balstīts uz </w:t>
      </w:r>
      <w:r w:rsidRPr="004E3455">
        <w:rPr>
          <w:rFonts w:cs="Times New Roman"/>
          <w:i/>
          <w:iCs/>
        </w:rPr>
        <w:t>LC-MS/MS</w:t>
      </w:r>
      <w:r w:rsidRPr="004E3455">
        <w:rPr>
          <w:rFonts w:cs="Times New Roman"/>
        </w:rPr>
        <w:t xml:space="preserve"> (kas arī ir specifisks </w:t>
      </w:r>
      <w:r w:rsidRPr="004E3455">
        <w:rPr>
          <w:rFonts w:cs="Times New Roman"/>
          <w:i/>
          <w:iCs/>
        </w:rPr>
        <w:t>hCG</w:t>
      </w:r>
      <w:r w:rsidRPr="004E3455">
        <w:rPr>
          <w:rFonts w:cs="Times New Roman"/>
        </w:rPr>
        <w:t xml:space="preserve"> α/β heterodimēra noteikšanai).</w:t>
      </w:r>
    </w:p>
    <w:p w14:paraId="6F583110" w14:textId="77777777" w:rsidR="003F5403" w:rsidRPr="004E3455" w:rsidRDefault="003F5403" w:rsidP="004E3455">
      <w:pPr>
        <w:pStyle w:val="BodyText"/>
        <w:rPr>
          <w:rFonts w:cs="Times New Roman"/>
          <w:noProof/>
        </w:rPr>
      </w:pPr>
    </w:p>
    <w:p w14:paraId="15FE2A3A" w14:textId="3E4D6023" w:rsidR="003C61A2" w:rsidRPr="004E3455" w:rsidRDefault="00B732C5"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Laboratorijas</w:t>
      </w:r>
      <w:r w:rsidRPr="004E3455">
        <w:rPr>
          <w:rFonts w:cs="Times New Roman"/>
        </w:rPr>
        <w:t xml:space="preserve">, kurām nav analītisko spēju veikt </w:t>
      </w:r>
      <w:r w:rsidRPr="004E3455">
        <w:rPr>
          <w:rFonts w:cs="Times New Roman"/>
          <w:i/>
          <w:iCs/>
          <w:u w:val="single" w:color="000000"/>
        </w:rPr>
        <w:t>CP</w:t>
      </w:r>
      <w:r w:rsidRPr="004E3455">
        <w:rPr>
          <w:rFonts w:cs="Times New Roman"/>
        </w:rPr>
        <w:t xml:space="preserve"> attiecībā uz </w:t>
      </w:r>
      <w:r w:rsidRPr="004E3455">
        <w:rPr>
          <w:rFonts w:cs="Times New Roman"/>
          <w:i/>
          <w:iCs/>
        </w:rPr>
        <w:t>hCG</w:t>
      </w:r>
      <w:r w:rsidRPr="004E3455">
        <w:rPr>
          <w:rFonts w:cs="Times New Roman"/>
        </w:rPr>
        <w:t xml:space="preserve">, izmantojot (otru) imūntestu, kas paredzēts </w:t>
      </w:r>
      <w:r w:rsidRPr="004E3455">
        <w:rPr>
          <w:rFonts w:cs="Times New Roman"/>
          <w:i/>
          <w:iCs/>
        </w:rPr>
        <w:t>hCG</w:t>
      </w:r>
      <w:r w:rsidRPr="004E3455">
        <w:rPr>
          <w:rFonts w:cs="Times New Roman"/>
        </w:rPr>
        <w:t xml:space="preserve"> α/β heterodimēra noteikšanai, pēc apspriešanās ar atbildīgo </w:t>
      </w:r>
      <w:r w:rsidRPr="004E3455">
        <w:rPr>
          <w:rFonts w:cs="Times New Roman"/>
          <w:i/>
          <w:u w:val="single" w:color="000000"/>
        </w:rPr>
        <w:t>pārbaudes iestādi</w:t>
      </w:r>
      <w:r w:rsidRPr="004E3455">
        <w:rPr>
          <w:rFonts w:cs="Times New Roman"/>
        </w:rPr>
        <w:t xml:space="preserve"> nosūta </w:t>
      </w:r>
      <w:r w:rsidRPr="004E3455">
        <w:rPr>
          <w:rFonts w:cs="Times New Roman"/>
          <w:i/>
        </w:rPr>
        <w:t>paraugu</w:t>
      </w:r>
      <w:r w:rsidRPr="004E3455">
        <w:rPr>
          <w:rFonts w:cs="Times New Roman"/>
        </w:rPr>
        <w:t xml:space="preserve"> analīzei uz citu </w:t>
      </w:r>
      <w:r w:rsidRPr="004E3455">
        <w:rPr>
          <w:rFonts w:cs="Times New Roman"/>
          <w:u w:val="single" w:color="000000"/>
        </w:rPr>
        <w:t>laboratoriju</w:t>
      </w:r>
      <w:r w:rsidRPr="004E3455">
        <w:rPr>
          <w:rFonts w:cs="Times New Roman"/>
        </w:rPr>
        <w:t>, kurai ir analītiskās spējas.</w:t>
      </w:r>
    </w:p>
    <w:p w14:paraId="396DF183" w14:textId="77777777" w:rsidR="00CC12A3" w:rsidRPr="004E3455" w:rsidRDefault="00CC12A3" w:rsidP="004E3455">
      <w:pPr>
        <w:pStyle w:val="BodyText"/>
        <w:rPr>
          <w:rFonts w:cs="Times New Roman"/>
          <w:noProof/>
        </w:rPr>
      </w:pPr>
    </w:p>
    <w:p w14:paraId="52A6A80B" w14:textId="1049ED67" w:rsidR="003C61A2" w:rsidRPr="004E3455" w:rsidRDefault="003C61A2" w:rsidP="00957992">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Otrais imūntests, kas specifisks hCG α/β heterodimēra noteikšanai, </w:t>
      </w:r>
      <w:r w:rsidRPr="004E3455">
        <w:rPr>
          <w:rFonts w:ascii="Times New Roman" w:hAnsi="Times New Roman" w:cs="Times New Roman"/>
          <w:i/>
          <w:iCs/>
          <w:sz w:val="24"/>
          <w:u w:val="single" w:color="000000"/>
        </w:rPr>
        <w:t>CP</w:t>
      </w:r>
      <w:r w:rsidRPr="004E3455">
        <w:rPr>
          <w:rFonts w:ascii="Times New Roman" w:hAnsi="Times New Roman" w:cs="Times New Roman"/>
          <w:i/>
          <w:sz w:val="24"/>
        </w:rPr>
        <w:t xml:space="preserve"> vajadzībām ir nepieciešams tikai tad, ja </w:t>
      </w:r>
      <w:r w:rsidRPr="004E3455">
        <w:rPr>
          <w:rFonts w:ascii="Times New Roman" w:hAnsi="Times New Roman" w:cs="Times New Roman"/>
          <w:i/>
          <w:sz w:val="24"/>
          <w:u w:val="single" w:color="000000"/>
        </w:rPr>
        <w:t>laboratorija ITP</w:t>
      </w:r>
      <w:r w:rsidRPr="004E3455">
        <w:rPr>
          <w:rFonts w:ascii="Times New Roman" w:hAnsi="Times New Roman" w:cs="Times New Roman"/>
          <w:i/>
          <w:sz w:val="24"/>
        </w:rPr>
        <w:t xml:space="preserve"> vajadzībām izmanto hCG α/β heterodimēra noteikšanai specifisku imūntestu un tai nav validētas LC-MS/MS pārbaudes metodes.]</w:t>
      </w:r>
    </w:p>
    <w:p w14:paraId="7F253872" w14:textId="77777777" w:rsidR="00CC12A3" w:rsidRPr="004E3455" w:rsidRDefault="00CC12A3" w:rsidP="00957992">
      <w:pPr>
        <w:widowControl/>
        <w:ind w:left="284"/>
        <w:jc w:val="both"/>
        <w:rPr>
          <w:rFonts w:ascii="Times New Roman" w:eastAsia="Arial" w:hAnsi="Times New Roman" w:cs="Times New Roman"/>
          <w:noProof/>
          <w:sz w:val="24"/>
          <w:szCs w:val="24"/>
        </w:rPr>
      </w:pPr>
    </w:p>
    <w:p w14:paraId="5E8997F1" w14:textId="77777777" w:rsidR="003C61A2" w:rsidRPr="004E3455" w:rsidRDefault="003C61A2" w:rsidP="00957992">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[Piezīme. Papildu norādījumus skat. WADA vadlīnijās “Conducting and Reporting Subcontracted Analysis and </w:t>
      </w:r>
      <w:r w:rsidRPr="004E3455">
        <w:rPr>
          <w:rFonts w:ascii="Times New Roman" w:hAnsi="Times New Roman" w:cs="Times New Roman"/>
          <w:i/>
          <w:sz w:val="24"/>
          <w:u w:val="single" w:color="000000"/>
        </w:rPr>
        <w:t>Further Analysis</w:t>
      </w:r>
      <w:r w:rsidRPr="004E3455">
        <w:rPr>
          <w:rFonts w:ascii="Times New Roman" w:hAnsi="Times New Roman" w:cs="Times New Roman"/>
          <w:i/>
          <w:sz w:val="24"/>
        </w:rPr>
        <w:t xml:space="preserve"> for Doping Control” [</w:t>
      </w:r>
      <w:r w:rsidRPr="004E3455">
        <w:rPr>
          <w:rFonts w:ascii="Times New Roman" w:hAnsi="Times New Roman" w:cs="Times New Roman"/>
          <w:i/>
          <w:iCs/>
          <w:sz w:val="24"/>
        </w:rPr>
        <w:t>Dopinga kontroles</w:t>
      </w:r>
      <w:r w:rsidRPr="004E3455">
        <w:rPr>
          <w:rFonts w:ascii="Times New Roman" w:hAnsi="Times New Roman" w:cs="Times New Roman"/>
          <w:i/>
          <w:sz w:val="24"/>
        </w:rPr>
        <w:t xml:space="preserve"> analīzes, ko uzticēts veikt saskaņā ar apakšlīgumu, un </w:t>
      </w:r>
      <w:r w:rsidRPr="004E3455">
        <w:rPr>
          <w:rFonts w:ascii="Times New Roman" w:hAnsi="Times New Roman" w:cs="Times New Roman"/>
          <w:i/>
          <w:sz w:val="24"/>
          <w:u w:val="single"/>
        </w:rPr>
        <w:t>papildu analīžu</w:t>
      </w:r>
      <w:r w:rsidRPr="004E3455">
        <w:rPr>
          <w:rFonts w:ascii="Times New Roman" w:hAnsi="Times New Roman" w:cs="Times New Roman"/>
          <w:i/>
          <w:sz w:val="24"/>
        </w:rPr>
        <w:t xml:space="preserve"> veikšana un ziņošana par tām].]</w:t>
      </w:r>
    </w:p>
    <w:p w14:paraId="570208FF" w14:textId="5C1715CB" w:rsidR="003C61A2" w:rsidRPr="004E3455" w:rsidRDefault="003C61A2" w:rsidP="004E3455">
      <w:pPr>
        <w:widowControl/>
        <w:jc w:val="both"/>
        <w:rPr>
          <w:rFonts w:ascii="Times New Roman" w:eastAsia="Arial" w:hAnsi="Times New Roman" w:cs="Times New Roman"/>
          <w:noProof/>
          <w:sz w:val="24"/>
          <w:szCs w:val="24"/>
        </w:rPr>
      </w:pPr>
    </w:p>
    <w:p w14:paraId="71163453" w14:textId="589A5338" w:rsidR="003C61A2" w:rsidRPr="004E3455" w:rsidRDefault="00A92D82"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izmanto gan negatīvu urīna </w:t>
      </w:r>
      <w:r w:rsidRPr="004E3455">
        <w:rPr>
          <w:rFonts w:cs="Times New Roman"/>
          <w:i/>
          <w:iCs/>
        </w:rPr>
        <w:t>QC</w:t>
      </w:r>
      <w:r w:rsidRPr="004E3455">
        <w:rPr>
          <w:rFonts w:cs="Times New Roman"/>
        </w:rPr>
        <w:t xml:space="preserve"> paraugu (kur koncentrācija ir zemāka par (&lt;) attiecīgo </w:t>
      </w:r>
      <w:r w:rsidRPr="004E3455">
        <w:rPr>
          <w:rFonts w:cs="Times New Roman"/>
          <w:i/>
        </w:rPr>
        <w:t>DL</w:t>
      </w:r>
      <w:r w:rsidRPr="004E3455">
        <w:rPr>
          <w:rFonts w:cs="Times New Roman"/>
        </w:rPr>
        <w:t xml:space="preserve">), gan pozitīvu urīna </w:t>
      </w:r>
      <w:r w:rsidRPr="004E3455">
        <w:rPr>
          <w:rFonts w:cs="Times New Roman"/>
          <w:i/>
          <w:iCs/>
        </w:rPr>
        <w:t>QC</w:t>
      </w:r>
      <w:r w:rsidRPr="004E3455">
        <w:rPr>
          <w:rFonts w:cs="Times New Roman"/>
        </w:rPr>
        <w:t xml:space="preserve"> paraugu (6–15 IU/l). </w:t>
      </w:r>
      <w:r w:rsidRPr="004E3455">
        <w:rPr>
          <w:rFonts w:cs="Times New Roman"/>
          <w:i/>
          <w:iCs/>
        </w:rPr>
        <w:t>QCP</w:t>
      </w:r>
      <w:r w:rsidRPr="004E3455">
        <w:rPr>
          <w:rFonts w:cs="Times New Roman"/>
        </w:rPr>
        <w:t xml:space="preserve"> veikto </w:t>
      </w:r>
      <w:r w:rsidRPr="004E3455">
        <w:rPr>
          <w:rFonts w:cs="Times New Roman"/>
          <w:i/>
          <w:iCs/>
        </w:rPr>
        <w:t>hCG</w:t>
      </w:r>
      <w:r w:rsidRPr="004E3455">
        <w:rPr>
          <w:rFonts w:cs="Times New Roman"/>
        </w:rPr>
        <w:t xml:space="preserve"> mērījumu konsekvenci uzrauga, izmantojot </w:t>
      </w:r>
      <w:r w:rsidRPr="004E3455">
        <w:rPr>
          <w:rFonts w:cs="Times New Roman"/>
          <w:i/>
          <w:iCs/>
        </w:rPr>
        <w:t>QC</w:t>
      </w:r>
      <w:r w:rsidRPr="004E3455">
        <w:rPr>
          <w:rFonts w:cs="Times New Roman"/>
        </w:rPr>
        <w:t xml:space="preserve"> tabulas.</w:t>
      </w:r>
    </w:p>
    <w:p w14:paraId="337763E9" w14:textId="77777777" w:rsidR="00ED4E80" w:rsidRPr="004E3455" w:rsidRDefault="00ED4E80" w:rsidP="004E3455">
      <w:pPr>
        <w:pStyle w:val="BodyText"/>
        <w:rPr>
          <w:rFonts w:cs="Times New Roman"/>
          <w:noProof/>
        </w:rPr>
      </w:pPr>
    </w:p>
    <w:p w14:paraId="7BE2449E" w14:textId="175D93FB" w:rsidR="003C61A2" w:rsidRPr="004E3455" w:rsidRDefault="00A92D82" w:rsidP="004E3455">
      <w:pPr>
        <w:pStyle w:val="BodyText"/>
        <w:rPr>
          <w:rFonts w:cs="Times New Roman"/>
          <w:noProof/>
          <w:szCs w:val="24"/>
        </w:rPr>
      </w:pPr>
      <w:r w:rsidRPr="004E3455">
        <w:rPr>
          <w:rFonts w:cs="Times New Roman"/>
        </w:rPr>
        <w:t xml:space="preserve">• </w:t>
      </w:r>
      <w:r w:rsidRPr="004E3455">
        <w:rPr>
          <w:rFonts w:cs="Times New Roman"/>
          <w:i/>
        </w:rPr>
        <w:t>Paraugiem</w:t>
      </w:r>
      <w:r w:rsidRPr="004E3455">
        <w:rPr>
          <w:rFonts w:cs="Times New Roman"/>
        </w:rPr>
        <w:t xml:space="preserve">, kuriem tiek iegūts </w:t>
      </w:r>
      <w:r w:rsidRPr="004E3455">
        <w:rPr>
          <w:rFonts w:cs="Times New Roman"/>
          <w:i/>
          <w:u w:val="single"/>
        </w:rPr>
        <w:t>PAAF</w:t>
      </w:r>
      <w:r w:rsidRPr="004E3455">
        <w:rPr>
          <w:rFonts w:cs="Times New Roman"/>
        </w:rPr>
        <w:t xml:space="preserve"> attiecībā uz </w:t>
      </w:r>
      <w:r w:rsidRPr="004E3455">
        <w:rPr>
          <w:rFonts w:cs="Times New Roman"/>
          <w:i/>
        </w:rPr>
        <w:t>hCG</w:t>
      </w:r>
      <w:r w:rsidRPr="004E3455">
        <w:rPr>
          <w:rFonts w:cs="Times New Roman"/>
        </w:rPr>
        <w:t xml:space="preserve"> (attiecīgi α/β heterodimērs vai “kopējais” </w:t>
      </w:r>
      <w:r w:rsidRPr="004E3455">
        <w:rPr>
          <w:rFonts w:cs="Times New Roman"/>
          <w:i/>
        </w:rPr>
        <w:t>hCG</w:t>
      </w:r>
      <w:r w:rsidRPr="004E3455">
        <w:rPr>
          <w:rFonts w:cs="Times New Roman"/>
        </w:rPr>
        <w:t xml:space="preserve">), iespējami drīz jāveic </w:t>
      </w:r>
      <w:r w:rsidRPr="004E3455">
        <w:rPr>
          <w:rFonts w:cs="Times New Roman"/>
          <w:i/>
          <w:iCs/>
        </w:rPr>
        <w:t>parauga</w:t>
      </w:r>
      <w:r w:rsidRPr="004E3455">
        <w:rPr>
          <w:rFonts w:cs="Times New Roman"/>
        </w:rPr>
        <w:t xml:space="preserve"> “A” daļas </w:t>
      </w:r>
      <w:r w:rsidRPr="004E3455">
        <w:rPr>
          <w:rFonts w:cs="Times New Roman"/>
          <w:i/>
          <w:iCs/>
          <w:u w:val="single" w:color="000000"/>
        </w:rPr>
        <w:t>CP</w:t>
      </w:r>
      <w:r w:rsidRPr="004E3455">
        <w:rPr>
          <w:rFonts w:cs="Times New Roman"/>
        </w:rPr>
        <w:t xml:space="preserve">. Alternatīva iespēja – </w:t>
      </w:r>
      <w:r w:rsidRPr="004E3455">
        <w:rPr>
          <w:rFonts w:cs="Times New Roman"/>
          <w:i/>
          <w:iCs/>
        </w:rPr>
        <w:t xml:space="preserve">parauga </w:t>
      </w:r>
      <w:r w:rsidRPr="004E3455">
        <w:rPr>
          <w:rFonts w:cs="Times New Roman"/>
        </w:rPr>
        <w:t xml:space="preserve">“A” daļas un </w:t>
      </w:r>
      <w:r w:rsidRPr="004E3455">
        <w:rPr>
          <w:rFonts w:cs="Times New Roman"/>
          <w:i/>
          <w:iCs/>
        </w:rPr>
        <w:t>parauga</w:t>
      </w:r>
      <w:r w:rsidRPr="004E3455">
        <w:rPr>
          <w:rFonts w:cs="Times New Roman"/>
        </w:rPr>
        <w:t xml:space="preserve"> “B” daļas atlikumu līdz analīzei ir nekavējoties jāsasaldē (–70 °C vai zemākā temperatūrā).</w:t>
      </w:r>
    </w:p>
    <w:p w14:paraId="7C02CF7C" w14:textId="77777777" w:rsidR="00ED4E80" w:rsidRPr="004E3455" w:rsidRDefault="00ED4E80" w:rsidP="004E3455">
      <w:pPr>
        <w:pStyle w:val="BodyText"/>
        <w:rPr>
          <w:rFonts w:cs="Times New Roman"/>
          <w:noProof/>
        </w:rPr>
      </w:pPr>
    </w:p>
    <w:p w14:paraId="326F53F7" w14:textId="37B68B21" w:rsidR="003C61A2" w:rsidRPr="004E3455" w:rsidRDefault="00A92D82" w:rsidP="004E3455">
      <w:pPr>
        <w:pStyle w:val="BodyText"/>
        <w:rPr>
          <w:rFonts w:cs="Times New Roman"/>
          <w:noProof/>
          <w:szCs w:val="24"/>
        </w:rPr>
      </w:pPr>
      <w:r w:rsidRPr="004E3455">
        <w:rPr>
          <w:rFonts w:cs="Times New Roman"/>
        </w:rPr>
        <w:t xml:space="preserve">• Lai veiktu </w:t>
      </w:r>
      <w:r w:rsidRPr="004E3455">
        <w:rPr>
          <w:rFonts w:cs="Times New Roman"/>
          <w:i/>
          <w:iCs/>
        </w:rPr>
        <w:t>parauga</w:t>
      </w:r>
      <w:r w:rsidRPr="004E3455">
        <w:rPr>
          <w:rFonts w:cs="Times New Roman"/>
        </w:rPr>
        <w:t xml:space="preserve"> “A” un “B” daļas </w:t>
      </w:r>
      <w:r w:rsidRPr="004E3455">
        <w:rPr>
          <w:rFonts w:cs="Times New Roman"/>
          <w:i/>
          <w:iCs/>
          <w:u w:val="single" w:color="000000"/>
        </w:rPr>
        <w:t>CP</w:t>
      </w:r>
      <w:r w:rsidRPr="004E3455">
        <w:rPr>
          <w:rFonts w:cs="Times New Roman"/>
        </w:rPr>
        <w:t>, mērījumus veic trīs (3) </w:t>
      </w:r>
      <w:r w:rsidRPr="004E3455">
        <w:rPr>
          <w:rFonts w:cs="Times New Roman"/>
          <w:i/>
        </w:rPr>
        <w:t>paraugu</w:t>
      </w:r>
      <w:r w:rsidRPr="004E3455">
        <w:rPr>
          <w:rFonts w:cs="Times New Roman"/>
        </w:rPr>
        <w:t xml:space="preserve"> </w:t>
      </w:r>
      <w:r w:rsidRPr="004E3455">
        <w:rPr>
          <w:rFonts w:cs="Times New Roman"/>
          <w:u w:val="single" w:color="000000"/>
        </w:rPr>
        <w:t>alikvotām</w:t>
      </w:r>
      <w:r w:rsidRPr="004E3455">
        <w:rPr>
          <w:rFonts w:cs="Times New Roman"/>
        </w:rPr>
        <w:t xml:space="preserve">, izņemot gadījumus, kad </w:t>
      </w:r>
      <w:r w:rsidRPr="004E3455">
        <w:rPr>
          <w:rFonts w:cs="Times New Roman"/>
          <w:i/>
        </w:rPr>
        <w:t>parauga</w:t>
      </w:r>
      <w:r w:rsidRPr="004E3455">
        <w:rPr>
          <w:rFonts w:cs="Times New Roman"/>
        </w:rPr>
        <w:t xml:space="preserve"> tilpums nav pietiekams; šādos gadījumos var izmantot zemāku maksimālo atkārtojumu skaitu.</w:t>
      </w:r>
    </w:p>
    <w:p w14:paraId="73F4FA3A" w14:textId="77777777" w:rsidR="003C61A2" w:rsidRPr="004E3455" w:rsidRDefault="003C61A2" w:rsidP="004E3455">
      <w:pPr>
        <w:widowControl/>
        <w:jc w:val="both"/>
        <w:rPr>
          <w:rFonts w:ascii="Times New Roman" w:eastAsia="Arial" w:hAnsi="Times New Roman" w:cs="Times New Roman"/>
          <w:noProof/>
          <w:sz w:val="24"/>
          <w:szCs w:val="24"/>
        </w:rPr>
      </w:pPr>
    </w:p>
    <w:p w14:paraId="18307890" w14:textId="3F4D8628" w:rsidR="003C61A2" w:rsidRPr="004E3455" w:rsidRDefault="000A42DE" w:rsidP="004E3455">
      <w:pPr>
        <w:widowControl/>
        <w:tabs>
          <w:tab w:val="left" w:pos="1122"/>
        </w:tabs>
        <w:jc w:val="both"/>
        <w:rPr>
          <w:rFonts w:ascii="Times New Roman" w:hAnsi="Times New Roman" w:cs="Times New Roman"/>
          <w:noProof/>
          <w:sz w:val="28"/>
          <w:szCs w:val="28"/>
        </w:rPr>
      </w:pPr>
      <w:r w:rsidRPr="004E3455">
        <w:rPr>
          <w:rFonts w:ascii="Times New Roman" w:hAnsi="Times New Roman" w:cs="Times New Roman"/>
          <w:sz w:val="28"/>
        </w:rPr>
        <w:t xml:space="preserve">3.2. LH </w:t>
      </w:r>
      <w:r w:rsidRPr="004E3455">
        <w:rPr>
          <w:rFonts w:ascii="Times New Roman" w:hAnsi="Times New Roman" w:cs="Times New Roman"/>
          <w:sz w:val="28"/>
          <w:u w:val="single" w:color="000000"/>
        </w:rPr>
        <w:t xml:space="preserve">analītiskā </w:t>
      </w:r>
      <w:r w:rsidRPr="004E3455">
        <w:rPr>
          <w:rFonts w:ascii="Times New Roman" w:hAnsi="Times New Roman" w:cs="Times New Roman"/>
          <w:i/>
          <w:sz w:val="28"/>
          <w:u w:val="single" w:color="000000"/>
        </w:rPr>
        <w:t>pārbaude</w:t>
      </w:r>
    </w:p>
    <w:p w14:paraId="168DD899" w14:textId="77777777" w:rsidR="003C61A2" w:rsidRPr="004E3455" w:rsidRDefault="003C61A2" w:rsidP="004E3455">
      <w:pPr>
        <w:widowControl/>
        <w:jc w:val="both"/>
        <w:rPr>
          <w:rFonts w:ascii="Times New Roman" w:eastAsia="Arial" w:hAnsi="Times New Roman" w:cs="Times New Roman"/>
          <w:noProof/>
          <w:sz w:val="24"/>
          <w:szCs w:val="24"/>
        </w:rPr>
      </w:pPr>
    </w:p>
    <w:p w14:paraId="5ABB2678" w14:textId="49539CD1" w:rsidR="003C61A2" w:rsidRPr="004E3455" w:rsidRDefault="000A42DE" w:rsidP="004E3455">
      <w:pPr>
        <w:widowControl/>
        <w:tabs>
          <w:tab w:val="left" w:pos="1280"/>
        </w:tabs>
        <w:jc w:val="both"/>
        <w:rPr>
          <w:rFonts w:ascii="Times New Roman" w:hAnsi="Times New Roman" w:cs="Times New Roman"/>
          <w:noProof/>
          <w:sz w:val="24"/>
          <w:szCs w:val="24"/>
        </w:rPr>
      </w:pPr>
      <w:r w:rsidRPr="004E3455">
        <w:rPr>
          <w:rFonts w:ascii="Times New Roman" w:hAnsi="Times New Roman" w:cs="Times New Roman"/>
          <w:sz w:val="24"/>
        </w:rPr>
        <w:t xml:space="preserve">3.2.1. </w:t>
      </w:r>
      <w:r w:rsidRPr="004E3455">
        <w:rPr>
          <w:rFonts w:ascii="Times New Roman" w:hAnsi="Times New Roman" w:cs="Times New Roman"/>
          <w:sz w:val="24"/>
          <w:u w:val="single" w:color="000000"/>
        </w:rPr>
        <w:t xml:space="preserve">Sākotnējās </w:t>
      </w:r>
      <w:r w:rsidRPr="004E3455">
        <w:rPr>
          <w:rFonts w:ascii="Times New Roman" w:hAnsi="Times New Roman" w:cs="Times New Roman"/>
          <w:i/>
          <w:iCs/>
          <w:sz w:val="24"/>
          <w:u w:val="single" w:color="000000"/>
        </w:rPr>
        <w:t>pārbaudes</w:t>
      </w:r>
      <w:r w:rsidRPr="004E3455">
        <w:rPr>
          <w:rFonts w:ascii="Times New Roman" w:hAnsi="Times New Roman" w:cs="Times New Roman"/>
          <w:sz w:val="24"/>
          <w:u w:val="single" w:color="000000"/>
        </w:rPr>
        <w:t xml:space="preserve"> procedūra</w:t>
      </w:r>
      <w:r w:rsidRPr="004E3455">
        <w:rPr>
          <w:rFonts w:ascii="Times New Roman" w:hAnsi="Times New Roman" w:cs="Times New Roman"/>
          <w:sz w:val="24"/>
        </w:rPr>
        <w:t xml:space="preserve"> (</w:t>
      </w:r>
      <w:r w:rsidRPr="004E3455">
        <w:rPr>
          <w:rFonts w:ascii="Times New Roman" w:hAnsi="Times New Roman" w:cs="Times New Roman"/>
          <w:i/>
          <w:iCs/>
          <w:sz w:val="24"/>
          <w:u w:val="single" w:color="000000"/>
        </w:rPr>
        <w:t>ITP</w:t>
      </w:r>
      <w:r w:rsidRPr="004E3455">
        <w:rPr>
          <w:rFonts w:ascii="Times New Roman" w:hAnsi="Times New Roman" w:cs="Times New Roman"/>
          <w:sz w:val="24"/>
        </w:rPr>
        <w:t>)</w:t>
      </w:r>
    </w:p>
    <w:p w14:paraId="27B3D991" w14:textId="77777777" w:rsidR="000A42DE" w:rsidRPr="004E3455" w:rsidRDefault="000A42DE" w:rsidP="004E3455">
      <w:pPr>
        <w:widowControl/>
        <w:tabs>
          <w:tab w:val="left" w:pos="1280"/>
        </w:tabs>
        <w:jc w:val="both"/>
        <w:rPr>
          <w:rFonts w:ascii="Times New Roman" w:eastAsia="Arial" w:hAnsi="Times New Roman" w:cs="Times New Roman"/>
          <w:noProof/>
          <w:sz w:val="24"/>
          <w:szCs w:val="24"/>
        </w:rPr>
      </w:pPr>
    </w:p>
    <w:p w14:paraId="58BFAEF8" w14:textId="0FB1CD26" w:rsidR="003C61A2" w:rsidRPr="004E3455" w:rsidRDefault="00A92D82"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Laboratorijām</w:t>
      </w:r>
      <w:r w:rsidRPr="004E3455">
        <w:rPr>
          <w:rFonts w:cs="Times New Roman"/>
        </w:rPr>
        <w:t xml:space="preserve"> </w:t>
      </w:r>
      <w:r w:rsidRPr="004E3455">
        <w:rPr>
          <w:rFonts w:cs="Times New Roman"/>
          <w:i/>
          <w:iCs/>
          <w:u w:val="single" w:color="000000"/>
        </w:rPr>
        <w:t>ITP</w:t>
      </w:r>
      <w:r w:rsidRPr="004E3455">
        <w:rPr>
          <w:rFonts w:cs="Times New Roman"/>
        </w:rPr>
        <w:t xml:space="preserve"> laikā jānosaka kopējā LH koncentrācija urīnā, izmantojot </w:t>
      </w:r>
      <w:r w:rsidRPr="004E3455">
        <w:rPr>
          <w:rFonts w:cs="Times New Roman"/>
          <w:b/>
        </w:rPr>
        <w:t>kopējā LH līmeņa</w:t>
      </w:r>
      <w:r w:rsidRPr="004E3455">
        <w:rPr>
          <w:rFonts w:cs="Times New Roman"/>
        </w:rPr>
        <w:t xml:space="preserve"> pārbaudes metodi, ar ko ir iespējams izmērīt kopējo LH imūnreaktivitātes saturu, t. i., konstatēt α/β heterodimēru, kā arī brīvo β ķēdi un β pamatfragmentu (piemēram, </w:t>
      </w:r>
      <w:r w:rsidRPr="004E3455">
        <w:rPr>
          <w:rFonts w:cs="Times New Roman"/>
          <w:i/>
          <w:iCs/>
        </w:rPr>
        <w:t>Siemens Immulite</w:t>
      </w:r>
      <w:r w:rsidRPr="004E3455">
        <w:rPr>
          <w:rFonts w:cs="Times New Roman"/>
        </w:rPr>
        <w:t xml:space="preserve">, </w:t>
      </w:r>
      <w:r w:rsidRPr="004E3455">
        <w:rPr>
          <w:rFonts w:cs="Times New Roman"/>
          <w:i/>
          <w:iCs/>
        </w:rPr>
        <w:t>DELFIA</w:t>
      </w:r>
      <w:r w:rsidRPr="004E3455">
        <w:rPr>
          <w:rFonts w:cs="Times New Roman"/>
        </w:rPr>
        <w:t>).</w:t>
      </w:r>
    </w:p>
    <w:p w14:paraId="3317D750" w14:textId="77777777" w:rsidR="00A94F48" w:rsidRPr="004E3455" w:rsidRDefault="00A94F48" w:rsidP="004E3455">
      <w:pPr>
        <w:pStyle w:val="BodyText"/>
        <w:rPr>
          <w:rFonts w:cs="Times New Roman"/>
          <w:noProof/>
        </w:rPr>
      </w:pPr>
    </w:p>
    <w:p w14:paraId="4CA85714" w14:textId="7A8C2015" w:rsidR="003C61A2" w:rsidRPr="004E3455" w:rsidRDefault="00A92D82"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izmanto vismaz vienu </w:t>
      </w:r>
      <w:r w:rsidRPr="004E3455">
        <w:rPr>
          <w:rFonts w:cs="Times New Roman"/>
          <w:i/>
          <w:iCs/>
        </w:rPr>
        <w:t>QC</w:t>
      </w:r>
      <w:r w:rsidRPr="004E3455">
        <w:rPr>
          <w:rFonts w:cs="Times New Roman"/>
        </w:rPr>
        <w:t xml:space="preserve"> paraugu, kurā kopējā LH koncentrācija ir robežās no 5 līdz 50 IU/l. </w:t>
      </w:r>
      <w:r w:rsidRPr="004E3455">
        <w:rPr>
          <w:rFonts w:cs="Times New Roman"/>
          <w:i/>
          <w:iCs/>
        </w:rPr>
        <w:t>QC</w:t>
      </w:r>
      <w:r w:rsidRPr="004E3455">
        <w:rPr>
          <w:rFonts w:cs="Times New Roman"/>
        </w:rPr>
        <w:t xml:space="preserve"> veikto LH kopējā daudzuma mērījumu konsekvenci uzrauga, izmantojot </w:t>
      </w:r>
      <w:r w:rsidRPr="004E3455">
        <w:rPr>
          <w:rFonts w:cs="Times New Roman"/>
          <w:i/>
          <w:iCs/>
        </w:rPr>
        <w:t>QC</w:t>
      </w:r>
      <w:r w:rsidRPr="004E3455">
        <w:rPr>
          <w:rFonts w:cs="Times New Roman"/>
        </w:rPr>
        <w:t xml:space="preserve"> tabulas.</w:t>
      </w:r>
    </w:p>
    <w:p w14:paraId="6CB7B08D" w14:textId="77777777" w:rsidR="00CB6525" w:rsidRPr="004E3455" w:rsidRDefault="00CB6525" w:rsidP="004E3455">
      <w:pPr>
        <w:pStyle w:val="BodyText"/>
        <w:rPr>
          <w:rFonts w:cs="Times New Roman"/>
          <w:noProof/>
        </w:rPr>
      </w:pPr>
    </w:p>
    <w:p w14:paraId="71218530" w14:textId="4BFD891C" w:rsidR="003C61A2" w:rsidRPr="004E3455" w:rsidRDefault="003C61A2" w:rsidP="00957992">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[Piezīme. </w:t>
      </w:r>
      <w:r w:rsidRPr="004E3455">
        <w:rPr>
          <w:rFonts w:ascii="Times New Roman" w:hAnsi="Times New Roman" w:cs="Times New Roman"/>
          <w:i/>
          <w:iCs/>
          <w:sz w:val="24"/>
        </w:rPr>
        <w:t>QC</w:t>
      </w:r>
      <w:r w:rsidRPr="004E3455">
        <w:rPr>
          <w:rFonts w:ascii="Times New Roman" w:hAnsi="Times New Roman" w:cs="Times New Roman"/>
          <w:i/>
          <w:sz w:val="24"/>
        </w:rPr>
        <w:t xml:space="preserve"> paraugus ieteicams sagatavot analīzes matricē (urīnā), sadalīt alikvotās un līdz lietošanai uzglabāt sasaldētus (–70 °C vai zemākā temperatūrā).]</w:t>
      </w:r>
    </w:p>
    <w:p w14:paraId="2DFF63FF" w14:textId="77777777" w:rsidR="003C61A2" w:rsidRPr="004E3455" w:rsidRDefault="003C61A2" w:rsidP="004E3455">
      <w:pPr>
        <w:widowControl/>
        <w:jc w:val="both"/>
        <w:rPr>
          <w:rFonts w:ascii="Times New Roman" w:eastAsia="Arial" w:hAnsi="Times New Roman" w:cs="Times New Roman"/>
          <w:i/>
          <w:noProof/>
          <w:sz w:val="24"/>
          <w:szCs w:val="24"/>
        </w:rPr>
      </w:pPr>
    </w:p>
    <w:p w14:paraId="39ABF44B" w14:textId="5D869E3B" w:rsidR="003C61A2" w:rsidRPr="004E3455" w:rsidRDefault="00CB6525" w:rsidP="004E3455">
      <w:pPr>
        <w:pStyle w:val="BodyText"/>
        <w:rPr>
          <w:rFonts w:cs="Times New Roman"/>
          <w:noProof/>
          <w:szCs w:val="24"/>
        </w:rPr>
      </w:pPr>
      <w:r w:rsidRPr="004E3455">
        <w:rPr>
          <w:rFonts w:cs="Times New Roman"/>
          <w:u w:color="000000"/>
        </w:rPr>
        <w:t xml:space="preserve">3.2.2. </w:t>
      </w:r>
      <w:r w:rsidRPr="00957992">
        <w:rPr>
          <w:rFonts w:cs="Times New Roman"/>
          <w:u w:val="single" w:color="000000"/>
        </w:rPr>
        <w:t>Apstiprināšanas procedūra</w:t>
      </w:r>
      <w:r w:rsidRPr="00957992">
        <w:rPr>
          <w:rFonts w:cs="Times New Roman"/>
          <w:u w:val="single"/>
        </w:rPr>
        <w:t xml:space="preserve"> (</w:t>
      </w:r>
      <w:r w:rsidRPr="00957992">
        <w:rPr>
          <w:rFonts w:cs="Times New Roman"/>
          <w:i/>
          <w:iCs/>
          <w:u w:val="single" w:color="000000"/>
        </w:rPr>
        <w:t>CP</w:t>
      </w:r>
      <w:r w:rsidRPr="00957992">
        <w:rPr>
          <w:rFonts w:cs="Times New Roman"/>
          <w:u w:val="single"/>
        </w:rPr>
        <w:t>)</w:t>
      </w:r>
    </w:p>
    <w:p w14:paraId="794992F9" w14:textId="77777777" w:rsidR="00CB6525" w:rsidRPr="004E3455" w:rsidRDefault="00CB6525" w:rsidP="004E3455">
      <w:pPr>
        <w:pStyle w:val="BodyText"/>
        <w:rPr>
          <w:rFonts w:cs="Times New Roman"/>
          <w:noProof/>
        </w:rPr>
      </w:pPr>
    </w:p>
    <w:p w14:paraId="14C7C61A" w14:textId="7E38D325" w:rsidR="003C61A2" w:rsidRPr="004E3455" w:rsidRDefault="00CB6525" w:rsidP="004E3455">
      <w:pPr>
        <w:pStyle w:val="BodyText"/>
        <w:rPr>
          <w:rFonts w:cs="Times New Roman"/>
          <w:noProof/>
          <w:szCs w:val="24"/>
        </w:rPr>
      </w:pPr>
      <w:r w:rsidRPr="004E3455">
        <w:rPr>
          <w:rFonts w:cs="Times New Roman"/>
        </w:rPr>
        <w:t xml:space="preserve">• Ja </w:t>
      </w:r>
      <w:r w:rsidRPr="004E3455">
        <w:rPr>
          <w:rFonts w:cs="Times New Roman"/>
          <w:i/>
          <w:iCs/>
          <w:u w:val="single" w:color="000000"/>
        </w:rPr>
        <w:t>ITP</w:t>
      </w:r>
      <w:r w:rsidRPr="004E3455">
        <w:rPr>
          <w:rFonts w:cs="Times New Roman"/>
        </w:rPr>
        <w:t xml:space="preserve"> laikā attiecībā uz LH ir iegūts </w:t>
      </w:r>
      <w:r w:rsidRPr="004E3455">
        <w:rPr>
          <w:rFonts w:cs="Times New Roman"/>
          <w:i/>
          <w:iCs/>
          <w:u w:val="single" w:color="000000"/>
        </w:rPr>
        <w:t>PAAF</w:t>
      </w:r>
      <w:r w:rsidRPr="004E3455">
        <w:rPr>
          <w:rFonts w:cs="Times New Roman"/>
        </w:rPr>
        <w:t xml:space="preserve">, </w:t>
      </w:r>
      <w:r w:rsidRPr="004E3455">
        <w:rPr>
          <w:rFonts w:cs="Times New Roman"/>
          <w:u w:val="single" w:color="000000"/>
        </w:rPr>
        <w:t>laboratorija</w:t>
      </w:r>
      <w:r w:rsidRPr="004E3455">
        <w:rPr>
          <w:rFonts w:cs="Times New Roman"/>
        </w:rPr>
        <w:t xml:space="preserve"> pārbauda, vai </w:t>
      </w:r>
      <w:r w:rsidRPr="004E3455">
        <w:rPr>
          <w:rFonts w:cs="Times New Roman"/>
          <w:i/>
        </w:rPr>
        <w:t>paraugā</w:t>
      </w:r>
      <w:r w:rsidRPr="004E3455">
        <w:rPr>
          <w:rFonts w:cs="Times New Roman"/>
        </w:rPr>
        <w:t xml:space="preserve"> nav gonadotropīna atbrīvotājfaktoru (piemēram, buserelīna, gonadorelīna vai leiprorelīna), antiestrogēnisku vielu un aromatāzes inhibitoru klātbūtnes.</w:t>
      </w:r>
    </w:p>
    <w:p w14:paraId="65094047" w14:textId="77777777" w:rsidR="00C8703F" w:rsidRPr="004E3455" w:rsidRDefault="00C8703F" w:rsidP="004E3455">
      <w:pPr>
        <w:pStyle w:val="BodyText"/>
        <w:rPr>
          <w:rFonts w:cs="Times New Roman"/>
          <w:noProof/>
        </w:rPr>
      </w:pPr>
    </w:p>
    <w:p w14:paraId="4F0799A7" w14:textId="2EF3DE27" w:rsidR="003C61A2" w:rsidRPr="004E3455" w:rsidRDefault="003C61A2" w:rsidP="00957992">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Antiestrogēnisku vielu un aromatāzes inhibitoru analīzei ir jābūt iekļautai </w:t>
      </w:r>
      <w:r w:rsidRPr="004E3455">
        <w:rPr>
          <w:rFonts w:ascii="Times New Roman" w:hAnsi="Times New Roman" w:cs="Times New Roman"/>
          <w:i/>
          <w:sz w:val="24"/>
          <w:u w:val="single" w:color="000000"/>
        </w:rPr>
        <w:t>laboratorijas</w:t>
      </w:r>
      <w:r w:rsidRPr="004E3455">
        <w:rPr>
          <w:rFonts w:ascii="Times New Roman" w:hAnsi="Times New Roman" w:cs="Times New Roman"/>
          <w:i/>
          <w:sz w:val="24"/>
        </w:rPr>
        <w:t xml:space="preserve"> standarta </w:t>
      </w:r>
      <w:r w:rsidRPr="004E3455">
        <w:rPr>
          <w:rFonts w:ascii="Times New Roman" w:hAnsi="Times New Roman" w:cs="Times New Roman"/>
          <w:i/>
          <w:sz w:val="24"/>
          <w:u w:val="single" w:color="000000"/>
        </w:rPr>
        <w:t>analītiskās pārbaudes</w:t>
      </w:r>
      <w:r w:rsidRPr="004E3455">
        <w:rPr>
          <w:rFonts w:ascii="Times New Roman" w:hAnsi="Times New Roman" w:cs="Times New Roman"/>
          <w:i/>
          <w:sz w:val="24"/>
        </w:rPr>
        <w:t xml:space="preserve"> izvēlnē. Gonadotropīna atbrīvotājfaktoru analīze var nebūt iekļauta </w:t>
      </w:r>
      <w:r w:rsidRPr="004E3455">
        <w:rPr>
          <w:rFonts w:ascii="Times New Roman" w:hAnsi="Times New Roman" w:cs="Times New Roman"/>
          <w:i/>
          <w:sz w:val="24"/>
          <w:u w:val="single" w:color="000000"/>
        </w:rPr>
        <w:t>laboratorijas</w:t>
      </w:r>
      <w:r w:rsidRPr="004E3455">
        <w:rPr>
          <w:rFonts w:ascii="Times New Roman" w:hAnsi="Times New Roman" w:cs="Times New Roman"/>
          <w:i/>
          <w:sz w:val="24"/>
        </w:rPr>
        <w:t xml:space="preserve"> kārtējās </w:t>
      </w:r>
      <w:r w:rsidRPr="004E3455">
        <w:rPr>
          <w:rFonts w:ascii="Times New Roman" w:hAnsi="Times New Roman" w:cs="Times New Roman"/>
          <w:i/>
          <w:sz w:val="24"/>
          <w:u w:val="single" w:color="000000"/>
        </w:rPr>
        <w:t>analītiskās pārbaudes</w:t>
      </w:r>
      <w:r w:rsidRPr="004E3455">
        <w:rPr>
          <w:rFonts w:ascii="Times New Roman" w:hAnsi="Times New Roman" w:cs="Times New Roman"/>
          <w:i/>
          <w:sz w:val="24"/>
        </w:rPr>
        <w:t xml:space="preserve"> izvēlnē, tomēr </w:t>
      </w:r>
      <w:r w:rsidRPr="004E3455">
        <w:rPr>
          <w:rFonts w:ascii="Times New Roman" w:hAnsi="Times New Roman" w:cs="Times New Roman"/>
          <w:i/>
          <w:sz w:val="24"/>
          <w:u w:val="single" w:color="000000"/>
        </w:rPr>
        <w:t>laboratorijām</w:t>
      </w:r>
      <w:r w:rsidRPr="004E3455">
        <w:rPr>
          <w:rFonts w:ascii="Times New Roman" w:hAnsi="Times New Roman" w:cs="Times New Roman"/>
          <w:i/>
          <w:sz w:val="24"/>
        </w:rPr>
        <w:t xml:space="preserve"> jābūt tādai analītiskajai spējai, lai šo metodi piemērotu paaugstinātu LH atražu </w:t>
      </w:r>
      <w:r w:rsidRPr="004E3455">
        <w:rPr>
          <w:rFonts w:ascii="Times New Roman" w:hAnsi="Times New Roman" w:cs="Times New Roman"/>
          <w:i/>
          <w:iCs/>
          <w:sz w:val="24"/>
          <w:u w:val="single" w:color="000000"/>
        </w:rPr>
        <w:t>CP</w:t>
      </w:r>
      <w:r w:rsidRPr="004E3455">
        <w:rPr>
          <w:rFonts w:ascii="Times New Roman" w:hAnsi="Times New Roman" w:cs="Times New Roman"/>
          <w:i/>
          <w:sz w:val="24"/>
        </w:rPr>
        <w:t>.]</w:t>
      </w:r>
    </w:p>
    <w:p w14:paraId="5C9E4965" w14:textId="3F728F9E" w:rsidR="00C8703F" w:rsidRPr="004E3455" w:rsidRDefault="00C8703F" w:rsidP="004E3455">
      <w:pPr>
        <w:widowControl/>
        <w:jc w:val="both"/>
        <w:rPr>
          <w:rFonts w:ascii="Times New Roman" w:eastAsia="Arial" w:hAnsi="Times New Roman" w:cs="Times New Roman"/>
          <w:i/>
          <w:noProof/>
          <w:sz w:val="24"/>
          <w:szCs w:val="24"/>
        </w:rPr>
      </w:pPr>
    </w:p>
    <w:p w14:paraId="13BEF735" w14:textId="77777777" w:rsidR="003C61A2" w:rsidRPr="004E3455" w:rsidRDefault="003C61A2" w:rsidP="004E3455">
      <w:pPr>
        <w:pStyle w:val="Heading1"/>
        <w:widowControl/>
        <w:spacing w:before="0"/>
        <w:ind w:left="0"/>
        <w:jc w:val="both"/>
        <w:rPr>
          <w:rFonts w:ascii="Times New Roman" w:hAnsi="Times New Roman" w:cs="Times New Roman"/>
          <w:noProof/>
          <w:sz w:val="28"/>
          <w:szCs w:val="28"/>
        </w:rPr>
      </w:pPr>
      <w:bookmarkStart w:id="4" w:name="4.0__Interpretation_and_Reporting_of_Res"/>
      <w:bookmarkEnd w:id="4"/>
      <w:r w:rsidRPr="004E3455">
        <w:rPr>
          <w:rFonts w:ascii="Times New Roman" w:hAnsi="Times New Roman" w:cs="Times New Roman"/>
          <w:sz w:val="28"/>
        </w:rPr>
        <w:t>4.0. Rezultātu interpretācija un ziņošana</w:t>
      </w:r>
    </w:p>
    <w:p w14:paraId="201E6221" w14:textId="77777777" w:rsidR="003C61A2" w:rsidRPr="004E3455" w:rsidRDefault="003C61A2" w:rsidP="004E3455">
      <w:pPr>
        <w:widowControl/>
        <w:jc w:val="both"/>
        <w:rPr>
          <w:rFonts w:ascii="Times New Roman" w:eastAsia="Arial" w:hAnsi="Times New Roman" w:cs="Times New Roman"/>
          <w:b/>
          <w:bCs/>
          <w:noProof/>
          <w:sz w:val="24"/>
          <w:szCs w:val="24"/>
        </w:rPr>
      </w:pPr>
    </w:p>
    <w:p w14:paraId="48A75678" w14:textId="0D4E6D96" w:rsidR="003C61A2" w:rsidRPr="004E3455" w:rsidRDefault="00E917CB" w:rsidP="004E3455">
      <w:pPr>
        <w:pStyle w:val="Heading2"/>
        <w:widowControl/>
        <w:tabs>
          <w:tab w:val="left" w:pos="1055"/>
        </w:tabs>
        <w:ind w:left="0" w:firstLine="0"/>
        <w:jc w:val="both"/>
        <w:rPr>
          <w:rFonts w:ascii="Times New Roman" w:hAnsi="Times New Roman" w:cs="Times New Roman"/>
          <w:noProof/>
          <w:sz w:val="28"/>
          <w:szCs w:val="28"/>
        </w:rPr>
      </w:pPr>
      <w:r w:rsidRPr="004E3455">
        <w:rPr>
          <w:rFonts w:ascii="Times New Roman" w:hAnsi="Times New Roman" w:cs="Times New Roman"/>
          <w:sz w:val="28"/>
        </w:rPr>
        <w:t xml:space="preserve">4.1. </w:t>
      </w:r>
      <w:r w:rsidRPr="004E3455">
        <w:rPr>
          <w:rFonts w:ascii="Times New Roman" w:hAnsi="Times New Roman" w:cs="Times New Roman"/>
          <w:i/>
          <w:iCs/>
          <w:sz w:val="28"/>
        </w:rPr>
        <w:t>hCG</w:t>
      </w:r>
      <w:r w:rsidRPr="004E3455">
        <w:rPr>
          <w:rFonts w:ascii="Times New Roman" w:hAnsi="Times New Roman" w:cs="Times New Roman"/>
          <w:sz w:val="28"/>
        </w:rPr>
        <w:t xml:space="preserve"> rezultāti</w:t>
      </w:r>
    </w:p>
    <w:p w14:paraId="56AD0233" w14:textId="77777777" w:rsidR="003C61A2" w:rsidRPr="004E3455" w:rsidRDefault="003C61A2" w:rsidP="004E3455">
      <w:pPr>
        <w:widowControl/>
        <w:jc w:val="both"/>
        <w:rPr>
          <w:rFonts w:ascii="Times New Roman" w:eastAsia="Arial" w:hAnsi="Times New Roman" w:cs="Times New Roman"/>
          <w:noProof/>
          <w:sz w:val="24"/>
          <w:szCs w:val="24"/>
        </w:rPr>
      </w:pPr>
    </w:p>
    <w:p w14:paraId="463A38BE" w14:textId="3BC780FD" w:rsidR="003C61A2" w:rsidRPr="004E3455" w:rsidRDefault="00E917CB" w:rsidP="004E3455">
      <w:pPr>
        <w:pStyle w:val="BodyText"/>
        <w:rPr>
          <w:rFonts w:cs="Times New Roman"/>
          <w:noProof/>
          <w:szCs w:val="24"/>
        </w:rPr>
      </w:pPr>
      <w:r w:rsidRPr="004E3455">
        <w:rPr>
          <w:rFonts w:cs="Times New Roman"/>
          <w:u w:color="000000"/>
        </w:rPr>
        <w:t>4.1.1.</w:t>
      </w:r>
      <w:r w:rsidRPr="004E3455">
        <w:rPr>
          <w:rFonts w:cs="Times New Roman"/>
        </w:rPr>
        <w:t xml:space="preserve"> </w:t>
      </w:r>
      <w:r w:rsidRPr="004E3455">
        <w:rPr>
          <w:rFonts w:cs="Times New Roman"/>
          <w:i/>
          <w:iCs/>
          <w:u w:val="single" w:color="000000"/>
        </w:rPr>
        <w:t>ITP</w:t>
      </w:r>
      <w:r w:rsidRPr="004E3455">
        <w:rPr>
          <w:rFonts w:cs="Times New Roman"/>
        </w:rPr>
        <w:t xml:space="preserve"> rezultāti</w:t>
      </w:r>
    </w:p>
    <w:p w14:paraId="4FA7C9AF" w14:textId="77777777" w:rsidR="00E917CB" w:rsidRPr="004E3455" w:rsidRDefault="00E917CB" w:rsidP="004E3455">
      <w:pPr>
        <w:widowControl/>
        <w:tabs>
          <w:tab w:val="left" w:pos="1108"/>
        </w:tabs>
        <w:jc w:val="both"/>
        <w:rPr>
          <w:rFonts w:ascii="Times New Roman" w:hAnsi="Times New Roman" w:cs="Times New Roman"/>
          <w:noProof/>
          <w:sz w:val="24"/>
          <w:szCs w:val="24"/>
          <w:u w:val="single" w:color="000000"/>
        </w:rPr>
      </w:pPr>
    </w:p>
    <w:p w14:paraId="429F9F2C" w14:textId="1E6EA680" w:rsidR="003C61A2" w:rsidRPr="004E3455" w:rsidRDefault="00E917CB" w:rsidP="004E3455">
      <w:pPr>
        <w:widowControl/>
        <w:tabs>
          <w:tab w:val="left" w:pos="1108"/>
        </w:tabs>
        <w:jc w:val="both"/>
        <w:rPr>
          <w:rFonts w:ascii="Times New Roman" w:eastAsia="Arial" w:hAnsi="Times New Roman" w:cs="Times New Roman"/>
          <w:noProof/>
          <w:sz w:val="24"/>
          <w:szCs w:val="24"/>
        </w:rPr>
      </w:pPr>
      <w:r w:rsidRPr="004E3455">
        <w:rPr>
          <w:rFonts w:ascii="Times New Roman" w:hAnsi="Times New Roman" w:cs="Times New Roman"/>
          <w:sz w:val="24"/>
        </w:rPr>
        <w:t xml:space="preserve">i) </w:t>
      </w:r>
      <w:r w:rsidRPr="004E3455">
        <w:rPr>
          <w:rFonts w:ascii="Times New Roman" w:hAnsi="Times New Roman" w:cs="Times New Roman"/>
          <w:sz w:val="24"/>
          <w:u w:val="single" w:color="000000"/>
        </w:rPr>
        <w:t>Varbūtējs</w:t>
      </w:r>
      <w:r w:rsidRPr="004E3455">
        <w:rPr>
          <w:rFonts w:ascii="Times New Roman" w:hAnsi="Times New Roman" w:cs="Times New Roman"/>
          <w:i/>
          <w:iCs/>
          <w:sz w:val="24"/>
          <w:u w:val="single" w:color="000000"/>
        </w:rPr>
        <w:t xml:space="preserve"> nelabvēlīgs analīžu rezultāts</w:t>
      </w:r>
      <w:r w:rsidRPr="004E3455">
        <w:rPr>
          <w:rFonts w:ascii="Times New Roman" w:hAnsi="Times New Roman" w:cs="Times New Roman"/>
          <w:sz w:val="24"/>
        </w:rPr>
        <w:t xml:space="preserve"> (</w:t>
      </w:r>
      <w:r w:rsidRPr="004E3455">
        <w:rPr>
          <w:rFonts w:ascii="Times New Roman" w:hAnsi="Times New Roman" w:cs="Times New Roman"/>
          <w:i/>
          <w:sz w:val="24"/>
          <w:u w:val="single" w:color="000000"/>
        </w:rPr>
        <w:t>PAAF</w:t>
      </w:r>
      <w:r w:rsidRPr="004E3455">
        <w:rPr>
          <w:rFonts w:ascii="Times New Roman" w:hAnsi="Times New Roman" w:cs="Times New Roman"/>
          <w:sz w:val="24"/>
        </w:rPr>
        <w:t>)</w:t>
      </w:r>
    </w:p>
    <w:p w14:paraId="32780403" w14:textId="77777777" w:rsidR="00E917CB" w:rsidRPr="004E3455" w:rsidRDefault="00E917CB" w:rsidP="004E3455">
      <w:pPr>
        <w:pStyle w:val="BodyText"/>
        <w:rPr>
          <w:rFonts w:cs="Times New Roman"/>
          <w:noProof/>
        </w:rPr>
      </w:pPr>
    </w:p>
    <w:p w14:paraId="00AA4623" w14:textId="05A27257" w:rsidR="003C61A2" w:rsidRPr="004E3455" w:rsidRDefault="00E917CB" w:rsidP="004E3455">
      <w:pPr>
        <w:pStyle w:val="BodyText"/>
        <w:rPr>
          <w:rFonts w:cs="Times New Roman"/>
          <w:noProof/>
          <w:szCs w:val="24"/>
        </w:rPr>
      </w:pPr>
      <w:r w:rsidRPr="004E3455">
        <w:rPr>
          <w:rFonts w:cs="Times New Roman"/>
        </w:rPr>
        <w:t xml:space="preserve">• </w:t>
      </w:r>
      <w:r w:rsidRPr="004E3455">
        <w:rPr>
          <w:rFonts w:cs="Times New Roman"/>
          <w:i/>
          <w:iCs/>
          <w:u w:val="single" w:color="000000"/>
        </w:rPr>
        <w:t>ITP</w:t>
      </w:r>
      <w:r w:rsidRPr="004E3455">
        <w:rPr>
          <w:rFonts w:cs="Times New Roman"/>
        </w:rPr>
        <w:t xml:space="preserve"> konstatē </w:t>
      </w:r>
      <w:r w:rsidRPr="004E3455">
        <w:rPr>
          <w:rFonts w:cs="Times New Roman"/>
          <w:i/>
          <w:u w:val="single" w:color="000000"/>
        </w:rPr>
        <w:t>PAAF</w:t>
      </w:r>
      <w:r w:rsidRPr="004E3455">
        <w:rPr>
          <w:rFonts w:cs="Times New Roman"/>
        </w:rPr>
        <w:t xml:space="preserve"> attiecībā uz </w:t>
      </w:r>
      <w:r w:rsidRPr="004E3455">
        <w:rPr>
          <w:rFonts w:cs="Times New Roman"/>
          <w:i/>
        </w:rPr>
        <w:t>hCG</w:t>
      </w:r>
      <w:r w:rsidRPr="004E3455">
        <w:rPr>
          <w:rFonts w:cs="Times New Roman"/>
        </w:rPr>
        <w:t xml:space="preserve">, ja </w:t>
      </w:r>
      <w:r w:rsidRPr="004E3455">
        <w:rPr>
          <w:rFonts w:cs="Times New Roman"/>
          <w:i/>
        </w:rPr>
        <w:t>hCG</w:t>
      </w:r>
      <w:r w:rsidRPr="004E3455">
        <w:rPr>
          <w:rFonts w:cs="Times New Roman"/>
        </w:rPr>
        <w:t xml:space="preserve"> (vai nu </w:t>
      </w:r>
      <w:r w:rsidRPr="004E3455">
        <w:rPr>
          <w:rFonts w:cs="Times New Roman"/>
          <w:i/>
        </w:rPr>
        <w:t>hCG</w:t>
      </w:r>
      <w:r w:rsidRPr="004E3455">
        <w:rPr>
          <w:rFonts w:cs="Times New Roman"/>
        </w:rPr>
        <w:t xml:space="preserve"> α/β heterodimēra, vai “kopējā” </w:t>
      </w:r>
      <w:r w:rsidRPr="004E3455">
        <w:rPr>
          <w:rFonts w:cs="Times New Roman"/>
          <w:i/>
        </w:rPr>
        <w:t>hCG</w:t>
      </w:r>
      <w:r w:rsidRPr="004E3455">
        <w:rPr>
          <w:rFonts w:cs="Times New Roman"/>
        </w:rPr>
        <w:t xml:space="preserve">) koncentrācija </w:t>
      </w:r>
      <w:r w:rsidRPr="004E3455">
        <w:rPr>
          <w:rFonts w:cs="Times New Roman"/>
          <w:i/>
        </w:rPr>
        <w:t>paraugā</w:t>
      </w:r>
      <w:r w:rsidRPr="004E3455">
        <w:rPr>
          <w:rFonts w:cs="Times New Roman"/>
        </w:rPr>
        <w:t xml:space="preserve"> ir lielāka nekā (&gt;) 5,00 IU/l, veicot imūntestus, vai lielāka nekā (&gt;) 2,00 IU/l, izmantojot </w:t>
      </w:r>
      <w:r w:rsidRPr="004E3455">
        <w:rPr>
          <w:rFonts w:cs="Times New Roman"/>
          <w:i/>
        </w:rPr>
        <w:t>LC-MS/MS</w:t>
      </w:r>
      <w:r w:rsidRPr="004E3455">
        <w:rPr>
          <w:rFonts w:cs="Times New Roman"/>
        </w:rPr>
        <w:t xml:space="preserve"> pārbaudes metodes.</w:t>
      </w:r>
    </w:p>
    <w:p w14:paraId="44091805" w14:textId="77777777" w:rsidR="00C8375C" w:rsidRPr="004E3455" w:rsidRDefault="00C8375C" w:rsidP="004E3455">
      <w:pPr>
        <w:pStyle w:val="BodyText"/>
        <w:rPr>
          <w:rFonts w:cs="Times New Roman"/>
          <w:noProof/>
        </w:rPr>
      </w:pPr>
    </w:p>
    <w:p w14:paraId="1F515674" w14:textId="2BEB5C4C" w:rsidR="003C61A2" w:rsidRPr="004E3455" w:rsidRDefault="003C61A2" w:rsidP="00957992">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[Piezīme. Saskaņā ar Laboratoriju starptautisko standartu (ISL)</w:t>
      </w:r>
      <w:r w:rsidRPr="004E3455">
        <w:rPr>
          <w:rFonts w:ascii="Times New Roman" w:hAnsi="Times New Roman" w:cs="Times New Roman"/>
          <w:i/>
          <w:sz w:val="24"/>
          <w:vertAlign w:val="superscript"/>
        </w:rPr>
        <w:t>[2]</w:t>
      </w:r>
      <w:r w:rsidRPr="004E3455">
        <w:rPr>
          <w:rFonts w:ascii="Times New Roman" w:hAnsi="Times New Roman" w:cs="Times New Roman"/>
          <w:i/>
          <w:sz w:val="24"/>
        </w:rPr>
        <w:t xml:space="preserve">, ja ir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attiecībā uz hCG, </w:t>
      </w:r>
      <w:r w:rsidRPr="004E3455">
        <w:rPr>
          <w:rFonts w:ascii="Times New Roman" w:hAnsi="Times New Roman" w:cs="Times New Roman"/>
          <w:i/>
          <w:sz w:val="24"/>
          <w:u w:val="single" w:color="000000"/>
        </w:rPr>
        <w:t>laboratorija</w:t>
      </w:r>
      <w:r w:rsidRPr="004E3455">
        <w:rPr>
          <w:rFonts w:ascii="Times New Roman" w:hAnsi="Times New Roman" w:cs="Times New Roman"/>
          <w:i/>
          <w:sz w:val="24"/>
        </w:rPr>
        <w:t xml:space="preserve"> var rakstveidā sazināties ar </w:t>
      </w:r>
      <w:r w:rsidRPr="004E3455">
        <w:rPr>
          <w:rFonts w:ascii="Times New Roman" w:hAnsi="Times New Roman" w:cs="Times New Roman"/>
          <w:i/>
          <w:sz w:val="24"/>
          <w:u w:val="single" w:color="000000"/>
        </w:rPr>
        <w:t>pārbaudes iestādi</w:t>
      </w:r>
      <w:r w:rsidRPr="004E3455">
        <w:rPr>
          <w:rFonts w:ascii="Times New Roman" w:hAnsi="Times New Roman" w:cs="Times New Roman"/>
          <w:i/>
          <w:sz w:val="24"/>
        </w:rPr>
        <w:t xml:space="preserve"> (vai </w:t>
      </w:r>
      <w:r w:rsidRPr="004E3455">
        <w:rPr>
          <w:rFonts w:ascii="Times New Roman" w:hAnsi="Times New Roman" w:cs="Times New Roman"/>
          <w:i/>
          <w:sz w:val="24"/>
          <w:u w:val="single" w:color="000000"/>
        </w:rPr>
        <w:t>rezultātu pārvaldības iestādi</w:t>
      </w:r>
      <w:r w:rsidRPr="004E3455">
        <w:rPr>
          <w:rFonts w:ascii="Times New Roman" w:hAnsi="Times New Roman" w:cs="Times New Roman"/>
          <w:i/>
          <w:sz w:val="24"/>
        </w:rPr>
        <w:t xml:space="preserve">, ja tās atšķiras), lai noskaidrotu, vai attiecībā uz hCG pastāv apstiprināta terapeitiskās lietošanas atļauja (TLA). </w:t>
      </w:r>
      <w:r w:rsidRPr="004E3455">
        <w:rPr>
          <w:rFonts w:ascii="Times New Roman" w:hAnsi="Times New Roman" w:cs="Times New Roman"/>
          <w:i/>
          <w:sz w:val="24"/>
          <w:u w:val="single" w:color="000000"/>
        </w:rPr>
        <w:t>Laboratorijai</w:t>
      </w:r>
      <w:r w:rsidRPr="004E3455">
        <w:rPr>
          <w:rFonts w:ascii="Times New Roman" w:hAnsi="Times New Roman" w:cs="Times New Roman"/>
          <w:i/>
          <w:sz w:val="24"/>
        </w:rPr>
        <w:t xml:space="preserve"> jānorāda hCG koncentrācija, kas noteikta </w:t>
      </w:r>
      <w:r w:rsidRPr="004E3455">
        <w:rPr>
          <w:rFonts w:ascii="Times New Roman" w:hAnsi="Times New Roman" w:cs="Times New Roman"/>
          <w:i/>
          <w:sz w:val="24"/>
          <w:u w:val="single" w:color="000000"/>
        </w:rPr>
        <w:t>ITP</w:t>
      </w:r>
      <w:r w:rsidRPr="004E3455">
        <w:rPr>
          <w:rFonts w:ascii="Times New Roman" w:hAnsi="Times New Roman" w:cs="Times New Roman"/>
          <w:i/>
          <w:sz w:val="24"/>
        </w:rPr>
        <w:t xml:space="preserve">. Tomēr </w:t>
      </w:r>
      <w:r w:rsidRPr="004E3455">
        <w:rPr>
          <w:rFonts w:ascii="Times New Roman" w:hAnsi="Times New Roman" w:cs="Times New Roman"/>
          <w:i/>
          <w:sz w:val="24"/>
          <w:u w:val="single" w:color="000000"/>
        </w:rPr>
        <w:t>laboratorijai</w:t>
      </w:r>
      <w:r w:rsidRPr="004E3455">
        <w:rPr>
          <w:rFonts w:ascii="Times New Roman" w:hAnsi="Times New Roman" w:cs="Times New Roman"/>
          <w:i/>
          <w:sz w:val="24"/>
        </w:rPr>
        <w:t xml:space="preserve"> tā nav obligāta prasība; </w:t>
      </w:r>
      <w:r w:rsidRPr="004E3455">
        <w:rPr>
          <w:rFonts w:ascii="Times New Roman" w:hAnsi="Times New Roman" w:cs="Times New Roman"/>
          <w:i/>
          <w:sz w:val="24"/>
          <w:u w:val="single" w:color="000000"/>
        </w:rPr>
        <w:t>laboratorija</w:t>
      </w:r>
      <w:r w:rsidRPr="004E3455">
        <w:rPr>
          <w:rFonts w:ascii="Times New Roman" w:hAnsi="Times New Roman" w:cs="Times New Roman"/>
          <w:i/>
          <w:sz w:val="24"/>
        </w:rPr>
        <w:t xml:space="preserve"> pēc saviem ieskatiem var apstiprināt </w:t>
      </w:r>
      <w:r w:rsidRPr="004E3455">
        <w:rPr>
          <w:rFonts w:ascii="Times New Roman" w:hAnsi="Times New Roman" w:cs="Times New Roman"/>
          <w:i/>
          <w:sz w:val="24"/>
          <w:u w:val="single" w:color="000000"/>
        </w:rPr>
        <w:t>PAAF</w:t>
      </w:r>
      <w:r w:rsidRPr="004E3455">
        <w:rPr>
          <w:rFonts w:ascii="Times New Roman" w:hAnsi="Times New Roman" w:cs="Times New Roman"/>
          <w:i/>
          <w:sz w:val="24"/>
        </w:rPr>
        <w:t>.</w:t>
      </w:r>
    </w:p>
    <w:p w14:paraId="7F409956" w14:textId="77777777" w:rsidR="00C8375C" w:rsidRPr="004E3455" w:rsidRDefault="00C8375C" w:rsidP="004E3455">
      <w:pPr>
        <w:widowControl/>
        <w:jc w:val="both"/>
        <w:rPr>
          <w:rFonts w:ascii="Times New Roman" w:eastAsia="Arial" w:hAnsi="Times New Roman" w:cs="Times New Roman"/>
          <w:noProof/>
          <w:sz w:val="24"/>
          <w:szCs w:val="24"/>
        </w:rPr>
      </w:pPr>
    </w:p>
    <w:p w14:paraId="0E6E5A4A" w14:textId="24E1EC15" w:rsidR="003C61A2" w:rsidRPr="004E3455" w:rsidRDefault="003C61A2" w:rsidP="00957992">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 xml:space="preserve">Norādījumus par to, vai </w:t>
      </w:r>
      <w:r w:rsidRPr="004E3455">
        <w:rPr>
          <w:rFonts w:ascii="Times New Roman" w:hAnsi="Times New Roman" w:cs="Times New Roman"/>
          <w:i/>
          <w:sz w:val="24"/>
          <w:u w:val="single" w:color="000000"/>
        </w:rPr>
        <w:t>laboratorijai</w:t>
      </w:r>
      <w:r w:rsidRPr="004E3455">
        <w:rPr>
          <w:rFonts w:ascii="Times New Roman" w:hAnsi="Times New Roman" w:cs="Times New Roman"/>
          <w:i/>
          <w:sz w:val="24"/>
        </w:rPr>
        <w:t xml:space="preserve"> ir vai nav jāuzsāk apstiprināšana, pamatojoties uz apstiprinātu TLA, </w:t>
      </w:r>
      <w:r w:rsidRPr="004E3455">
        <w:rPr>
          <w:rFonts w:ascii="Times New Roman" w:hAnsi="Times New Roman" w:cs="Times New Roman"/>
          <w:i/>
          <w:iCs/>
          <w:sz w:val="24"/>
          <w:u w:val="single" w:color="000000"/>
        </w:rPr>
        <w:t>pārbaudes</w:t>
      </w:r>
      <w:r w:rsidRPr="004E3455">
        <w:rPr>
          <w:rFonts w:ascii="Times New Roman" w:hAnsi="Times New Roman" w:cs="Times New Roman"/>
          <w:i/>
          <w:sz w:val="24"/>
          <w:u w:val="single" w:color="000000"/>
        </w:rPr>
        <w:t xml:space="preserve"> iestāde</w:t>
      </w:r>
      <w:r w:rsidRPr="004E3455">
        <w:rPr>
          <w:rFonts w:ascii="Times New Roman" w:hAnsi="Times New Roman" w:cs="Times New Roman"/>
          <w:i/>
          <w:sz w:val="24"/>
        </w:rPr>
        <w:t xml:space="preserve"> (vai</w:t>
      </w:r>
      <w:r w:rsidRPr="004E3455">
        <w:rPr>
          <w:rFonts w:ascii="Times New Roman" w:hAnsi="Times New Roman" w:cs="Times New Roman"/>
          <w:i/>
          <w:iCs/>
          <w:sz w:val="24"/>
        </w:rPr>
        <w:t xml:space="preserve"> </w:t>
      </w:r>
      <w:r w:rsidRPr="004E3455">
        <w:rPr>
          <w:rFonts w:ascii="Times New Roman" w:hAnsi="Times New Roman" w:cs="Times New Roman"/>
          <w:i/>
          <w:iCs/>
          <w:sz w:val="24"/>
          <w:u w:val="single"/>
        </w:rPr>
        <w:t xml:space="preserve">rezultātu pārvaldības </w:t>
      </w:r>
      <w:r w:rsidRPr="004E3455">
        <w:rPr>
          <w:rFonts w:ascii="Times New Roman" w:hAnsi="Times New Roman" w:cs="Times New Roman"/>
          <w:i/>
          <w:sz w:val="24"/>
          <w:u w:val="single"/>
        </w:rPr>
        <w:t>iestāde</w:t>
      </w:r>
      <w:r w:rsidRPr="004E3455">
        <w:rPr>
          <w:rFonts w:ascii="Times New Roman" w:hAnsi="Times New Roman" w:cs="Times New Roman"/>
          <w:i/>
          <w:sz w:val="24"/>
        </w:rPr>
        <w:t xml:space="preserve">, ja tās atšķiras) </w:t>
      </w:r>
      <w:r w:rsidRPr="004E3455">
        <w:rPr>
          <w:rFonts w:ascii="Times New Roman" w:hAnsi="Times New Roman" w:cs="Times New Roman"/>
          <w:i/>
          <w:sz w:val="24"/>
          <w:u w:val="single" w:color="000000"/>
        </w:rPr>
        <w:t>laboratorijai</w:t>
      </w:r>
      <w:r w:rsidRPr="004E3455">
        <w:rPr>
          <w:rFonts w:ascii="Times New Roman" w:hAnsi="Times New Roman" w:cs="Times New Roman"/>
          <w:i/>
          <w:sz w:val="24"/>
        </w:rPr>
        <w:t xml:space="preserve"> sniedz rakstveidā. Ja apstiprināšana netiek uzsākta, </w:t>
      </w:r>
      <w:r w:rsidRPr="004E3455">
        <w:rPr>
          <w:rFonts w:ascii="Times New Roman" w:hAnsi="Times New Roman" w:cs="Times New Roman"/>
          <w:i/>
          <w:sz w:val="24"/>
          <w:u w:val="single"/>
        </w:rPr>
        <w:t>pārbaudes iestāde</w:t>
      </w:r>
      <w:r w:rsidRPr="004E3455">
        <w:rPr>
          <w:rFonts w:ascii="Times New Roman" w:hAnsi="Times New Roman" w:cs="Times New Roman"/>
          <w:i/>
          <w:sz w:val="24"/>
        </w:rPr>
        <w:t xml:space="preserve"> (vai </w:t>
      </w:r>
      <w:r w:rsidRPr="004E3455">
        <w:rPr>
          <w:rFonts w:ascii="Times New Roman" w:hAnsi="Times New Roman" w:cs="Times New Roman"/>
          <w:i/>
          <w:sz w:val="24"/>
          <w:u w:val="single"/>
        </w:rPr>
        <w:t>rezultātu pārvaldības iestāde</w:t>
      </w:r>
      <w:r w:rsidRPr="004E3455">
        <w:rPr>
          <w:rFonts w:ascii="Times New Roman" w:hAnsi="Times New Roman" w:cs="Times New Roman"/>
          <w:i/>
          <w:sz w:val="24"/>
        </w:rPr>
        <w:t>, ja tās atšķiras) iesniedz WADA apstiprinātās TLA kopiju vai norāda saistīto TLA numuru, ja šī TLA ir iesniegta ADAMS sistēmā.]</w:t>
      </w:r>
    </w:p>
    <w:p w14:paraId="0A2A9722" w14:textId="77777777" w:rsidR="00F9568D" w:rsidRPr="004E3455" w:rsidRDefault="00F9568D" w:rsidP="004E3455">
      <w:pPr>
        <w:widowControl/>
        <w:jc w:val="both"/>
        <w:rPr>
          <w:rFonts w:ascii="Times New Roman" w:eastAsia="Arial" w:hAnsi="Times New Roman" w:cs="Times New Roman"/>
          <w:noProof/>
          <w:sz w:val="24"/>
          <w:szCs w:val="24"/>
        </w:rPr>
      </w:pPr>
    </w:p>
    <w:p w14:paraId="3A8A8610" w14:textId="1E9BDA6B" w:rsidR="003C61A2" w:rsidRPr="004E3455" w:rsidRDefault="00F9568D" w:rsidP="004E3455">
      <w:pPr>
        <w:pStyle w:val="BodyText"/>
        <w:rPr>
          <w:rFonts w:cs="Times New Roman"/>
          <w:noProof/>
          <w:szCs w:val="24"/>
          <w:u w:color="000000"/>
        </w:rPr>
      </w:pPr>
      <w:r w:rsidRPr="004E3455">
        <w:rPr>
          <w:rFonts w:cs="Times New Roman"/>
          <w:u w:color="000000"/>
        </w:rPr>
        <w:t>ii) Negatīvs rezultāts</w:t>
      </w:r>
    </w:p>
    <w:p w14:paraId="5C16F8D6" w14:textId="77777777" w:rsidR="00F9568D" w:rsidRPr="004E3455" w:rsidRDefault="00F9568D" w:rsidP="004E3455">
      <w:pPr>
        <w:pStyle w:val="BodyText"/>
        <w:rPr>
          <w:rFonts w:cs="Times New Roman"/>
          <w:noProof/>
          <w:u w:color="000000"/>
        </w:rPr>
      </w:pPr>
    </w:p>
    <w:p w14:paraId="6F45E658" w14:textId="714C4759" w:rsidR="003C61A2" w:rsidRPr="004E3455" w:rsidRDefault="00E917CB"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Laboratorijai</w:t>
      </w:r>
      <w:r w:rsidRPr="004E3455">
        <w:rPr>
          <w:rFonts w:cs="Times New Roman"/>
        </w:rPr>
        <w:t xml:space="preserve"> jāuzskata </w:t>
      </w:r>
      <w:r w:rsidRPr="004E3455">
        <w:rPr>
          <w:rFonts w:cs="Times New Roman"/>
          <w:i/>
          <w:iCs/>
        </w:rPr>
        <w:t>hCG</w:t>
      </w:r>
      <w:r w:rsidRPr="004E3455">
        <w:rPr>
          <w:rFonts w:cs="Times New Roman"/>
        </w:rPr>
        <w:t xml:space="preserve"> rezultāts par </w:t>
      </w:r>
      <w:r w:rsidRPr="004E3455">
        <w:rPr>
          <w:rFonts w:cs="Times New Roman"/>
          <w:u w:val="single" w:color="000000"/>
        </w:rPr>
        <w:t>negatīvu rezultātu</w:t>
      </w:r>
      <w:r w:rsidRPr="004E3455">
        <w:rPr>
          <w:rFonts w:cs="Times New Roman"/>
        </w:rPr>
        <w:t xml:space="preserve">, ja </w:t>
      </w:r>
      <w:r w:rsidRPr="004E3455">
        <w:rPr>
          <w:rFonts w:cs="Times New Roman"/>
          <w:i/>
          <w:iCs/>
          <w:u w:val="single" w:color="000000"/>
        </w:rPr>
        <w:t>ITP</w:t>
      </w:r>
      <w:r w:rsidRPr="004E3455">
        <w:rPr>
          <w:rFonts w:cs="Times New Roman"/>
        </w:rPr>
        <w:t xml:space="preserve"> laikā tiek konstatēta attiecīgi </w:t>
      </w:r>
      <w:r w:rsidRPr="004E3455">
        <w:rPr>
          <w:rFonts w:cs="Times New Roman"/>
          <w:i/>
          <w:iCs/>
        </w:rPr>
        <w:t>hCG</w:t>
      </w:r>
      <w:r w:rsidRPr="004E3455">
        <w:rPr>
          <w:rFonts w:cs="Times New Roman"/>
        </w:rPr>
        <w:t xml:space="preserve"> α/β heterodimēru vai “kopējā </w:t>
      </w:r>
      <w:r w:rsidRPr="004E3455">
        <w:rPr>
          <w:rFonts w:cs="Times New Roman"/>
          <w:i/>
          <w:iCs/>
        </w:rPr>
        <w:t>hCG</w:t>
      </w:r>
      <w:r w:rsidRPr="004E3455">
        <w:rPr>
          <w:rFonts w:cs="Times New Roman"/>
        </w:rPr>
        <w:t xml:space="preserve">” koncentrācija, kas ir vienāda ar 5,00 IU/l vai mazāka par to (≤), veicot imūntestus, vai vienāda ar 2,00 IU/l vai mazāka par to, izmantojot </w:t>
      </w:r>
      <w:r w:rsidRPr="004E3455">
        <w:rPr>
          <w:rFonts w:cs="Times New Roman"/>
          <w:i/>
          <w:iCs/>
        </w:rPr>
        <w:t>LC-MS/MS</w:t>
      </w:r>
      <w:r w:rsidRPr="004E3455">
        <w:rPr>
          <w:rFonts w:cs="Times New Roman"/>
        </w:rPr>
        <w:t xml:space="preserve"> pārbaudes metodes.</w:t>
      </w:r>
    </w:p>
    <w:p w14:paraId="165A21B0" w14:textId="77777777" w:rsidR="00F1448F" w:rsidRPr="004E3455" w:rsidRDefault="00F1448F" w:rsidP="004E3455">
      <w:pPr>
        <w:pStyle w:val="BodyText"/>
        <w:rPr>
          <w:rFonts w:cs="Times New Roman"/>
          <w:noProof/>
        </w:rPr>
      </w:pPr>
    </w:p>
    <w:p w14:paraId="67A2ADE9" w14:textId="77777777" w:rsidR="003C61A2" w:rsidRPr="004E3455" w:rsidRDefault="003C61A2" w:rsidP="00480FE7">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[Piezīme. </w:t>
      </w:r>
      <w:r w:rsidRPr="004E3455">
        <w:rPr>
          <w:rFonts w:ascii="Times New Roman" w:hAnsi="Times New Roman" w:cs="Times New Roman"/>
          <w:i/>
          <w:sz w:val="24"/>
          <w:u w:val="single" w:color="000000"/>
        </w:rPr>
        <w:t>Laboratorijai</w:t>
      </w:r>
      <w:r w:rsidRPr="004E3455">
        <w:rPr>
          <w:rFonts w:ascii="Times New Roman" w:hAnsi="Times New Roman" w:cs="Times New Roman"/>
          <w:i/>
          <w:sz w:val="24"/>
        </w:rPr>
        <w:t xml:space="preserve"> jāziņo par šiem rezultātiem kā par </w:t>
      </w:r>
      <w:r w:rsidRPr="004E3455">
        <w:rPr>
          <w:rFonts w:ascii="Times New Roman" w:hAnsi="Times New Roman" w:cs="Times New Roman"/>
          <w:i/>
          <w:sz w:val="24"/>
          <w:u w:val="single" w:color="000000"/>
        </w:rPr>
        <w:t>negatīviem rezultātiem</w:t>
      </w:r>
      <w:r w:rsidRPr="004E3455">
        <w:rPr>
          <w:rFonts w:ascii="Times New Roman" w:hAnsi="Times New Roman" w:cs="Times New Roman"/>
          <w:i/>
          <w:sz w:val="24"/>
        </w:rPr>
        <w:t xml:space="preserve">, ja vien tā, pamatojoties uz </w:t>
      </w:r>
      <w:r w:rsidRPr="004E3455">
        <w:rPr>
          <w:rFonts w:ascii="Times New Roman" w:hAnsi="Times New Roman" w:cs="Times New Roman"/>
          <w:i/>
          <w:sz w:val="24"/>
          <w:u w:val="single" w:color="000000"/>
        </w:rPr>
        <w:t>ITP</w:t>
      </w:r>
      <w:r w:rsidRPr="004E3455">
        <w:rPr>
          <w:rFonts w:ascii="Times New Roman" w:hAnsi="Times New Roman" w:cs="Times New Roman"/>
          <w:i/>
          <w:sz w:val="24"/>
        </w:rPr>
        <w:t xml:space="preserve"> metodes validācijas datiem, nesecina, ka rezultāts ir uzskatāms par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un attiecībā uz to jāveic </w:t>
      </w:r>
      <w:r w:rsidRPr="004E3455">
        <w:rPr>
          <w:rFonts w:ascii="Times New Roman" w:hAnsi="Times New Roman" w:cs="Times New Roman"/>
          <w:i/>
          <w:sz w:val="24"/>
          <w:u w:val="single" w:color="000000"/>
        </w:rPr>
        <w:t>CP</w:t>
      </w:r>
      <w:r w:rsidRPr="004E3455">
        <w:rPr>
          <w:rFonts w:ascii="Times New Roman" w:hAnsi="Times New Roman" w:cs="Times New Roman"/>
          <w:i/>
          <w:sz w:val="24"/>
        </w:rPr>
        <w:t>.]</w:t>
      </w:r>
    </w:p>
    <w:p w14:paraId="66F6ABDE" w14:textId="77777777" w:rsidR="003C61A2" w:rsidRPr="004E3455" w:rsidRDefault="003C61A2" w:rsidP="004E3455">
      <w:pPr>
        <w:widowControl/>
        <w:jc w:val="both"/>
        <w:rPr>
          <w:rFonts w:ascii="Times New Roman" w:eastAsia="Arial" w:hAnsi="Times New Roman" w:cs="Times New Roman"/>
          <w:i/>
          <w:noProof/>
          <w:sz w:val="24"/>
          <w:szCs w:val="24"/>
        </w:rPr>
      </w:pPr>
    </w:p>
    <w:p w14:paraId="202C56E4" w14:textId="49AEAA76" w:rsidR="003C61A2" w:rsidRPr="004E3455" w:rsidRDefault="00F1448F" w:rsidP="004E3455">
      <w:pPr>
        <w:pStyle w:val="BodyText"/>
        <w:rPr>
          <w:rFonts w:cs="Times New Roman"/>
          <w:noProof/>
          <w:szCs w:val="24"/>
        </w:rPr>
      </w:pPr>
      <w:r w:rsidRPr="004E3455">
        <w:rPr>
          <w:rFonts w:cs="Times New Roman"/>
          <w:u w:color="000000"/>
        </w:rPr>
        <w:t>4.1.2.</w:t>
      </w:r>
      <w:r w:rsidRPr="004E3455">
        <w:rPr>
          <w:rFonts w:cs="Times New Roman"/>
        </w:rPr>
        <w:t xml:space="preserve"> </w:t>
      </w:r>
      <w:r w:rsidRPr="004E3455">
        <w:rPr>
          <w:rFonts w:cs="Times New Roman"/>
          <w:i/>
          <w:iCs/>
          <w:u w:val="single" w:color="000000"/>
        </w:rPr>
        <w:t>CP</w:t>
      </w:r>
      <w:r w:rsidRPr="004E3455">
        <w:rPr>
          <w:rFonts w:cs="Times New Roman"/>
        </w:rPr>
        <w:t xml:space="preserve"> rezultāti</w:t>
      </w:r>
    </w:p>
    <w:p w14:paraId="4CCE4F6D" w14:textId="77777777" w:rsidR="00F1448F" w:rsidRPr="004E3455" w:rsidRDefault="00F1448F" w:rsidP="004E3455">
      <w:pPr>
        <w:pStyle w:val="BodyText"/>
        <w:rPr>
          <w:rFonts w:cs="Times New Roman"/>
          <w:noProof/>
        </w:rPr>
      </w:pPr>
    </w:p>
    <w:p w14:paraId="600E2A3D" w14:textId="781229B0" w:rsidR="003C61A2" w:rsidRPr="004E3455" w:rsidRDefault="00B80D98" w:rsidP="004E3455">
      <w:pPr>
        <w:widowControl/>
        <w:tabs>
          <w:tab w:val="left" w:pos="1108"/>
        </w:tabs>
        <w:jc w:val="both"/>
        <w:rPr>
          <w:rFonts w:ascii="Times New Roman" w:hAnsi="Times New Roman" w:cs="Times New Roman"/>
          <w:noProof/>
          <w:sz w:val="24"/>
          <w:szCs w:val="24"/>
        </w:rPr>
      </w:pPr>
      <w:r w:rsidRPr="004E3455">
        <w:rPr>
          <w:rFonts w:ascii="Times New Roman" w:hAnsi="Times New Roman" w:cs="Times New Roman"/>
          <w:sz w:val="24"/>
        </w:rPr>
        <w:t xml:space="preserve">i) </w:t>
      </w:r>
      <w:r w:rsidRPr="004E3455">
        <w:rPr>
          <w:rFonts w:ascii="Times New Roman" w:hAnsi="Times New Roman" w:cs="Times New Roman"/>
          <w:i/>
          <w:sz w:val="24"/>
        </w:rPr>
        <w:t>Nelabvēlīgs analīžu rezultāts</w:t>
      </w:r>
      <w:r w:rsidRPr="004E3455">
        <w:rPr>
          <w:rFonts w:ascii="Times New Roman" w:hAnsi="Times New Roman" w:cs="Times New Roman"/>
          <w:sz w:val="24"/>
        </w:rPr>
        <w:t xml:space="preserve"> (</w:t>
      </w:r>
      <w:r w:rsidRPr="004E3455">
        <w:rPr>
          <w:rFonts w:ascii="Times New Roman" w:hAnsi="Times New Roman" w:cs="Times New Roman"/>
          <w:i/>
          <w:sz w:val="24"/>
        </w:rPr>
        <w:t>AAF</w:t>
      </w:r>
      <w:r w:rsidRPr="004E3455">
        <w:rPr>
          <w:rFonts w:ascii="Times New Roman" w:hAnsi="Times New Roman" w:cs="Times New Roman"/>
          <w:sz w:val="24"/>
        </w:rPr>
        <w:t>)</w:t>
      </w:r>
    </w:p>
    <w:p w14:paraId="6BD64789" w14:textId="77777777" w:rsidR="00B80D98" w:rsidRPr="004E3455" w:rsidRDefault="00B80D98" w:rsidP="004E3455">
      <w:pPr>
        <w:widowControl/>
        <w:tabs>
          <w:tab w:val="left" w:pos="1108"/>
        </w:tabs>
        <w:jc w:val="both"/>
        <w:rPr>
          <w:rFonts w:ascii="Times New Roman" w:eastAsia="Arial" w:hAnsi="Times New Roman" w:cs="Times New Roman"/>
          <w:noProof/>
          <w:sz w:val="24"/>
          <w:szCs w:val="24"/>
        </w:rPr>
      </w:pPr>
    </w:p>
    <w:p w14:paraId="1E4CFED7" w14:textId="0669C535" w:rsidR="003C61A2" w:rsidRPr="004E3455" w:rsidRDefault="00B80D98" w:rsidP="004E3455">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ziņo par </w:t>
      </w:r>
      <w:r w:rsidRPr="004E3455">
        <w:rPr>
          <w:rFonts w:cs="Times New Roman"/>
          <w:i/>
        </w:rPr>
        <w:t>AAF</w:t>
      </w:r>
      <w:r w:rsidRPr="004E3455">
        <w:rPr>
          <w:rFonts w:cs="Times New Roman"/>
        </w:rPr>
        <w:t xml:space="preserve"> attiecībā uz </w:t>
      </w:r>
      <w:r w:rsidRPr="004E3455">
        <w:rPr>
          <w:rFonts w:cs="Times New Roman"/>
          <w:i/>
          <w:iCs/>
        </w:rPr>
        <w:t>hCG</w:t>
      </w:r>
      <w:r w:rsidRPr="004E3455">
        <w:rPr>
          <w:rFonts w:cs="Times New Roman"/>
        </w:rPr>
        <w:t xml:space="preserve">, ja </w:t>
      </w:r>
      <w:r w:rsidRPr="004E3455">
        <w:rPr>
          <w:rFonts w:cs="Times New Roman"/>
          <w:i/>
          <w:iCs/>
          <w:u w:val="single" w:color="000000"/>
        </w:rPr>
        <w:t>CP</w:t>
      </w:r>
      <w:r w:rsidRPr="004E3455">
        <w:rPr>
          <w:rFonts w:cs="Times New Roman"/>
        </w:rPr>
        <w:t xml:space="preserve"> ir apstiprinājusies </w:t>
      </w:r>
      <w:r w:rsidRPr="004E3455">
        <w:rPr>
          <w:rFonts w:cs="Times New Roman"/>
          <w:i/>
          <w:iCs/>
        </w:rPr>
        <w:t>hCG</w:t>
      </w:r>
      <w:r w:rsidRPr="004E3455">
        <w:rPr>
          <w:rFonts w:cs="Times New Roman"/>
        </w:rPr>
        <w:t xml:space="preserve"> α/β heterodimēra klātbūtne koncentrācijā, kas lielāka par (&gt;) 5,00 IU/l </w:t>
      </w:r>
      <w:r w:rsidRPr="004E3455">
        <w:rPr>
          <w:rFonts w:cs="Times New Roman"/>
          <w:i/>
          <w:iCs/>
        </w:rPr>
        <w:t>DL</w:t>
      </w:r>
      <w:r w:rsidRPr="004E3455">
        <w:rPr>
          <w:rFonts w:cs="Times New Roman"/>
        </w:rPr>
        <w:t xml:space="preserve"> (imūntesti) vai 2,00 IU/l (</w:t>
      </w:r>
      <w:r w:rsidRPr="004E3455">
        <w:rPr>
          <w:rFonts w:cs="Times New Roman"/>
          <w:i/>
          <w:iCs/>
        </w:rPr>
        <w:t>LC-MS/MS</w:t>
      </w:r>
      <w:r w:rsidRPr="004E3455">
        <w:rPr>
          <w:rFonts w:cs="Times New Roman"/>
        </w:rPr>
        <w:t>).</w:t>
      </w:r>
    </w:p>
    <w:p w14:paraId="22BF3548" w14:textId="77777777" w:rsidR="000A4051" w:rsidRPr="004E3455" w:rsidRDefault="000A4051" w:rsidP="004E3455">
      <w:pPr>
        <w:pStyle w:val="BodyText"/>
        <w:rPr>
          <w:rFonts w:cs="Times New Roman"/>
          <w:noProof/>
        </w:rPr>
      </w:pPr>
    </w:p>
    <w:p w14:paraId="0AD9472A" w14:textId="3C41E2FE" w:rsidR="003C61A2" w:rsidRPr="004E3455" w:rsidRDefault="00B80D98" w:rsidP="004E3455">
      <w:pPr>
        <w:pStyle w:val="BodyText"/>
        <w:rPr>
          <w:rFonts w:cs="Times New Roman"/>
          <w:noProof/>
          <w:szCs w:val="24"/>
        </w:rPr>
      </w:pPr>
      <w:r w:rsidRPr="004E3455">
        <w:rPr>
          <w:rFonts w:cs="Times New Roman"/>
        </w:rPr>
        <w:t xml:space="preserve">• Urīna </w:t>
      </w:r>
      <w:r w:rsidRPr="004E3455">
        <w:rPr>
          <w:rFonts w:cs="Times New Roman"/>
          <w:i/>
        </w:rPr>
        <w:t>paraugiem</w:t>
      </w:r>
      <w:r w:rsidRPr="004E3455">
        <w:rPr>
          <w:rFonts w:cs="Times New Roman"/>
        </w:rPr>
        <w:t>, kuru izmērītās īpatnējā svara vērtības (</w:t>
      </w:r>
      <w:r w:rsidRPr="004E3455">
        <w:rPr>
          <w:rFonts w:cs="Times New Roman"/>
          <w:i/>
          <w:iCs/>
        </w:rPr>
        <w:t>SG</w:t>
      </w:r>
      <w:r w:rsidRPr="004E3455">
        <w:rPr>
          <w:rFonts w:cs="Times New Roman"/>
          <w:i/>
          <w:vertAlign w:val="subscript"/>
        </w:rPr>
        <w:t>Sample</w:t>
      </w:r>
      <w:r w:rsidRPr="004E3455">
        <w:rPr>
          <w:rFonts w:cs="Times New Roman"/>
        </w:rPr>
        <w:t xml:space="preserve">) ir lielākas par (&gt;) 1,018, koriģē </w:t>
      </w:r>
      <w:r w:rsidRPr="004E3455">
        <w:rPr>
          <w:rFonts w:cs="Times New Roman"/>
          <w:i/>
          <w:iCs/>
        </w:rPr>
        <w:t>DL</w:t>
      </w:r>
      <w:r w:rsidRPr="004E3455">
        <w:rPr>
          <w:rFonts w:cs="Times New Roman"/>
        </w:rPr>
        <w:t>.</w:t>
      </w:r>
    </w:p>
    <w:p w14:paraId="62285D4D" w14:textId="77777777" w:rsidR="003C61A2" w:rsidRPr="004E3455" w:rsidRDefault="003C61A2" w:rsidP="004E3455">
      <w:pPr>
        <w:widowControl/>
        <w:jc w:val="both"/>
        <w:rPr>
          <w:rFonts w:ascii="Times New Roman" w:hAnsi="Times New Roman" w:cs="Times New Roman"/>
          <w:noProof/>
          <w:sz w:val="24"/>
          <w:szCs w:val="24"/>
        </w:rPr>
      </w:pPr>
    </w:p>
    <w:p w14:paraId="301175D5" w14:textId="54F19766" w:rsidR="003C61A2" w:rsidRPr="004E3455" w:rsidRDefault="003C61A2" w:rsidP="00480FE7">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 xml:space="preserve">[Piezīme. Urīna paraugiem, kuriem </w:t>
      </w:r>
      <w:r w:rsidRPr="004E3455">
        <w:rPr>
          <w:rFonts w:ascii="Times New Roman" w:hAnsi="Times New Roman" w:cs="Times New Roman"/>
          <w:i/>
          <w:iCs/>
          <w:sz w:val="24"/>
        </w:rPr>
        <w:t>SG</w:t>
      </w:r>
      <w:r w:rsidRPr="004E3455">
        <w:rPr>
          <w:rFonts w:ascii="Times New Roman" w:hAnsi="Times New Roman" w:cs="Times New Roman"/>
          <w:i/>
          <w:sz w:val="24"/>
          <w:vertAlign w:val="subscript"/>
        </w:rPr>
        <w:t>Sample</w:t>
      </w:r>
      <w:r w:rsidRPr="004E3455">
        <w:rPr>
          <w:rFonts w:ascii="Times New Roman" w:hAnsi="Times New Roman" w:cs="Times New Roman"/>
          <w:i/>
          <w:sz w:val="24"/>
        </w:rPr>
        <w:t xml:space="preserve"> &gt; 1,018, </w:t>
      </w:r>
      <w:r w:rsidRPr="004E3455">
        <w:rPr>
          <w:rFonts w:ascii="Times New Roman" w:hAnsi="Times New Roman" w:cs="Times New Roman"/>
          <w:i/>
          <w:iCs/>
          <w:sz w:val="24"/>
        </w:rPr>
        <w:t>hCG</w:t>
      </w:r>
      <w:r w:rsidRPr="004E3455">
        <w:rPr>
          <w:rFonts w:ascii="Times New Roman" w:hAnsi="Times New Roman" w:cs="Times New Roman"/>
          <w:i/>
          <w:sz w:val="24"/>
        </w:rPr>
        <w:t xml:space="preserve"> </w:t>
      </w:r>
      <w:r w:rsidRPr="004E3455">
        <w:rPr>
          <w:rFonts w:ascii="Times New Roman" w:hAnsi="Times New Roman" w:cs="Times New Roman"/>
          <w:i/>
          <w:iCs/>
          <w:sz w:val="24"/>
        </w:rPr>
        <w:t>DL</w:t>
      </w:r>
      <w:r w:rsidRPr="004E3455">
        <w:rPr>
          <w:rFonts w:ascii="Times New Roman" w:hAnsi="Times New Roman" w:cs="Times New Roman"/>
          <w:i/>
          <w:sz w:val="24"/>
        </w:rPr>
        <w:t xml:space="preserve"> koriģē saskaņā ar 1. formulu:</w:t>
      </w:r>
    </w:p>
    <w:p w14:paraId="28E22F5E" w14:textId="07F21D2A" w:rsidR="003C61A2" w:rsidRPr="004E3455" w:rsidRDefault="003C61A2" w:rsidP="004E3455">
      <w:pPr>
        <w:widowControl/>
        <w:jc w:val="both"/>
        <w:rPr>
          <w:rFonts w:ascii="Times New Roman" w:hAnsi="Times New Roman" w:cs="Times New Roman"/>
          <w:i/>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72"/>
        <w:gridCol w:w="851"/>
        <w:gridCol w:w="2072"/>
        <w:gridCol w:w="2633"/>
      </w:tblGrid>
      <w:tr w:rsidR="00C87423" w:rsidRPr="004E3455" w14:paraId="1209B955" w14:textId="77777777" w:rsidTr="00480FE7">
        <w:tc>
          <w:tcPr>
            <w:tcW w:w="1957" w:type="pct"/>
            <w:vMerge w:val="restart"/>
            <w:vAlign w:val="center"/>
          </w:tcPr>
          <w:p w14:paraId="67629B4A" w14:textId="68C21AEE" w:rsidR="00C87423" w:rsidRPr="004E3455" w:rsidRDefault="00C87423" w:rsidP="00480FE7">
            <w:pPr>
              <w:widowControl/>
              <w:jc w:val="center"/>
              <w:rPr>
                <w:rFonts w:ascii="Times New Roman" w:hAnsi="Times New Roman" w:cs="Times New Roman"/>
                <w:iCs/>
                <w:noProof/>
                <w:sz w:val="24"/>
                <w:szCs w:val="24"/>
              </w:rPr>
            </w:pPr>
            <w:r w:rsidRPr="004E3455">
              <w:rPr>
                <w:rFonts w:ascii="Times New Roman" w:hAnsi="Times New Roman" w:cs="Times New Roman"/>
                <w:sz w:val="24"/>
              </w:rPr>
              <w:t>(1. formula)</w:t>
            </w:r>
          </w:p>
        </w:tc>
        <w:tc>
          <w:tcPr>
            <w:tcW w:w="466" w:type="pct"/>
            <w:vMerge w:val="restart"/>
            <w:vAlign w:val="center"/>
          </w:tcPr>
          <w:p w14:paraId="4CEC4843" w14:textId="287DE11C" w:rsidR="00C87423" w:rsidRPr="004E3455" w:rsidRDefault="00C87423" w:rsidP="00480FE7">
            <w:pPr>
              <w:widowControl/>
              <w:jc w:val="right"/>
              <w:rPr>
                <w:rFonts w:ascii="Times New Roman" w:hAnsi="Times New Roman" w:cs="Times New Roman"/>
                <w:i/>
                <w:noProof/>
                <w:sz w:val="24"/>
                <w:szCs w:val="24"/>
              </w:rPr>
            </w:pPr>
            <w:r w:rsidRPr="004E3455">
              <w:rPr>
                <w:rFonts w:ascii="Times New Roman" w:hAnsi="Times New Roman" w:cs="Times New Roman"/>
                <w:i/>
                <w:sz w:val="24"/>
              </w:rPr>
              <w:t>DL</w:t>
            </w:r>
            <w:r w:rsidRPr="004E3455">
              <w:rPr>
                <w:rFonts w:ascii="Times New Roman" w:hAnsi="Times New Roman" w:cs="Times New Roman"/>
                <w:i/>
                <w:sz w:val="24"/>
                <w:vertAlign w:val="subscript"/>
              </w:rPr>
              <w:t>adj</w:t>
            </w:r>
            <w:r w:rsidRPr="004E3455">
              <w:rPr>
                <w:rFonts w:ascii="Times New Roman" w:hAnsi="Times New Roman" w:cs="Times New Roman"/>
                <w:i/>
                <w:sz w:val="24"/>
              </w:rPr>
              <w:t> =</w:t>
            </w:r>
          </w:p>
        </w:tc>
        <w:tc>
          <w:tcPr>
            <w:tcW w:w="1135" w:type="pct"/>
            <w:vAlign w:val="center"/>
          </w:tcPr>
          <w:p w14:paraId="1F9D1F23" w14:textId="34ACAF10" w:rsidR="00C87423" w:rsidRPr="004E3455" w:rsidRDefault="009A5B72" w:rsidP="004E3455">
            <w:pPr>
              <w:widowControl/>
              <w:jc w:val="center"/>
              <w:rPr>
                <w:rFonts w:ascii="Times New Roman" w:hAnsi="Times New Roman" w:cs="Times New Roman"/>
                <w:i/>
                <w:noProof/>
                <w:sz w:val="24"/>
                <w:szCs w:val="24"/>
              </w:rPr>
            </w:pPr>
            <w:r w:rsidRPr="004E3455">
              <w:rPr>
                <w:rFonts w:ascii="Times New Roman" w:hAnsi="Times New Roman" w:cs="Times New Roman"/>
                <w:i/>
                <w:sz w:val="24"/>
              </w:rPr>
              <w:t>SG</w:t>
            </w:r>
            <w:r w:rsidRPr="004E3455">
              <w:rPr>
                <w:rFonts w:ascii="Times New Roman" w:hAnsi="Times New Roman" w:cs="Times New Roman"/>
                <w:i/>
                <w:sz w:val="24"/>
                <w:vertAlign w:val="subscript"/>
              </w:rPr>
              <w:t>Sample_Max</w:t>
            </w:r>
            <w:r w:rsidRPr="004E3455">
              <w:rPr>
                <w:rFonts w:ascii="Times New Roman" w:hAnsi="Times New Roman" w:cs="Times New Roman"/>
                <w:i/>
                <w:sz w:val="24"/>
              </w:rPr>
              <w:t> – 1</w:t>
            </w:r>
          </w:p>
        </w:tc>
        <w:tc>
          <w:tcPr>
            <w:tcW w:w="1442" w:type="pct"/>
            <w:vMerge w:val="restart"/>
            <w:vAlign w:val="center"/>
          </w:tcPr>
          <w:p w14:paraId="69C051A9" w14:textId="1D91202B" w:rsidR="00C87423" w:rsidRPr="004E3455" w:rsidRDefault="00B118B6" w:rsidP="00480FE7">
            <w:pPr>
              <w:widowControl/>
              <w:rPr>
                <w:rFonts w:ascii="Times New Roman" w:hAnsi="Times New Roman" w:cs="Times New Roman"/>
                <w:i/>
                <w:noProof/>
                <w:sz w:val="24"/>
                <w:szCs w:val="24"/>
              </w:rPr>
            </w:pPr>
            <w:r w:rsidRPr="004E3455">
              <w:rPr>
                <w:rFonts w:ascii="Times New Roman" w:hAnsi="Times New Roman" w:cs="Times New Roman"/>
                <w:i/>
                <w:sz w:val="24"/>
              </w:rPr>
              <w:t xml:space="preserve">· </w:t>
            </w:r>
            <w:r w:rsidRPr="004E3455">
              <w:rPr>
                <w:rFonts w:ascii="Times New Roman" w:hAnsi="Times New Roman" w:cs="Times New Roman"/>
                <w:i/>
                <w:iCs/>
                <w:sz w:val="24"/>
              </w:rPr>
              <w:t>DL</w:t>
            </w:r>
          </w:p>
        </w:tc>
      </w:tr>
      <w:tr w:rsidR="00C87423" w:rsidRPr="004E3455" w14:paraId="0C1244E1" w14:textId="77777777" w:rsidTr="00480FE7">
        <w:tc>
          <w:tcPr>
            <w:tcW w:w="1957" w:type="pct"/>
            <w:vMerge/>
          </w:tcPr>
          <w:p w14:paraId="1A17ABCD" w14:textId="77777777" w:rsidR="00C87423" w:rsidRPr="004E3455" w:rsidRDefault="00C87423" w:rsidP="004E3455">
            <w:pPr>
              <w:widowControl/>
              <w:jc w:val="both"/>
              <w:rPr>
                <w:rFonts w:ascii="Times New Roman" w:hAnsi="Times New Roman" w:cs="Times New Roman"/>
                <w:i/>
                <w:noProof/>
                <w:sz w:val="24"/>
                <w:szCs w:val="24"/>
              </w:rPr>
            </w:pPr>
          </w:p>
        </w:tc>
        <w:tc>
          <w:tcPr>
            <w:tcW w:w="466" w:type="pct"/>
            <w:vMerge/>
          </w:tcPr>
          <w:p w14:paraId="19269A9C" w14:textId="77777777" w:rsidR="00C87423" w:rsidRPr="004E3455" w:rsidRDefault="00C87423" w:rsidP="004E3455">
            <w:pPr>
              <w:widowControl/>
              <w:jc w:val="both"/>
              <w:rPr>
                <w:rFonts w:ascii="Times New Roman" w:hAnsi="Times New Roman" w:cs="Times New Roman"/>
                <w:i/>
                <w:noProof/>
                <w:sz w:val="24"/>
                <w:szCs w:val="24"/>
              </w:rPr>
            </w:pPr>
          </w:p>
        </w:tc>
        <w:tc>
          <w:tcPr>
            <w:tcW w:w="1135" w:type="pct"/>
            <w:vAlign w:val="center"/>
          </w:tcPr>
          <w:p w14:paraId="790622EB" w14:textId="2E54BC6A" w:rsidR="00C87423" w:rsidRPr="004E3455" w:rsidRDefault="00CC2C87" w:rsidP="004E3455">
            <w:pPr>
              <w:widowControl/>
              <w:jc w:val="center"/>
              <w:rPr>
                <w:rFonts w:ascii="Times New Roman" w:hAnsi="Times New Roman" w:cs="Times New Roman"/>
                <w:iCs/>
                <w:noProof/>
                <w:sz w:val="24"/>
                <w:szCs w:val="24"/>
              </w:rPr>
            </w:pPr>
            <w:r w:rsidRPr="004E3455">
              <w:rPr>
                <w:rFonts w:ascii="Times New Roman" w:hAnsi="Times New Roman" w:cs="Times New Roman"/>
                <w:sz w:val="24"/>
              </w:rPr>
              <w:t>(1,020 – 1)</w:t>
            </w:r>
          </w:p>
        </w:tc>
        <w:tc>
          <w:tcPr>
            <w:tcW w:w="1442" w:type="pct"/>
            <w:vMerge/>
          </w:tcPr>
          <w:p w14:paraId="7B767FD0" w14:textId="77777777" w:rsidR="00C87423" w:rsidRPr="004E3455" w:rsidRDefault="00C87423" w:rsidP="004E3455">
            <w:pPr>
              <w:widowControl/>
              <w:jc w:val="both"/>
              <w:rPr>
                <w:rFonts w:ascii="Times New Roman" w:hAnsi="Times New Roman" w:cs="Times New Roman"/>
                <w:i/>
                <w:noProof/>
                <w:sz w:val="24"/>
                <w:szCs w:val="24"/>
              </w:rPr>
            </w:pPr>
          </w:p>
        </w:tc>
      </w:tr>
    </w:tbl>
    <w:p w14:paraId="6E559B83" w14:textId="653BE6D3" w:rsidR="00E975F0" w:rsidRPr="004E3455" w:rsidRDefault="00E975F0" w:rsidP="004E3455">
      <w:pPr>
        <w:widowControl/>
        <w:jc w:val="both"/>
        <w:rPr>
          <w:rFonts w:ascii="Times New Roman" w:hAnsi="Times New Roman" w:cs="Times New Roman"/>
          <w:i/>
          <w:noProof/>
          <w:sz w:val="24"/>
          <w:szCs w:val="24"/>
        </w:rPr>
      </w:pPr>
    </w:p>
    <w:p w14:paraId="37FC5118" w14:textId="77777777" w:rsidR="00CF41CD" w:rsidRPr="004E3455" w:rsidRDefault="003C61A2" w:rsidP="00906457">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 xml:space="preserve">kur </w:t>
      </w:r>
      <w:r w:rsidRPr="004E3455">
        <w:rPr>
          <w:rFonts w:ascii="Times New Roman" w:hAnsi="Times New Roman" w:cs="Times New Roman"/>
          <w:i/>
          <w:iCs/>
          <w:sz w:val="24"/>
        </w:rPr>
        <w:t>DL</w:t>
      </w:r>
      <w:r w:rsidRPr="004E3455">
        <w:rPr>
          <w:rFonts w:ascii="Times New Roman" w:hAnsi="Times New Roman" w:cs="Times New Roman"/>
          <w:i/>
          <w:sz w:val="24"/>
        </w:rPr>
        <w:t xml:space="preserve"> = 5,00 IU/l, veicot imūntestus, un 2,00 IU/l, izmantojot </w:t>
      </w:r>
      <w:r w:rsidRPr="004E3455">
        <w:rPr>
          <w:rFonts w:ascii="Times New Roman" w:hAnsi="Times New Roman" w:cs="Times New Roman"/>
          <w:i/>
          <w:iCs/>
          <w:sz w:val="24"/>
        </w:rPr>
        <w:t>LC-MS/MS</w:t>
      </w:r>
      <w:r w:rsidRPr="004E3455">
        <w:rPr>
          <w:rFonts w:ascii="Times New Roman" w:hAnsi="Times New Roman" w:cs="Times New Roman"/>
          <w:i/>
          <w:sz w:val="24"/>
        </w:rPr>
        <w:t xml:space="preserve"> pārbaudes metodes.</w:t>
      </w:r>
    </w:p>
    <w:p w14:paraId="0A835E8F" w14:textId="77777777" w:rsidR="00CF41CD" w:rsidRPr="004E3455" w:rsidRDefault="00CF41CD" w:rsidP="00906457">
      <w:pPr>
        <w:widowControl/>
        <w:ind w:left="284"/>
        <w:jc w:val="both"/>
        <w:rPr>
          <w:rFonts w:ascii="Times New Roman" w:hAnsi="Times New Roman" w:cs="Times New Roman"/>
          <w:i/>
          <w:noProof/>
          <w:sz w:val="24"/>
          <w:szCs w:val="24"/>
        </w:rPr>
      </w:pPr>
    </w:p>
    <w:p w14:paraId="1738DE31" w14:textId="65BFCF5F" w:rsidR="003C61A2" w:rsidRPr="004E3455" w:rsidRDefault="003C61A2" w:rsidP="00906457">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Norādījumus par </w:t>
      </w:r>
      <w:r w:rsidRPr="004E3455">
        <w:rPr>
          <w:rFonts w:ascii="Times New Roman" w:hAnsi="Times New Roman" w:cs="Times New Roman"/>
          <w:i/>
          <w:iCs/>
          <w:sz w:val="24"/>
        </w:rPr>
        <w:t>SG</w:t>
      </w:r>
      <w:r w:rsidRPr="004E3455">
        <w:rPr>
          <w:rFonts w:ascii="Times New Roman" w:hAnsi="Times New Roman" w:cs="Times New Roman"/>
          <w:i/>
          <w:sz w:val="24"/>
          <w:vertAlign w:val="subscript"/>
        </w:rPr>
        <w:t>Sample_Max</w:t>
      </w:r>
      <w:r w:rsidRPr="004E3455">
        <w:rPr>
          <w:rFonts w:ascii="Times New Roman" w:hAnsi="Times New Roman" w:cs="Times New Roman"/>
          <w:i/>
          <w:sz w:val="24"/>
        </w:rPr>
        <w:t xml:space="preserve"> aprēķināšanu skat. spēkā esošajā </w:t>
      </w:r>
      <w:r w:rsidRPr="004E3455">
        <w:rPr>
          <w:rFonts w:ascii="Times New Roman" w:hAnsi="Times New Roman" w:cs="Times New Roman"/>
          <w:i/>
          <w:iCs/>
          <w:sz w:val="24"/>
        </w:rPr>
        <w:t>TD DL</w:t>
      </w:r>
      <w:r w:rsidRPr="004E3455">
        <w:rPr>
          <w:rFonts w:ascii="Times New Roman" w:hAnsi="Times New Roman" w:cs="Times New Roman"/>
          <w:i/>
          <w:sz w:val="24"/>
          <w:vertAlign w:val="superscript"/>
        </w:rPr>
        <w:t>[3]</w:t>
      </w:r>
      <w:r w:rsidRPr="004E3455">
        <w:rPr>
          <w:rFonts w:ascii="Times New Roman" w:hAnsi="Times New Roman" w:cs="Times New Roman"/>
          <w:i/>
          <w:sz w:val="24"/>
        </w:rPr>
        <w:t>.</w:t>
      </w:r>
    </w:p>
    <w:p w14:paraId="31C01F83" w14:textId="77777777" w:rsidR="00997F95" w:rsidRPr="004E3455" w:rsidRDefault="00997F95" w:rsidP="00906457">
      <w:pPr>
        <w:widowControl/>
        <w:ind w:left="284"/>
        <w:jc w:val="both"/>
        <w:rPr>
          <w:rFonts w:ascii="Times New Roman" w:hAnsi="Times New Roman" w:cs="Times New Roman"/>
          <w:i/>
          <w:noProof/>
          <w:sz w:val="24"/>
          <w:szCs w:val="24"/>
        </w:rPr>
      </w:pPr>
    </w:p>
    <w:p w14:paraId="48AF92DF" w14:textId="210A83F4" w:rsidR="003C61A2" w:rsidRPr="004E3455" w:rsidRDefault="003C61A2" w:rsidP="00906457">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DL</w:t>
      </w:r>
      <w:r w:rsidRPr="004E3455">
        <w:rPr>
          <w:rFonts w:ascii="Times New Roman" w:hAnsi="Times New Roman" w:cs="Times New Roman"/>
          <w:i/>
          <w:sz w:val="24"/>
          <w:vertAlign w:val="subscript"/>
        </w:rPr>
        <w:t>adj</w:t>
      </w:r>
      <w:r w:rsidRPr="004E3455">
        <w:rPr>
          <w:rFonts w:ascii="Times New Roman" w:hAnsi="Times New Roman" w:cs="Times New Roman"/>
          <w:i/>
          <w:sz w:val="24"/>
        </w:rPr>
        <w:t xml:space="preserve"> izsaka, saīsinot līdz trīs nozīmīgajiem skaitļiem (piemēram, DL</w:t>
      </w:r>
      <w:r w:rsidRPr="004E3455">
        <w:rPr>
          <w:rFonts w:ascii="Times New Roman" w:hAnsi="Times New Roman" w:cs="Times New Roman"/>
          <w:i/>
          <w:sz w:val="24"/>
          <w:vertAlign w:val="subscript"/>
        </w:rPr>
        <w:t>adj</w:t>
      </w:r>
      <w:r w:rsidRPr="004E3455">
        <w:rPr>
          <w:rFonts w:ascii="Times New Roman" w:hAnsi="Times New Roman" w:cs="Times New Roman"/>
          <w:i/>
          <w:sz w:val="24"/>
        </w:rPr>
        <w:t xml:space="preserve"> 5,326 izsaka kā 5,32; pēdējās nulles (0) uzskata par nozīmīgiem skaitļiem, piemēram, 5,3</w:t>
      </w:r>
      <w:r w:rsidRPr="004E3455">
        <w:rPr>
          <w:rFonts w:ascii="Times New Roman" w:hAnsi="Times New Roman" w:cs="Times New Roman"/>
          <w:i/>
          <w:sz w:val="24"/>
          <w:u w:val="single" w:color="000000"/>
        </w:rPr>
        <w:t>0</w:t>
      </w:r>
      <w:r w:rsidRPr="004E3455">
        <w:rPr>
          <w:rFonts w:ascii="Times New Roman" w:hAnsi="Times New Roman" w:cs="Times New Roman"/>
          <w:i/>
          <w:sz w:val="24"/>
        </w:rPr>
        <w:t>; 6,</w:t>
      </w:r>
      <w:r w:rsidRPr="004E3455">
        <w:rPr>
          <w:rFonts w:ascii="Times New Roman" w:hAnsi="Times New Roman" w:cs="Times New Roman"/>
          <w:i/>
          <w:sz w:val="24"/>
          <w:u w:val="single" w:color="000000"/>
        </w:rPr>
        <w:t>00</w:t>
      </w:r>
      <w:r w:rsidRPr="004E3455">
        <w:rPr>
          <w:rFonts w:ascii="Times New Roman" w:hAnsi="Times New Roman" w:cs="Times New Roman"/>
          <w:i/>
          <w:sz w:val="24"/>
        </w:rPr>
        <w:t>).]</w:t>
      </w:r>
    </w:p>
    <w:p w14:paraId="2B74ED1A" w14:textId="77777777" w:rsidR="000A684B" w:rsidRPr="004E3455" w:rsidRDefault="000A684B" w:rsidP="004E3455">
      <w:pPr>
        <w:widowControl/>
        <w:jc w:val="both"/>
        <w:rPr>
          <w:rFonts w:ascii="Times New Roman" w:eastAsia="Arial" w:hAnsi="Times New Roman" w:cs="Times New Roman"/>
          <w:noProof/>
          <w:sz w:val="24"/>
          <w:szCs w:val="24"/>
        </w:rPr>
      </w:pPr>
    </w:p>
    <w:p w14:paraId="12A26089" w14:textId="4D9AE8FA" w:rsidR="003C61A2" w:rsidRPr="004E3455" w:rsidRDefault="00906457" w:rsidP="004E3455">
      <w:pPr>
        <w:pStyle w:val="BodyText"/>
        <w:rPr>
          <w:rFonts w:cs="Times New Roman"/>
          <w:noProof/>
          <w:szCs w:val="24"/>
        </w:rPr>
      </w:pPr>
      <w:r w:rsidRPr="004E3455">
        <w:rPr>
          <w:rFonts w:cs="Times New Roman"/>
        </w:rPr>
        <w:t xml:space="preserve">• </w:t>
      </w:r>
      <w:r w:rsidR="000A684B" w:rsidRPr="004E3455">
        <w:rPr>
          <w:rFonts w:cs="Times New Roman"/>
        </w:rPr>
        <w:t xml:space="preserve">Ziņojot par </w:t>
      </w:r>
      <w:r w:rsidR="000A684B" w:rsidRPr="004E3455">
        <w:rPr>
          <w:rFonts w:cs="Times New Roman"/>
          <w:i/>
        </w:rPr>
        <w:t>AAF</w:t>
      </w:r>
      <w:r w:rsidR="000A684B" w:rsidRPr="004E3455">
        <w:rPr>
          <w:rFonts w:cs="Times New Roman"/>
        </w:rPr>
        <w:t xml:space="preserve"> attiecībā uz </w:t>
      </w:r>
      <w:r w:rsidR="000A684B" w:rsidRPr="004E3455">
        <w:rPr>
          <w:rFonts w:cs="Times New Roman"/>
          <w:i/>
          <w:iCs/>
        </w:rPr>
        <w:t>hCG</w:t>
      </w:r>
      <w:r w:rsidR="000A684B" w:rsidRPr="004E3455">
        <w:rPr>
          <w:rFonts w:cs="Times New Roman"/>
        </w:rPr>
        <w:t xml:space="preserve">, </w:t>
      </w:r>
      <w:r w:rsidR="000A684B" w:rsidRPr="004E3455">
        <w:rPr>
          <w:rFonts w:cs="Times New Roman"/>
          <w:u w:val="single" w:color="000000"/>
        </w:rPr>
        <w:t>laboratorija</w:t>
      </w:r>
      <w:r w:rsidR="000A684B" w:rsidRPr="004E3455">
        <w:rPr>
          <w:rFonts w:cs="Times New Roman"/>
        </w:rPr>
        <w:t xml:space="preserve"> pārbaudes ziņojumā iekļauj </w:t>
      </w:r>
      <w:r w:rsidR="000A684B" w:rsidRPr="004E3455">
        <w:rPr>
          <w:rFonts w:cs="Times New Roman"/>
          <w:i/>
          <w:iCs/>
        </w:rPr>
        <w:t>hCG</w:t>
      </w:r>
      <w:r w:rsidR="000A684B" w:rsidRPr="004E3455">
        <w:rPr>
          <w:rFonts w:cs="Times New Roman"/>
        </w:rPr>
        <w:t xml:space="preserve"> α/β heterodimēra vidējo koncentrāciju (izsakot starptautiskajās mērvienībās uz litru (IU/l) līdz trīs (3) nozīmīgajiem skaitļiem), kas iegūta, </w:t>
      </w:r>
      <w:r w:rsidR="000A684B" w:rsidRPr="004E3455">
        <w:rPr>
          <w:rFonts w:cs="Times New Roman"/>
          <w:i/>
          <w:iCs/>
          <w:u w:val="single" w:color="000000"/>
        </w:rPr>
        <w:t>CP</w:t>
      </w:r>
      <w:r w:rsidR="000A684B" w:rsidRPr="004E3455">
        <w:rPr>
          <w:rFonts w:cs="Times New Roman"/>
        </w:rPr>
        <w:t xml:space="preserve"> laikā veicot atkārtojumus, kā arī relatīvo kombinēto standarta nenoteiktību </w:t>
      </w:r>
      <w:r w:rsidR="000A684B" w:rsidRPr="004E3455">
        <w:rPr>
          <w:rFonts w:cs="Times New Roman"/>
          <w:i/>
          <w:iCs/>
        </w:rPr>
        <w:t>u</w:t>
      </w:r>
      <w:r w:rsidR="000A684B" w:rsidRPr="004E3455">
        <w:rPr>
          <w:rFonts w:cs="Times New Roman"/>
          <w:i/>
          <w:iCs/>
          <w:vertAlign w:val="subscript"/>
        </w:rPr>
        <w:t>c</w:t>
      </w:r>
      <w:r w:rsidR="000A684B" w:rsidRPr="004E3455">
        <w:rPr>
          <w:rFonts w:cs="Times New Roman"/>
        </w:rPr>
        <w:t xml:space="preserve"> (%), kuras vērtības ir tuvas </w:t>
      </w:r>
      <w:r w:rsidR="000A684B" w:rsidRPr="004E3455">
        <w:rPr>
          <w:rFonts w:cs="Times New Roman"/>
          <w:i/>
          <w:iCs/>
        </w:rPr>
        <w:t>DL</w:t>
      </w:r>
      <w:r w:rsidR="000A684B" w:rsidRPr="004E3455">
        <w:rPr>
          <w:rFonts w:cs="Times New Roman"/>
        </w:rPr>
        <w:t xml:space="preserve">, ko noteikusi </w:t>
      </w:r>
      <w:r w:rsidR="000A684B" w:rsidRPr="004E3455">
        <w:rPr>
          <w:rFonts w:cs="Times New Roman"/>
          <w:u w:val="single" w:color="000000"/>
        </w:rPr>
        <w:t>laboratorija</w:t>
      </w:r>
      <w:r w:rsidR="000A684B" w:rsidRPr="004E3455">
        <w:rPr>
          <w:rFonts w:cs="Times New Roman"/>
        </w:rPr>
        <w:t xml:space="preserve"> metodes validācijas laikā.</w:t>
      </w:r>
    </w:p>
    <w:p w14:paraId="6DA4DD10" w14:textId="77777777" w:rsidR="00493604" w:rsidRPr="004E3455" w:rsidRDefault="00493604" w:rsidP="004E3455">
      <w:pPr>
        <w:pStyle w:val="BodyText"/>
        <w:rPr>
          <w:rFonts w:cs="Times New Roman"/>
          <w:noProof/>
        </w:rPr>
      </w:pPr>
    </w:p>
    <w:p w14:paraId="7A5E3458" w14:textId="622A8D71" w:rsidR="003C61A2" w:rsidRPr="004E3455" w:rsidRDefault="000A684B" w:rsidP="004E3455">
      <w:pPr>
        <w:pStyle w:val="BodyText"/>
        <w:rPr>
          <w:rFonts w:cs="Times New Roman"/>
          <w:noProof/>
          <w:szCs w:val="24"/>
        </w:rPr>
      </w:pPr>
      <w:r w:rsidRPr="004E3455">
        <w:rPr>
          <w:rFonts w:cs="Times New Roman"/>
        </w:rPr>
        <w:t xml:space="preserve">• Ja iegūts </w:t>
      </w:r>
      <w:r w:rsidRPr="004E3455">
        <w:rPr>
          <w:rFonts w:cs="Times New Roman"/>
          <w:i/>
        </w:rPr>
        <w:t>AAF</w:t>
      </w:r>
      <w:r w:rsidRPr="004E3455">
        <w:rPr>
          <w:rFonts w:cs="Times New Roman"/>
        </w:rPr>
        <w:t xml:space="preserve"> attiecībā uz </w:t>
      </w:r>
      <w:r w:rsidRPr="004E3455">
        <w:rPr>
          <w:rFonts w:cs="Times New Roman"/>
          <w:i/>
          <w:iCs/>
        </w:rPr>
        <w:t>hCG</w:t>
      </w:r>
      <w:r w:rsidRPr="004E3455">
        <w:rPr>
          <w:rFonts w:cs="Times New Roman"/>
        </w:rPr>
        <w:t xml:space="preserve">, pārbaudes ziņojumam pievieno piezīmi ar ieteikumu </w:t>
      </w:r>
      <w:r w:rsidRPr="004E3455">
        <w:rPr>
          <w:rFonts w:cs="Times New Roman"/>
          <w:i/>
        </w:rPr>
        <w:t>ADO</w:t>
      </w:r>
      <w:r w:rsidRPr="004E3455">
        <w:rPr>
          <w:rFonts w:cs="Times New Roman"/>
        </w:rPr>
        <w:t xml:space="preserve"> paziņot </w:t>
      </w:r>
      <w:r w:rsidRPr="004E3455">
        <w:rPr>
          <w:rFonts w:cs="Times New Roman"/>
          <w:i/>
        </w:rPr>
        <w:t>sportistam</w:t>
      </w:r>
      <w:r w:rsidRPr="004E3455">
        <w:rPr>
          <w:rFonts w:cs="Times New Roman"/>
        </w:rPr>
        <w:t xml:space="preserve">, ka viņam ir jāveic klīniskie izmeklējumi, lai izslēgtu visus patoloģiskos cēloņus, kas izraisa paaugstinātu </w:t>
      </w:r>
      <w:r w:rsidRPr="004E3455">
        <w:rPr>
          <w:rFonts w:cs="Times New Roman"/>
          <w:i/>
          <w:iCs/>
        </w:rPr>
        <w:t>hCG</w:t>
      </w:r>
      <w:r w:rsidRPr="004E3455">
        <w:rPr>
          <w:rFonts w:cs="Times New Roman"/>
        </w:rPr>
        <w:t xml:space="preserve"> koncentrāciju urīnā (skat. 1. pielikumu).</w:t>
      </w:r>
    </w:p>
    <w:p w14:paraId="15810078" w14:textId="77777777" w:rsidR="00C85890" w:rsidRPr="004E3455" w:rsidRDefault="00C85890" w:rsidP="004E3455">
      <w:pPr>
        <w:pStyle w:val="BodyText"/>
        <w:rPr>
          <w:rFonts w:cs="Times New Roman"/>
          <w:noProof/>
        </w:rPr>
      </w:pPr>
    </w:p>
    <w:p w14:paraId="0B0B063D" w14:textId="508F2DDC" w:rsidR="003C61A2" w:rsidRPr="004E3455" w:rsidRDefault="00C85890" w:rsidP="005749F3">
      <w:pPr>
        <w:pStyle w:val="BodyText"/>
        <w:keepNext/>
        <w:rPr>
          <w:rFonts w:cs="Times New Roman"/>
          <w:noProof/>
          <w:szCs w:val="24"/>
          <w:u w:color="000000"/>
        </w:rPr>
      </w:pPr>
      <w:r w:rsidRPr="004E3455">
        <w:rPr>
          <w:rFonts w:cs="Times New Roman"/>
          <w:u w:color="000000"/>
        </w:rPr>
        <w:t>ii) Negatīvs rezultāts</w:t>
      </w:r>
    </w:p>
    <w:p w14:paraId="1FDF3494" w14:textId="77777777" w:rsidR="00C85890" w:rsidRPr="004E3455" w:rsidRDefault="00C85890" w:rsidP="005749F3">
      <w:pPr>
        <w:pStyle w:val="BodyText"/>
        <w:keepNext/>
        <w:rPr>
          <w:rFonts w:cs="Times New Roman"/>
          <w:noProof/>
          <w:u w:color="000000"/>
        </w:rPr>
      </w:pPr>
    </w:p>
    <w:p w14:paraId="7919CFA0" w14:textId="29615462" w:rsidR="003C61A2" w:rsidRPr="004E3455" w:rsidRDefault="000A684B" w:rsidP="005749F3">
      <w:pPr>
        <w:pStyle w:val="BodyText"/>
        <w:keepN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paziņo apstiprināšanas rezultātu attiecībā uz </w:t>
      </w:r>
      <w:r w:rsidRPr="004E3455">
        <w:rPr>
          <w:rFonts w:cs="Times New Roman"/>
          <w:i/>
          <w:iCs/>
        </w:rPr>
        <w:t>hCG</w:t>
      </w:r>
      <w:r w:rsidRPr="004E3455">
        <w:rPr>
          <w:rFonts w:cs="Times New Roman"/>
        </w:rPr>
        <w:t xml:space="preserve"> kā </w:t>
      </w:r>
      <w:r w:rsidRPr="004E3455">
        <w:rPr>
          <w:rFonts w:cs="Times New Roman"/>
          <w:u w:val="single" w:color="000000"/>
        </w:rPr>
        <w:t>negatīvu rezultātu</w:t>
      </w:r>
      <w:r w:rsidRPr="004E3455">
        <w:rPr>
          <w:rFonts w:cs="Times New Roman"/>
        </w:rPr>
        <w:t xml:space="preserve">, ja </w:t>
      </w:r>
      <w:r w:rsidRPr="004E3455">
        <w:rPr>
          <w:rFonts w:cs="Times New Roman"/>
          <w:i/>
          <w:iCs/>
          <w:u w:val="single" w:color="000000"/>
        </w:rPr>
        <w:t>CP</w:t>
      </w:r>
      <w:r w:rsidRPr="004E3455">
        <w:rPr>
          <w:rFonts w:cs="Times New Roman"/>
        </w:rPr>
        <w:t xml:space="preserve"> laikā tiek konstatēta </w:t>
      </w:r>
      <w:r w:rsidRPr="004E3455">
        <w:rPr>
          <w:rFonts w:cs="Times New Roman"/>
          <w:i/>
          <w:iCs/>
        </w:rPr>
        <w:t>hCG</w:t>
      </w:r>
      <w:r w:rsidRPr="004E3455">
        <w:rPr>
          <w:rFonts w:cs="Times New Roman"/>
        </w:rPr>
        <w:t xml:space="preserve"> α/β heterodimēru koncentrācija, kas ir vienāda ar 5,00 IU/l vai mazāka par to (≤), veicot imūntestus, vai vienāda ar 2,00 IU/l vai mazāka par to, izmantojot </w:t>
      </w:r>
      <w:r w:rsidRPr="004E3455">
        <w:rPr>
          <w:rFonts w:cs="Times New Roman"/>
          <w:i/>
          <w:iCs/>
        </w:rPr>
        <w:t>LC-MS/MS</w:t>
      </w:r>
      <w:r w:rsidRPr="004E3455">
        <w:rPr>
          <w:rFonts w:cs="Times New Roman"/>
        </w:rPr>
        <w:t xml:space="preserve"> pārbaudes metodes, vai vienāda ar koriģēto </w:t>
      </w:r>
      <w:r w:rsidRPr="004E3455">
        <w:rPr>
          <w:rFonts w:cs="Times New Roman"/>
          <w:i/>
        </w:rPr>
        <w:t>DL</w:t>
      </w:r>
      <w:r w:rsidRPr="004E3455">
        <w:rPr>
          <w:rFonts w:cs="Times New Roman"/>
        </w:rPr>
        <w:t xml:space="preserve"> vērtību vai mazāka par to (≤), ja </w:t>
      </w:r>
      <w:r w:rsidRPr="004E3455">
        <w:rPr>
          <w:rFonts w:cs="Times New Roman"/>
          <w:i/>
        </w:rPr>
        <w:t>SG</w:t>
      </w:r>
      <w:r w:rsidRPr="004E3455">
        <w:rPr>
          <w:rFonts w:cs="Times New Roman"/>
        </w:rPr>
        <w:t> &gt; 1,018.</w:t>
      </w:r>
    </w:p>
    <w:p w14:paraId="15EF09FF" w14:textId="77777777" w:rsidR="00A96DF5" w:rsidRPr="004E3455" w:rsidRDefault="00A96DF5" w:rsidP="004E3455">
      <w:pPr>
        <w:pStyle w:val="BodyText"/>
        <w:rPr>
          <w:rFonts w:cs="Times New Roman"/>
          <w:noProof/>
        </w:rPr>
      </w:pPr>
    </w:p>
    <w:p w14:paraId="6E3F24A2" w14:textId="519E74F5" w:rsidR="003C61A2" w:rsidRPr="004E3455" w:rsidRDefault="000A684B" w:rsidP="004E3455">
      <w:pPr>
        <w:pStyle w:val="BodyText"/>
        <w:rPr>
          <w:rFonts w:cs="Times New Roman"/>
          <w:noProof/>
          <w:szCs w:val="24"/>
        </w:rPr>
      </w:pPr>
      <w:r w:rsidRPr="004E3455">
        <w:rPr>
          <w:rFonts w:cs="Times New Roman"/>
        </w:rPr>
        <w:t xml:space="preserve">• </w:t>
      </w:r>
      <w:r w:rsidRPr="004E3455">
        <w:rPr>
          <w:rFonts w:cs="Times New Roman"/>
          <w:i/>
          <w:iCs/>
          <w:u w:val="single" w:color="000000"/>
        </w:rPr>
        <w:t>CP</w:t>
      </w:r>
      <w:r w:rsidRPr="004E3455">
        <w:rPr>
          <w:rFonts w:cs="Times New Roman"/>
          <w:u w:val="single" w:color="000000"/>
        </w:rPr>
        <w:t xml:space="preserve"> negatīvs rezultāts</w:t>
      </w:r>
      <w:r w:rsidRPr="004E3455">
        <w:rPr>
          <w:rFonts w:cs="Times New Roman"/>
        </w:rPr>
        <w:t xml:space="preserve"> attiecībā uz </w:t>
      </w:r>
      <w:r w:rsidRPr="004E3455">
        <w:rPr>
          <w:rFonts w:cs="Times New Roman"/>
          <w:i/>
          <w:iCs/>
        </w:rPr>
        <w:t>hCG</w:t>
      </w:r>
      <w:r w:rsidRPr="004E3455">
        <w:rPr>
          <w:rFonts w:cs="Times New Roman"/>
        </w:rPr>
        <w:t xml:space="preserve"> α/β heterodimēru ir saistīts ar </w:t>
      </w:r>
      <w:r w:rsidRPr="004E3455">
        <w:rPr>
          <w:rFonts w:cs="Times New Roman"/>
          <w:i/>
          <w:iCs/>
          <w:u w:val="single" w:color="000000"/>
        </w:rPr>
        <w:t>PAAF</w:t>
      </w:r>
      <w:r w:rsidRPr="004E3455">
        <w:rPr>
          <w:rFonts w:cs="Times New Roman"/>
        </w:rPr>
        <w:t xml:space="preserve">, kas attiecīgā gadījumā iegūts </w:t>
      </w:r>
      <w:r w:rsidRPr="004E3455">
        <w:rPr>
          <w:rFonts w:cs="Times New Roman"/>
          <w:i/>
          <w:iCs/>
          <w:u w:val="single" w:color="000000"/>
        </w:rPr>
        <w:t>ITP</w:t>
      </w:r>
      <w:r w:rsidRPr="004E3455">
        <w:rPr>
          <w:rFonts w:cs="Times New Roman"/>
        </w:rPr>
        <w:t xml:space="preserve"> vai nu attiecībā uz “kopējo </w:t>
      </w:r>
      <w:r w:rsidRPr="004E3455">
        <w:rPr>
          <w:rFonts w:cs="Times New Roman"/>
          <w:i/>
          <w:iCs/>
        </w:rPr>
        <w:t>hCG</w:t>
      </w:r>
      <w:r w:rsidRPr="004E3455">
        <w:rPr>
          <w:rFonts w:cs="Times New Roman"/>
        </w:rPr>
        <w:t xml:space="preserve">”, vai attiecībā uz nešķelto </w:t>
      </w:r>
      <w:r w:rsidRPr="004E3455">
        <w:rPr>
          <w:rFonts w:cs="Times New Roman"/>
          <w:i/>
          <w:iCs/>
        </w:rPr>
        <w:t>hCG</w:t>
      </w:r>
      <w:r w:rsidRPr="004E3455">
        <w:rPr>
          <w:rFonts w:cs="Times New Roman"/>
        </w:rPr>
        <w:t xml:space="preserve">. Tāpēc šajos gadījumos </w:t>
      </w:r>
      <w:r w:rsidRPr="004E3455">
        <w:rPr>
          <w:rFonts w:cs="Times New Roman"/>
          <w:u w:val="single" w:color="000000"/>
        </w:rPr>
        <w:t>laboratorija</w:t>
      </w:r>
      <w:r w:rsidRPr="004E3455">
        <w:rPr>
          <w:rFonts w:cs="Times New Roman"/>
        </w:rPr>
        <w:t xml:space="preserve"> pārbaudes ziņojumam pievieno piezīmi ar ieteikumu </w:t>
      </w:r>
      <w:r w:rsidRPr="004E3455">
        <w:rPr>
          <w:rFonts w:cs="Times New Roman"/>
          <w:i/>
        </w:rPr>
        <w:t>ADO</w:t>
      </w:r>
      <w:r w:rsidRPr="004E3455">
        <w:rPr>
          <w:rFonts w:cs="Times New Roman"/>
        </w:rPr>
        <w:t xml:space="preserve"> paziņot </w:t>
      </w:r>
      <w:r w:rsidRPr="004E3455">
        <w:rPr>
          <w:rFonts w:cs="Times New Roman"/>
          <w:i/>
        </w:rPr>
        <w:t>sportistam</w:t>
      </w:r>
      <w:r w:rsidRPr="004E3455">
        <w:rPr>
          <w:rFonts w:cs="Times New Roman"/>
        </w:rPr>
        <w:t xml:space="preserve">, ka viņam ir jāveic klīniskie izmeklējumi, lai izslēgtu iespējamību, ka paaugstinātai </w:t>
      </w:r>
      <w:r w:rsidRPr="004E3455">
        <w:rPr>
          <w:rFonts w:cs="Times New Roman"/>
          <w:i/>
          <w:iCs/>
        </w:rPr>
        <w:t>hCG</w:t>
      </w:r>
      <w:r w:rsidRPr="004E3455">
        <w:rPr>
          <w:rFonts w:cs="Times New Roman"/>
        </w:rPr>
        <w:t xml:space="preserve"> koncentrācijai urīnā ir patoloģisks cēlonis (skat. 1. pielikumu).</w:t>
      </w:r>
    </w:p>
    <w:p w14:paraId="5508AE5C" w14:textId="77777777" w:rsidR="003C61A2" w:rsidRPr="004E3455" w:rsidRDefault="003C61A2" w:rsidP="004E3455">
      <w:pPr>
        <w:widowControl/>
        <w:jc w:val="both"/>
        <w:rPr>
          <w:rFonts w:ascii="Times New Roman" w:hAnsi="Times New Roman" w:cs="Times New Roman"/>
          <w:noProof/>
          <w:sz w:val="24"/>
          <w:szCs w:val="24"/>
        </w:rPr>
      </w:pPr>
    </w:p>
    <w:p w14:paraId="65C31407" w14:textId="4F25D78A" w:rsidR="003C61A2" w:rsidRPr="004E3455" w:rsidRDefault="001F157C" w:rsidP="004E3455">
      <w:pPr>
        <w:pStyle w:val="Heading2"/>
        <w:widowControl/>
        <w:tabs>
          <w:tab w:val="left" w:pos="1055"/>
        </w:tabs>
        <w:ind w:left="0" w:firstLine="0"/>
        <w:jc w:val="both"/>
        <w:rPr>
          <w:rFonts w:ascii="Times New Roman" w:hAnsi="Times New Roman" w:cs="Times New Roman"/>
          <w:noProof/>
          <w:sz w:val="28"/>
          <w:szCs w:val="28"/>
        </w:rPr>
      </w:pPr>
      <w:r w:rsidRPr="004E3455">
        <w:rPr>
          <w:rFonts w:ascii="Times New Roman" w:hAnsi="Times New Roman" w:cs="Times New Roman"/>
          <w:sz w:val="28"/>
        </w:rPr>
        <w:t>4.2. LH rezultāti</w:t>
      </w:r>
    </w:p>
    <w:p w14:paraId="79CAB9F9" w14:textId="77777777" w:rsidR="001F157C" w:rsidRPr="004E3455" w:rsidRDefault="001F157C" w:rsidP="004E3455">
      <w:pPr>
        <w:pStyle w:val="Heading2"/>
        <w:widowControl/>
        <w:tabs>
          <w:tab w:val="left" w:pos="1055"/>
        </w:tabs>
        <w:ind w:left="0" w:firstLine="0"/>
        <w:jc w:val="both"/>
        <w:rPr>
          <w:rFonts w:ascii="Times New Roman" w:hAnsi="Times New Roman" w:cs="Times New Roman"/>
          <w:noProof/>
        </w:rPr>
      </w:pPr>
    </w:p>
    <w:p w14:paraId="07E441B0" w14:textId="7F8C1758" w:rsidR="003C61A2" w:rsidRPr="004E3455" w:rsidRDefault="003C61A2" w:rsidP="004E3455">
      <w:pPr>
        <w:pStyle w:val="BodyText"/>
        <w:rPr>
          <w:rFonts w:cs="Times New Roman"/>
          <w:noProof/>
          <w:szCs w:val="24"/>
        </w:rPr>
      </w:pPr>
      <w:r w:rsidRPr="004E3455">
        <w:rPr>
          <w:rFonts w:cs="Times New Roman"/>
        </w:rPr>
        <w:t xml:space="preserve">Urīna </w:t>
      </w:r>
      <w:r w:rsidRPr="004E3455">
        <w:rPr>
          <w:rFonts w:cs="Times New Roman"/>
          <w:i/>
        </w:rPr>
        <w:t>paraugiem</w:t>
      </w:r>
      <w:r w:rsidRPr="004E3455">
        <w:rPr>
          <w:rFonts w:cs="Times New Roman"/>
        </w:rPr>
        <w:t xml:space="preserve">, kuru </w:t>
      </w:r>
      <w:r w:rsidRPr="004E3455">
        <w:rPr>
          <w:rFonts w:cs="Times New Roman"/>
          <w:i/>
          <w:iCs/>
        </w:rPr>
        <w:t>SG</w:t>
      </w:r>
      <w:r w:rsidRPr="004E3455">
        <w:rPr>
          <w:rFonts w:cs="Times New Roman"/>
          <w:vertAlign w:val="subscript"/>
        </w:rPr>
        <w:t>Sample</w:t>
      </w:r>
      <w:r w:rsidRPr="004E3455">
        <w:rPr>
          <w:rFonts w:cs="Times New Roman"/>
        </w:rPr>
        <w:t xml:space="preserve"> &gt; 1,018, LH koncentrāciju pielīdzina atbilstīgi </w:t>
      </w:r>
      <w:r w:rsidRPr="004E3455">
        <w:rPr>
          <w:rFonts w:cs="Times New Roman"/>
          <w:i/>
          <w:iCs/>
        </w:rPr>
        <w:t>SG</w:t>
      </w:r>
      <w:r w:rsidRPr="004E3455">
        <w:rPr>
          <w:rFonts w:cs="Times New Roman"/>
        </w:rPr>
        <w:t> = 1,020.</w:t>
      </w:r>
    </w:p>
    <w:p w14:paraId="3C687C30" w14:textId="77777777" w:rsidR="00313B37" w:rsidRPr="004E3455" w:rsidRDefault="00313B37" w:rsidP="004E3455">
      <w:pPr>
        <w:pStyle w:val="BodyText"/>
        <w:rPr>
          <w:rFonts w:cs="Times New Roman"/>
          <w:noProof/>
        </w:rPr>
      </w:pPr>
    </w:p>
    <w:p w14:paraId="5AB8BB0D" w14:textId="0F710299" w:rsidR="003C61A2" w:rsidRPr="004E3455" w:rsidRDefault="003C61A2" w:rsidP="00906457">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 xml:space="preserve">[Piezīme. Urīna paraugiem, kuru </w:t>
      </w:r>
      <w:r w:rsidRPr="004E3455">
        <w:rPr>
          <w:rFonts w:ascii="Times New Roman" w:hAnsi="Times New Roman" w:cs="Times New Roman"/>
          <w:i/>
          <w:iCs/>
          <w:sz w:val="24"/>
        </w:rPr>
        <w:t>SG</w:t>
      </w:r>
      <w:r w:rsidRPr="004E3455">
        <w:rPr>
          <w:rFonts w:ascii="Times New Roman" w:hAnsi="Times New Roman" w:cs="Times New Roman"/>
          <w:i/>
          <w:sz w:val="24"/>
          <w:vertAlign w:val="subscript"/>
        </w:rPr>
        <w:t>Sample</w:t>
      </w:r>
      <w:r w:rsidRPr="004E3455">
        <w:rPr>
          <w:rFonts w:ascii="Times New Roman" w:hAnsi="Times New Roman" w:cs="Times New Roman"/>
          <w:i/>
          <w:sz w:val="24"/>
        </w:rPr>
        <w:t xml:space="preserve"> vērtības ir &gt; 1,018, LH koncentrāciju paraugā koriģē saskaņā ar 2. formulu:</w:t>
      </w:r>
    </w:p>
    <w:p w14:paraId="7D7D7428" w14:textId="50DE14CC" w:rsidR="00313B37" w:rsidRPr="004E3455" w:rsidRDefault="00313B37" w:rsidP="004E3455">
      <w:pPr>
        <w:widowControl/>
        <w:jc w:val="both"/>
        <w:rPr>
          <w:rFonts w:ascii="Times New Roman" w:hAnsi="Times New Roman" w:cs="Times New Roman"/>
          <w:i/>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75"/>
        <w:gridCol w:w="1729"/>
        <w:gridCol w:w="1553"/>
        <w:gridCol w:w="3571"/>
      </w:tblGrid>
      <w:tr w:rsidR="00313B37" w:rsidRPr="004E3455" w14:paraId="60E439F7" w14:textId="77777777" w:rsidTr="00906457">
        <w:tc>
          <w:tcPr>
            <w:tcW w:w="2275" w:type="dxa"/>
            <w:vMerge w:val="restart"/>
            <w:vAlign w:val="center"/>
          </w:tcPr>
          <w:p w14:paraId="2A49C89D" w14:textId="15866D8C" w:rsidR="00313B37" w:rsidRPr="004E3455" w:rsidRDefault="00313B37" w:rsidP="004E3455">
            <w:pPr>
              <w:widowControl/>
              <w:jc w:val="center"/>
              <w:rPr>
                <w:rFonts w:ascii="Times New Roman" w:hAnsi="Times New Roman" w:cs="Times New Roman"/>
                <w:iCs/>
                <w:noProof/>
                <w:sz w:val="24"/>
                <w:szCs w:val="24"/>
              </w:rPr>
            </w:pPr>
            <w:r w:rsidRPr="004E3455">
              <w:rPr>
                <w:rFonts w:ascii="Times New Roman" w:hAnsi="Times New Roman" w:cs="Times New Roman"/>
                <w:sz w:val="24"/>
              </w:rPr>
              <w:t>(2. formula)</w:t>
            </w:r>
          </w:p>
        </w:tc>
        <w:tc>
          <w:tcPr>
            <w:tcW w:w="1729" w:type="dxa"/>
            <w:vMerge w:val="restart"/>
            <w:vAlign w:val="center"/>
          </w:tcPr>
          <w:p w14:paraId="6BA1E62E" w14:textId="6F7D51D4" w:rsidR="00313B37" w:rsidRPr="004E3455" w:rsidRDefault="000E175C" w:rsidP="004E3455">
            <w:pPr>
              <w:widowControl/>
              <w:jc w:val="center"/>
              <w:rPr>
                <w:rFonts w:ascii="Times New Roman" w:hAnsi="Times New Roman" w:cs="Times New Roman"/>
                <w:iCs/>
                <w:noProof/>
                <w:sz w:val="24"/>
                <w:szCs w:val="24"/>
              </w:rPr>
            </w:pPr>
            <w:r w:rsidRPr="004E3455">
              <w:rPr>
                <w:rFonts w:ascii="Times New Roman" w:hAnsi="Times New Roman" w:cs="Times New Roman"/>
                <w:i/>
                <w:iCs/>
                <w:sz w:val="24"/>
              </w:rPr>
              <w:t>Conc</w:t>
            </w:r>
            <w:r w:rsidRPr="004E3455">
              <w:rPr>
                <w:rFonts w:ascii="Times New Roman" w:hAnsi="Times New Roman" w:cs="Times New Roman"/>
                <w:i/>
                <w:iCs/>
                <w:sz w:val="24"/>
                <w:vertAlign w:val="subscript"/>
              </w:rPr>
              <w:t>adj</w:t>
            </w:r>
            <w:r w:rsidRPr="004E3455">
              <w:rPr>
                <w:rFonts w:ascii="Times New Roman" w:hAnsi="Times New Roman" w:cs="Times New Roman"/>
                <w:sz w:val="24"/>
              </w:rPr>
              <w:t> =</w:t>
            </w:r>
          </w:p>
        </w:tc>
        <w:tc>
          <w:tcPr>
            <w:tcW w:w="1553" w:type="dxa"/>
            <w:vAlign w:val="center"/>
          </w:tcPr>
          <w:p w14:paraId="3D0866ED" w14:textId="7615E28A" w:rsidR="00313B37" w:rsidRPr="004E3455" w:rsidRDefault="00A43228" w:rsidP="004E3455">
            <w:pPr>
              <w:widowControl/>
              <w:jc w:val="center"/>
              <w:rPr>
                <w:rFonts w:ascii="Times New Roman" w:hAnsi="Times New Roman" w:cs="Times New Roman"/>
                <w:i/>
                <w:noProof/>
                <w:sz w:val="24"/>
                <w:szCs w:val="24"/>
              </w:rPr>
            </w:pPr>
            <w:r w:rsidRPr="004E3455">
              <w:rPr>
                <w:rFonts w:ascii="Times New Roman" w:hAnsi="Times New Roman" w:cs="Times New Roman"/>
                <w:sz w:val="24"/>
              </w:rPr>
              <w:t>(1,020 – 1)</w:t>
            </w:r>
          </w:p>
        </w:tc>
        <w:tc>
          <w:tcPr>
            <w:tcW w:w="3571" w:type="dxa"/>
            <w:vMerge w:val="restart"/>
            <w:vAlign w:val="center"/>
          </w:tcPr>
          <w:p w14:paraId="06616173" w14:textId="15043793" w:rsidR="00313B37" w:rsidRPr="004E3455" w:rsidRDefault="00313B37" w:rsidP="00906457">
            <w:pPr>
              <w:widowControl/>
              <w:rPr>
                <w:rFonts w:ascii="Times New Roman" w:hAnsi="Times New Roman" w:cs="Times New Roman"/>
                <w:iCs/>
                <w:noProof/>
                <w:sz w:val="24"/>
                <w:szCs w:val="24"/>
              </w:rPr>
            </w:pPr>
            <w:r w:rsidRPr="004E3455">
              <w:rPr>
                <w:rFonts w:ascii="Times New Roman" w:hAnsi="Times New Roman" w:cs="Times New Roman"/>
                <w:sz w:val="24"/>
              </w:rPr>
              <w:t xml:space="preserve">· </w:t>
            </w:r>
            <w:r w:rsidRPr="004E3455">
              <w:rPr>
                <w:rFonts w:ascii="Times New Roman" w:hAnsi="Times New Roman" w:cs="Times New Roman"/>
                <w:i/>
                <w:iCs/>
                <w:sz w:val="24"/>
              </w:rPr>
              <w:t>Conc</w:t>
            </w:r>
            <w:r w:rsidRPr="004E3455">
              <w:rPr>
                <w:rFonts w:ascii="Times New Roman" w:hAnsi="Times New Roman" w:cs="Times New Roman"/>
                <w:i/>
                <w:iCs/>
                <w:sz w:val="24"/>
                <w:vertAlign w:val="subscript"/>
              </w:rPr>
              <w:t>measured</w:t>
            </w:r>
          </w:p>
        </w:tc>
      </w:tr>
      <w:tr w:rsidR="00313B37" w:rsidRPr="004E3455" w14:paraId="77635CED" w14:textId="77777777" w:rsidTr="00906457">
        <w:tc>
          <w:tcPr>
            <w:tcW w:w="2275" w:type="dxa"/>
            <w:vMerge/>
          </w:tcPr>
          <w:p w14:paraId="2E90939F" w14:textId="77777777" w:rsidR="00313B37" w:rsidRPr="004E3455" w:rsidRDefault="00313B37" w:rsidP="004E3455">
            <w:pPr>
              <w:widowControl/>
              <w:jc w:val="both"/>
              <w:rPr>
                <w:rFonts w:ascii="Times New Roman" w:hAnsi="Times New Roman" w:cs="Times New Roman"/>
                <w:i/>
                <w:noProof/>
                <w:sz w:val="24"/>
                <w:szCs w:val="24"/>
              </w:rPr>
            </w:pPr>
          </w:p>
        </w:tc>
        <w:tc>
          <w:tcPr>
            <w:tcW w:w="1729" w:type="dxa"/>
            <w:vMerge/>
          </w:tcPr>
          <w:p w14:paraId="7B7BFAE6" w14:textId="77777777" w:rsidR="00313B37" w:rsidRPr="004E3455" w:rsidRDefault="00313B37" w:rsidP="004E3455">
            <w:pPr>
              <w:widowControl/>
              <w:jc w:val="both"/>
              <w:rPr>
                <w:rFonts w:ascii="Times New Roman" w:hAnsi="Times New Roman" w:cs="Times New Roman"/>
                <w:i/>
                <w:noProof/>
                <w:sz w:val="24"/>
                <w:szCs w:val="24"/>
              </w:rPr>
            </w:pPr>
          </w:p>
        </w:tc>
        <w:tc>
          <w:tcPr>
            <w:tcW w:w="1553" w:type="dxa"/>
            <w:vAlign w:val="center"/>
          </w:tcPr>
          <w:p w14:paraId="5E5535F9" w14:textId="7124D946" w:rsidR="00313B37" w:rsidRPr="004E3455" w:rsidRDefault="00A43228" w:rsidP="004E3455">
            <w:pPr>
              <w:widowControl/>
              <w:jc w:val="center"/>
              <w:rPr>
                <w:rFonts w:ascii="Times New Roman" w:hAnsi="Times New Roman" w:cs="Times New Roman"/>
                <w:iCs/>
                <w:noProof/>
                <w:sz w:val="24"/>
                <w:szCs w:val="24"/>
              </w:rPr>
            </w:pPr>
            <w:r w:rsidRPr="004E3455">
              <w:rPr>
                <w:rFonts w:ascii="Times New Roman" w:hAnsi="Times New Roman" w:cs="Times New Roman"/>
                <w:i/>
                <w:iCs/>
                <w:sz w:val="24"/>
              </w:rPr>
              <w:t>SG</w:t>
            </w:r>
            <w:r w:rsidRPr="004E3455">
              <w:rPr>
                <w:rFonts w:ascii="Times New Roman" w:hAnsi="Times New Roman" w:cs="Times New Roman"/>
                <w:i/>
                <w:iCs/>
                <w:sz w:val="24"/>
                <w:vertAlign w:val="subscript"/>
              </w:rPr>
              <w:t>Sample_Max</w:t>
            </w:r>
            <w:r w:rsidRPr="004E3455">
              <w:rPr>
                <w:rFonts w:ascii="Times New Roman" w:hAnsi="Times New Roman" w:cs="Times New Roman"/>
                <w:sz w:val="24"/>
              </w:rPr>
              <w:t> – 1</w:t>
            </w:r>
          </w:p>
        </w:tc>
        <w:tc>
          <w:tcPr>
            <w:tcW w:w="3571" w:type="dxa"/>
            <w:vMerge/>
          </w:tcPr>
          <w:p w14:paraId="06048B5F" w14:textId="77777777" w:rsidR="00313B37" w:rsidRPr="004E3455" w:rsidRDefault="00313B37" w:rsidP="004E3455">
            <w:pPr>
              <w:widowControl/>
              <w:jc w:val="both"/>
              <w:rPr>
                <w:rFonts w:ascii="Times New Roman" w:hAnsi="Times New Roman" w:cs="Times New Roman"/>
                <w:i/>
                <w:noProof/>
                <w:sz w:val="24"/>
                <w:szCs w:val="24"/>
              </w:rPr>
            </w:pPr>
          </w:p>
        </w:tc>
      </w:tr>
    </w:tbl>
    <w:p w14:paraId="39F0F0C0" w14:textId="77777777" w:rsidR="00313B37" w:rsidRPr="004E3455" w:rsidRDefault="00313B37" w:rsidP="004E3455">
      <w:pPr>
        <w:widowControl/>
        <w:jc w:val="both"/>
        <w:rPr>
          <w:rFonts w:ascii="Times New Roman" w:hAnsi="Times New Roman" w:cs="Times New Roman"/>
          <w:i/>
          <w:noProof/>
          <w:sz w:val="24"/>
          <w:szCs w:val="24"/>
        </w:rPr>
      </w:pPr>
    </w:p>
    <w:p w14:paraId="5F915181" w14:textId="77777777" w:rsidR="003C61A2" w:rsidRPr="004E3455" w:rsidRDefault="003C61A2" w:rsidP="00906457">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Norādījumus par SG</w:t>
      </w:r>
      <w:r w:rsidRPr="004E3455">
        <w:rPr>
          <w:rFonts w:ascii="Times New Roman" w:hAnsi="Times New Roman" w:cs="Times New Roman"/>
          <w:i/>
          <w:sz w:val="24"/>
          <w:vertAlign w:val="subscript"/>
        </w:rPr>
        <w:t>Sample_Max</w:t>
      </w:r>
      <w:r w:rsidRPr="004E3455">
        <w:rPr>
          <w:rFonts w:ascii="Times New Roman" w:hAnsi="Times New Roman" w:cs="Times New Roman"/>
          <w:i/>
          <w:sz w:val="24"/>
        </w:rPr>
        <w:t xml:space="preserve"> aprēķināšanu skat. spēkā esošajā TD DL</w:t>
      </w:r>
      <w:r w:rsidRPr="004E3455">
        <w:rPr>
          <w:rFonts w:ascii="Times New Roman" w:hAnsi="Times New Roman" w:cs="Times New Roman"/>
          <w:i/>
          <w:sz w:val="24"/>
          <w:vertAlign w:val="superscript"/>
        </w:rPr>
        <w:t>[3]</w:t>
      </w:r>
      <w:r w:rsidRPr="004E3455">
        <w:rPr>
          <w:rFonts w:ascii="Times New Roman" w:hAnsi="Times New Roman" w:cs="Times New Roman"/>
          <w:i/>
          <w:sz w:val="24"/>
        </w:rPr>
        <w:t>.]</w:t>
      </w:r>
    </w:p>
    <w:p w14:paraId="64F0A5BE" w14:textId="0A3E4EFE" w:rsidR="003C61A2" w:rsidRPr="004E3455" w:rsidRDefault="003C61A2" w:rsidP="004E3455">
      <w:pPr>
        <w:widowControl/>
        <w:jc w:val="both"/>
        <w:rPr>
          <w:rFonts w:ascii="Times New Roman" w:eastAsia="Arial" w:hAnsi="Times New Roman" w:cs="Times New Roman"/>
          <w:i/>
          <w:noProof/>
          <w:sz w:val="24"/>
          <w:szCs w:val="24"/>
        </w:rPr>
      </w:pPr>
    </w:p>
    <w:p w14:paraId="7F1348BB" w14:textId="147389B5" w:rsidR="003C61A2" w:rsidRPr="004E3455" w:rsidRDefault="00185C2E" w:rsidP="004E3455">
      <w:pPr>
        <w:pStyle w:val="BodyText"/>
        <w:rPr>
          <w:rFonts w:cs="Times New Roman"/>
          <w:noProof/>
          <w:szCs w:val="24"/>
        </w:rPr>
      </w:pPr>
      <w:r w:rsidRPr="004E3455">
        <w:rPr>
          <w:rFonts w:cs="Times New Roman"/>
          <w:u w:color="000000"/>
        </w:rPr>
        <w:t>4.2.1.</w:t>
      </w:r>
      <w:r w:rsidRPr="004E3455">
        <w:rPr>
          <w:rFonts w:cs="Times New Roman"/>
        </w:rPr>
        <w:t xml:space="preserve"> </w:t>
      </w:r>
      <w:r w:rsidRPr="004E3455">
        <w:rPr>
          <w:rFonts w:cs="Times New Roman"/>
          <w:i/>
          <w:iCs/>
          <w:u w:val="single" w:color="000000"/>
        </w:rPr>
        <w:t>ITP</w:t>
      </w:r>
      <w:r w:rsidRPr="004E3455">
        <w:rPr>
          <w:rFonts w:cs="Times New Roman"/>
        </w:rPr>
        <w:t xml:space="preserve"> rezultāti</w:t>
      </w:r>
    </w:p>
    <w:p w14:paraId="21DA1E8E" w14:textId="77777777" w:rsidR="003C61A2" w:rsidRPr="004E3455" w:rsidRDefault="003C61A2" w:rsidP="004E3455">
      <w:pPr>
        <w:widowControl/>
        <w:jc w:val="both"/>
        <w:rPr>
          <w:rFonts w:ascii="Times New Roman" w:eastAsia="Arial" w:hAnsi="Times New Roman" w:cs="Times New Roman"/>
          <w:noProof/>
          <w:sz w:val="24"/>
          <w:szCs w:val="24"/>
        </w:rPr>
      </w:pPr>
    </w:p>
    <w:p w14:paraId="47D2E15C" w14:textId="200C3A5E" w:rsidR="003C61A2" w:rsidRPr="004E3455" w:rsidRDefault="00185C2E" w:rsidP="004E3455">
      <w:pPr>
        <w:widowControl/>
        <w:tabs>
          <w:tab w:val="left" w:pos="1067"/>
        </w:tabs>
        <w:jc w:val="both"/>
        <w:rPr>
          <w:rFonts w:ascii="Times New Roman" w:hAnsi="Times New Roman" w:cs="Times New Roman"/>
          <w:noProof/>
          <w:sz w:val="24"/>
          <w:szCs w:val="24"/>
        </w:rPr>
      </w:pPr>
      <w:r w:rsidRPr="004E3455">
        <w:rPr>
          <w:rFonts w:ascii="Times New Roman" w:hAnsi="Times New Roman" w:cs="Times New Roman"/>
          <w:sz w:val="24"/>
        </w:rPr>
        <w:t xml:space="preserve">i) </w:t>
      </w:r>
      <w:r w:rsidRPr="004E3455">
        <w:rPr>
          <w:rFonts w:ascii="Times New Roman" w:hAnsi="Times New Roman" w:cs="Times New Roman"/>
          <w:sz w:val="24"/>
          <w:u w:val="single" w:color="000000"/>
        </w:rPr>
        <w:t>Varbūtējs</w:t>
      </w:r>
      <w:r w:rsidRPr="004E3455">
        <w:rPr>
          <w:rFonts w:ascii="Times New Roman" w:hAnsi="Times New Roman" w:cs="Times New Roman"/>
          <w:i/>
          <w:iCs/>
          <w:sz w:val="24"/>
          <w:u w:val="single" w:color="000000"/>
        </w:rPr>
        <w:t xml:space="preserve"> nelabvēlīgs analīžu rezultāts</w:t>
      </w:r>
      <w:r w:rsidRPr="004E3455">
        <w:rPr>
          <w:rFonts w:ascii="Times New Roman" w:hAnsi="Times New Roman" w:cs="Times New Roman"/>
          <w:sz w:val="24"/>
        </w:rPr>
        <w:t xml:space="preserve"> (</w:t>
      </w:r>
      <w:r w:rsidRPr="004E3455">
        <w:rPr>
          <w:rFonts w:ascii="Times New Roman" w:hAnsi="Times New Roman" w:cs="Times New Roman"/>
          <w:i/>
          <w:sz w:val="24"/>
          <w:u w:val="single" w:color="000000"/>
        </w:rPr>
        <w:t>PAAF</w:t>
      </w:r>
      <w:r w:rsidRPr="004E3455">
        <w:rPr>
          <w:rFonts w:ascii="Times New Roman" w:hAnsi="Times New Roman" w:cs="Times New Roman"/>
          <w:sz w:val="24"/>
        </w:rPr>
        <w:t>)</w:t>
      </w:r>
    </w:p>
    <w:p w14:paraId="1027F373" w14:textId="77777777" w:rsidR="00185C2E" w:rsidRPr="004E3455" w:rsidRDefault="00185C2E" w:rsidP="004E3455">
      <w:pPr>
        <w:widowControl/>
        <w:tabs>
          <w:tab w:val="left" w:pos="1067"/>
        </w:tabs>
        <w:jc w:val="both"/>
        <w:rPr>
          <w:rFonts w:ascii="Times New Roman" w:eastAsia="Arial" w:hAnsi="Times New Roman" w:cs="Times New Roman"/>
          <w:noProof/>
          <w:sz w:val="24"/>
          <w:szCs w:val="24"/>
        </w:rPr>
      </w:pPr>
    </w:p>
    <w:p w14:paraId="001C73F9" w14:textId="64DC356C" w:rsidR="003C61A2" w:rsidRPr="004E3455" w:rsidRDefault="00185C2E" w:rsidP="005749F3">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izdara slēdzienu par </w:t>
      </w:r>
      <w:r w:rsidRPr="004E3455">
        <w:rPr>
          <w:rFonts w:cs="Times New Roman"/>
          <w:i/>
          <w:iCs/>
          <w:u w:val="single" w:color="000000"/>
        </w:rPr>
        <w:t>PAAF</w:t>
      </w:r>
      <w:r w:rsidRPr="004E3455">
        <w:rPr>
          <w:rFonts w:cs="Times New Roman"/>
        </w:rPr>
        <w:t xml:space="preserve"> attiecībā uz LH, ja </w:t>
      </w:r>
      <w:r w:rsidRPr="004E3455">
        <w:rPr>
          <w:rFonts w:cs="Times New Roman"/>
          <w:i/>
          <w:iCs/>
          <w:u w:val="single" w:color="000000"/>
        </w:rPr>
        <w:t>ITP</w:t>
      </w:r>
      <w:r w:rsidRPr="004E3455">
        <w:rPr>
          <w:rFonts w:cs="Times New Roman"/>
        </w:rPr>
        <w:t xml:space="preserve"> izmērītā kopējā LH koncentrācija (pēc korekcijas, ja urīna </w:t>
      </w:r>
      <w:r w:rsidRPr="004E3455">
        <w:rPr>
          <w:rFonts w:cs="Times New Roman"/>
          <w:i/>
          <w:iCs/>
        </w:rPr>
        <w:t>SG</w:t>
      </w:r>
      <w:r w:rsidRPr="004E3455">
        <w:rPr>
          <w:rFonts w:cs="Times New Roman"/>
        </w:rPr>
        <w:t xml:space="preserve"> &gt; 1,018) ir lielāka par (&gt;) 60,0 IU/l, lietojot </w:t>
      </w:r>
      <w:r w:rsidRPr="004E3455">
        <w:rPr>
          <w:rFonts w:cs="Times New Roman"/>
          <w:i/>
          <w:iCs/>
        </w:rPr>
        <w:t>Immulite</w:t>
      </w:r>
      <w:r w:rsidRPr="004E3455">
        <w:rPr>
          <w:rFonts w:cs="Times New Roman"/>
        </w:rPr>
        <w:t xml:space="preserve"> pārbaudes metodi, vai lielāka par (&gt;) 40,0 IU/l, piemērojot </w:t>
      </w:r>
      <w:r w:rsidRPr="004E3455">
        <w:rPr>
          <w:rFonts w:cs="Times New Roman"/>
          <w:i/>
          <w:iCs/>
        </w:rPr>
        <w:t>DELFIA</w:t>
      </w:r>
      <w:r w:rsidRPr="004E3455">
        <w:rPr>
          <w:rFonts w:cs="Times New Roman"/>
        </w:rPr>
        <w:t xml:space="preserve"> pārbaudes metodi.</w:t>
      </w:r>
    </w:p>
    <w:p w14:paraId="6EFA6964" w14:textId="77777777" w:rsidR="000A55CD" w:rsidRPr="004E3455" w:rsidRDefault="000A55CD" w:rsidP="005749F3">
      <w:pPr>
        <w:pStyle w:val="BodyText"/>
        <w:rPr>
          <w:rFonts w:cs="Times New Roman"/>
          <w:noProof/>
        </w:rPr>
      </w:pPr>
    </w:p>
    <w:p w14:paraId="5E99B9FF" w14:textId="70FF272A" w:rsidR="003C61A2" w:rsidRPr="004E3455" w:rsidRDefault="00185C2E" w:rsidP="005749F3">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w:t>
      </w:r>
      <w:r w:rsidRPr="004E3455">
        <w:rPr>
          <w:rFonts w:cs="Times New Roman"/>
          <w:i/>
        </w:rPr>
        <w:t>ADAMS</w:t>
      </w:r>
      <w:r w:rsidRPr="004E3455">
        <w:rPr>
          <w:rFonts w:cs="Times New Roman"/>
        </w:rPr>
        <w:t xml:space="preserve"> sistēmā ziņo izmērīto kopējā LH koncentrāciju, kas izteikta saīsināti līdz trīs (3) nozīmīgajiem skaitļiem (pēdējās nulles (0) uzskata par nozīmīgiem skaitļiem, piemēram, 45,</w:t>
      </w:r>
      <w:r w:rsidRPr="004E3455">
        <w:rPr>
          <w:rFonts w:cs="Times New Roman"/>
          <w:u w:val="single" w:color="000000"/>
        </w:rPr>
        <w:t>0</w:t>
      </w:r>
      <w:r w:rsidRPr="004E3455">
        <w:rPr>
          <w:rFonts w:cs="Times New Roman"/>
        </w:rPr>
        <w:t>; 11</w:t>
      </w:r>
      <w:r w:rsidRPr="004E3455">
        <w:rPr>
          <w:rFonts w:cs="Times New Roman"/>
          <w:u w:val="single" w:color="000000"/>
        </w:rPr>
        <w:t>0</w:t>
      </w:r>
      <w:r w:rsidRPr="004E3455">
        <w:rPr>
          <w:rFonts w:cs="Times New Roman"/>
        </w:rPr>
        <w:t>).</w:t>
      </w:r>
    </w:p>
    <w:p w14:paraId="4A8161BA" w14:textId="77777777" w:rsidR="003C61A2" w:rsidRPr="004E3455" w:rsidRDefault="003C61A2" w:rsidP="004E3455">
      <w:pPr>
        <w:widowControl/>
        <w:jc w:val="both"/>
        <w:rPr>
          <w:rFonts w:ascii="Times New Roman" w:eastAsia="Arial" w:hAnsi="Times New Roman" w:cs="Times New Roman"/>
          <w:noProof/>
          <w:sz w:val="24"/>
          <w:szCs w:val="24"/>
        </w:rPr>
      </w:pPr>
    </w:p>
    <w:p w14:paraId="608EE89F" w14:textId="5C05183A" w:rsidR="003C61A2" w:rsidRPr="004E3455" w:rsidRDefault="000A55CD" w:rsidP="004E3455">
      <w:pPr>
        <w:pStyle w:val="BodyText"/>
        <w:rPr>
          <w:rFonts w:cs="Times New Roman"/>
          <w:noProof/>
          <w:szCs w:val="24"/>
          <w:u w:color="000000"/>
        </w:rPr>
      </w:pPr>
      <w:r w:rsidRPr="004E3455">
        <w:rPr>
          <w:rFonts w:cs="Times New Roman"/>
          <w:u w:color="000000"/>
        </w:rPr>
        <w:t>ii) Negatīvs rezultāts</w:t>
      </w:r>
    </w:p>
    <w:p w14:paraId="4A7F489B" w14:textId="77777777" w:rsidR="000A55CD" w:rsidRPr="004E3455" w:rsidRDefault="000A55CD" w:rsidP="004E3455">
      <w:pPr>
        <w:pStyle w:val="BodyText"/>
        <w:rPr>
          <w:rFonts w:cs="Times New Roman"/>
          <w:noProof/>
          <w:u w:color="000000"/>
        </w:rPr>
      </w:pPr>
    </w:p>
    <w:p w14:paraId="54BA6E6F" w14:textId="764563D7" w:rsidR="003C61A2" w:rsidRPr="004E3455" w:rsidRDefault="00185C2E" w:rsidP="005749F3">
      <w:pPr>
        <w:pStyle w:val="BodyText"/>
        <w:rPr>
          <w:rFonts w:cs="Times New Roman"/>
          <w:noProof/>
          <w:szCs w:val="24"/>
        </w:rPr>
      </w:pPr>
      <w:r w:rsidRPr="004E3455">
        <w:rPr>
          <w:rFonts w:cs="Times New Roman"/>
        </w:rPr>
        <w:t xml:space="preserve">• </w:t>
      </w:r>
      <w:r w:rsidRPr="004E3455">
        <w:rPr>
          <w:rFonts w:cs="Times New Roman"/>
          <w:u w:val="single" w:color="000000"/>
        </w:rPr>
        <w:t>Laboratorija</w:t>
      </w:r>
      <w:r w:rsidRPr="004E3455">
        <w:rPr>
          <w:rFonts w:cs="Times New Roman"/>
        </w:rPr>
        <w:t xml:space="preserve"> uzskata rezultātu attiecībā uz LH par </w:t>
      </w:r>
      <w:r w:rsidRPr="004E3455">
        <w:rPr>
          <w:rFonts w:cs="Times New Roman"/>
          <w:u w:val="single" w:color="000000"/>
        </w:rPr>
        <w:t>negatīvu rezultātu</w:t>
      </w:r>
      <w:r w:rsidRPr="004E3455">
        <w:rPr>
          <w:rFonts w:cs="Times New Roman"/>
        </w:rPr>
        <w:t xml:space="preserve">, ja </w:t>
      </w:r>
      <w:r w:rsidRPr="004E3455">
        <w:rPr>
          <w:rFonts w:cs="Times New Roman"/>
          <w:i/>
          <w:iCs/>
          <w:u w:val="single" w:color="000000"/>
        </w:rPr>
        <w:t>ITP</w:t>
      </w:r>
      <w:r w:rsidRPr="004E3455">
        <w:rPr>
          <w:rFonts w:cs="Times New Roman"/>
        </w:rPr>
        <w:t xml:space="preserve"> izmērītā kopējā LH koncentrācija (pēc korekcijas, ja urīna </w:t>
      </w:r>
      <w:r w:rsidRPr="004E3455">
        <w:rPr>
          <w:rFonts w:cs="Times New Roman"/>
          <w:i/>
          <w:iCs/>
        </w:rPr>
        <w:t>SG</w:t>
      </w:r>
      <w:r w:rsidRPr="004E3455">
        <w:rPr>
          <w:rFonts w:cs="Times New Roman"/>
        </w:rPr>
        <w:t xml:space="preserve"> &gt; 1,018) ir vienāda ar 60,0 IU/l vai mazāka par to (≤), izmantojot </w:t>
      </w:r>
      <w:r w:rsidRPr="004E3455">
        <w:rPr>
          <w:rFonts w:cs="Times New Roman"/>
          <w:i/>
          <w:iCs/>
        </w:rPr>
        <w:t>Immulite</w:t>
      </w:r>
      <w:r w:rsidRPr="004E3455">
        <w:rPr>
          <w:rFonts w:cs="Times New Roman"/>
        </w:rPr>
        <w:t xml:space="preserve"> pārbaudes metodi, vai vienāda ar 40 IU/l vai mazāka par to (≤), piemērojot </w:t>
      </w:r>
      <w:r w:rsidRPr="004E3455">
        <w:rPr>
          <w:rFonts w:cs="Times New Roman"/>
          <w:i/>
          <w:iCs/>
        </w:rPr>
        <w:t>DELFIA</w:t>
      </w:r>
      <w:r w:rsidRPr="004E3455">
        <w:rPr>
          <w:rFonts w:cs="Times New Roman"/>
        </w:rPr>
        <w:t xml:space="preserve"> pārbaudes metodi.</w:t>
      </w:r>
    </w:p>
    <w:p w14:paraId="5F141C46" w14:textId="77777777" w:rsidR="00CF2692" w:rsidRPr="004E3455" w:rsidRDefault="00CF2692" w:rsidP="005749F3">
      <w:pPr>
        <w:pStyle w:val="BodyText"/>
        <w:rPr>
          <w:rFonts w:cs="Times New Roman"/>
          <w:noProof/>
        </w:rPr>
      </w:pPr>
    </w:p>
    <w:p w14:paraId="0F2B6E58" w14:textId="50B1D48B" w:rsidR="003C61A2" w:rsidRPr="004E3455" w:rsidRDefault="00CF2692" w:rsidP="005749F3">
      <w:pPr>
        <w:pStyle w:val="BodyText"/>
        <w:rPr>
          <w:rFonts w:cs="Times New Roman"/>
          <w:noProof/>
          <w:szCs w:val="24"/>
        </w:rPr>
      </w:pPr>
      <w:r w:rsidRPr="004E3455">
        <w:rPr>
          <w:rFonts w:cs="Times New Roman"/>
        </w:rPr>
        <w:t xml:space="preserve">• Gadījumos, kad </w:t>
      </w:r>
      <w:r w:rsidRPr="004E3455">
        <w:rPr>
          <w:rFonts w:cs="Times New Roman"/>
          <w:i/>
        </w:rPr>
        <w:t>paraugā</w:t>
      </w:r>
      <w:r w:rsidRPr="004E3455">
        <w:rPr>
          <w:rFonts w:cs="Times New Roman"/>
        </w:rPr>
        <w:t xml:space="preserve"> LH nav iespējams konstatēt, </w:t>
      </w:r>
      <w:r w:rsidRPr="004E3455">
        <w:rPr>
          <w:rFonts w:cs="Times New Roman"/>
          <w:u w:val="single" w:color="000000"/>
        </w:rPr>
        <w:t>laboratorija</w:t>
      </w:r>
      <w:r w:rsidRPr="004E3455">
        <w:rPr>
          <w:rFonts w:cs="Times New Roman"/>
        </w:rPr>
        <w:t xml:space="preserve"> </w:t>
      </w:r>
      <w:r w:rsidRPr="004E3455">
        <w:rPr>
          <w:rFonts w:cs="Times New Roman"/>
          <w:i/>
        </w:rPr>
        <w:t>ADAMS</w:t>
      </w:r>
      <w:r w:rsidRPr="004E3455">
        <w:rPr>
          <w:rFonts w:cs="Times New Roman"/>
        </w:rPr>
        <w:t xml:space="preserve"> sistēmā ziņo, ka “LH koncentrācija bija zemāka nekā </w:t>
      </w:r>
      <w:r w:rsidRPr="004E3455">
        <w:rPr>
          <w:rFonts w:cs="Times New Roman"/>
          <w:u w:val="single" w:color="000000"/>
        </w:rPr>
        <w:t>noteikšanas robeža</w:t>
      </w:r>
      <w:r w:rsidRPr="004E3455">
        <w:rPr>
          <w:rFonts w:cs="Times New Roman"/>
        </w:rPr>
        <w:t xml:space="preserve"> (</w:t>
      </w:r>
      <w:r w:rsidRPr="004E3455">
        <w:rPr>
          <w:rFonts w:cs="Times New Roman"/>
          <w:i/>
          <w:iCs/>
          <w:u w:val="single" w:color="000000"/>
        </w:rPr>
        <w:t>LOD</w:t>
      </w:r>
      <w:r w:rsidRPr="004E3455">
        <w:rPr>
          <w:rFonts w:cs="Times New Roman"/>
        </w:rPr>
        <w:t xml:space="preserve">)”, un norāda piemērojamo </w:t>
      </w:r>
      <w:r w:rsidRPr="004E3455">
        <w:rPr>
          <w:rFonts w:cs="Times New Roman"/>
          <w:i/>
          <w:iCs/>
          <w:u w:val="single" w:color="000000"/>
        </w:rPr>
        <w:t>LOD</w:t>
      </w:r>
      <w:r w:rsidRPr="004E3455">
        <w:rPr>
          <w:rFonts w:cs="Times New Roman"/>
        </w:rPr>
        <w:t>.</w:t>
      </w:r>
    </w:p>
    <w:p w14:paraId="1034ED87" w14:textId="5133B688" w:rsidR="003C61A2" w:rsidRPr="004E3455" w:rsidRDefault="003C61A2" w:rsidP="004E3455">
      <w:pPr>
        <w:widowControl/>
        <w:jc w:val="both"/>
        <w:rPr>
          <w:rFonts w:ascii="Times New Roman" w:eastAsia="Arial" w:hAnsi="Times New Roman" w:cs="Times New Roman"/>
          <w:noProof/>
          <w:sz w:val="24"/>
          <w:szCs w:val="24"/>
        </w:rPr>
      </w:pPr>
    </w:p>
    <w:p w14:paraId="5989196D" w14:textId="399D6AAA" w:rsidR="003C61A2" w:rsidRPr="004E3455" w:rsidRDefault="00CF2692" w:rsidP="004E3455">
      <w:pPr>
        <w:pStyle w:val="BodyText"/>
        <w:rPr>
          <w:rFonts w:cs="Times New Roman"/>
          <w:noProof/>
          <w:szCs w:val="24"/>
        </w:rPr>
      </w:pPr>
      <w:r w:rsidRPr="004E3455">
        <w:rPr>
          <w:rFonts w:cs="Times New Roman"/>
          <w:u w:color="000000"/>
        </w:rPr>
        <w:t>4.2.2.</w:t>
      </w:r>
      <w:r w:rsidRPr="004E3455">
        <w:rPr>
          <w:rFonts w:cs="Times New Roman"/>
        </w:rPr>
        <w:t xml:space="preserve"> </w:t>
      </w:r>
      <w:r w:rsidRPr="004E3455">
        <w:rPr>
          <w:rFonts w:cs="Times New Roman"/>
          <w:i/>
          <w:iCs/>
          <w:u w:val="single" w:color="000000"/>
        </w:rPr>
        <w:t>CP</w:t>
      </w:r>
      <w:r w:rsidRPr="004E3455">
        <w:rPr>
          <w:rFonts w:cs="Times New Roman"/>
        </w:rPr>
        <w:t xml:space="preserve"> rezultāti</w:t>
      </w:r>
    </w:p>
    <w:p w14:paraId="6711D6CB" w14:textId="77777777" w:rsidR="00CF2692" w:rsidRPr="004E3455" w:rsidRDefault="00CF2692" w:rsidP="004E3455">
      <w:pPr>
        <w:pStyle w:val="BodyText"/>
        <w:rPr>
          <w:rFonts w:cs="Times New Roman"/>
          <w:noProof/>
        </w:rPr>
      </w:pPr>
    </w:p>
    <w:p w14:paraId="7BA14C13" w14:textId="14245798" w:rsidR="003C61A2" w:rsidRPr="004E3455" w:rsidRDefault="00CF2692" w:rsidP="004E3455">
      <w:pPr>
        <w:widowControl/>
        <w:tabs>
          <w:tab w:val="left" w:pos="920"/>
        </w:tabs>
        <w:jc w:val="both"/>
        <w:rPr>
          <w:rFonts w:ascii="Times New Roman" w:hAnsi="Times New Roman" w:cs="Times New Roman"/>
          <w:noProof/>
          <w:sz w:val="24"/>
          <w:szCs w:val="24"/>
        </w:rPr>
      </w:pPr>
      <w:r w:rsidRPr="004E3455">
        <w:rPr>
          <w:rFonts w:ascii="Times New Roman" w:hAnsi="Times New Roman" w:cs="Times New Roman"/>
          <w:sz w:val="24"/>
        </w:rPr>
        <w:t xml:space="preserve">i) </w:t>
      </w:r>
      <w:r w:rsidRPr="004E3455">
        <w:rPr>
          <w:rFonts w:ascii="Times New Roman" w:hAnsi="Times New Roman" w:cs="Times New Roman"/>
          <w:i/>
          <w:sz w:val="24"/>
        </w:rPr>
        <w:t>Nelabvēlīgs analīžu rezultāts</w:t>
      </w:r>
      <w:r w:rsidRPr="004E3455">
        <w:rPr>
          <w:rFonts w:ascii="Times New Roman" w:hAnsi="Times New Roman" w:cs="Times New Roman"/>
          <w:sz w:val="24"/>
        </w:rPr>
        <w:t xml:space="preserve"> (</w:t>
      </w:r>
      <w:r w:rsidRPr="004E3455">
        <w:rPr>
          <w:rFonts w:ascii="Times New Roman" w:hAnsi="Times New Roman" w:cs="Times New Roman"/>
          <w:i/>
          <w:sz w:val="24"/>
        </w:rPr>
        <w:t>AAF</w:t>
      </w:r>
      <w:r w:rsidRPr="004E3455">
        <w:rPr>
          <w:rFonts w:ascii="Times New Roman" w:hAnsi="Times New Roman" w:cs="Times New Roman"/>
          <w:sz w:val="24"/>
        </w:rPr>
        <w:t>)</w:t>
      </w:r>
    </w:p>
    <w:p w14:paraId="51410D74" w14:textId="77777777" w:rsidR="00CF2692" w:rsidRPr="004E3455" w:rsidRDefault="00CF2692" w:rsidP="004E3455">
      <w:pPr>
        <w:widowControl/>
        <w:tabs>
          <w:tab w:val="left" w:pos="920"/>
        </w:tabs>
        <w:jc w:val="both"/>
        <w:rPr>
          <w:rFonts w:ascii="Times New Roman" w:eastAsia="Arial" w:hAnsi="Times New Roman" w:cs="Times New Roman"/>
          <w:noProof/>
          <w:sz w:val="24"/>
          <w:szCs w:val="24"/>
        </w:rPr>
      </w:pPr>
    </w:p>
    <w:p w14:paraId="75F0812A" w14:textId="12CEC096" w:rsidR="003C61A2" w:rsidRPr="004E3455" w:rsidRDefault="00185C2E" w:rsidP="004E3455">
      <w:pPr>
        <w:pStyle w:val="BodyText"/>
        <w:rPr>
          <w:rFonts w:cs="Times New Roman"/>
          <w:noProof/>
          <w:szCs w:val="24"/>
        </w:rPr>
      </w:pPr>
      <w:r w:rsidRPr="004E3455">
        <w:rPr>
          <w:rFonts w:cs="Times New Roman"/>
        </w:rPr>
        <w:t xml:space="preserve">Ja attiecībā uz LH iegūts </w:t>
      </w:r>
      <w:r w:rsidRPr="004E3455">
        <w:rPr>
          <w:rFonts w:cs="Times New Roman"/>
          <w:i/>
          <w:iCs/>
          <w:u w:val="single" w:color="000000"/>
        </w:rPr>
        <w:t>PAAF</w:t>
      </w:r>
      <w:r w:rsidRPr="004E3455">
        <w:rPr>
          <w:rFonts w:cs="Times New Roman"/>
        </w:rPr>
        <w:t xml:space="preserve"> un ir veiktas pārbaudes, lai noteiktu gonadotropīna atbrīvotājfaktoru, antiestrogēnisku vielu un aromatāzes inhibitoru klātbūtni, </w:t>
      </w:r>
      <w:r w:rsidRPr="004E3455">
        <w:rPr>
          <w:rFonts w:cs="Times New Roman"/>
          <w:u w:val="single" w:color="000000"/>
        </w:rPr>
        <w:t>laboratorija</w:t>
      </w:r>
      <w:r w:rsidRPr="004E3455">
        <w:rPr>
          <w:rFonts w:cs="Times New Roman"/>
        </w:rPr>
        <w:t xml:space="preserve"> ziņo par </w:t>
      </w:r>
      <w:r w:rsidRPr="004E3455">
        <w:rPr>
          <w:rFonts w:cs="Times New Roman"/>
          <w:i/>
        </w:rPr>
        <w:t>AAF</w:t>
      </w:r>
      <w:r w:rsidRPr="004E3455">
        <w:rPr>
          <w:rFonts w:cs="Times New Roman"/>
        </w:rPr>
        <w:t xml:space="preserve">, ja </w:t>
      </w:r>
      <w:r w:rsidRPr="004E3455">
        <w:rPr>
          <w:rFonts w:cs="Times New Roman"/>
          <w:i/>
        </w:rPr>
        <w:t>paraugā</w:t>
      </w:r>
      <w:r w:rsidRPr="004E3455">
        <w:rPr>
          <w:rFonts w:cs="Times New Roman"/>
        </w:rPr>
        <w:t xml:space="preserve"> ir apstiprināta kāda no šīm </w:t>
      </w:r>
      <w:r w:rsidRPr="004E3455">
        <w:rPr>
          <w:rFonts w:cs="Times New Roman"/>
          <w:i/>
        </w:rPr>
        <w:t>aizliegtajām vielām</w:t>
      </w:r>
      <w:r w:rsidRPr="004E3455">
        <w:rPr>
          <w:rFonts w:cs="Times New Roman"/>
        </w:rPr>
        <w:t xml:space="preserve"> (saskaņā ar </w:t>
      </w:r>
      <w:r w:rsidRPr="004E3455">
        <w:rPr>
          <w:rFonts w:cs="Times New Roman"/>
          <w:i/>
          <w:iCs/>
        </w:rPr>
        <w:t>TD IDCR</w:t>
      </w:r>
      <w:r w:rsidRPr="004E3455">
        <w:rPr>
          <w:rFonts w:cs="Times New Roman"/>
          <w:vertAlign w:val="superscript"/>
        </w:rPr>
        <w:t>[4]</w:t>
      </w:r>
      <w:r w:rsidRPr="004E3455">
        <w:rPr>
          <w:rFonts w:cs="Times New Roman"/>
        </w:rPr>
        <w:t xml:space="preserve">). Turklāt </w:t>
      </w:r>
      <w:r w:rsidRPr="004E3455">
        <w:rPr>
          <w:rFonts w:cs="Times New Roman"/>
          <w:u w:val="single" w:color="000000"/>
        </w:rPr>
        <w:t>laboratorija</w:t>
      </w:r>
      <w:r w:rsidRPr="004E3455">
        <w:rPr>
          <w:rFonts w:cs="Times New Roman"/>
        </w:rPr>
        <w:t xml:space="preserve"> paziņo aplēsto LH koncentrāciju (kas izteikta saīsināti līdz trīs (3) nozīmīgajiem skaitļiem).</w:t>
      </w:r>
    </w:p>
    <w:p w14:paraId="3D75F0C4" w14:textId="77777777" w:rsidR="003C61A2" w:rsidRPr="004E3455" w:rsidRDefault="003C61A2" w:rsidP="004E3455">
      <w:pPr>
        <w:widowControl/>
        <w:jc w:val="both"/>
        <w:rPr>
          <w:rFonts w:ascii="Times New Roman" w:hAnsi="Times New Roman" w:cs="Times New Roman"/>
          <w:noProof/>
          <w:sz w:val="24"/>
          <w:szCs w:val="24"/>
        </w:rPr>
      </w:pPr>
    </w:p>
    <w:p w14:paraId="5BDFFE7B" w14:textId="2B8575CF" w:rsidR="003C61A2" w:rsidRPr="004E3455" w:rsidRDefault="007D0006" w:rsidP="004E3455">
      <w:pPr>
        <w:widowControl/>
        <w:tabs>
          <w:tab w:val="left" w:pos="920"/>
        </w:tabs>
        <w:jc w:val="both"/>
        <w:rPr>
          <w:rFonts w:ascii="Times New Roman" w:hAnsi="Times New Roman" w:cs="Times New Roman"/>
          <w:noProof/>
          <w:sz w:val="24"/>
          <w:szCs w:val="24"/>
        </w:rPr>
      </w:pPr>
      <w:r w:rsidRPr="004E3455">
        <w:rPr>
          <w:rFonts w:ascii="Times New Roman" w:hAnsi="Times New Roman" w:cs="Times New Roman"/>
          <w:sz w:val="24"/>
        </w:rPr>
        <w:t xml:space="preserve">ii) </w:t>
      </w:r>
      <w:r w:rsidRPr="004E3455">
        <w:rPr>
          <w:rFonts w:ascii="Times New Roman" w:hAnsi="Times New Roman" w:cs="Times New Roman"/>
          <w:i/>
          <w:sz w:val="24"/>
        </w:rPr>
        <w:t>Netipiska atrade</w:t>
      </w:r>
      <w:r w:rsidRPr="004E3455">
        <w:rPr>
          <w:rFonts w:ascii="Times New Roman" w:hAnsi="Times New Roman" w:cs="Times New Roman"/>
          <w:sz w:val="24"/>
        </w:rPr>
        <w:t xml:space="preserve"> (</w:t>
      </w:r>
      <w:r w:rsidRPr="004E3455">
        <w:rPr>
          <w:rFonts w:ascii="Times New Roman" w:hAnsi="Times New Roman" w:cs="Times New Roman"/>
          <w:i/>
          <w:sz w:val="24"/>
        </w:rPr>
        <w:t>ATF</w:t>
      </w:r>
      <w:r w:rsidRPr="004E3455">
        <w:rPr>
          <w:rFonts w:ascii="Times New Roman" w:hAnsi="Times New Roman" w:cs="Times New Roman"/>
          <w:sz w:val="24"/>
        </w:rPr>
        <w:t>)</w:t>
      </w:r>
    </w:p>
    <w:p w14:paraId="3A055639" w14:textId="77777777" w:rsidR="007D0006" w:rsidRPr="004E3455" w:rsidRDefault="007D0006" w:rsidP="004E3455">
      <w:pPr>
        <w:widowControl/>
        <w:tabs>
          <w:tab w:val="left" w:pos="920"/>
        </w:tabs>
        <w:jc w:val="both"/>
        <w:rPr>
          <w:rFonts w:ascii="Times New Roman" w:eastAsia="Arial" w:hAnsi="Times New Roman" w:cs="Times New Roman"/>
          <w:noProof/>
          <w:sz w:val="24"/>
          <w:szCs w:val="24"/>
        </w:rPr>
      </w:pPr>
    </w:p>
    <w:p w14:paraId="3B32ABBF" w14:textId="1B80E163" w:rsidR="003C61A2" w:rsidRPr="004E3455" w:rsidRDefault="007D0006" w:rsidP="004E3455">
      <w:pPr>
        <w:pStyle w:val="BodyText"/>
        <w:rPr>
          <w:rFonts w:cs="Times New Roman"/>
          <w:noProof/>
          <w:szCs w:val="24"/>
        </w:rPr>
      </w:pPr>
      <w:r w:rsidRPr="004E3455">
        <w:rPr>
          <w:rFonts w:cs="Times New Roman"/>
        </w:rPr>
        <w:t xml:space="preserve">• Ja attiecībā uz LH ir iegūts </w:t>
      </w:r>
      <w:r w:rsidRPr="004E3455">
        <w:rPr>
          <w:rFonts w:cs="Times New Roman"/>
          <w:i/>
          <w:iCs/>
          <w:u w:val="single" w:color="000000"/>
        </w:rPr>
        <w:t>PAAF</w:t>
      </w:r>
      <w:r w:rsidRPr="004E3455">
        <w:rPr>
          <w:rFonts w:cs="Times New Roman"/>
        </w:rPr>
        <w:t xml:space="preserve"> un pārbaudēs, kas veiktas, lai noteiktu gonadotropīna atbrīvotājfaktoru, antiestrogēnisku vielu un aromatāzes inhibitoru klātbūtni, ir iegūti negatīvi rezultāti, </w:t>
      </w:r>
      <w:r w:rsidRPr="004E3455">
        <w:rPr>
          <w:rFonts w:cs="Times New Roman"/>
          <w:u w:val="single" w:color="000000"/>
        </w:rPr>
        <w:t>laboratorija</w:t>
      </w:r>
      <w:r w:rsidRPr="004E3455">
        <w:rPr>
          <w:rFonts w:cs="Times New Roman"/>
        </w:rPr>
        <w:t xml:space="preserve"> ziņo, ka </w:t>
      </w:r>
      <w:r w:rsidRPr="004E3455">
        <w:rPr>
          <w:rFonts w:cs="Times New Roman"/>
          <w:i/>
        </w:rPr>
        <w:t>paraugam</w:t>
      </w:r>
      <w:r w:rsidRPr="004E3455">
        <w:rPr>
          <w:rFonts w:cs="Times New Roman"/>
        </w:rPr>
        <w:t xml:space="preserve"> konstatēta </w:t>
      </w:r>
      <w:r w:rsidRPr="004E3455">
        <w:rPr>
          <w:rFonts w:cs="Times New Roman"/>
          <w:i/>
        </w:rPr>
        <w:t>ATF</w:t>
      </w:r>
      <w:r w:rsidRPr="004E3455">
        <w:rPr>
          <w:rFonts w:cs="Times New Roman"/>
        </w:rPr>
        <w:t xml:space="preserve">. </w:t>
      </w:r>
      <w:r w:rsidRPr="004E3455">
        <w:rPr>
          <w:rFonts w:cs="Times New Roman"/>
          <w:u w:val="single" w:color="000000"/>
        </w:rPr>
        <w:t>Laboratorija</w:t>
      </w:r>
      <w:r w:rsidRPr="004E3455">
        <w:rPr>
          <w:rFonts w:cs="Times New Roman"/>
        </w:rPr>
        <w:t xml:space="preserve"> paziņo aplēsto LH koncentrāciju (kas izteikta saīsināti līdz trīs (3) nozīmīgajiem skaitļiem).</w:t>
      </w:r>
    </w:p>
    <w:p w14:paraId="21F389EB" w14:textId="77777777" w:rsidR="003C61A2" w:rsidRPr="004E3455" w:rsidRDefault="003C61A2" w:rsidP="004E3455">
      <w:pPr>
        <w:widowControl/>
        <w:jc w:val="both"/>
        <w:rPr>
          <w:rFonts w:ascii="Times New Roman" w:eastAsia="Arial" w:hAnsi="Times New Roman" w:cs="Times New Roman"/>
          <w:noProof/>
          <w:sz w:val="24"/>
          <w:szCs w:val="24"/>
        </w:rPr>
      </w:pPr>
    </w:p>
    <w:p w14:paraId="16FEB372" w14:textId="1E921746" w:rsidR="003C61A2" w:rsidRPr="004E3455" w:rsidRDefault="00CE37E0" w:rsidP="004E3455">
      <w:pPr>
        <w:widowControl/>
        <w:tabs>
          <w:tab w:val="left" w:pos="1096"/>
        </w:tabs>
        <w:jc w:val="both"/>
        <w:rPr>
          <w:rFonts w:ascii="Times New Roman" w:hAnsi="Times New Roman" w:cs="Times New Roman"/>
          <w:b/>
          <w:i/>
          <w:noProof/>
          <w:sz w:val="28"/>
          <w:szCs w:val="28"/>
        </w:rPr>
      </w:pPr>
      <w:bookmarkStart w:id="5" w:name="5.0___Results_Management"/>
      <w:bookmarkEnd w:id="5"/>
      <w:r w:rsidRPr="004E3455">
        <w:rPr>
          <w:rFonts w:ascii="Times New Roman" w:hAnsi="Times New Roman" w:cs="Times New Roman"/>
          <w:b/>
          <w:sz w:val="28"/>
        </w:rPr>
        <w:t xml:space="preserve">5.0. </w:t>
      </w:r>
      <w:r w:rsidRPr="004E3455">
        <w:rPr>
          <w:rFonts w:ascii="Times New Roman" w:hAnsi="Times New Roman" w:cs="Times New Roman"/>
          <w:b/>
          <w:i/>
          <w:iCs/>
          <w:sz w:val="28"/>
        </w:rPr>
        <w:t>Rezultātu pārvaldība</w:t>
      </w:r>
    </w:p>
    <w:p w14:paraId="6593A5D4" w14:textId="77777777" w:rsidR="00CE37E0" w:rsidRPr="004E3455" w:rsidRDefault="00CE37E0" w:rsidP="004E3455">
      <w:pPr>
        <w:widowControl/>
        <w:tabs>
          <w:tab w:val="left" w:pos="1096"/>
        </w:tabs>
        <w:jc w:val="both"/>
        <w:rPr>
          <w:rFonts w:ascii="Times New Roman" w:hAnsi="Times New Roman" w:cs="Times New Roman"/>
          <w:b/>
          <w:i/>
          <w:noProof/>
          <w:sz w:val="24"/>
          <w:szCs w:val="24"/>
        </w:rPr>
      </w:pPr>
    </w:p>
    <w:p w14:paraId="08BAAE02" w14:textId="63264AC8" w:rsidR="003C61A2" w:rsidRPr="004E3455" w:rsidRDefault="00CE37E0" w:rsidP="004E3455">
      <w:pPr>
        <w:widowControl/>
        <w:jc w:val="both"/>
        <w:rPr>
          <w:rFonts w:ascii="Times New Roman" w:hAnsi="Times New Roman" w:cs="Times New Roman"/>
          <w:noProof/>
          <w:sz w:val="24"/>
          <w:szCs w:val="24"/>
        </w:rPr>
      </w:pPr>
      <w:r w:rsidRPr="004E3455">
        <w:rPr>
          <w:rFonts w:ascii="Times New Roman" w:hAnsi="Times New Roman" w:cs="Times New Roman"/>
          <w:sz w:val="24"/>
        </w:rPr>
        <w:t xml:space="preserve">5.1. </w:t>
      </w:r>
      <w:r w:rsidRPr="004E3455">
        <w:rPr>
          <w:rFonts w:ascii="Times New Roman" w:hAnsi="Times New Roman" w:cs="Times New Roman"/>
          <w:i/>
          <w:iCs/>
          <w:sz w:val="24"/>
        </w:rPr>
        <w:t>hCG</w:t>
      </w:r>
      <w:r w:rsidRPr="004E3455">
        <w:rPr>
          <w:rFonts w:ascii="Times New Roman" w:hAnsi="Times New Roman" w:cs="Times New Roman"/>
          <w:sz w:val="24"/>
        </w:rPr>
        <w:t xml:space="preserve"> rezultāti</w:t>
      </w:r>
    </w:p>
    <w:p w14:paraId="4F0FC91A" w14:textId="77777777" w:rsidR="00CE37E0" w:rsidRPr="004E3455" w:rsidRDefault="00CE37E0" w:rsidP="004E3455">
      <w:pPr>
        <w:widowControl/>
        <w:jc w:val="both"/>
        <w:rPr>
          <w:rFonts w:ascii="Times New Roman" w:eastAsia="Arial" w:hAnsi="Times New Roman" w:cs="Times New Roman"/>
          <w:noProof/>
          <w:sz w:val="24"/>
          <w:szCs w:val="24"/>
        </w:rPr>
      </w:pPr>
    </w:p>
    <w:p w14:paraId="7CB23C91" w14:textId="38846BD3" w:rsidR="003C61A2" w:rsidRPr="004E3455" w:rsidRDefault="007D0006" w:rsidP="004E3455">
      <w:pPr>
        <w:widowControl/>
        <w:tabs>
          <w:tab w:val="left" w:pos="921"/>
        </w:tabs>
        <w:jc w:val="both"/>
        <w:rPr>
          <w:rFonts w:ascii="Times New Roman" w:eastAsia="Arial" w:hAnsi="Times New Roman" w:cs="Times New Roman"/>
          <w:noProof/>
          <w:sz w:val="24"/>
          <w:szCs w:val="24"/>
        </w:rPr>
      </w:pPr>
      <w:r w:rsidRPr="004E3455">
        <w:rPr>
          <w:rFonts w:ascii="Times New Roman" w:hAnsi="Times New Roman" w:cs="Times New Roman"/>
          <w:sz w:val="24"/>
        </w:rPr>
        <w:t xml:space="preserve">• Ja attiecībā uz </w:t>
      </w:r>
      <w:r w:rsidRPr="004E3455">
        <w:rPr>
          <w:rFonts w:ascii="Times New Roman" w:hAnsi="Times New Roman" w:cs="Times New Roman"/>
          <w:i/>
          <w:iCs/>
          <w:sz w:val="24"/>
        </w:rPr>
        <w:t>paraugu</w:t>
      </w:r>
      <w:r w:rsidRPr="004E3455">
        <w:rPr>
          <w:rFonts w:ascii="Times New Roman" w:hAnsi="Times New Roman" w:cs="Times New Roman"/>
          <w:sz w:val="24"/>
        </w:rPr>
        <w:t xml:space="preserve"> tiek paziņots </w:t>
      </w:r>
      <w:r w:rsidRPr="004E3455">
        <w:rPr>
          <w:rFonts w:ascii="Times New Roman" w:hAnsi="Times New Roman" w:cs="Times New Roman"/>
          <w:i/>
          <w:iCs/>
          <w:sz w:val="24"/>
        </w:rPr>
        <w:t>AAF</w:t>
      </w:r>
      <w:r w:rsidRPr="004E3455">
        <w:rPr>
          <w:rFonts w:ascii="Times New Roman" w:hAnsi="Times New Roman" w:cs="Times New Roman"/>
          <w:sz w:val="24"/>
        </w:rPr>
        <w:t xml:space="preserve"> attiecībā uz </w:t>
      </w:r>
      <w:r w:rsidRPr="004E3455">
        <w:rPr>
          <w:rFonts w:ascii="Times New Roman" w:hAnsi="Times New Roman" w:cs="Times New Roman"/>
          <w:i/>
          <w:iCs/>
          <w:sz w:val="24"/>
        </w:rPr>
        <w:t>hCG</w:t>
      </w:r>
      <w:r w:rsidRPr="004E3455">
        <w:rPr>
          <w:rFonts w:ascii="Times New Roman" w:hAnsi="Times New Roman" w:cs="Times New Roman"/>
          <w:sz w:val="24"/>
        </w:rPr>
        <w:t xml:space="preserve"> vai </w:t>
      </w:r>
      <w:r w:rsidRPr="004E3455">
        <w:rPr>
          <w:rFonts w:ascii="Times New Roman" w:hAnsi="Times New Roman" w:cs="Times New Roman"/>
          <w:sz w:val="24"/>
          <w:u w:val="single" w:color="000000"/>
        </w:rPr>
        <w:t>negatīvs rezultāts</w:t>
      </w:r>
      <w:r w:rsidRPr="004E3455">
        <w:rPr>
          <w:rFonts w:ascii="Times New Roman" w:hAnsi="Times New Roman" w:cs="Times New Roman"/>
          <w:sz w:val="24"/>
        </w:rPr>
        <w:t xml:space="preserve"> neapstiprinātam </w:t>
      </w:r>
      <w:r w:rsidRPr="004E3455">
        <w:rPr>
          <w:rFonts w:ascii="Times New Roman" w:hAnsi="Times New Roman" w:cs="Times New Roman"/>
          <w:i/>
          <w:iCs/>
          <w:sz w:val="24"/>
          <w:u w:val="single" w:color="000000"/>
        </w:rPr>
        <w:t>PAAF</w:t>
      </w:r>
      <w:r w:rsidRPr="004E3455">
        <w:rPr>
          <w:rFonts w:ascii="Times New Roman" w:hAnsi="Times New Roman" w:cs="Times New Roman"/>
          <w:sz w:val="24"/>
        </w:rPr>
        <w:t xml:space="preserve"> attiecībā uz nešķelto vai kopējo </w:t>
      </w:r>
      <w:r w:rsidRPr="004E3455">
        <w:rPr>
          <w:rFonts w:ascii="Times New Roman" w:hAnsi="Times New Roman" w:cs="Times New Roman"/>
          <w:i/>
          <w:iCs/>
          <w:sz w:val="24"/>
        </w:rPr>
        <w:t>hCG</w:t>
      </w:r>
      <w:r w:rsidRPr="004E3455">
        <w:rPr>
          <w:rFonts w:ascii="Times New Roman" w:hAnsi="Times New Roman" w:cs="Times New Roman"/>
          <w:sz w:val="24"/>
        </w:rPr>
        <w:t xml:space="preserve"> (t. i., sākotnējam </w:t>
      </w:r>
      <w:r w:rsidRPr="004E3455">
        <w:rPr>
          <w:rFonts w:ascii="Times New Roman" w:hAnsi="Times New Roman" w:cs="Times New Roman"/>
          <w:i/>
          <w:iCs/>
          <w:sz w:val="24"/>
          <w:u w:val="single" w:color="000000"/>
        </w:rPr>
        <w:t>PAAF</w:t>
      </w:r>
      <w:r w:rsidRPr="004E3455">
        <w:rPr>
          <w:rFonts w:ascii="Times New Roman" w:hAnsi="Times New Roman" w:cs="Times New Roman"/>
          <w:sz w:val="24"/>
        </w:rPr>
        <w:t xml:space="preserve"> par “kopējo” vai “nešķelto” </w:t>
      </w:r>
      <w:r w:rsidRPr="004E3455">
        <w:rPr>
          <w:rFonts w:ascii="Times New Roman" w:hAnsi="Times New Roman" w:cs="Times New Roman"/>
          <w:i/>
          <w:iCs/>
          <w:sz w:val="24"/>
        </w:rPr>
        <w:t>hCG</w:t>
      </w:r>
      <w:r w:rsidRPr="004E3455">
        <w:rPr>
          <w:rFonts w:ascii="Times New Roman" w:hAnsi="Times New Roman" w:cs="Times New Roman"/>
          <w:sz w:val="24"/>
        </w:rPr>
        <w:t xml:space="preserve"> seko negatīvs apstiprinājuma rezultāts attiecībā uz “nešķeltu” </w:t>
      </w:r>
      <w:r w:rsidRPr="004E3455">
        <w:rPr>
          <w:rFonts w:ascii="Times New Roman" w:hAnsi="Times New Roman" w:cs="Times New Roman"/>
          <w:i/>
          <w:iCs/>
          <w:sz w:val="24"/>
        </w:rPr>
        <w:t>hCG</w:t>
      </w:r>
      <w:r w:rsidRPr="004E3455">
        <w:rPr>
          <w:rFonts w:ascii="Times New Roman" w:hAnsi="Times New Roman" w:cs="Times New Roman"/>
          <w:sz w:val="24"/>
        </w:rPr>
        <w:t xml:space="preserve">), </w:t>
      </w:r>
      <w:r w:rsidRPr="004E3455">
        <w:rPr>
          <w:rFonts w:ascii="Times New Roman" w:hAnsi="Times New Roman" w:cs="Times New Roman"/>
          <w:i/>
          <w:iCs/>
          <w:sz w:val="24"/>
        </w:rPr>
        <w:t>ADO</w:t>
      </w:r>
      <w:r w:rsidRPr="004E3455">
        <w:rPr>
          <w:rFonts w:ascii="Times New Roman" w:hAnsi="Times New Roman" w:cs="Times New Roman"/>
          <w:sz w:val="24"/>
        </w:rPr>
        <w:t xml:space="preserve"> jābrīdina </w:t>
      </w:r>
      <w:r w:rsidRPr="004E3455">
        <w:rPr>
          <w:rFonts w:ascii="Times New Roman" w:hAnsi="Times New Roman" w:cs="Times New Roman"/>
          <w:i/>
          <w:iCs/>
          <w:sz w:val="24"/>
        </w:rPr>
        <w:t>sportists</w:t>
      </w:r>
      <w:r w:rsidRPr="004E3455">
        <w:rPr>
          <w:rFonts w:ascii="Times New Roman" w:hAnsi="Times New Roman" w:cs="Times New Roman"/>
          <w:sz w:val="24"/>
        </w:rPr>
        <w:t xml:space="preserve"> un jāiesaka veikt klīniskus izmeklējumus pieņemamā laika posmā, lai izslēgtu paaugstinātas </w:t>
      </w:r>
      <w:r w:rsidRPr="004E3455">
        <w:rPr>
          <w:rFonts w:ascii="Times New Roman" w:hAnsi="Times New Roman" w:cs="Times New Roman"/>
          <w:i/>
          <w:iCs/>
          <w:sz w:val="24"/>
        </w:rPr>
        <w:t>hCG</w:t>
      </w:r>
      <w:r w:rsidRPr="004E3455">
        <w:rPr>
          <w:rFonts w:ascii="Times New Roman" w:hAnsi="Times New Roman" w:cs="Times New Roman"/>
          <w:sz w:val="24"/>
        </w:rPr>
        <w:t xml:space="preserve"> koncentrācijas urīnā patoloģiskos cēloņus (skat. 1. pielikumu). </w:t>
      </w:r>
      <w:r w:rsidRPr="004E3455">
        <w:rPr>
          <w:rFonts w:ascii="Times New Roman" w:hAnsi="Times New Roman" w:cs="Times New Roman"/>
          <w:b/>
          <w:sz w:val="24"/>
        </w:rPr>
        <w:t xml:space="preserve">Klīnisko izmeklējumu laikā </w:t>
      </w:r>
      <w:r w:rsidRPr="004E3455">
        <w:rPr>
          <w:rFonts w:ascii="Times New Roman" w:hAnsi="Times New Roman" w:cs="Times New Roman"/>
          <w:b/>
          <w:i/>
          <w:sz w:val="24"/>
        </w:rPr>
        <w:t>sportistam</w:t>
      </w:r>
      <w:r w:rsidRPr="004E3455">
        <w:rPr>
          <w:rFonts w:ascii="Times New Roman" w:hAnsi="Times New Roman" w:cs="Times New Roman"/>
          <w:b/>
          <w:sz w:val="24"/>
        </w:rPr>
        <w:t xml:space="preserve"> nepiemēro </w:t>
      </w:r>
      <w:r w:rsidRPr="004E3455">
        <w:rPr>
          <w:rFonts w:ascii="Times New Roman" w:hAnsi="Times New Roman" w:cs="Times New Roman"/>
          <w:b/>
          <w:i/>
          <w:sz w:val="24"/>
        </w:rPr>
        <w:t>pagaidu aizliegumu piedalīties sacensībās</w:t>
      </w:r>
      <w:r w:rsidRPr="004E3455">
        <w:rPr>
          <w:rFonts w:ascii="Times New Roman" w:hAnsi="Times New Roman" w:cs="Times New Roman"/>
          <w:b/>
          <w:sz w:val="24"/>
        </w:rPr>
        <w:t xml:space="preserve"> saistībā ar </w:t>
      </w:r>
      <w:r w:rsidRPr="004E3455">
        <w:rPr>
          <w:rFonts w:ascii="Times New Roman" w:hAnsi="Times New Roman" w:cs="Times New Roman"/>
          <w:b/>
          <w:i/>
          <w:sz w:val="24"/>
        </w:rPr>
        <w:t>AAF</w:t>
      </w:r>
      <w:r w:rsidRPr="004E3455">
        <w:rPr>
          <w:rFonts w:ascii="Times New Roman" w:hAnsi="Times New Roman" w:cs="Times New Roman"/>
          <w:b/>
          <w:sz w:val="24"/>
        </w:rPr>
        <w:t>.</w:t>
      </w:r>
      <w:r w:rsidRPr="004E3455">
        <w:rPr>
          <w:rFonts w:ascii="Times New Roman" w:hAnsi="Times New Roman" w:cs="Times New Roman"/>
          <w:sz w:val="24"/>
        </w:rPr>
        <w:t xml:space="preserve"> Ja </w:t>
      </w:r>
      <w:r w:rsidRPr="004E3455">
        <w:rPr>
          <w:rFonts w:ascii="Times New Roman" w:hAnsi="Times New Roman" w:cs="Times New Roman"/>
          <w:i/>
          <w:sz w:val="24"/>
        </w:rPr>
        <w:t>sportistam</w:t>
      </w:r>
      <w:r w:rsidRPr="004E3455">
        <w:rPr>
          <w:rFonts w:ascii="Times New Roman" w:hAnsi="Times New Roman" w:cs="Times New Roman"/>
          <w:sz w:val="24"/>
        </w:rPr>
        <w:t xml:space="preserve"> veic klīniskos izmeklējumus, </w:t>
      </w:r>
      <w:r w:rsidRPr="004E3455">
        <w:rPr>
          <w:rFonts w:ascii="Times New Roman" w:hAnsi="Times New Roman" w:cs="Times New Roman"/>
          <w:i/>
          <w:sz w:val="24"/>
        </w:rPr>
        <w:t>ADO</w:t>
      </w:r>
      <w:r w:rsidRPr="004E3455">
        <w:rPr>
          <w:rFonts w:ascii="Times New Roman" w:hAnsi="Times New Roman" w:cs="Times New Roman"/>
          <w:sz w:val="24"/>
        </w:rPr>
        <w:t xml:space="preserve"> par to paziņo </w:t>
      </w:r>
      <w:r w:rsidRPr="004E3455">
        <w:rPr>
          <w:rFonts w:ascii="Times New Roman" w:hAnsi="Times New Roman" w:cs="Times New Roman"/>
          <w:i/>
          <w:sz w:val="24"/>
        </w:rPr>
        <w:t>WADA</w:t>
      </w:r>
      <w:r w:rsidRPr="004E3455">
        <w:rPr>
          <w:rFonts w:ascii="Times New Roman" w:hAnsi="Times New Roman" w:cs="Times New Roman"/>
          <w:sz w:val="24"/>
        </w:rPr>
        <w:t>.</w:t>
      </w:r>
    </w:p>
    <w:p w14:paraId="4B295398" w14:textId="77777777" w:rsidR="00644347" w:rsidRPr="004E3455" w:rsidRDefault="00644347" w:rsidP="004E3455">
      <w:pPr>
        <w:widowControl/>
        <w:tabs>
          <w:tab w:val="left" w:pos="921"/>
        </w:tabs>
        <w:jc w:val="both"/>
        <w:rPr>
          <w:rFonts w:ascii="Times New Roman" w:eastAsia="Arial" w:hAnsi="Times New Roman" w:cs="Times New Roman"/>
          <w:noProof/>
          <w:sz w:val="24"/>
          <w:szCs w:val="24"/>
        </w:rPr>
      </w:pPr>
    </w:p>
    <w:p w14:paraId="5CCA8F91" w14:textId="73B01684" w:rsidR="003C61A2" w:rsidRPr="004E3455" w:rsidRDefault="003C61A2" w:rsidP="00906457">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[Piezīme. Neapstiprināta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gadījumus attiecībā uz α/β heterodimērisko (“nešķelto”) hCG vai attiecībā uz “kopējo” hCG var izraisīt hCG noārdīšanās urīnā pēc parauga savākšanas. Tomēr neapstiprināts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attiecībā uz “kopējo” hCG var būt saistīts arī ar patoloģisku cēloni, jo vairums sēklinieku vēža gadījumu ir saistīti ar paaugstinātu brīvā hCGβ un hCGβ pamatfragmentu urīnā.</w:t>
      </w:r>
    </w:p>
    <w:p w14:paraId="455CAF61" w14:textId="77777777" w:rsidR="00644347" w:rsidRPr="004E3455" w:rsidRDefault="00644347" w:rsidP="004E3455">
      <w:pPr>
        <w:widowControl/>
        <w:jc w:val="both"/>
        <w:rPr>
          <w:rFonts w:ascii="Times New Roman" w:eastAsia="Arial" w:hAnsi="Times New Roman" w:cs="Times New Roman"/>
          <w:noProof/>
          <w:sz w:val="24"/>
          <w:szCs w:val="24"/>
        </w:rPr>
      </w:pPr>
    </w:p>
    <w:p w14:paraId="61F2A87B" w14:textId="626B86A1" w:rsidR="003C61A2" w:rsidRPr="004E3455" w:rsidRDefault="003C61A2" w:rsidP="00906457">
      <w:pPr>
        <w:widowControl/>
        <w:ind w:left="284"/>
        <w:jc w:val="both"/>
        <w:rPr>
          <w:rFonts w:ascii="Times New Roman" w:eastAsia="Arial" w:hAnsi="Times New Roman" w:cs="Times New Roman"/>
          <w:i/>
          <w:noProof/>
          <w:sz w:val="24"/>
          <w:szCs w:val="24"/>
        </w:rPr>
      </w:pPr>
      <w:r w:rsidRPr="004E3455">
        <w:rPr>
          <w:rFonts w:ascii="Times New Roman" w:hAnsi="Times New Roman" w:cs="Times New Roman"/>
          <w:i/>
          <w:sz w:val="24"/>
        </w:rPr>
        <w:t xml:space="preserve">Ar α/β heterodimērisku hCG saistīts AAF vai neapstiprināts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neizslēdz patoloģiska cēloņa iespējamību, jo sēklinieku vēzis ir saistīts arī ar paaugstinātu heterodimēriskā hCG koncentrāciju serumā un urīnā. Šādos gadījumos sportista pienākums ir sniegt medicīnisko informāciju vai klīniskos pierādījumus, kas apliecina, ka heterodimēriskā </w:t>
      </w:r>
      <w:r w:rsidRPr="004E3455">
        <w:rPr>
          <w:rFonts w:ascii="Times New Roman" w:hAnsi="Times New Roman" w:cs="Times New Roman"/>
          <w:i/>
          <w:iCs/>
          <w:sz w:val="24"/>
        </w:rPr>
        <w:t>hCG</w:t>
      </w:r>
      <w:r w:rsidRPr="004E3455">
        <w:rPr>
          <w:rFonts w:ascii="Times New Roman" w:hAnsi="Times New Roman" w:cs="Times New Roman"/>
          <w:i/>
          <w:sz w:val="24"/>
        </w:rPr>
        <w:t xml:space="preserve"> AAF cēlonis ir patoloģisks stāvoklis.]</w:t>
      </w:r>
    </w:p>
    <w:p w14:paraId="5218BD75" w14:textId="77777777" w:rsidR="00644347" w:rsidRPr="004E3455" w:rsidRDefault="00644347" w:rsidP="004E3455">
      <w:pPr>
        <w:widowControl/>
        <w:jc w:val="both"/>
        <w:rPr>
          <w:rFonts w:ascii="Times New Roman" w:eastAsia="Arial" w:hAnsi="Times New Roman" w:cs="Times New Roman"/>
          <w:i/>
          <w:noProof/>
          <w:sz w:val="24"/>
          <w:szCs w:val="24"/>
        </w:rPr>
      </w:pPr>
    </w:p>
    <w:p w14:paraId="35366BB9" w14:textId="24990354" w:rsidR="003C61A2" w:rsidRPr="004E3455" w:rsidRDefault="001D0A7E" w:rsidP="004E3455">
      <w:pPr>
        <w:pStyle w:val="BodyText"/>
        <w:rPr>
          <w:rFonts w:cs="Times New Roman"/>
          <w:noProof/>
          <w:szCs w:val="24"/>
        </w:rPr>
      </w:pPr>
      <w:r w:rsidRPr="004E3455">
        <w:rPr>
          <w:rFonts w:cs="Times New Roman"/>
        </w:rPr>
        <w:t xml:space="preserve">• Ja tiek paziņots, ka </w:t>
      </w:r>
      <w:r w:rsidRPr="004E3455">
        <w:rPr>
          <w:rFonts w:cs="Times New Roman"/>
          <w:i/>
        </w:rPr>
        <w:t>paraugam</w:t>
      </w:r>
      <w:r w:rsidRPr="004E3455">
        <w:rPr>
          <w:rFonts w:cs="Times New Roman"/>
        </w:rPr>
        <w:t xml:space="preserve"> ir </w:t>
      </w:r>
      <w:r w:rsidRPr="004E3455">
        <w:rPr>
          <w:rFonts w:cs="Times New Roman"/>
          <w:i/>
        </w:rPr>
        <w:t>AAF</w:t>
      </w:r>
      <w:r w:rsidRPr="004E3455">
        <w:rPr>
          <w:rFonts w:cs="Times New Roman"/>
        </w:rPr>
        <w:t xml:space="preserve"> vai apstiprināts </w:t>
      </w:r>
      <w:r w:rsidRPr="004E3455">
        <w:rPr>
          <w:rFonts w:cs="Times New Roman"/>
          <w:u w:val="single" w:color="000000"/>
        </w:rPr>
        <w:t>negatīvs rezultāts</w:t>
      </w:r>
      <w:r w:rsidRPr="004E3455">
        <w:rPr>
          <w:rFonts w:cs="Times New Roman"/>
        </w:rPr>
        <w:t xml:space="preserve"> attiecībā uz </w:t>
      </w:r>
      <w:r w:rsidRPr="004E3455">
        <w:rPr>
          <w:rFonts w:cs="Times New Roman"/>
          <w:i/>
        </w:rPr>
        <w:t>hCG</w:t>
      </w:r>
      <w:r w:rsidRPr="004E3455">
        <w:rPr>
          <w:rFonts w:cs="Times New Roman"/>
        </w:rPr>
        <w:t xml:space="preserve"> (attiecīgā gadījumā saistīts ar </w:t>
      </w:r>
      <w:r w:rsidRPr="004E3455">
        <w:rPr>
          <w:rFonts w:cs="Times New Roman"/>
          <w:i/>
          <w:iCs/>
          <w:u w:val="single" w:color="000000"/>
        </w:rPr>
        <w:t>PAAF</w:t>
      </w:r>
      <w:r w:rsidRPr="004E3455">
        <w:rPr>
          <w:rFonts w:cs="Times New Roman"/>
        </w:rPr>
        <w:t xml:space="preserve"> nešķeltam vai kopējam </w:t>
      </w:r>
      <w:r w:rsidRPr="004E3455">
        <w:rPr>
          <w:rFonts w:cs="Times New Roman"/>
          <w:i/>
        </w:rPr>
        <w:t>hCG</w:t>
      </w:r>
      <w:r w:rsidRPr="004E3455">
        <w:rPr>
          <w:rFonts w:cs="Times New Roman"/>
        </w:rPr>
        <w:t xml:space="preserve">), </w:t>
      </w:r>
      <w:r w:rsidRPr="004E3455">
        <w:rPr>
          <w:rFonts w:cs="Times New Roman"/>
          <w:i/>
        </w:rPr>
        <w:t>ADO</w:t>
      </w:r>
      <w:r w:rsidRPr="004E3455">
        <w:rPr>
          <w:rFonts w:cs="Times New Roman"/>
        </w:rPr>
        <w:t xml:space="preserve"> ir ieteicams pieņemamā laika posmā (piemēram, 2 nedēļu laikā) pēc sākotnējā rezultāta veikt vismaz vienu (1) papildu pārbaudi bez iepriekšēja paziņojuma. Ja iespējams, </w:t>
      </w:r>
      <w:r w:rsidRPr="004E3455">
        <w:rPr>
          <w:rFonts w:cs="Times New Roman"/>
          <w:i/>
        </w:rPr>
        <w:t>paraugs</w:t>
      </w:r>
      <w:r w:rsidRPr="004E3455">
        <w:rPr>
          <w:rFonts w:cs="Times New Roman"/>
        </w:rPr>
        <w:t xml:space="preserve">, kam veic papildu pārbaudi, būtu jāanalizē tajā pašā </w:t>
      </w:r>
      <w:r w:rsidRPr="004E3455">
        <w:rPr>
          <w:rFonts w:cs="Times New Roman"/>
          <w:u w:val="single" w:color="000000"/>
        </w:rPr>
        <w:t>laboratorijā</w:t>
      </w:r>
      <w:r w:rsidRPr="004E3455">
        <w:rPr>
          <w:rFonts w:cs="Times New Roman"/>
        </w:rPr>
        <w:t xml:space="preserve">, izmantojot tās pašas pārbaudes metodes, ar kurām iegūts sākotnējais rezultāts. Ja ir jāizmanto dažādas </w:t>
      </w:r>
      <w:r w:rsidRPr="004E3455">
        <w:rPr>
          <w:rFonts w:cs="Times New Roman"/>
          <w:u w:val="single" w:color="000000"/>
        </w:rPr>
        <w:t>laboratorijas</w:t>
      </w:r>
      <w:r w:rsidRPr="004E3455">
        <w:rPr>
          <w:rFonts w:cs="Times New Roman"/>
        </w:rPr>
        <w:t xml:space="preserve">, piemēro vismaz to pašu pārbaudes metodi, ar kuru tika apstiprināta </w:t>
      </w:r>
      <w:r w:rsidRPr="004E3455">
        <w:rPr>
          <w:rFonts w:cs="Times New Roman"/>
          <w:i/>
          <w:iCs/>
        </w:rPr>
        <w:t>hCG</w:t>
      </w:r>
      <w:r w:rsidRPr="004E3455">
        <w:rPr>
          <w:rFonts w:cs="Times New Roman"/>
        </w:rPr>
        <w:t xml:space="preserve"> koncentrācija.</w:t>
      </w:r>
    </w:p>
    <w:p w14:paraId="37BABDFB" w14:textId="77777777" w:rsidR="001D0A7E" w:rsidRPr="004E3455" w:rsidRDefault="001D0A7E" w:rsidP="004E3455">
      <w:pPr>
        <w:pStyle w:val="BodyText"/>
        <w:rPr>
          <w:rFonts w:cs="Times New Roman"/>
          <w:noProof/>
        </w:rPr>
      </w:pPr>
    </w:p>
    <w:p w14:paraId="51D125E6" w14:textId="17612402" w:rsidR="003C61A2" w:rsidRPr="004E3455" w:rsidRDefault="001D0A7E" w:rsidP="004E3455">
      <w:pPr>
        <w:pStyle w:val="BodyText"/>
        <w:rPr>
          <w:rFonts w:cs="Times New Roman"/>
          <w:noProof/>
          <w:szCs w:val="24"/>
        </w:rPr>
      </w:pPr>
      <w:r w:rsidRPr="004E3455">
        <w:rPr>
          <w:rFonts w:cs="Times New Roman"/>
        </w:rPr>
        <w:t xml:space="preserve">• Ja nav iesniegti klīniskie pierādījumi vai ja klīniskajos izmeklējumos ir noteikts, ka ar </w:t>
      </w:r>
      <w:r w:rsidRPr="004E3455">
        <w:rPr>
          <w:rFonts w:cs="Times New Roman"/>
          <w:i/>
        </w:rPr>
        <w:t>AAF</w:t>
      </w:r>
      <w:r w:rsidRPr="004E3455">
        <w:rPr>
          <w:rFonts w:cs="Times New Roman"/>
        </w:rPr>
        <w:t xml:space="preserve"> nav saistīts patoloģisks stāvoklis, piemēro tādu pašu rezultātu pārvaldības procedūru, kādu piemēro gadījumos, kad </w:t>
      </w:r>
      <w:r w:rsidRPr="004E3455">
        <w:rPr>
          <w:rFonts w:cs="Times New Roman"/>
          <w:i/>
        </w:rPr>
        <w:t>AAF</w:t>
      </w:r>
      <w:r w:rsidRPr="004E3455">
        <w:rPr>
          <w:rFonts w:cs="Times New Roman"/>
        </w:rPr>
        <w:t xml:space="preserve"> attiecas uz citas(-u) </w:t>
      </w:r>
      <w:r w:rsidRPr="004E3455">
        <w:rPr>
          <w:rFonts w:cs="Times New Roman"/>
          <w:i/>
        </w:rPr>
        <w:t>aizliegtas(-u) vielas(-u)</w:t>
      </w:r>
      <w:r w:rsidRPr="004E3455">
        <w:rPr>
          <w:rFonts w:cs="Times New Roman"/>
        </w:rPr>
        <w:t xml:space="preserve"> vai </w:t>
      </w:r>
      <w:r w:rsidRPr="004E3455">
        <w:rPr>
          <w:rFonts w:cs="Times New Roman"/>
          <w:i/>
        </w:rPr>
        <w:t>aizliegtas(-u) metodes(-žu)</w:t>
      </w:r>
      <w:r w:rsidRPr="004E3455">
        <w:rPr>
          <w:rFonts w:cs="Times New Roman"/>
        </w:rPr>
        <w:t xml:space="preserve"> </w:t>
      </w:r>
      <w:r w:rsidRPr="004E3455">
        <w:rPr>
          <w:rFonts w:cs="Times New Roman"/>
          <w:i/>
        </w:rPr>
        <w:t>lietošanu</w:t>
      </w:r>
      <w:r w:rsidRPr="004E3455">
        <w:rPr>
          <w:rFonts w:cs="Times New Roman"/>
        </w:rPr>
        <w:t xml:space="preserve">. Novērtējot sākotnējo rezultātu un klīnisko informāciju, ir jāņem vērā </w:t>
      </w:r>
      <w:r w:rsidRPr="004E3455">
        <w:rPr>
          <w:rFonts w:cs="Times New Roman"/>
          <w:i/>
        </w:rPr>
        <w:t>parauga(-u)</w:t>
      </w:r>
      <w:r w:rsidRPr="004E3455">
        <w:rPr>
          <w:rFonts w:cs="Times New Roman"/>
        </w:rPr>
        <w:t xml:space="preserve"> papildu pārbaudes rezultāti.</w:t>
      </w:r>
    </w:p>
    <w:p w14:paraId="04AF1BD9" w14:textId="77777777" w:rsidR="000D6648" w:rsidRPr="004E3455" w:rsidRDefault="000D6648" w:rsidP="004E3455">
      <w:pPr>
        <w:pStyle w:val="BodyText"/>
        <w:rPr>
          <w:rFonts w:cs="Times New Roman"/>
          <w:noProof/>
        </w:rPr>
      </w:pPr>
    </w:p>
    <w:p w14:paraId="5FA7BB6C" w14:textId="4CCC135F" w:rsidR="003C61A2" w:rsidRPr="004E3455" w:rsidRDefault="003C61A2" w:rsidP="00906457">
      <w:pPr>
        <w:widowControl/>
        <w:ind w:left="284"/>
        <w:jc w:val="both"/>
        <w:rPr>
          <w:rFonts w:ascii="Times New Roman" w:hAnsi="Times New Roman" w:cs="Times New Roman"/>
          <w:i/>
          <w:noProof/>
          <w:sz w:val="24"/>
          <w:szCs w:val="24"/>
        </w:rPr>
      </w:pPr>
      <w:r w:rsidRPr="004E3455">
        <w:rPr>
          <w:rFonts w:ascii="Times New Roman" w:hAnsi="Times New Roman" w:cs="Times New Roman"/>
          <w:i/>
          <w:sz w:val="24"/>
        </w:rPr>
        <w:t xml:space="preserve">[Piezīme. Piemēram, negatīvs parauga papildu pārbaudes rezultāts drīzāk norāda uz </w:t>
      </w:r>
      <w:r w:rsidRPr="004E3455">
        <w:rPr>
          <w:rFonts w:ascii="Times New Roman" w:hAnsi="Times New Roman" w:cs="Times New Roman"/>
          <w:i/>
          <w:iCs/>
          <w:sz w:val="24"/>
        </w:rPr>
        <w:t>hCG</w:t>
      </w:r>
      <w:r w:rsidRPr="004E3455">
        <w:rPr>
          <w:rFonts w:ascii="Times New Roman" w:hAnsi="Times New Roman" w:cs="Times New Roman"/>
          <w:i/>
          <w:sz w:val="24"/>
        </w:rPr>
        <w:t xml:space="preserve"> iepriekšēju lietošanu un patoloģiska stāvokļa neesību.]</w:t>
      </w:r>
    </w:p>
    <w:p w14:paraId="4C0FFE8D" w14:textId="77777777" w:rsidR="000D6648" w:rsidRPr="004E3455" w:rsidRDefault="000D6648" w:rsidP="004E3455">
      <w:pPr>
        <w:widowControl/>
        <w:jc w:val="both"/>
        <w:rPr>
          <w:rFonts w:ascii="Times New Roman" w:hAnsi="Times New Roman" w:cs="Times New Roman"/>
          <w:i/>
          <w:noProof/>
          <w:sz w:val="24"/>
          <w:szCs w:val="24"/>
        </w:rPr>
      </w:pPr>
    </w:p>
    <w:p w14:paraId="40CE1A64" w14:textId="1CA5354D" w:rsidR="003C61A2" w:rsidRPr="004E3455" w:rsidRDefault="000D6648" w:rsidP="004E3455">
      <w:pPr>
        <w:pStyle w:val="BodyText"/>
        <w:rPr>
          <w:rFonts w:cs="Times New Roman"/>
          <w:noProof/>
          <w:szCs w:val="24"/>
        </w:rPr>
      </w:pPr>
      <w:r w:rsidRPr="004E3455">
        <w:rPr>
          <w:rFonts w:cs="Times New Roman"/>
        </w:rPr>
        <w:t xml:space="preserve">• Ja </w:t>
      </w:r>
      <w:r w:rsidRPr="004E3455">
        <w:rPr>
          <w:rFonts w:cs="Times New Roman"/>
          <w:i/>
        </w:rPr>
        <w:t>sportists</w:t>
      </w:r>
      <w:r w:rsidRPr="004E3455">
        <w:rPr>
          <w:rFonts w:cs="Times New Roman"/>
        </w:rPr>
        <w:t xml:space="preserve"> iesniedz medicīnisku informāciju, kas apstiprina apgalvojumu, ka </w:t>
      </w:r>
      <w:r w:rsidRPr="004E3455">
        <w:rPr>
          <w:rFonts w:cs="Times New Roman"/>
          <w:i/>
        </w:rPr>
        <w:t>AAF</w:t>
      </w:r>
      <w:r w:rsidRPr="004E3455">
        <w:rPr>
          <w:rFonts w:cs="Times New Roman"/>
        </w:rPr>
        <w:t xml:space="preserve"> ir izraisījis fizioloģisks vai patoloģisks stāvoklis, šādu informāciju ņem vērā, un, pamatojoties uz to, </w:t>
      </w:r>
      <w:r w:rsidRPr="004E3455">
        <w:rPr>
          <w:rFonts w:cs="Times New Roman"/>
          <w:i/>
        </w:rPr>
        <w:t>ADO</w:t>
      </w:r>
      <w:r w:rsidRPr="004E3455">
        <w:rPr>
          <w:rFonts w:cs="Times New Roman"/>
        </w:rPr>
        <w:t xml:space="preserve"> beidz rezultātu pārvaldības procedūru, kas tiek īstenota tā, it kā tas būtu </w:t>
      </w:r>
      <w:r w:rsidRPr="004E3455">
        <w:rPr>
          <w:rFonts w:cs="Times New Roman"/>
          <w:i/>
          <w:iCs/>
        </w:rPr>
        <w:t>ADRV</w:t>
      </w:r>
      <w:r w:rsidRPr="004E3455">
        <w:rPr>
          <w:rFonts w:cs="Times New Roman"/>
        </w:rPr>
        <w:t xml:space="preserve"> gadījums.</w:t>
      </w:r>
    </w:p>
    <w:p w14:paraId="3DD74758" w14:textId="77777777" w:rsidR="003C61A2" w:rsidRPr="004E3455" w:rsidRDefault="003C61A2" w:rsidP="004E3455">
      <w:pPr>
        <w:widowControl/>
        <w:jc w:val="both"/>
        <w:rPr>
          <w:rFonts w:ascii="Times New Roman" w:eastAsia="Arial" w:hAnsi="Times New Roman" w:cs="Times New Roman"/>
          <w:noProof/>
          <w:sz w:val="24"/>
          <w:szCs w:val="24"/>
        </w:rPr>
      </w:pPr>
    </w:p>
    <w:p w14:paraId="06D8CCB8" w14:textId="5A7A77DC" w:rsidR="003C61A2" w:rsidRPr="004E3455" w:rsidRDefault="00AB473D" w:rsidP="004E3455">
      <w:pPr>
        <w:pStyle w:val="Heading2"/>
        <w:widowControl/>
        <w:ind w:left="0" w:firstLine="0"/>
        <w:jc w:val="both"/>
        <w:rPr>
          <w:rFonts w:ascii="Times New Roman" w:hAnsi="Times New Roman" w:cs="Times New Roman"/>
          <w:noProof/>
          <w:sz w:val="28"/>
          <w:szCs w:val="28"/>
        </w:rPr>
      </w:pPr>
      <w:bookmarkStart w:id="6" w:name="5.2_LH_findings"/>
      <w:bookmarkEnd w:id="6"/>
      <w:r w:rsidRPr="004E3455">
        <w:rPr>
          <w:rFonts w:ascii="Times New Roman" w:hAnsi="Times New Roman" w:cs="Times New Roman"/>
          <w:sz w:val="28"/>
        </w:rPr>
        <w:t>5.2. LH rezultāti</w:t>
      </w:r>
    </w:p>
    <w:p w14:paraId="2755068B" w14:textId="77777777" w:rsidR="00AB473D" w:rsidRPr="004E3455" w:rsidRDefault="00AB473D" w:rsidP="004E3455">
      <w:pPr>
        <w:pStyle w:val="Heading2"/>
        <w:widowControl/>
        <w:ind w:left="0" w:firstLine="0"/>
        <w:jc w:val="both"/>
        <w:rPr>
          <w:rFonts w:ascii="Times New Roman" w:hAnsi="Times New Roman" w:cs="Times New Roman"/>
          <w:noProof/>
        </w:rPr>
      </w:pPr>
    </w:p>
    <w:p w14:paraId="463268D7" w14:textId="03E8D140" w:rsidR="003C61A2" w:rsidRPr="004E3455" w:rsidRDefault="000D6648" w:rsidP="004E3455">
      <w:pPr>
        <w:widowControl/>
        <w:tabs>
          <w:tab w:val="left" w:pos="921"/>
        </w:tabs>
        <w:jc w:val="both"/>
        <w:rPr>
          <w:rFonts w:ascii="Times New Roman" w:hAnsi="Times New Roman" w:cs="Times New Roman"/>
          <w:noProof/>
          <w:sz w:val="24"/>
          <w:szCs w:val="24"/>
        </w:rPr>
      </w:pPr>
      <w:r w:rsidRPr="004E3455">
        <w:rPr>
          <w:rFonts w:ascii="Times New Roman" w:hAnsi="Times New Roman" w:cs="Times New Roman"/>
          <w:sz w:val="24"/>
        </w:rPr>
        <w:t xml:space="preserve">• Ja par gonadotropīna atbrīvotājfaktoru, antiestrogēnisku vielu un aromatāzes inhibitoru klātbūtni ir ziņots kā par </w:t>
      </w:r>
      <w:r w:rsidRPr="004E3455">
        <w:rPr>
          <w:rFonts w:ascii="Times New Roman" w:hAnsi="Times New Roman" w:cs="Times New Roman"/>
          <w:i/>
          <w:sz w:val="24"/>
        </w:rPr>
        <w:t>AAF</w:t>
      </w:r>
      <w:r w:rsidRPr="004E3455">
        <w:rPr>
          <w:rFonts w:ascii="Times New Roman" w:hAnsi="Times New Roman" w:cs="Times New Roman"/>
          <w:sz w:val="24"/>
        </w:rPr>
        <w:t xml:space="preserve">, īsteno tādu pašu rezultātu pārvaldības procedūru, kādu piemēro jebkuras(-u) citas(-u) </w:t>
      </w:r>
      <w:r w:rsidRPr="004E3455">
        <w:rPr>
          <w:rFonts w:ascii="Times New Roman" w:hAnsi="Times New Roman" w:cs="Times New Roman"/>
          <w:i/>
          <w:sz w:val="24"/>
        </w:rPr>
        <w:t>aizliegtās(-o) vielas(-u)</w:t>
      </w:r>
      <w:r w:rsidRPr="004E3455">
        <w:rPr>
          <w:rFonts w:ascii="Times New Roman" w:hAnsi="Times New Roman" w:cs="Times New Roman"/>
          <w:sz w:val="24"/>
        </w:rPr>
        <w:t xml:space="preserve"> vai </w:t>
      </w:r>
      <w:r w:rsidRPr="004E3455">
        <w:rPr>
          <w:rFonts w:ascii="Times New Roman" w:hAnsi="Times New Roman" w:cs="Times New Roman"/>
          <w:i/>
          <w:sz w:val="24"/>
        </w:rPr>
        <w:t>aizliegtās(-o) metodes(-žu)</w:t>
      </w:r>
      <w:r w:rsidRPr="004E3455">
        <w:rPr>
          <w:rFonts w:ascii="Times New Roman" w:hAnsi="Times New Roman" w:cs="Times New Roman"/>
          <w:sz w:val="24"/>
        </w:rPr>
        <w:t xml:space="preserve"> </w:t>
      </w:r>
      <w:r w:rsidRPr="004E3455">
        <w:rPr>
          <w:rFonts w:ascii="Times New Roman" w:hAnsi="Times New Roman" w:cs="Times New Roman"/>
          <w:i/>
          <w:sz w:val="24"/>
        </w:rPr>
        <w:t>lietošanas</w:t>
      </w:r>
      <w:r w:rsidRPr="004E3455">
        <w:rPr>
          <w:rFonts w:ascii="Times New Roman" w:hAnsi="Times New Roman" w:cs="Times New Roman"/>
          <w:sz w:val="24"/>
        </w:rPr>
        <w:t xml:space="preserve"> gadījumā.</w:t>
      </w:r>
    </w:p>
    <w:p w14:paraId="15B0340F" w14:textId="77777777" w:rsidR="00AB473D" w:rsidRPr="004E3455" w:rsidRDefault="00AB473D" w:rsidP="004E3455">
      <w:pPr>
        <w:widowControl/>
        <w:tabs>
          <w:tab w:val="left" w:pos="921"/>
        </w:tabs>
        <w:jc w:val="both"/>
        <w:rPr>
          <w:rFonts w:ascii="Times New Roman" w:eastAsia="Arial" w:hAnsi="Times New Roman" w:cs="Times New Roman"/>
          <w:noProof/>
          <w:sz w:val="24"/>
          <w:szCs w:val="24"/>
        </w:rPr>
      </w:pPr>
    </w:p>
    <w:p w14:paraId="16ECCA36" w14:textId="4A7DB6F7" w:rsidR="003C61A2" w:rsidRPr="004E3455" w:rsidRDefault="000D6648" w:rsidP="004E3455">
      <w:pPr>
        <w:pStyle w:val="BodyText"/>
        <w:rPr>
          <w:rFonts w:cs="Times New Roman"/>
          <w:noProof/>
          <w:szCs w:val="24"/>
        </w:rPr>
      </w:pPr>
      <w:r w:rsidRPr="004E3455">
        <w:rPr>
          <w:rFonts w:cs="Times New Roman"/>
        </w:rPr>
        <w:t xml:space="preserve">• Ja ir ziņots par </w:t>
      </w:r>
      <w:r w:rsidRPr="004E3455">
        <w:rPr>
          <w:rFonts w:cs="Times New Roman"/>
          <w:i/>
        </w:rPr>
        <w:t>ATF</w:t>
      </w:r>
      <w:r w:rsidRPr="004E3455">
        <w:rPr>
          <w:rFonts w:cs="Times New Roman"/>
        </w:rPr>
        <w:t xml:space="preserve"> attiecībā uz LH (paaugstināta kopējā LH koncentrācija un negatīvi rezultāti attiecībā uz gonadotropīna atbrīvotājfaktoriem, antiestrogēniskajām vielām un aromatāzes inhibitoriem), pēc sākotnējo rezultātu iegūšanas </w:t>
      </w:r>
      <w:r w:rsidRPr="004E3455">
        <w:rPr>
          <w:rFonts w:cs="Times New Roman"/>
          <w:i/>
        </w:rPr>
        <w:t>ADO</w:t>
      </w:r>
      <w:r w:rsidRPr="004E3455">
        <w:rPr>
          <w:rFonts w:cs="Times New Roman"/>
        </w:rPr>
        <w:t xml:space="preserve"> </w:t>
      </w:r>
      <w:r w:rsidRPr="004E3455">
        <w:rPr>
          <w:rFonts w:cs="Times New Roman"/>
          <w:i/>
        </w:rPr>
        <w:t>sportistam</w:t>
      </w:r>
      <w:r w:rsidRPr="004E3455">
        <w:rPr>
          <w:rFonts w:cs="Times New Roman"/>
        </w:rPr>
        <w:t xml:space="preserve"> veic vismaz vienu (1) iepriekš nepaziņotu papildu pārbaudi pieņemamā laika posmā (piemēram, 2 nedēļu laikā), izņemot gadījumus, kad </w:t>
      </w:r>
      <w:r w:rsidRPr="004E3455">
        <w:rPr>
          <w:rFonts w:cs="Times New Roman"/>
          <w:i/>
        </w:rPr>
        <w:t>ADO</w:t>
      </w:r>
      <w:r w:rsidRPr="004E3455">
        <w:rPr>
          <w:rFonts w:cs="Times New Roman"/>
        </w:rPr>
        <w:t xml:space="preserve"> rīcībā par </w:t>
      </w:r>
      <w:r w:rsidRPr="004E3455">
        <w:rPr>
          <w:rFonts w:cs="Times New Roman"/>
          <w:i/>
        </w:rPr>
        <w:t>sportistu</w:t>
      </w:r>
      <w:r w:rsidRPr="004E3455">
        <w:rPr>
          <w:rFonts w:cs="Times New Roman"/>
        </w:rPr>
        <w:t xml:space="preserve"> ir garengriezuma dati, kas norāda, ka papildu pārbaudei nav pamatota iemesla.</w:t>
      </w:r>
    </w:p>
    <w:p w14:paraId="53E1041C" w14:textId="77777777" w:rsidR="00B33090" w:rsidRPr="004E3455" w:rsidRDefault="00B33090" w:rsidP="004E3455">
      <w:pPr>
        <w:pStyle w:val="BodyText"/>
        <w:rPr>
          <w:rFonts w:cs="Times New Roman"/>
          <w:noProof/>
        </w:rPr>
      </w:pPr>
    </w:p>
    <w:p w14:paraId="151645BF" w14:textId="7A6792F7" w:rsidR="003C61A2" w:rsidRPr="004E3455" w:rsidRDefault="000D6648" w:rsidP="004E3455">
      <w:pPr>
        <w:pStyle w:val="BodyText"/>
        <w:rPr>
          <w:rFonts w:cs="Times New Roman"/>
          <w:noProof/>
          <w:szCs w:val="24"/>
        </w:rPr>
      </w:pPr>
      <w:r w:rsidRPr="004E3455">
        <w:rPr>
          <w:rFonts w:cs="Times New Roman"/>
        </w:rPr>
        <w:t xml:space="preserve">• Papildu pārbaudes </w:t>
      </w:r>
      <w:r w:rsidRPr="004E3455">
        <w:rPr>
          <w:rFonts w:cs="Times New Roman"/>
          <w:i/>
        </w:rPr>
        <w:t>paraugu</w:t>
      </w:r>
      <w:r w:rsidRPr="004E3455">
        <w:rPr>
          <w:rFonts w:cs="Times New Roman"/>
        </w:rPr>
        <w:t xml:space="preserve"> būtu vēlams analizēt </w:t>
      </w:r>
      <w:r w:rsidRPr="004E3455">
        <w:rPr>
          <w:rFonts w:cs="Times New Roman"/>
          <w:u w:val="single" w:color="000000"/>
        </w:rPr>
        <w:t>laboratorijā</w:t>
      </w:r>
      <w:r w:rsidRPr="004E3455">
        <w:rPr>
          <w:rFonts w:cs="Times New Roman"/>
        </w:rPr>
        <w:t xml:space="preserve">, kas kopējā LH noteikšanai izmanto to pašu pārbaudes metodi, kas izmantota pirmajam </w:t>
      </w:r>
      <w:r w:rsidRPr="004E3455">
        <w:rPr>
          <w:rFonts w:cs="Times New Roman"/>
          <w:i/>
        </w:rPr>
        <w:t>paraugam</w:t>
      </w:r>
      <w:r w:rsidRPr="004E3455">
        <w:rPr>
          <w:rFonts w:cs="Times New Roman"/>
        </w:rPr>
        <w:t>.</w:t>
      </w:r>
    </w:p>
    <w:p w14:paraId="727E040A" w14:textId="77777777" w:rsidR="00B33090" w:rsidRPr="004E3455" w:rsidRDefault="00B33090" w:rsidP="004E3455">
      <w:pPr>
        <w:pStyle w:val="BodyText"/>
        <w:rPr>
          <w:rFonts w:cs="Times New Roman"/>
          <w:noProof/>
        </w:rPr>
      </w:pPr>
    </w:p>
    <w:p w14:paraId="127E78D8" w14:textId="35B2C8A5" w:rsidR="003C61A2" w:rsidRPr="004E3455" w:rsidRDefault="000D6648" w:rsidP="004E3455">
      <w:pPr>
        <w:pStyle w:val="BodyText"/>
        <w:rPr>
          <w:rFonts w:cs="Times New Roman"/>
          <w:noProof/>
          <w:szCs w:val="24"/>
        </w:rPr>
      </w:pPr>
      <w:r w:rsidRPr="004E3455">
        <w:rPr>
          <w:rFonts w:cs="Times New Roman"/>
        </w:rPr>
        <w:t xml:space="preserve">• </w:t>
      </w:r>
      <w:r w:rsidRPr="004E3455">
        <w:rPr>
          <w:rFonts w:cs="Times New Roman"/>
          <w:i/>
          <w:iCs/>
        </w:rPr>
        <w:t>ADO</w:t>
      </w:r>
      <w:r w:rsidRPr="004E3455">
        <w:rPr>
          <w:rFonts w:cs="Times New Roman"/>
        </w:rPr>
        <w:t xml:space="preserve"> garengriezuma pārbaužu rezultāti ir jāņem vērā, veicot </w:t>
      </w:r>
      <w:r w:rsidRPr="004E3455">
        <w:rPr>
          <w:rFonts w:cs="Times New Roman"/>
          <w:i/>
          <w:iCs/>
        </w:rPr>
        <w:t>sportista</w:t>
      </w:r>
      <w:r w:rsidRPr="004E3455">
        <w:rPr>
          <w:rFonts w:cs="Times New Roman"/>
        </w:rPr>
        <w:t xml:space="preserve"> “steroīdu garenprofila” novērtējumu. Šis novērtējums jāveic, apspriežoties ar </w:t>
      </w:r>
      <w:r w:rsidRPr="004E3455">
        <w:rPr>
          <w:rFonts w:cs="Times New Roman"/>
          <w:i/>
          <w:iCs/>
          <w:u w:val="single" w:color="000000"/>
        </w:rPr>
        <w:t>sportista</w:t>
      </w:r>
      <w:r w:rsidRPr="004E3455">
        <w:rPr>
          <w:rFonts w:cs="Times New Roman"/>
          <w:u w:val="single" w:color="000000"/>
        </w:rPr>
        <w:t xml:space="preserve"> bioloģiskās pases pārvaldības struktūrvienību</w:t>
      </w:r>
      <w:r w:rsidRPr="004E3455">
        <w:rPr>
          <w:rFonts w:cs="Times New Roman"/>
        </w:rPr>
        <w:t xml:space="preserve"> (</w:t>
      </w:r>
      <w:r w:rsidRPr="004E3455">
        <w:rPr>
          <w:rFonts w:cs="Times New Roman"/>
          <w:i/>
          <w:iCs/>
          <w:u w:val="single" w:color="000000"/>
        </w:rPr>
        <w:t>APMU</w:t>
      </w:r>
      <w:r w:rsidRPr="004E3455">
        <w:rPr>
          <w:rFonts w:cs="Times New Roman"/>
        </w:rPr>
        <w:t>).</w:t>
      </w:r>
    </w:p>
    <w:p w14:paraId="18EEC2C0" w14:textId="77777777" w:rsidR="003C61A2" w:rsidRPr="004E3455" w:rsidRDefault="003C61A2" w:rsidP="004E3455">
      <w:pPr>
        <w:widowControl/>
        <w:jc w:val="both"/>
        <w:rPr>
          <w:rFonts w:ascii="Times New Roman" w:eastAsia="Arial" w:hAnsi="Times New Roman" w:cs="Times New Roman"/>
          <w:noProof/>
          <w:sz w:val="24"/>
          <w:szCs w:val="24"/>
        </w:rPr>
      </w:pPr>
    </w:p>
    <w:p w14:paraId="1AB1EFC8" w14:textId="3274E016" w:rsidR="003C61A2" w:rsidRPr="004E3455" w:rsidRDefault="00B33090" w:rsidP="004E3455">
      <w:pPr>
        <w:pStyle w:val="Heading1"/>
        <w:widowControl/>
        <w:tabs>
          <w:tab w:val="left" w:pos="1095"/>
        </w:tabs>
        <w:spacing w:before="0"/>
        <w:ind w:left="0"/>
        <w:jc w:val="both"/>
        <w:rPr>
          <w:rFonts w:ascii="Times New Roman" w:hAnsi="Times New Roman" w:cs="Times New Roman"/>
          <w:noProof/>
          <w:sz w:val="28"/>
          <w:szCs w:val="28"/>
        </w:rPr>
      </w:pPr>
      <w:bookmarkStart w:id="7" w:name="6.0___References"/>
      <w:bookmarkEnd w:id="7"/>
      <w:r w:rsidRPr="004E3455">
        <w:rPr>
          <w:rFonts w:ascii="Times New Roman" w:hAnsi="Times New Roman" w:cs="Times New Roman"/>
          <w:sz w:val="28"/>
        </w:rPr>
        <w:t>6.0. Atsauces</w:t>
      </w:r>
    </w:p>
    <w:p w14:paraId="48C56769" w14:textId="77777777" w:rsidR="00B33090" w:rsidRPr="004E3455" w:rsidRDefault="00B33090" w:rsidP="004E3455">
      <w:pPr>
        <w:pStyle w:val="Heading1"/>
        <w:widowControl/>
        <w:tabs>
          <w:tab w:val="left" w:pos="1095"/>
        </w:tabs>
        <w:spacing w:before="0"/>
        <w:ind w:left="0"/>
        <w:jc w:val="both"/>
        <w:rPr>
          <w:rFonts w:ascii="Times New Roman" w:hAnsi="Times New Roman" w:cs="Times New Roman"/>
          <w:noProof/>
        </w:rPr>
      </w:pPr>
    </w:p>
    <w:p w14:paraId="37488FB1" w14:textId="3FE6B99A" w:rsidR="003C61A2" w:rsidRPr="004E3455" w:rsidRDefault="003C61A2" w:rsidP="004E3455">
      <w:pPr>
        <w:widowControl/>
        <w:jc w:val="both"/>
        <w:rPr>
          <w:rFonts w:ascii="Times New Roman" w:eastAsia="Arial" w:hAnsi="Times New Roman" w:cs="Times New Roman"/>
          <w:noProof/>
          <w:sz w:val="24"/>
          <w:szCs w:val="24"/>
        </w:rPr>
      </w:pPr>
      <w:r w:rsidRPr="004E3455">
        <w:rPr>
          <w:rFonts w:ascii="Times New Roman" w:hAnsi="Times New Roman" w:cs="Times New Roman"/>
          <w:sz w:val="24"/>
          <w:vertAlign w:val="superscript"/>
        </w:rPr>
        <w:t>[1]</w:t>
      </w:r>
      <w:r w:rsidRPr="004E3455">
        <w:rPr>
          <w:rFonts w:ascii="Times New Roman" w:hAnsi="Times New Roman" w:cs="Times New Roman"/>
          <w:sz w:val="24"/>
        </w:rPr>
        <w:t xml:space="preserve"> Woldemariam GA and AW Butch. Immunoextraction-Tandem Mass Spectrometry Method for Measuring Intact Human Chorionic Gonadotropin, Free β-Subunit, and β-Subunit Core Fragment in Urine. </w:t>
      </w:r>
      <w:r w:rsidRPr="004E3455">
        <w:rPr>
          <w:rFonts w:ascii="Times New Roman" w:hAnsi="Times New Roman" w:cs="Times New Roman"/>
          <w:i/>
          <w:sz w:val="24"/>
        </w:rPr>
        <w:t xml:space="preserve">Clin Chem </w:t>
      </w:r>
      <w:r w:rsidRPr="004E3455">
        <w:rPr>
          <w:rFonts w:ascii="Times New Roman" w:hAnsi="Times New Roman" w:cs="Times New Roman"/>
          <w:b/>
          <w:sz w:val="24"/>
        </w:rPr>
        <w:t>60</w:t>
      </w:r>
      <w:r w:rsidRPr="004E3455">
        <w:rPr>
          <w:rFonts w:ascii="Times New Roman" w:hAnsi="Times New Roman" w:cs="Times New Roman"/>
          <w:sz w:val="24"/>
        </w:rPr>
        <w:t>: 1089–1097, 2014.</w:t>
      </w:r>
    </w:p>
    <w:p w14:paraId="75BD5070" w14:textId="7895C585" w:rsidR="003C61A2" w:rsidRPr="004E3455" w:rsidRDefault="003C61A2" w:rsidP="004E3455">
      <w:pPr>
        <w:widowControl/>
        <w:jc w:val="both"/>
        <w:rPr>
          <w:rFonts w:ascii="Times New Roman" w:eastAsia="Arial" w:hAnsi="Times New Roman" w:cs="Times New Roman"/>
          <w:noProof/>
          <w:sz w:val="24"/>
          <w:szCs w:val="24"/>
        </w:rPr>
      </w:pPr>
      <w:r w:rsidRPr="004E3455">
        <w:rPr>
          <w:rFonts w:ascii="Times New Roman" w:hAnsi="Times New Roman" w:cs="Times New Roman"/>
          <w:sz w:val="24"/>
          <w:vertAlign w:val="superscript"/>
        </w:rPr>
        <w:t>[2]</w:t>
      </w:r>
      <w:r w:rsidRPr="004E3455">
        <w:rPr>
          <w:rFonts w:ascii="Times New Roman" w:hAnsi="Times New Roman" w:cs="Times New Roman"/>
          <w:sz w:val="24"/>
        </w:rPr>
        <w:t xml:space="preserve"> The World Anti-Doping </w:t>
      </w:r>
      <w:r w:rsidRPr="004E3455">
        <w:rPr>
          <w:rFonts w:ascii="Times New Roman" w:hAnsi="Times New Roman" w:cs="Times New Roman"/>
          <w:i/>
          <w:sz w:val="24"/>
        </w:rPr>
        <w:t xml:space="preserve">Code International Standard </w:t>
      </w:r>
      <w:r w:rsidRPr="004E3455">
        <w:rPr>
          <w:rFonts w:ascii="Times New Roman" w:hAnsi="Times New Roman" w:cs="Times New Roman"/>
          <w:sz w:val="24"/>
        </w:rPr>
        <w:t>for Laboratories (ISL).</w:t>
      </w:r>
    </w:p>
    <w:p w14:paraId="7AC3E267" w14:textId="77777777" w:rsidR="003C61A2" w:rsidRPr="004E3455" w:rsidRDefault="003C61A2" w:rsidP="004E3455">
      <w:pPr>
        <w:widowControl/>
        <w:jc w:val="both"/>
        <w:rPr>
          <w:rFonts w:ascii="Times New Roman" w:eastAsia="Arial" w:hAnsi="Times New Roman" w:cs="Times New Roman"/>
          <w:noProof/>
          <w:sz w:val="24"/>
          <w:szCs w:val="24"/>
        </w:rPr>
      </w:pPr>
      <w:r w:rsidRPr="004E3455">
        <w:rPr>
          <w:rFonts w:ascii="Times New Roman" w:hAnsi="Times New Roman" w:cs="Times New Roman"/>
          <w:sz w:val="24"/>
          <w:vertAlign w:val="superscript"/>
        </w:rPr>
        <w:t>[3]</w:t>
      </w:r>
      <w:r w:rsidRPr="004E3455">
        <w:rPr>
          <w:rFonts w:ascii="Times New Roman" w:hAnsi="Times New Roman" w:cs="Times New Roman"/>
          <w:sz w:val="24"/>
        </w:rPr>
        <w:t xml:space="preserve"> </w:t>
      </w:r>
      <w:r w:rsidRPr="004E3455">
        <w:rPr>
          <w:rFonts w:ascii="Times New Roman" w:hAnsi="Times New Roman" w:cs="Times New Roman"/>
          <w:i/>
          <w:sz w:val="24"/>
        </w:rPr>
        <w:t xml:space="preserve">WADA Technical Document </w:t>
      </w:r>
      <w:r w:rsidRPr="004E3455">
        <w:rPr>
          <w:rFonts w:ascii="Times New Roman" w:hAnsi="Times New Roman" w:cs="Times New Roman"/>
          <w:sz w:val="24"/>
        </w:rPr>
        <w:t xml:space="preserve">TD DL. </w:t>
      </w:r>
      <w:r w:rsidRPr="004E3455">
        <w:rPr>
          <w:rFonts w:ascii="Times New Roman" w:hAnsi="Times New Roman" w:cs="Times New Roman"/>
          <w:i/>
          <w:sz w:val="24"/>
        </w:rPr>
        <w:t xml:space="preserve">Decision Limits </w:t>
      </w:r>
      <w:r w:rsidRPr="004E3455">
        <w:rPr>
          <w:rFonts w:ascii="Times New Roman" w:hAnsi="Times New Roman" w:cs="Times New Roman"/>
          <w:sz w:val="24"/>
        </w:rPr>
        <w:t xml:space="preserve">for the Confirmatory Quantification of Exogenous </w:t>
      </w:r>
      <w:r w:rsidRPr="004E3455">
        <w:rPr>
          <w:rFonts w:ascii="Times New Roman" w:hAnsi="Times New Roman" w:cs="Times New Roman"/>
          <w:sz w:val="24"/>
          <w:u w:val="single" w:color="000000"/>
        </w:rPr>
        <w:t xml:space="preserve">Threshold Substances </w:t>
      </w:r>
      <w:r w:rsidRPr="004E3455">
        <w:rPr>
          <w:rFonts w:ascii="Times New Roman" w:hAnsi="Times New Roman" w:cs="Times New Roman"/>
          <w:sz w:val="24"/>
        </w:rPr>
        <w:t xml:space="preserve">by Chromatography-based </w:t>
      </w:r>
      <w:r w:rsidRPr="004E3455">
        <w:rPr>
          <w:rFonts w:ascii="Times New Roman" w:hAnsi="Times New Roman" w:cs="Times New Roman"/>
          <w:sz w:val="24"/>
          <w:u w:val="single" w:color="000000"/>
        </w:rPr>
        <w:t>Analytical Methods</w:t>
      </w:r>
      <w:r w:rsidRPr="004E3455">
        <w:rPr>
          <w:rFonts w:ascii="Times New Roman" w:hAnsi="Times New Roman" w:cs="Times New Roman"/>
          <w:sz w:val="24"/>
        </w:rPr>
        <w:t>.</w:t>
      </w:r>
    </w:p>
    <w:p w14:paraId="47D1843A" w14:textId="5824F17B" w:rsidR="003C61A2" w:rsidRPr="004E3455" w:rsidRDefault="003C61A2" w:rsidP="004E3455">
      <w:pPr>
        <w:widowControl/>
        <w:jc w:val="both"/>
        <w:rPr>
          <w:rFonts w:ascii="Times New Roman" w:hAnsi="Times New Roman" w:cs="Times New Roman"/>
          <w:noProof/>
          <w:sz w:val="24"/>
          <w:szCs w:val="24"/>
        </w:rPr>
      </w:pPr>
      <w:r w:rsidRPr="004E3455">
        <w:rPr>
          <w:rFonts w:ascii="Times New Roman" w:hAnsi="Times New Roman" w:cs="Times New Roman"/>
          <w:sz w:val="24"/>
          <w:vertAlign w:val="superscript"/>
        </w:rPr>
        <w:t>[4]</w:t>
      </w:r>
      <w:r w:rsidRPr="004E3455">
        <w:rPr>
          <w:rFonts w:ascii="Times New Roman" w:hAnsi="Times New Roman" w:cs="Times New Roman"/>
          <w:sz w:val="24"/>
        </w:rPr>
        <w:t xml:space="preserve"> </w:t>
      </w:r>
      <w:r w:rsidRPr="004E3455">
        <w:rPr>
          <w:rFonts w:ascii="Times New Roman" w:hAnsi="Times New Roman" w:cs="Times New Roman"/>
          <w:i/>
          <w:sz w:val="24"/>
        </w:rPr>
        <w:t xml:space="preserve">WADA Technical Document </w:t>
      </w:r>
      <w:r w:rsidRPr="004E3455">
        <w:rPr>
          <w:rFonts w:ascii="Times New Roman" w:hAnsi="Times New Roman" w:cs="Times New Roman"/>
          <w:sz w:val="24"/>
        </w:rPr>
        <w:t xml:space="preserve">TD IDCR. Minimum Criteria for Chromatographic-Mass Spectrometric Confirmation of the Identity of </w:t>
      </w:r>
      <w:r w:rsidRPr="004E3455">
        <w:rPr>
          <w:rFonts w:ascii="Times New Roman" w:hAnsi="Times New Roman" w:cs="Times New Roman"/>
          <w:sz w:val="24"/>
          <w:u w:val="single" w:color="000000"/>
        </w:rPr>
        <w:t xml:space="preserve">Analytes </w:t>
      </w:r>
      <w:r w:rsidRPr="004E3455">
        <w:rPr>
          <w:rFonts w:ascii="Times New Roman" w:hAnsi="Times New Roman" w:cs="Times New Roman"/>
          <w:sz w:val="24"/>
        </w:rPr>
        <w:t xml:space="preserve">for </w:t>
      </w:r>
      <w:r w:rsidRPr="004E3455">
        <w:rPr>
          <w:rFonts w:ascii="Times New Roman" w:hAnsi="Times New Roman" w:cs="Times New Roman"/>
          <w:i/>
          <w:sz w:val="24"/>
        </w:rPr>
        <w:t xml:space="preserve">Doping Control </w:t>
      </w:r>
      <w:r w:rsidRPr="004E3455">
        <w:rPr>
          <w:rFonts w:ascii="Times New Roman" w:hAnsi="Times New Roman" w:cs="Times New Roman"/>
          <w:sz w:val="24"/>
        </w:rPr>
        <w:t>Purposes.</w:t>
      </w:r>
    </w:p>
    <w:p w14:paraId="1C50E256" w14:textId="77777777" w:rsidR="00412D7A" w:rsidRPr="004E3455" w:rsidRDefault="00412D7A" w:rsidP="004E3455">
      <w:pPr>
        <w:widowControl/>
        <w:jc w:val="both"/>
        <w:rPr>
          <w:rFonts w:ascii="Times New Roman" w:eastAsia="Arial" w:hAnsi="Times New Roman" w:cs="Times New Roman"/>
          <w:noProof/>
          <w:sz w:val="24"/>
          <w:szCs w:val="24"/>
        </w:rPr>
      </w:pPr>
    </w:p>
    <w:p w14:paraId="4BCA73D2" w14:textId="6607D13C" w:rsidR="003C61A2" w:rsidRPr="004E3455" w:rsidRDefault="003C61A2" w:rsidP="004E3455">
      <w:pPr>
        <w:widowControl/>
        <w:jc w:val="both"/>
        <w:rPr>
          <w:rFonts w:ascii="Times New Roman" w:hAnsi="Times New Roman" w:cs="Times New Roman"/>
          <w:i/>
          <w:noProof/>
          <w:sz w:val="24"/>
          <w:szCs w:val="24"/>
        </w:rPr>
      </w:pPr>
      <w:r w:rsidRPr="004E3455">
        <w:rPr>
          <w:rFonts w:ascii="Times New Roman" w:hAnsi="Times New Roman" w:cs="Times New Roman"/>
          <w:i/>
          <w:sz w:val="24"/>
        </w:rPr>
        <w:t xml:space="preserve">[WADA ISL un tehnisko dokumentu aktuālās redakcijas ir atrodamas tīmekļa vietnē </w:t>
      </w:r>
      <w:r w:rsidRPr="004E3455">
        <w:rPr>
          <w:rFonts w:ascii="Times New Roman" w:hAnsi="Times New Roman" w:cs="Times New Roman"/>
          <w:i/>
          <w:sz w:val="24"/>
          <w:u w:color="0000FF"/>
        </w:rPr>
        <w:t>https://www.wada- ama.org/en/what-we-do/science-medical/laboratories</w:t>
      </w:r>
      <w:r w:rsidRPr="004E3455">
        <w:rPr>
          <w:rFonts w:ascii="Times New Roman" w:hAnsi="Times New Roman" w:cs="Times New Roman"/>
          <w:i/>
          <w:sz w:val="24"/>
        </w:rPr>
        <w:t>.]</w:t>
      </w:r>
    </w:p>
    <w:p w14:paraId="59E69014" w14:textId="7D3242E0" w:rsidR="00412D7A" w:rsidRPr="004E3455" w:rsidRDefault="00412D7A" w:rsidP="004E3455">
      <w:pPr>
        <w:rPr>
          <w:rFonts w:ascii="Times New Roman" w:hAnsi="Times New Roman" w:cs="Times New Roman"/>
          <w:i/>
          <w:noProof/>
          <w:sz w:val="24"/>
          <w:szCs w:val="24"/>
        </w:rPr>
      </w:pPr>
      <w:r w:rsidRPr="004E3455">
        <w:rPr>
          <w:rFonts w:ascii="Times New Roman" w:hAnsi="Times New Roman" w:cs="Times New Roman"/>
        </w:rPr>
        <w:br w:type="page"/>
      </w:r>
    </w:p>
    <w:p w14:paraId="4D89BF0F" w14:textId="77777777" w:rsidR="003C61A2" w:rsidRPr="004E3455" w:rsidRDefault="003C61A2" w:rsidP="004E3455">
      <w:pPr>
        <w:pStyle w:val="Heading1"/>
        <w:widowControl/>
        <w:spacing w:before="0"/>
        <w:ind w:left="0"/>
        <w:jc w:val="center"/>
        <w:rPr>
          <w:rFonts w:ascii="Times New Roman" w:hAnsi="Times New Roman" w:cs="Times New Roman"/>
          <w:noProof/>
          <w:sz w:val="28"/>
          <w:szCs w:val="28"/>
        </w:rPr>
      </w:pPr>
      <w:bookmarkStart w:id="8" w:name="Annex_1."/>
      <w:bookmarkEnd w:id="8"/>
      <w:r w:rsidRPr="004E3455">
        <w:rPr>
          <w:rFonts w:ascii="Times New Roman" w:hAnsi="Times New Roman" w:cs="Times New Roman"/>
          <w:sz w:val="28"/>
        </w:rPr>
        <w:t>1. pielikums</w:t>
      </w:r>
    </w:p>
    <w:p w14:paraId="3873850E" w14:textId="1657C07D" w:rsidR="003C61A2" w:rsidRPr="004E3455" w:rsidRDefault="003C61A2" w:rsidP="004E3455">
      <w:pPr>
        <w:widowControl/>
        <w:jc w:val="center"/>
        <w:rPr>
          <w:rFonts w:ascii="Times New Roman" w:hAnsi="Times New Roman" w:cs="Times New Roman"/>
          <w:b/>
          <w:noProof/>
          <w:sz w:val="28"/>
          <w:szCs w:val="28"/>
        </w:rPr>
      </w:pPr>
      <w:r w:rsidRPr="004E3455">
        <w:rPr>
          <w:rFonts w:ascii="Times New Roman" w:hAnsi="Times New Roman" w:cs="Times New Roman"/>
          <w:b/>
          <w:sz w:val="28"/>
        </w:rPr>
        <w:t xml:space="preserve">Medicīnisks atzinums apstiprināta pozitīva </w:t>
      </w:r>
      <w:r w:rsidRPr="004E3455">
        <w:rPr>
          <w:rFonts w:ascii="Times New Roman" w:hAnsi="Times New Roman" w:cs="Times New Roman"/>
          <w:b/>
          <w:i/>
          <w:iCs/>
          <w:sz w:val="28"/>
        </w:rPr>
        <w:t>hCG</w:t>
      </w:r>
      <w:r w:rsidRPr="004E3455">
        <w:rPr>
          <w:rFonts w:ascii="Times New Roman" w:hAnsi="Times New Roman" w:cs="Times New Roman"/>
          <w:b/>
          <w:sz w:val="28"/>
        </w:rPr>
        <w:t xml:space="preserve"> pārbaudes rezultāta gadījumā</w:t>
      </w:r>
      <w:bookmarkStart w:id="9" w:name="Medical_Evaluation_of_a_Case_with_Confir"/>
      <w:bookmarkEnd w:id="9"/>
    </w:p>
    <w:p w14:paraId="3F8033AF" w14:textId="77777777" w:rsidR="00412D7A" w:rsidRPr="004E3455" w:rsidRDefault="00412D7A" w:rsidP="004E3455">
      <w:pPr>
        <w:widowControl/>
        <w:jc w:val="both"/>
        <w:rPr>
          <w:rFonts w:ascii="Times New Roman" w:hAnsi="Times New Roman" w:cs="Times New Roman"/>
          <w:b/>
          <w:noProof/>
          <w:sz w:val="24"/>
          <w:szCs w:val="24"/>
        </w:rPr>
      </w:pPr>
    </w:p>
    <w:p w14:paraId="42C4456C" w14:textId="77777777" w:rsidR="003C61A2" w:rsidRPr="004E3455" w:rsidRDefault="003C61A2" w:rsidP="004E3455">
      <w:pPr>
        <w:pStyle w:val="BodyText"/>
        <w:rPr>
          <w:rFonts w:cs="Times New Roman"/>
          <w:noProof/>
          <w:szCs w:val="24"/>
        </w:rPr>
      </w:pPr>
      <w:bookmarkStart w:id="10" w:name="An_Adverse_Analytical_Finding_(AAF)_for_"/>
      <w:bookmarkEnd w:id="10"/>
      <w:r w:rsidRPr="004E3455">
        <w:rPr>
          <w:rFonts w:cs="Times New Roman"/>
        </w:rPr>
        <w:t xml:space="preserve">Ja vīriešu dzimuma </w:t>
      </w:r>
      <w:r w:rsidRPr="004E3455">
        <w:rPr>
          <w:rFonts w:cs="Times New Roman"/>
          <w:i/>
        </w:rPr>
        <w:t>sportistam</w:t>
      </w:r>
      <w:r w:rsidRPr="004E3455">
        <w:rPr>
          <w:rFonts w:cs="Times New Roman"/>
        </w:rPr>
        <w:t xml:space="preserve"> attiecībā uz </w:t>
      </w:r>
      <w:r w:rsidRPr="004E3455">
        <w:rPr>
          <w:rFonts w:cs="Times New Roman"/>
          <w:i/>
          <w:iCs/>
        </w:rPr>
        <w:t>hCG</w:t>
      </w:r>
      <w:r w:rsidRPr="004E3455">
        <w:rPr>
          <w:rFonts w:cs="Times New Roman"/>
        </w:rPr>
        <w:t xml:space="preserve"> ir konstatēts </w:t>
      </w:r>
      <w:r w:rsidRPr="004E3455">
        <w:rPr>
          <w:rFonts w:cs="Times New Roman"/>
          <w:i/>
        </w:rPr>
        <w:t>nelabvēlīgs analīžu rezultāts</w:t>
      </w:r>
      <w:r w:rsidRPr="004E3455">
        <w:rPr>
          <w:rFonts w:cs="Times New Roman"/>
        </w:rPr>
        <w:t xml:space="preserve"> (</w:t>
      </w:r>
      <w:r w:rsidRPr="004E3455">
        <w:rPr>
          <w:rFonts w:cs="Times New Roman"/>
          <w:i/>
        </w:rPr>
        <w:t>AAF</w:t>
      </w:r>
      <w:r w:rsidRPr="004E3455">
        <w:rPr>
          <w:rFonts w:cs="Times New Roman"/>
        </w:rPr>
        <w:t xml:space="preserve">), pirms </w:t>
      </w:r>
      <w:r w:rsidRPr="004E3455">
        <w:rPr>
          <w:rFonts w:cs="Times New Roman"/>
          <w:i/>
        </w:rPr>
        <w:t>sportista</w:t>
      </w:r>
      <w:r w:rsidRPr="004E3455">
        <w:rPr>
          <w:rFonts w:cs="Times New Roman"/>
        </w:rPr>
        <w:t xml:space="preserve"> apsūdzēšanas antidopinga noteikumu pārkāpumā (</w:t>
      </w:r>
      <w:r w:rsidRPr="004E3455">
        <w:rPr>
          <w:rFonts w:cs="Times New Roman"/>
          <w:i/>
        </w:rPr>
        <w:t>ADRV</w:t>
      </w:r>
      <w:r w:rsidRPr="004E3455">
        <w:rPr>
          <w:rFonts w:cs="Times New Roman"/>
        </w:rPr>
        <w:t xml:space="preserve">) saistībā ar </w:t>
      </w:r>
      <w:r w:rsidRPr="004E3455">
        <w:rPr>
          <w:rFonts w:cs="Times New Roman"/>
          <w:i/>
          <w:iCs/>
        </w:rPr>
        <w:t>hCG</w:t>
      </w:r>
      <w:r w:rsidRPr="004E3455">
        <w:rPr>
          <w:rFonts w:cs="Times New Roman"/>
        </w:rPr>
        <w:t xml:space="preserve"> dopingu ir jāveic ar dopinga lietošanu nesaistīta, patoloģiska cēloņa izmeklēšana. (Piezīme: </w:t>
      </w:r>
      <w:r w:rsidRPr="004E3455">
        <w:rPr>
          <w:rFonts w:cs="Times New Roman"/>
          <w:i/>
          <w:iCs/>
        </w:rPr>
        <w:t>hCG</w:t>
      </w:r>
      <w:r w:rsidRPr="004E3455">
        <w:rPr>
          <w:rFonts w:cs="Times New Roman"/>
        </w:rPr>
        <w:t xml:space="preserve"> nav aizliegts </w:t>
      </w:r>
      <w:r w:rsidRPr="004E3455">
        <w:rPr>
          <w:rFonts w:cs="Times New Roman"/>
          <w:i/>
          <w:iCs/>
        </w:rPr>
        <w:t>sportistēm</w:t>
      </w:r>
      <w:r w:rsidRPr="004E3455">
        <w:rPr>
          <w:rFonts w:cs="Times New Roman"/>
        </w:rPr>
        <w:t xml:space="preserve">.) Šādu medicīnisko atzinumu ar mērķi noteikt iespējamo patoloģiju veic arī neapstiprinātu </w:t>
      </w:r>
      <w:r w:rsidRPr="004E3455">
        <w:rPr>
          <w:rFonts w:cs="Times New Roman"/>
          <w:u w:val="single" w:color="000000"/>
        </w:rPr>
        <w:t xml:space="preserve">varbūtēju </w:t>
      </w:r>
      <w:r w:rsidRPr="004E3455">
        <w:rPr>
          <w:rFonts w:cs="Times New Roman"/>
          <w:i/>
          <w:u w:val="single" w:color="000000"/>
        </w:rPr>
        <w:t>nelabvēlīgu analīžu rezultātu</w:t>
      </w:r>
      <w:r w:rsidRPr="004E3455">
        <w:rPr>
          <w:rFonts w:cs="Times New Roman"/>
          <w:u w:val="single" w:color="000000"/>
        </w:rPr>
        <w:t xml:space="preserve"> (</w:t>
      </w:r>
      <w:r w:rsidRPr="004E3455">
        <w:rPr>
          <w:rFonts w:cs="Times New Roman"/>
          <w:i/>
          <w:u w:val="single" w:color="000000"/>
        </w:rPr>
        <w:t>PAAF</w:t>
      </w:r>
      <w:r w:rsidRPr="004E3455">
        <w:rPr>
          <w:rFonts w:cs="Times New Roman"/>
        </w:rPr>
        <w:t xml:space="preserve">) gadījumā (t. i., sākotnējam </w:t>
      </w:r>
      <w:r w:rsidRPr="004E3455">
        <w:rPr>
          <w:rFonts w:cs="Times New Roman"/>
          <w:i/>
          <w:u w:val="single" w:color="000000"/>
        </w:rPr>
        <w:t>PAAF</w:t>
      </w:r>
      <w:r w:rsidRPr="004E3455">
        <w:rPr>
          <w:rFonts w:cs="Times New Roman"/>
        </w:rPr>
        <w:t xml:space="preserve"> par “kopējo” vai “nešķelto” </w:t>
      </w:r>
      <w:r w:rsidRPr="004E3455">
        <w:rPr>
          <w:rFonts w:cs="Times New Roman"/>
          <w:i/>
          <w:iCs/>
        </w:rPr>
        <w:t>hCG</w:t>
      </w:r>
      <w:r w:rsidRPr="004E3455">
        <w:rPr>
          <w:rFonts w:cs="Times New Roman"/>
        </w:rPr>
        <w:t xml:space="preserve"> seko negatīvs apstiprinājuma rezultāts par “nešķelto” </w:t>
      </w:r>
      <w:r w:rsidRPr="004E3455">
        <w:rPr>
          <w:rFonts w:cs="Times New Roman"/>
          <w:i/>
          <w:iCs/>
        </w:rPr>
        <w:t>hCG</w:t>
      </w:r>
      <w:r w:rsidRPr="004E3455">
        <w:rPr>
          <w:rFonts w:cs="Times New Roman"/>
        </w:rPr>
        <w:t>).</w:t>
      </w:r>
    </w:p>
    <w:p w14:paraId="7EA82A2E" w14:textId="77777777" w:rsidR="003C61A2" w:rsidRPr="004E3455" w:rsidRDefault="003C61A2" w:rsidP="004E3455">
      <w:pPr>
        <w:widowControl/>
        <w:jc w:val="both"/>
        <w:rPr>
          <w:rFonts w:ascii="Times New Roman" w:eastAsia="Arial" w:hAnsi="Times New Roman" w:cs="Times New Roman"/>
          <w:noProof/>
          <w:sz w:val="24"/>
          <w:szCs w:val="24"/>
        </w:rPr>
      </w:pPr>
    </w:p>
    <w:p w14:paraId="146720C6" w14:textId="30DF9CED" w:rsidR="003C61A2" w:rsidRPr="004E3455" w:rsidRDefault="003C61A2" w:rsidP="004E3455">
      <w:pPr>
        <w:widowControl/>
        <w:jc w:val="both"/>
        <w:rPr>
          <w:rFonts w:ascii="Times New Roman" w:hAnsi="Times New Roman" w:cs="Times New Roman"/>
          <w:b/>
          <w:noProof/>
          <w:sz w:val="28"/>
          <w:szCs w:val="28"/>
        </w:rPr>
      </w:pPr>
      <w:r w:rsidRPr="004E3455">
        <w:rPr>
          <w:rFonts w:ascii="Times New Roman" w:hAnsi="Times New Roman" w:cs="Times New Roman"/>
          <w:b/>
          <w:sz w:val="28"/>
        </w:rPr>
        <w:t xml:space="preserve">1.0. </w:t>
      </w:r>
      <w:r w:rsidRPr="004E3455">
        <w:rPr>
          <w:rFonts w:ascii="Times New Roman" w:hAnsi="Times New Roman" w:cs="Times New Roman"/>
          <w:b/>
          <w:i/>
          <w:iCs/>
          <w:sz w:val="28"/>
        </w:rPr>
        <w:t>hCG</w:t>
      </w:r>
      <w:r w:rsidRPr="004E3455">
        <w:rPr>
          <w:rFonts w:ascii="Times New Roman" w:hAnsi="Times New Roman" w:cs="Times New Roman"/>
          <w:b/>
          <w:sz w:val="28"/>
        </w:rPr>
        <w:t xml:space="preserve"> </w:t>
      </w:r>
      <w:r w:rsidRPr="004E3455">
        <w:rPr>
          <w:rFonts w:ascii="Times New Roman" w:hAnsi="Times New Roman" w:cs="Times New Roman"/>
          <w:b/>
          <w:i/>
          <w:sz w:val="28"/>
        </w:rPr>
        <w:t>pārbaude</w:t>
      </w:r>
    </w:p>
    <w:p w14:paraId="0D94012C" w14:textId="77777777" w:rsidR="00F45424" w:rsidRPr="004E3455" w:rsidRDefault="00F45424" w:rsidP="004E3455">
      <w:pPr>
        <w:widowControl/>
        <w:jc w:val="both"/>
        <w:rPr>
          <w:rFonts w:ascii="Times New Roman" w:eastAsia="Arial" w:hAnsi="Times New Roman" w:cs="Times New Roman"/>
          <w:noProof/>
          <w:sz w:val="24"/>
          <w:szCs w:val="24"/>
        </w:rPr>
      </w:pPr>
    </w:p>
    <w:p w14:paraId="5360FB5C" w14:textId="6F8AE76A" w:rsidR="003C61A2" w:rsidRPr="004E3455" w:rsidRDefault="003C61A2" w:rsidP="004E3455">
      <w:pPr>
        <w:pStyle w:val="BodyText"/>
        <w:rPr>
          <w:rFonts w:cs="Times New Roman"/>
          <w:noProof/>
          <w:szCs w:val="24"/>
        </w:rPr>
      </w:pPr>
      <w:r w:rsidRPr="004E3455">
        <w:rPr>
          <w:rFonts w:cs="Times New Roman"/>
        </w:rPr>
        <w:t xml:space="preserve">Hormons </w:t>
      </w:r>
      <w:r w:rsidRPr="004E3455">
        <w:rPr>
          <w:rFonts w:cs="Times New Roman"/>
          <w:i/>
          <w:iCs/>
        </w:rPr>
        <w:t>hCG</w:t>
      </w:r>
      <w:r w:rsidRPr="004E3455">
        <w:rPr>
          <w:rFonts w:cs="Times New Roman"/>
        </w:rPr>
        <w:t xml:space="preserve"> ir heterodimērisks glikoproteīns, kas sastāv no divām frakcijām – α (</w:t>
      </w:r>
      <w:r w:rsidRPr="004E3455">
        <w:rPr>
          <w:rFonts w:cs="Times New Roman"/>
          <w:i/>
          <w:iCs/>
        </w:rPr>
        <w:t>hCG</w:t>
      </w:r>
      <w:r w:rsidRPr="004E3455">
        <w:rPr>
          <w:rFonts w:cs="Times New Roman"/>
        </w:rPr>
        <w:t>α) un β (</w:t>
      </w:r>
      <w:r w:rsidRPr="004E3455">
        <w:rPr>
          <w:rFonts w:cs="Times New Roman"/>
          <w:i/>
          <w:iCs/>
        </w:rPr>
        <w:t>hCG</w:t>
      </w:r>
      <w:r w:rsidRPr="004E3455">
        <w:rPr>
          <w:rFonts w:cs="Times New Roman"/>
        </w:rPr>
        <w:t xml:space="preserve">β). Urīnā ir sastopamas dažādas </w:t>
      </w:r>
      <w:r w:rsidRPr="004E3455">
        <w:rPr>
          <w:rFonts w:cs="Times New Roman"/>
          <w:i/>
          <w:iCs/>
        </w:rPr>
        <w:t>hCG</w:t>
      </w:r>
      <w:r w:rsidRPr="004E3455">
        <w:rPr>
          <w:rFonts w:cs="Times New Roman"/>
        </w:rPr>
        <w:t xml:space="preserve"> molekulārās formas, tostarp nešķeltie un šķeltie α/β heterodimēri, kā arī atdalītas α un β frakcijas un to noārdīšanās produkti (piemēram, β pamatfragmenti, šķeltie produkti utt.).</w:t>
      </w:r>
    </w:p>
    <w:p w14:paraId="3EDCC817" w14:textId="77777777" w:rsidR="00F45424" w:rsidRPr="004E3455" w:rsidRDefault="00F45424" w:rsidP="004E3455">
      <w:pPr>
        <w:pStyle w:val="BodyText"/>
        <w:rPr>
          <w:rFonts w:cs="Times New Roman"/>
          <w:noProof/>
        </w:rPr>
      </w:pPr>
    </w:p>
    <w:p w14:paraId="4A97D170" w14:textId="4C7DF6FF" w:rsidR="003C61A2" w:rsidRPr="004E3455" w:rsidRDefault="003C61A2" w:rsidP="004E3455">
      <w:pPr>
        <w:pStyle w:val="BodyText"/>
        <w:rPr>
          <w:rFonts w:cs="Times New Roman"/>
          <w:noProof/>
          <w:szCs w:val="24"/>
        </w:rPr>
      </w:pPr>
      <w:r w:rsidRPr="004E3455">
        <w:rPr>
          <w:rFonts w:cs="Times New Roman"/>
        </w:rPr>
        <w:t xml:space="preserve">Abus </w:t>
      </w:r>
      <w:r w:rsidRPr="004E3455">
        <w:rPr>
          <w:rFonts w:cs="Times New Roman"/>
          <w:i/>
          <w:iCs/>
        </w:rPr>
        <w:t>hCG</w:t>
      </w:r>
      <w:r w:rsidRPr="004E3455">
        <w:rPr>
          <w:rFonts w:cs="Times New Roman"/>
        </w:rPr>
        <w:t xml:space="preserve">, tā frakcijas un to fragmentus urīnā var noteikt, veicot </w:t>
      </w:r>
      <w:r w:rsidRPr="004E3455">
        <w:rPr>
          <w:rFonts w:cs="Times New Roman"/>
          <w:i/>
          <w:iCs/>
        </w:rPr>
        <w:t>hCG</w:t>
      </w:r>
      <w:r w:rsidRPr="004E3455">
        <w:rPr>
          <w:rFonts w:cs="Times New Roman"/>
        </w:rPr>
        <w:t xml:space="preserve"> imūntestus, kuriem ir plaša specifika (“kopējā </w:t>
      </w:r>
      <w:r w:rsidRPr="004E3455">
        <w:rPr>
          <w:rFonts w:cs="Times New Roman"/>
          <w:i/>
          <w:iCs/>
        </w:rPr>
        <w:t>hCG</w:t>
      </w:r>
      <w:r w:rsidRPr="004E3455">
        <w:rPr>
          <w:rFonts w:cs="Times New Roman"/>
        </w:rPr>
        <w:t xml:space="preserve">” pārbaudes metodes). Tomēr antidopinga pārbaudes veic, lai apstiprinātu tikai </w:t>
      </w:r>
      <w:r w:rsidRPr="004E3455">
        <w:rPr>
          <w:rFonts w:cs="Times New Roman"/>
          <w:i/>
          <w:iCs/>
        </w:rPr>
        <w:t>hCG</w:t>
      </w:r>
      <w:r w:rsidRPr="004E3455">
        <w:rPr>
          <w:rFonts w:cs="Times New Roman"/>
        </w:rPr>
        <w:t xml:space="preserve"> α/β heterodimēru klātbūtni un noteiktu to daudzumu (t. i., piemērojot tā dēvētās “nešķeltā </w:t>
      </w:r>
      <w:r w:rsidRPr="004E3455">
        <w:rPr>
          <w:rFonts w:cs="Times New Roman"/>
          <w:i/>
          <w:iCs/>
        </w:rPr>
        <w:t>hCG</w:t>
      </w:r>
      <w:r w:rsidRPr="004E3455">
        <w:rPr>
          <w:rFonts w:cs="Times New Roman"/>
        </w:rPr>
        <w:t xml:space="preserve">” pārbaudes metodes </w:t>
      </w:r>
      <w:r w:rsidRPr="004E3455">
        <w:rPr>
          <w:rFonts w:cs="Times New Roman"/>
          <w:u w:val="single" w:color="000000"/>
        </w:rPr>
        <w:t>apstiprināšanas procedūrām</w:t>
      </w:r>
      <w:r w:rsidRPr="004E3455">
        <w:rPr>
          <w:rFonts w:cs="Times New Roman"/>
        </w:rPr>
        <w:t>, ar kurām papildus nešķeltajiem α/β heterodimēriem var konstatēt arī “šķeltos” α/β heterodimērus).</w:t>
      </w:r>
    </w:p>
    <w:p w14:paraId="177969AF" w14:textId="77777777" w:rsidR="00386AA0" w:rsidRPr="004E3455" w:rsidRDefault="00386AA0" w:rsidP="004E3455">
      <w:pPr>
        <w:pStyle w:val="BodyText"/>
        <w:rPr>
          <w:rFonts w:cs="Times New Roman"/>
          <w:noProof/>
        </w:rPr>
      </w:pPr>
    </w:p>
    <w:p w14:paraId="3D4A876F" w14:textId="7E68E5A6" w:rsidR="003C61A2" w:rsidRPr="004E3455" w:rsidRDefault="003C61A2" w:rsidP="004E3455">
      <w:pPr>
        <w:pStyle w:val="BodyText"/>
        <w:rPr>
          <w:rFonts w:cs="Times New Roman"/>
          <w:noProof/>
          <w:szCs w:val="24"/>
        </w:rPr>
      </w:pPr>
      <w:r w:rsidRPr="004E3455">
        <w:rPr>
          <w:rFonts w:cs="Times New Roman"/>
        </w:rPr>
        <w:t xml:space="preserve">Veselu vīriešu urīnā heterodimēriskais </w:t>
      </w:r>
      <w:r w:rsidRPr="004E3455">
        <w:rPr>
          <w:rFonts w:cs="Times New Roman"/>
          <w:i/>
          <w:iCs/>
        </w:rPr>
        <w:t>hCG</w:t>
      </w:r>
      <w:r w:rsidRPr="004E3455">
        <w:rPr>
          <w:rFonts w:cs="Times New Roman"/>
        </w:rPr>
        <w:t xml:space="preserve"> vai nu nav atrodams, vai ir atrodams ļoti zemā līmenī (parasti zem 2 IU/l). Tomēr heterodimērisko </w:t>
      </w:r>
      <w:r w:rsidRPr="004E3455">
        <w:rPr>
          <w:rFonts w:cs="Times New Roman"/>
          <w:i/>
          <w:iCs/>
        </w:rPr>
        <w:t>hCG</w:t>
      </w:r>
      <w:r w:rsidRPr="004E3455">
        <w:rPr>
          <w:rFonts w:cs="Times New Roman"/>
        </w:rPr>
        <w:t xml:space="preserve"> var veidot arī sēklinieku vēzis vai dzimumšūnu audzēji ārpus sēkliniekiem. Ja var izslēgt šādu audzēju iespējamību, citādā veidā neizskaidrojama heterodimēriskā </w:t>
      </w:r>
      <w:r w:rsidRPr="004E3455">
        <w:rPr>
          <w:rFonts w:cs="Times New Roman"/>
          <w:i/>
          <w:iCs/>
        </w:rPr>
        <w:t>hCG</w:t>
      </w:r>
      <w:r w:rsidRPr="004E3455">
        <w:rPr>
          <w:rFonts w:cs="Times New Roman"/>
        </w:rPr>
        <w:t xml:space="preserve"> klātbūtne serumā vai urīnā palielinātā koncentrācijā ir pierādījums </w:t>
      </w:r>
      <w:r w:rsidRPr="004E3455">
        <w:rPr>
          <w:rFonts w:cs="Times New Roman"/>
          <w:i/>
          <w:iCs/>
        </w:rPr>
        <w:t>hCG</w:t>
      </w:r>
      <w:r w:rsidRPr="004E3455">
        <w:rPr>
          <w:rFonts w:cs="Times New Roman"/>
        </w:rPr>
        <w:t xml:space="preserve"> farmakoloģiskai ievadīšanai.</w:t>
      </w:r>
    </w:p>
    <w:p w14:paraId="193F0034" w14:textId="77777777" w:rsidR="009C1D1C" w:rsidRPr="004E3455" w:rsidRDefault="009C1D1C" w:rsidP="004E3455">
      <w:pPr>
        <w:pStyle w:val="BodyText"/>
        <w:rPr>
          <w:rFonts w:cs="Times New Roman"/>
          <w:noProof/>
        </w:rPr>
      </w:pPr>
    </w:p>
    <w:p w14:paraId="6F3A8DAE" w14:textId="20F777C6" w:rsidR="003C61A2" w:rsidRPr="004E3455" w:rsidRDefault="003C61A2" w:rsidP="004E3455">
      <w:pPr>
        <w:pStyle w:val="BodyText"/>
        <w:rPr>
          <w:rFonts w:cs="Times New Roman"/>
          <w:noProof/>
          <w:szCs w:val="24"/>
        </w:rPr>
      </w:pPr>
      <w:r w:rsidRPr="004E3455">
        <w:rPr>
          <w:rFonts w:cs="Times New Roman"/>
        </w:rPr>
        <w:t xml:space="preserve">Pozitīvu “nešķeltā </w:t>
      </w:r>
      <w:r w:rsidRPr="004E3455">
        <w:rPr>
          <w:rFonts w:cs="Times New Roman"/>
          <w:i/>
          <w:iCs/>
        </w:rPr>
        <w:t>hCG</w:t>
      </w:r>
      <w:r w:rsidRPr="004E3455">
        <w:rPr>
          <w:rFonts w:cs="Times New Roman"/>
        </w:rPr>
        <w:t>” pārbaudes rezultātu (</w:t>
      </w:r>
      <w:r w:rsidRPr="004E3455">
        <w:rPr>
          <w:rFonts w:cs="Times New Roman"/>
          <w:i/>
        </w:rPr>
        <w:t>AAF</w:t>
      </w:r>
      <w:r w:rsidRPr="004E3455">
        <w:rPr>
          <w:rFonts w:cs="Times New Roman"/>
        </w:rPr>
        <w:t xml:space="preserve">) (vai neapstiprinātu </w:t>
      </w:r>
      <w:r w:rsidRPr="004E3455">
        <w:rPr>
          <w:rFonts w:cs="Times New Roman"/>
          <w:i/>
          <w:u w:val="single" w:color="000000"/>
        </w:rPr>
        <w:t>PAAF</w:t>
      </w:r>
      <w:r w:rsidRPr="004E3455">
        <w:rPr>
          <w:rFonts w:cs="Times New Roman"/>
        </w:rPr>
        <w:t xml:space="preserve">, piemēram, attiecībā uz “kopējo” </w:t>
      </w:r>
      <w:r w:rsidRPr="004E3455">
        <w:rPr>
          <w:rFonts w:cs="Times New Roman"/>
          <w:i/>
          <w:iCs/>
        </w:rPr>
        <w:t>hCG</w:t>
      </w:r>
      <w:r w:rsidRPr="004E3455">
        <w:rPr>
          <w:rFonts w:cs="Times New Roman"/>
        </w:rPr>
        <w:t xml:space="preserve">) </w:t>
      </w:r>
      <w:r w:rsidRPr="004E3455">
        <w:rPr>
          <w:rFonts w:cs="Times New Roman"/>
          <w:i/>
        </w:rPr>
        <w:t>sportistam</w:t>
      </w:r>
      <w:r w:rsidRPr="004E3455">
        <w:rPr>
          <w:rFonts w:cs="Times New Roman"/>
        </w:rPr>
        <w:t xml:space="preserve"> var būt izraisījis nediagnosticēts sēklinieku audzējs, kas satur trofoblastiskus elementus, kuri sintezē </w:t>
      </w:r>
      <w:r w:rsidRPr="004E3455">
        <w:rPr>
          <w:rFonts w:cs="Times New Roman"/>
          <w:i/>
          <w:iCs/>
        </w:rPr>
        <w:t>hCG</w:t>
      </w:r>
      <w:r w:rsidRPr="004E3455">
        <w:rPr>
          <w:rFonts w:cs="Times New Roman"/>
        </w:rPr>
        <w:t xml:space="preserve">. Retos gadījumos ektopisku </w:t>
      </w:r>
      <w:r w:rsidRPr="004E3455">
        <w:rPr>
          <w:rFonts w:cs="Times New Roman"/>
          <w:i/>
          <w:iCs/>
        </w:rPr>
        <w:t>hCG</w:t>
      </w:r>
      <w:r w:rsidRPr="004E3455">
        <w:rPr>
          <w:rFonts w:cs="Times New Roman"/>
        </w:rPr>
        <w:t xml:space="preserve"> sekrēciju var izraisīt dzimumšūnu audzēji ārpus sēkliniekiem, kas parasti atrodas videnes viduslīnijā, retroperitoneālajā telpā vai epifīzē. Šiem audzējiem, kas atrodas ārpus sēkliniekiem, ir ievērojami sliktākas ārstēšanas prognozes nekā sēklinieku dzimumšūnu audzējiem.</w:t>
      </w:r>
    </w:p>
    <w:p w14:paraId="50BAB933" w14:textId="77777777" w:rsidR="009C1D1C" w:rsidRPr="004E3455" w:rsidRDefault="009C1D1C" w:rsidP="004E3455">
      <w:pPr>
        <w:pStyle w:val="BodyText"/>
        <w:rPr>
          <w:rFonts w:cs="Times New Roman"/>
          <w:noProof/>
        </w:rPr>
      </w:pPr>
    </w:p>
    <w:p w14:paraId="345A3CAE" w14:textId="77777777" w:rsidR="003C61A2" w:rsidRPr="004E3455" w:rsidRDefault="003C61A2" w:rsidP="00906457">
      <w:pPr>
        <w:widowControl/>
        <w:ind w:left="284"/>
        <w:jc w:val="both"/>
        <w:rPr>
          <w:rFonts w:ascii="Times New Roman" w:eastAsia="Arial" w:hAnsi="Times New Roman" w:cs="Times New Roman"/>
          <w:noProof/>
          <w:sz w:val="24"/>
          <w:szCs w:val="24"/>
        </w:rPr>
      </w:pPr>
      <w:r w:rsidRPr="004E3455">
        <w:rPr>
          <w:rFonts w:ascii="Times New Roman" w:hAnsi="Times New Roman" w:cs="Times New Roman"/>
          <w:i/>
          <w:sz w:val="24"/>
        </w:rPr>
        <w:t xml:space="preserve">[Piezīme. Neapstiprināts </w:t>
      </w:r>
      <w:r w:rsidRPr="004E3455">
        <w:rPr>
          <w:rFonts w:ascii="Times New Roman" w:hAnsi="Times New Roman" w:cs="Times New Roman"/>
          <w:i/>
          <w:sz w:val="24"/>
          <w:u w:val="single" w:color="000000"/>
        </w:rPr>
        <w:t>PAAF</w:t>
      </w:r>
      <w:r w:rsidRPr="004E3455">
        <w:rPr>
          <w:rFonts w:ascii="Times New Roman" w:hAnsi="Times New Roman" w:cs="Times New Roman"/>
          <w:i/>
          <w:sz w:val="24"/>
        </w:rPr>
        <w:t xml:space="preserve"> var būt saistīts arī ar dopingu, bet radies nešķelta hCG noārdīšanās rezultātā parauga uzglabāšanas laikā.]</w:t>
      </w:r>
    </w:p>
    <w:p w14:paraId="42FA9198" w14:textId="77777777" w:rsidR="003C61A2" w:rsidRPr="004E3455" w:rsidRDefault="003C61A2" w:rsidP="004E3455">
      <w:pPr>
        <w:widowControl/>
        <w:jc w:val="both"/>
        <w:rPr>
          <w:rFonts w:ascii="Times New Roman" w:eastAsia="Arial" w:hAnsi="Times New Roman" w:cs="Times New Roman"/>
          <w:noProof/>
          <w:sz w:val="24"/>
          <w:szCs w:val="24"/>
        </w:rPr>
      </w:pPr>
    </w:p>
    <w:p w14:paraId="6EF43D68" w14:textId="2D5007C0" w:rsidR="003C61A2" w:rsidRPr="004E3455" w:rsidRDefault="00FD7AD3" w:rsidP="004E3455">
      <w:pPr>
        <w:pStyle w:val="Heading1"/>
        <w:widowControl/>
        <w:tabs>
          <w:tab w:val="left" w:pos="964"/>
        </w:tabs>
        <w:spacing w:before="0"/>
        <w:ind w:left="0"/>
        <w:jc w:val="both"/>
        <w:rPr>
          <w:rFonts w:ascii="Times New Roman" w:hAnsi="Times New Roman" w:cs="Times New Roman"/>
          <w:noProof/>
          <w:sz w:val="28"/>
          <w:szCs w:val="28"/>
        </w:rPr>
      </w:pPr>
      <w:r w:rsidRPr="004E3455">
        <w:rPr>
          <w:rFonts w:ascii="Times New Roman" w:hAnsi="Times New Roman" w:cs="Times New Roman"/>
          <w:sz w:val="28"/>
        </w:rPr>
        <w:t>2.0. Medicīnisks atzinums</w:t>
      </w:r>
    </w:p>
    <w:p w14:paraId="72460F9D" w14:textId="77777777" w:rsidR="00FD7AD3" w:rsidRPr="004E3455" w:rsidRDefault="00FD7AD3" w:rsidP="004E3455">
      <w:pPr>
        <w:pStyle w:val="Heading1"/>
        <w:widowControl/>
        <w:tabs>
          <w:tab w:val="left" w:pos="964"/>
        </w:tabs>
        <w:spacing w:before="0"/>
        <w:ind w:left="0"/>
        <w:jc w:val="both"/>
        <w:rPr>
          <w:rFonts w:ascii="Times New Roman" w:hAnsi="Times New Roman" w:cs="Times New Roman"/>
          <w:noProof/>
        </w:rPr>
      </w:pPr>
    </w:p>
    <w:p w14:paraId="2AE4A762" w14:textId="04D1E317" w:rsidR="003C61A2" w:rsidRPr="004E3455" w:rsidRDefault="003C61A2" w:rsidP="004E3455">
      <w:pPr>
        <w:pStyle w:val="BodyText"/>
        <w:rPr>
          <w:rFonts w:cs="Times New Roman"/>
          <w:noProof/>
          <w:szCs w:val="24"/>
        </w:rPr>
      </w:pPr>
      <w:r w:rsidRPr="004E3455">
        <w:rPr>
          <w:rFonts w:cs="Times New Roman"/>
        </w:rPr>
        <w:t xml:space="preserve">Ja attiecībā uz </w:t>
      </w:r>
      <w:r w:rsidRPr="004E3455">
        <w:rPr>
          <w:rFonts w:cs="Times New Roman"/>
          <w:i/>
          <w:iCs/>
        </w:rPr>
        <w:t>hCG</w:t>
      </w:r>
      <w:r w:rsidRPr="004E3455">
        <w:rPr>
          <w:rFonts w:cs="Times New Roman"/>
        </w:rPr>
        <w:t xml:space="preserve"> ir iegūts </w:t>
      </w:r>
      <w:r w:rsidRPr="004E3455">
        <w:rPr>
          <w:rFonts w:cs="Times New Roman"/>
          <w:i/>
        </w:rPr>
        <w:t>AAF</w:t>
      </w:r>
      <w:r w:rsidRPr="004E3455">
        <w:rPr>
          <w:rFonts w:cs="Times New Roman"/>
        </w:rPr>
        <w:t xml:space="preserve"> vai neapstiprināts </w:t>
      </w:r>
      <w:r w:rsidRPr="004E3455">
        <w:rPr>
          <w:rFonts w:cs="Times New Roman"/>
          <w:i/>
          <w:u w:val="single" w:color="000000"/>
        </w:rPr>
        <w:t>PAAF</w:t>
      </w:r>
      <w:r w:rsidRPr="004E3455">
        <w:rPr>
          <w:rFonts w:cs="Times New Roman"/>
        </w:rPr>
        <w:t xml:space="preserve">, vispirms ar medicīnisku atzinumu ir jāizslēdz patoloģisks cēlonis. Šādas pārbaudes nozīme ir jāpaskaidro </w:t>
      </w:r>
      <w:r w:rsidRPr="004E3455">
        <w:rPr>
          <w:rFonts w:cs="Times New Roman"/>
          <w:i/>
        </w:rPr>
        <w:t>sportistam</w:t>
      </w:r>
      <w:r w:rsidRPr="004E3455">
        <w:rPr>
          <w:rFonts w:cs="Times New Roman"/>
        </w:rPr>
        <w:t>, kam tālāk jāvēršas pie ārsta pārbaudes veikšanai (vislabāk pie urologa vai endokrinologa).</w:t>
      </w:r>
    </w:p>
    <w:p w14:paraId="03018FF3" w14:textId="77777777" w:rsidR="00FD7AD3" w:rsidRPr="004E3455" w:rsidRDefault="00FD7AD3" w:rsidP="004E3455">
      <w:pPr>
        <w:pStyle w:val="BodyText"/>
        <w:rPr>
          <w:rFonts w:cs="Times New Roman"/>
          <w:noProof/>
        </w:rPr>
      </w:pPr>
    </w:p>
    <w:p w14:paraId="20F623F5" w14:textId="78124823" w:rsidR="003C61A2" w:rsidRPr="004E3455" w:rsidRDefault="003C61A2" w:rsidP="004E3455">
      <w:pPr>
        <w:pStyle w:val="BodyText"/>
        <w:rPr>
          <w:rFonts w:cs="Times New Roman"/>
          <w:noProof/>
          <w:szCs w:val="24"/>
        </w:rPr>
      </w:pPr>
      <w:r w:rsidRPr="004E3455">
        <w:rPr>
          <w:rFonts w:cs="Times New Roman"/>
        </w:rPr>
        <w:t xml:space="preserve">Pozitīva </w:t>
      </w:r>
      <w:r w:rsidRPr="004E3455">
        <w:rPr>
          <w:rFonts w:cs="Times New Roman"/>
          <w:i/>
          <w:iCs/>
        </w:rPr>
        <w:t>hCG</w:t>
      </w:r>
      <w:r w:rsidRPr="004E3455">
        <w:rPr>
          <w:rFonts w:cs="Times New Roman"/>
        </w:rPr>
        <w:t xml:space="preserve"> pārbaudes rezultāta iespējamā patoloģiskā cēloņa medicīniskajā atzinumā jāiekļauj šādi elementi:</w:t>
      </w:r>
    </w:p>
    <w:p w14:paraId="70665FF2" w14:textId="77777777" w:rsidR="00D351B6" w:rsidRPr="004E3455" w:rsidRDefault="00D351B6" w:rsidP="004E3455">
      <w:pPr>
        <w:pStyle w:val="BodyText"/>
        <w:rPr>
          <w:rFonts w:cs="Times New Roman"/>
          <w:noProof/>
        </w:rPr>
      </w:pPr>
    </w:p>
    <w:p w14:paraId="1DCE412D" w14:textId="7104343F" w:rsidR="003C61A2" w:rsidRPr="004E3455" w:rsidRDefault="00D351B6" w:rsidP="00906457">
      <w:pPr>
        <w:pStyle w:val="BodyText"/>
        <w:ind w:left="284"/>
        <w:rPr>
          <w:rFonts w:cs="Times New Roman"/>
          <w:noProof/>
          <w:szCs w:val="24"/>
        </w:rPr>
      </w:pPr>
      <w:r w:rsidRPr="004E3455">
        <w:rPr>
          <w:rFonts w:cs="Times New Roman"/>
        </w:rPr>
        <w:t>1. vēsture (ieskaitot kriptorhismu, ģimenes vēsturi);</w:t>
      </w:r>
    </w:p>
    <w:p w14:paraId="49554308" w14:textId="77777777" w:rsidR="00D351B6" w:rsidRPr="004E3455" w:rsidRDefault="00D351B6" w:rsidP="00906457">
      <w:pPr>
        <w:pStyle w:val="BodyText"/>
        <w:ind w:left="284"/>
        <w:rPr>
          <w:rFonts w:cs="Times New Roman"/>
          <w:noProof/>
        </w:rPr>
      </w:pPr>
    </w:p>
    <w:p w14:paraId="0CA726A7" w14:textId="73C8E7F3" w:rsidR="003C61A2" w:rsidRPr="004E3455" w:rsidRDefault="00D351B6" w:rsidP="00906457">
      <w:pPr>
        <w:pStyle w:val="BodyText"/>
        <w:ind w:left="284"/>
        <w:rPr>
          <w:rFonts w:cs="Times New Roman"/>
          <w:noProof/>
          <w:szCs w:val="24"/>
        </w:rPr>
      </w:pPr>
      <w:r w:rsidRPr="004E3455">
        <w:rPr>
          <w:rFonts w:cs="Times New Roman"/>
        </w:rPr>
        <w:t>2. fiziska izmeklēšana (ieskaitot sēklinieku palpāciju, sēklinieku apjomu, ginekomastiju);</w:t>
      </w:r>
    </w:p>
    <w:p w14:paraId="7D775194" w14:textId="77777777" w:rsidR="00D351B6" w:rsidRPr="004E3455" w:rsidRDefault="00D351B6" w:rsidP="00906457">
      <w:pPr>
        <w:pStyle w:val="BodyText"/>
        <w:ind w:left="284"/>
        <w:rPr>
          <w:rFonts w:cs="Times New Roman"/>
          <w:noProof/>
        </w:rPr>
      </w:pPr>
    </w:p>
    <w:p w14:paraId="03829D34" w14:textId="3422FCFA" w:rsidR="003C61A2" w:rsidRPr="004E3455" w:rsidRDefault="00D351B6" w:rsidP="00906457">
      <w:pPr>
        <w:pStyle w:val="BodyText"/>
        <w:ind w:left="284"/>
        <w:rPr>
          <w:rFonts w:cs="Times New Roman"/>
          <w:noProof/>
          <w:szCs w:val="24"/>
        </w:rPr>
      </w:pPr>
      <w:r w:rsidRPr="004E3455">
        <w:rPr>
          <w:rFonts w:cs="Times New Roman"/>
        </w:rPr>
        <w:t xml:space="preserve">3. laboratoriskie izmeklējumi – seruma </w:t>
      </w:r>
      <w:r w:rsidRPr="004E3455">
        <w:rPr>
          <w:rFonts w:cs="Times New Roman"/>
          <w:i/>
          <w:iCs/>
        </w:rPr>
        <w:t>hCG</w:t>
      </w:r>
      <w:r w:rsidRPr="004E3455">
        <w:rPr>
          <w:rFonts w:cs="Times New Roman"/>
        </w:rPr>
        <w:t xml:space="preserve"> (nešķelts), alfa fetoproteīns (</w:t>
      </w:r>
      <w:r w:rsidRPr="004E3455">
        <w:rPr>
          <w:rFonts w:cs="Times New Roman"/>
          <w:i/>
          <w:iCs/>
        </w:rPr>
        <w:t>AFP</w:t>
      </w:r>
      <w:r w:rsidRPr="004E3455">
        <w:rPr>
          <w:rFonts w:cs="Times New Roman"/>
        </w:rPr>
        <w:t xml:space="preserve">), </w:t>
      </w:r>
      <w:r w:rsidRPr="004E3455">
        <w:rPr>
          <w:rFonts w:cs="Times New Roman"/>
          <w:i/>
          <w:iCs/>
        </w:rPr>
        <w:t>LDH</w:t>
      </w:r>
      <w:r w:rsidRPr="004E3455">
        <w:rPr>
          <w:rFonts w:cs="Times New Roman"/>
        </w:rPr>
        <w:t xml:space="preserve"> kā audzēja marķieris un seruma LH, </w:t>
      </w:r>
      <w:r w:rsidRPr="004E3455">
        <w:rPr>
          <w:rFonts w:cs="Times New Roman"/>
          <w:i/>
          <w:iCs/>
        </w:rPr>
        <w:t>FSH</w:t>
      </w:r>
      <w:r w:rsidRPr="004E3455">
        <w:rPr>
          <w:rFonts w:cs="Times New Roman"/>
        </w:rPr>
        <w:t xml:space="preserve">, testosterons, </w:t>
      </w:r>
      <w:r w:rsidRPr="004E3455">
        <w:rPr>
          <w:rFonts w:cs="Times New Roman"/>
          <w:i/>
          <w:iCs/>
        </w:rPr>
        <w:t>SHBG</w:t>
      </w:r>
      <w:r w:rsidRPr="004E3455">
        <w:rPr>
          <w:rFonts w:cs="Times New Roman"/>
        </w:rPr>
        <w:t xml:space="preserve"> (lai noteiktu </w:t>
      </w:r>
      <w:r w:rsidRPr="004E3455">
        <w:rPr>
          <w:rFonts w:cs="Times New Roman"/>
          <w:i/>
          <w:iCs/>
        </w:rPr>
        <w:t>hCG</w:t>
      </w:r>
      <w:r w:rsidRPr="004E3455">
        <w:rPr>
          <w:rFonts w:cs="Times New Roman"/>
        </w:rPr>
        <w:t xml:space="preserve"> bioloģisko aktivitāti);</w:t>
      </w:r>
    </w:p>
    <w:p w14:paraId="3D4FD71D" w14:textId="77777777" w:rsidR="008E2803" w:rsidRPr="004E3455" w:rsidRDefault="008E2803" w:rsidP="00906457">
      <w:pPr>
        <w:pStyle w:val="BodyText"/>
        <w:ind w:left="284"/>
        <w:rPr>
          <w:rFonts w:cs="Times New Roman"/>
          <w:noProof/>
        </w:rPr>
      </w:pPr>
    </w:p>
    <w:p w14:paraId="44D580C6" w14:textId="27713284" w:rsidR="003C61A2" w:rsidRPr="004E3455" w:rsidRDefault="008E2803" w:rsidP="00906457">
      <w:pPr>
        <w:pStyle w:val="BodyText"/>
        <w:ind w:left="284"/>
        <w:rPr>
          <w:rFonts w:cs="Times New Roman"/>
          <w:noProof/>
          <w:szCs w:val="24"/>
        </w:rPr>
      </w:pPr>
      <w:r w:rsidRPr="004E3455">
        <w:rPr>
          <w:rFonts w:cs="Times New Roman"/>
        </w:rPr>
        <w:t>4. attēldiagnostika:</w:t>
      </w:r>
    </w:p>
    <w:p w14:paraId="3CABC220" w14:textId="77777777" w:rsidR="008E2803" w:rsidRPr="004E3455" w:rsidRDefault="008E2803" w:rsidP="00906457">
      <w:pPr>
        <w:pStyle w:val="BodyText"/>
        <w:ind w:left="284"/>
        <w:rPr>
          <w:rFonts w:cs="Times New Roman"/>
          <w:noProof/>
        </w:rPr>
      </w:pPr>
    </w:p>
    <w:p w14:paraId="4DB9FE33" w14:textId="758C5D47" w:rsidR="003C61A2" w:rsidRPr="004E3455" w:rsidRDefault="008E2803" w:rsidP="00906457">
      <w:pPr>
        <w:pStyle w:val="BodyText"/>
        <w:ind w:left="567"/>
        <w:rPr>
          <w:rFonts w:cs="Times New Roman"/>
          <w:noProof/>
          <w:szCs w:val="24"/>
        </w:rPr>
      </w:pPr>
      <w:r w:rsidRPr="004E3455">
        <w:rPr>
          <w:rFonts w:cs="Times New Roman"/>
        </w:rPr>
        <w:t>a) sēklinieku ultrasonogrāfija (hipoehogēni bojājumi, mikrolitiāze);</w:t>
      </w:r>
    </w:p>
    <w:p w14:paraId="24E35E76" w14:textId="77777777" w:rsidR="008E2803" w:rsidRPr="004E3455" w:rsidRDefault="008E2803" w:rsidP="00906457">
      <w:pPr>
        <w:pStyle w:val="BodyText"/>
        <w:ind w:left="567"/>
        <w:rPr>
          <w:rFonts w:cs="Times New Roman"/>
          <w:noProof/>
        </w:rPr>
      </w:pPr>
    </w:p>
    <w:p w14:paraId="7359D54C" w14:textId="6CEB5C8E" w:rsidR="003C61A2" w:rsidRPr="004E3455" w:rsidRDefault="008E2803" w:rsidP="00906457">
      <w:pPr>
        <w:pStyle w:val="BodyText"/>
        <w:ind w:left="567"/>
        <w:rPr>
          <w:rFonts w:cs="Times New Roman"/>
          <w:noProof/>
          <w:szCs w:val="24"/>
        </w:rPr>
      </w:pPr>
      <w:r w:rsidRPr="004E3455">
        <w:rPr>
          <w:rFonts w:cs="Times New Roman"/>
        </w:rPr>
        <w:t xml:space="preserve">b) ja seruma </w:t>
      </w:r>
      <w:r w:rsidRPr="004E3455">
        <w:rPr>
          <w:rFonts w:cs="Times New Roman"/>
          <w:i/>
          <w:iCs/>
        </w:rPr>
        <w:t>hCG</w:t>
      </w:r>
      <w:r w:rsidRPr="004E3455">
        <w:rPr>
          <w:rFonts w:cs="Times New Roman"/>
        </w:rPr>
        <w:t xml:space="preserve"> (nešķelts) pārbaudē joprojām ir iegūts pozitīvs rezultāts un nav sataustāmi palielināti sēklinieki, vai ultrasonogrāfijā un attēldiagnostikā nav atklāts varbūtējs audzējs, lai izslēgtu varbūtību par dzimumšūnu audzēju ārpus sēkliniekiem, norīko veikt krūškurvja, vēdera dobuma un smadzeņu datortomogrāfiju (vai magnētisko rezonansi, vai pozitronu emisijas tomogrāfiju).</w:t>
      </w:r>
    </w:p>
    <w:p w14:paraId="1C4AA70E" w14:textId="77777777" w:rsidR="002D1B85" w:rsidRPr="004E3455" w:rsidRDefault="002D1B85" w:rsidP="004E3455">
      <w:pPr>
        <w:pStyle w:val="BodyText"/>
        <w:rPr>
          <w:rFonts w:cs="Times New Roman"/>
          <w:noProof/>
        </w:rPr>
      </w:pPr>
    </w:p>
    <w:p w14:paraId="5858BE97" w14:textId="76F7741D" w:rsidR="003C61A2" w:rsidRPr="004E3455" w:rsidRDefault="003C61A2" w:rsidP="004E3455">
      <w:pPr>
        <w:pStyle w:val="BodyText"/>
        <w:rPr>
          <w:rFonts w:cs="Times New Roman"/>
          <w:noProof/>
          <w:szCs w:val="24"/>
        </w:rPr>
      </w:pPr>
      <w:r w:rsidRPr="004E3455">
        <w:rPr>
          <w:rFonts w:cs="Times New Roman"/>
        </w:rPr>
        <w:t>Ja ir sataustāmi palielināti sēklinieki, sportists ir jānosūta pie urologa vai onkologa varbūtējā sēklinieku audzēja tālākai novērtēšanai un ārstēšanai.</w:t>
      </w:r>
    </w:p>
    <w:p w14:paraId="0E2E66F0" w14:textId="77777777" w:rsidR="002D1B85" w:rsidRPr="004E3455" w:rsidRDefault="002D1B85" w:rsidP="004E3455">
      <w:pPr>
        <w:pStyle w:val="BodyText"/>
        <w:rPr>
          <w:rFonts w:cs="Times New Roman"/>
          <w:noProof/>
        </w:rPr>
      </w:pPr>
    </w:p>
    <w:p w14:paraId="5F949BF7" w14:textId="252FB5F8" w:rsidR="003C61A2" w:rsidRPr="004E3455" w:rsidRDefault="003C61A2" w:rsidP="004E3455">
      <w:pPr>
        <w:pStyle w:val="BodyText"/>
        <w:rPr>
          <w:rFonts w:cs="Times New Roman"/>
          <w:noProof/>
          <w:szCs w:val="24"/>
        </w:rPr>
      </w:pPr>
      <w:r w:rsidRPr="004E3455">
        <w:rPr>
          <w:rFonts w:cs="Times New Roman"/>
        </w:rPr>
        <w:t xml:space="preserve">Ja (nešķelta) </w:t>
      </w:r>
      <w:r w:rsidRPr="004E3455">
        <w:rPr>
          <w:rFonts w:cs="Times New Roman"/>
          <w:i/>
          <w:iCs/>
        </w:rPr>
        <w:t>hCG</w:t>
      </w:r>
      <w:r w:rsidRPr="004E3455">
        <w:rPr>
          <w:rFonts w:cs="Times New Roman"/>
        </w:rPr>
        <w:t xml:space="preserve"> koncentrācija serumā joprojām ir paaugstināta un sākotnējā izmeklējumā nav atklāts ne sēklinieku audzējs, ne arī audzējs ārpus sēkliniekiem, pēc trīs (3) mēnešiem </w:t>
      </w:r>
      <w:r w:rsidRPr="004E3455">
        <w:rPr>
          <w:rFonts w:cs="Times New Roman"/>
          <w:i/>
          <w:iCs/>
        </w:rPr>
        <w:t>sportistam</w:t>
      </w:r>
      <w:r w:rsidRPr="004E3455">
        <w:rPr>
          <w:rFonts w:cs="Times New Roman"/>
        </w:rPr>
        <w:t xml:space="preserve"> ir jāveic klīniska papildu pārbaude, izmantojot to pašu (nešķelta) seruma </w:t>
      </w:r>
      <w:r w:rsidRPr="004E3455">
        <w:rPr>
          <w:rFonts w:cs="Times New Roman"/>
          <w:i/>
          <w:iCs/>
        </w:rPr>
        <w:t>hCG</w:t>
      </w:r>
      <w:r w:rsidRPr="004E3455">
        <w:rPr>
          <w:rFonts w:cs="Times New Roman"/>
        </w:rPr>
        <w:t xml:space="preserve"> imūntestu, kā arī jāveic atkārtota sēklinieku ultrasonogrāfija (lai pārbaudītu, vai nav jaunu vai izmainītu hipoehogēnu sēklinieku bojājumu). Tā kā daži no šiem audzējiem var attīstīties lēni, lai izslēgtu sēklinieku audzēja varbūtību, ir jāpagarina papildu pārbaužu veikšanas termiņš (līdz diviem (2) gadiem).</w:t>
      </w:r>
    </w:p>
    <w:p w14:paraId="3264A816" w14:textId="77777777" w:rsidR="002D1B85" w:rsidRPr="004E3455" w:rsidRDefault="002D1B85" w:rsidP="004E3455">
      <w:pPr>
        <w:pStyle w:val="BodyText"/>
        <w:rPr>
          <w:rFonts w:cs="Times New Roman"/>
          <w:noProof/>
        </w:rPr>
      </w:pPr>
    </w:p>
    <w:p w14:paraId="63304F42" w14:textId="5A912849" w:rsidR="003C61A2" w:rsidRPr="004E3455" w:rsidRDefault="003C61A2" w:rsidP="004E3455">
      <w:pPr>
        <w:pStyle w:val="BodyText"/>
        <w:rPr>
          <w:rFonts w:cs="Times New Roman"/>
          <w:noProof/>
          <w:szCs w:val="24"/>
        </w:rPr>
      </w:pPr>
      <w:r w:rsidRPr="004E3455">
        <w:rPr>
          <w:rFonts w:cs="Times New Roman"/>
        </w:rPr>
        <w:t xml:space="preserve">Lai gan izmeklējums sēklinieku audzēju/vēžu noteikšanai ir jāveic nekavējoties, situācijas precizēšanai izmeklēšanas laikposmā bieži vien ir jāveic papildu antidopinga </w:t>
      </w:r>
      <w:r w:rsidRPr="004E3455">
        <w:rPr>
          <w:rFonts w:cs="Times New Roman"/>
          <w:i/>
          <w:iCs/>
        </w:rPr>
        <w:t>pārbaudes</w:t>
      </w:r>
      <w:r w:rsidRPr="004E3455">
        <w:rPr>
          <w:rFonts w:cs="Times New Roman"/>
        </w:rPr>
        <w:t>.</w:t>
      </w:r>
    </w:p>
    <w:p w14:paraId="0DC35FA0" w14:textId="1B382E35" w:rsidR="002D1B85" w:rsidRDefault="002D1B85" w:rsidP="004E3455">
      <w:pPr>
        <w:pStyle w:val="BodyText"/>
        <w:rPr>
          <w:noProof/>
        </w:rPr>
      </w:pPr>
    </w:p>
    <w:sectPr w:rsidR="002D1B85" w:rsidSect="004E3455">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A403" w14:textId="77777777" w:rsidR="00925805" w:rsidRPr="003C61A2" w:rsidRDefault="00F91DED">
      <w:pPr>
        <w:rPr>
          <w:noProof/>
        </w:rPr>
      </w:pPr>
      <w:r w:rsidRPr="003C61A2">
        <w:rPr>
          <w:noProof/>
        </w:rPr>
        <w:separator/>
      </w:r>
    </w:p>
  </w:endnote>
  <w:endnote w:type="continuationSeparator" w:id="0">
    <w:p w14:paraId="2F70A405" w14:textId="77777777" w:rsidR="00925805" w:rsidRPr="003C61A2" w:rsidRDefault="00F91DED">
      <w:pPr>
        <w:rPr>
          <w:noProof/>
        </w:rPr>
      </w:pPr>
      <w:r w:rsidRPr="003C61A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2D71" w14:textId="77777777" w:rsidR="00E241F1" w:rsidRPr="003E47FA" w:rsidRDefault="00E241F1" w:rsidP="00E241F1">
    <w:pPr>
      <w:pStyle w:val="Header"/>
      <w:tabs>
        <w:tab w:val="left" w:pos="9072"/>
      </w:tabs>
      <w:jc w:val="both"/>
      <w:rPr>
        <w:rStyle w:val="PageNumber"/>
        <w:rFonts w:ascii="Times New Roman" w:hAnsi="Times New Roman" w:cs="Times New Roman"/>
        <w:sz w:val="20"/>
        <w:szCs w:val="20"/>
      </w:rPr>
    </w:pPr>
  </w:p>
  <w:p w14:paraId="50B0311A" w14:textId="77777777" w:rsidR="00E241F1" w:rsidRPr="003E47FA" w:rsidRDefault="00E241F1" w:rsidP="00E241F1">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12589641" w14:textId="77777777" w:rsidR="00E241F1" w:rsidRPr="003E47FA" w:rsidRDefault="00E241F1" w:rsidP="00E241F1">
    <w:pPr>
      <w:pStyle w:val="Header"/>
      <w:tabs>
        <w:tab w:val="right" w:pos="9072"/>
      </w:tabs>
      <w:jc w:val="both"/>
      <w:rPr>
        <w:rStyle w:val="PageNumber"/>
        <w:rFonts w:ascii="Times New Roman" w:hAnsi="Times New Roman" w:cs="Times New Roman"/>
        <w:sz w:val="20"/>
        <w:szCs w:val="20"/>
      </w:rPr>
    </w:pPr>
  </w:p>
  <w:p w14:paraId="6B88ECFD" w14:textId="77777777" w:rsidR="00E241F1" w:rsidRPr="003E47FA" w:rsidRDefault="00E241F1" w:rsidP="00E241F1">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86A" w14:textId="77777777" w:rsidR="00010150" w:rsidRPr="003F25D0" w:rsidRDefault="00010150" w:rsidP="00010150">
    <w:pPr>
      <w:pStyle w:val="Header"/>
      <w:tabs>
        <w:tab w:val="left" w:pos="9072"/>
      </w:tabs>
      <w:jc w:val="both"/>
      <w:rPr>
        <w:rStyle w:val="PageNumber"/>
        <w:rFonts w:ascii="Times New Roman" w:hAnsi="Times New Roman"/>
        <w:sz w:val="20"/>
        <w:szCs w:val="18"/>
      </w:rPr>
    </w:pPr>
    <w:bookmarkStart w:id="25" w:name="_Hlk496261764"/>
    <w:bookmarkStart w:id="26" w:name="_Hlk496261765"/>
    <w:bookmarkStart w:id="27" w:name="_Hlk496261766"/>
    <w:bookmarkStart w:id="28" w:name="_Hlk30491075"/>
    <w:bookmarkStart w:id="29" w:name="_Hlk30491076"/>
  </w:p>
  <w:p w14:paraId="43445DA2" w14:textId="77777777" w:rsidR="00010150" w:rsidRPr="003F25D0" w:rsidRDefault="00010150" w:rsidP="00010150">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30C8E4E5" w14:textId="77777777" w:rsidR="00010150" w:rsidRPr="003F25D0" w:rsidRDefault="00010150" w:rsidP="00010150">
    <w:pPr>
      <w:pStyle w:val="Header"/>
      <w:tabs>
        <w:tab w:val="left" w:pos="9072"/>
      </w:tabs>
      <w:jc w:val="both"/>
      <w:rPr>
        <w:rStyle w:val="PageNumber"/>
        <w:rFonts w:ascii="Times New Roman" w:hAnsi="Times New Roman"/>
        <w:sz w:val="20"/>
        <w:szCs w:val="18"/>
      </w:rPr>
    </w:pPr>
  </w:p>
  <w:p w14:paraId="26020540" w14:textId="77777777" w:rsidR="00010150" w:rsidRPr="003F25D0" w:rsidRDefault="00010150" w:rsidP="00010150">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5"/>
    <w:bookmarkEnd w:id="26"/>
    <w:bookmarkEnd w:id="27"/>
    <w:r w:rsidRPr="003F25D0">
      <w:rPr>
        <w:rFonts w:ascii="Times New Roman" w:hAnsi="Times New Roman"/>
        <w:sz w:val="20"/>
        <w:szCs w:val="18"/>
      </w:rPr>
      <w:t>2</w:t>
    </w:r>
    <w:bookmarkEnd w:id="28"/>
    <w:bookmarkEnd w:id="2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A3FF" w14:textId="77777777" w:rsidR="00925805" w:rsidRPr="003C61A2" w:rsidRDefault="00F91DED">
      <w:pPr>
        <w:rPr>
          <w:noProof/>
        </w:rPr>
      </w:pPr>
      <w:r w:rsidRPr="003C61A2">
        <w:rPr>
          <w:noProof/>
        </w:rPr>
        <w:separator/>
      </w:r>
    </w:p>
  </w:footnote>
  <w:footnote w:type="continuationSeparator" w:id="0">
    <w:p w14:paraId="2F70A401" w14:textId="77777777" w:rsidR="00925805" w:rsidRPr="003C61A2" w:rsidRDefault="00F91DED">
      <w:pPr>
        <w:rPr>
          <w:noProof/>
        </w:rPr>
      </w:pPr>
      <w:r w:rsidRPr="003C61A2">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9F7E" w14:textId="77777777" w:rsidR="00617EA0" w:rsidRPr="0075517C" w:rsidRDefault="00617EA0" w:rsidP="00617EA0">
    <w:pPr>
      <w:pStyle w:val="Header"/>
      <w:rPr>
        <w:rStyle w:val="PageNumber"/>
        <w:rFonts w:ascii="Times New Roman" w:hAnsi="Times New Roman" w:cs="Times New Roman"/>
        <w:sz w:val="20"/>
        <w:szCs w:val="20"/>
      </w:rPr>
    </w:pPr>
    <w:bookmarkStart w:id="11" w:name="_Hlk496261784"/>
    <w:bookmarkStart w:id="12" w:name="_Hlk496261785"/>
    <w:bookmarkStart w:id="13" w:name="_Hlk496261786"/>
    <w:bookmarkStart w:id="14" w:name="_Hlk502757728"/>
    <w:bookmarkStart w:id="15" w:name="_Hlk502757729"/>
    <w:bookmarkStart w:id="16" w:name="_Hlk502757738"/>
    <w:bookmarkStart w:id="17" w:name="_Hlk502757739"/>
    <w:bookmarkStart w:id="18" w:name="_Hlk30491084"/>
    <w:bookmarkStart w:id="19" w:name="_Hlk30491085"/>
  </w:p>
  <w:p w14:paraId="0DEC678A" w14:textId="77777777" w:rsidR="00617EA0" w:rsidRPr="0075517C" w:rsidRDefault="00617EA0" w:rsidP="00617EA0">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1"/>
  <w:bookmarkEnd w:id="12"/>
  <w:bookmarkEnd w:id="13"/>
  <w:bookmarkEnd w:id="14"/>
  <w:bookmarkEnd w:id="15"/>
  <w:bookmarkEnd w:id="16"/>
  <w:bookmarkEnd w:id="17"/>
  <w:bookmarkEnd w:id="18"/>
  <w:bookmarkEnd w:id="19"/>
  <w:p w14:paraId="414CC68A" w14:textId="77777777" w:rsidR="00617EA0" w:rsidRPr="0075517C" w:rsidRDefault="00617EA0" w:rsidP="00617EA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6624" w14:textId="77777777" w:rsidR="00FE1DDF" w:rsidRPr="000F66E7" w:rsidRDefault="00FE1DDF" w:rsidP="00FE1DDF">
    <w:pPr>
      <w:pBdr>
        <w:bottom w:val="single" w:sz="12" w:space="5" w:color="auto"/>
      </w:pBdr>
      <w:rPr>
        <w:rFonts w:ascii="Times New Roman" w:hAnsi="Times New Roman" w:cs="Times New Roman"/>
        <w:spacing w:val="-2"/>
        <w:sz w:val="20"/>
        <w:szCs w:val="20"/>
      </w:rPr>
    </w:pPr>
    <w:bookmarkStart w:id="20" w:name="_Hlk496261745"/>
    <w:bookmarkStart w:id="21" w:name="_Hlk496261746"/>
    <w:bookmarkStart w:id="22" w:name="_Hlk496261747"/>
    <w:bookmarkStart w:id="23" w:name="_Hlk30491063"/>
    <w:bookmarkStart w:id="24" w:name="_Hlk30491064"/>
  </w:p>
  <w:bookmarkEnd w:id="20"/>
  <w:bookmarkEnd w:id="21"/>
  <w:bookmarkEnd w:id="22"/>
  <w:bookmarkEnd w:id="23"/>
  <w:bookmarkEnd w:id="24"/>
  <w:p w14:paraId="636158E7" w14:textId="77777777" w:rsidR="00FE1DDF" w:rsidRDefault="00FE1DDF" w:rsidP="00FE1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1E"/>
    <w:multiLevelType w:val="multilevel"/>
    <w:tmpl w:val="8D6609C4"/>
    <w:lvl w:ilvl="0">
      <w:start w:val="3"/>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0F073D26"/>
    <w:multiLevelType w:val="hybridMultilevel"/>
    <w:tmpl w:val="2A903FC4"/>
    <w:lvl w:ilvl="0" w:tplc="A470E1A2">
      <w:start w:val="2"/>
      <w:numFmt w:val="decimal"/>
      <w:lvlText w:val="%1"/>
      <w:lvlJc w:val="left"/>
      <w:pPr>
        <w:ind w:left="963" w:hanging="404"/>
      </w:pPr>
      <w:rPr>
        <w:rFonts w:hint="default"/>
      </w:rPr>
    </w:lvl>
    <w:lvl w:ilvl="1" w:tplc="955EB51A">
      <w:start w:val="1"/>
      <w:numFmt w:val="decimal"/>
      <w:lvlText w:val="%1.%2"/>
      <w:lvlJc w:val="left"/>
      <w:pPr>
        <w:ind w:left="963" w:hanging="404"/>
      </w:pPr>
      <w:rPr>
        <w:rFonts w:ascii="Arial" w:eastAsia="Arial" w:hAnsi="Arial" w:hint="default"/>
        <w:b/>
        <w:bCs/>
        <w:sz w:val="24"/>
        <w:szCs w:val="24"/>
      </w:rPr>
    </w:lvl>
    <w:lvl w:ilvl="2" w:tplc="4612A420">
      <w:start w:val="1"/>
      <w:numFmt w:val="decimal"/>
      <w:lvlText w:val="%3."/>
      <w:lvlJc w:val="left"/>
      <w:pPr>
        <w:ind w:left="1099" w:hanging="269"/>
      </w:pPr>
      <w:rPr>
        <w:rFonts w:ascii="Arial" w:eastAsia="Arial" w:hAnsi="Arial" w:hint="default"/>
        <w:spacing w:val="-1"/>
        <w:sz w:val="22"/>
        <w:szCs w:val="22"/>
      </w:rPr>
    </w:lvl>
    <w:lvl w:ilvl="3" w:tplc="F3C6A1E6">
      <w:start w:val="1"/>
      <w:numFmt w:val="lowerLetter"/>
      <w:lvlText w:val="%4."/>
      <w:lvlJc w:val="left"/>
      <w:pPr>
        <w:ind w:left="1370" w:hanging="272"/>
      </w:pPr>
      <w:rPr>
        <w:rFonts w:ascii="Arial" w:eastAsia="Arial" w:hAnsi="Arial" w:hint="default"/>
        <w:spacing w:val="-1"/>
        <w:sz w:val="22"/>
        <w:szCs w:val="22"/>
      </w:rPr>
    </w:lvl>
    <w:lvl w:ilvl="4" w:tplc="9CBEC84C">
      <w:start w:val="1"/>
      <w:numFmt w:val="bullet"/>
      <w:lvlText w:val="•"/>
      <w:lvlJc w:val="left"/>
      <w:pPr>
        <w:ind w:left="3538" w:hanging="272"/>
      </w:pPr>
      <w:rPr>
        <w:rFonts w:hint="default"/>
      </w:rPr>
    </w:lvl>
    <w:lvl w:ilvl="5" w:tplc="9D9015A0">
      <w:start w:val="1"/>
      <w:numFmt w:val="bullet"/>
      <w:lvlText w:val="•"/>
      <w:lvlJc w:val="left"/>
      <w:pPr>
        <w:ind w:left="4621" w:hanging="272"/>
      </w:pPr>
      <w:rPr>
        <w:rFonts w:hint="default"/>
      </w:rPr>
    </w:lvl>
    <w:lvl w:ilvl="6" w:tplc="D89EE29C">
      <w:start w:val="1"/>
      <w:numFmt w:val="bullet"/>
      <w:lvlText w:val="•"/>
      <w:lvlJc w:val="left"/>
      <w:pPr>
        <w:ind w:left="5705" w:hanging="272"/>
      </w:pPr>
      <w:rPr>
        <w:rFonts w:hint="default"/>
      </w:rPr>
    </w:lvl>
    <w:lvl w:ilvl="7" w:tplc="FFEEEAAC">
      <w:start w:val="1"/>
      <w:numFmt w:val="bullet"/>
      <w:lvlText w:val="•"/>
      <w:lvlJc w:val="left"/>
      <w:pPr>
        <w:ind w:left="6789" w:hanging="272"/>
      </w:pPr>
      <w:rPr>
        <w:rFonts w:hint="default"/>
      </w:rPr>
    </w:lvl>
    <w:lvl w:ilvl="8" w:tplc="725A5BEA">
      <w:start w:val="1"/>
      <w:numFmt w:val="bullet"/>
      <w:lvlText w:val="•"/>
      <w:lvlJc w:val="left"/>
      <w:pPr>
        <w:ind w:left="7872" w:hanging="272"/>
      </w:pPr>
      <w:rPr>
        <w:rFonts w:hint="default"/>
      </w:rPr>
    </w:lvl>
  </w:abstractNum>
  <w:abstractNum w:abstractNumId="2" w15:restartNumberingAfterBreak="0">
    <w:nsid w:val="128C3B26"/>
    <w:multiLevelType w:val="hybridMultilevel"/>
    <w:tmpl w:val="DCDC68E6"/>
    <w:lvl w:ilvl="0" w:tplc="D81C49C0">
      <w:start w:val="3"/>
      <w:numFmt w:val="decimal"/>
      <w:lvlText w:val="%1"/>
      <w:lvlJc w:val="left"/>
      <w:pPr>
        <w:ind w:left="1121" w:hanging="562"/>
      </w:pPr>
      <w:rPr>
        <w:rFonts w:hint="default"/>
      </w:rPr>
    </w:lvl>
    <w:lvl w:ilvl="1" w:tplc="BA2A4FB0">
      <w:start w:val="2"/>
      <w:numFmt w:val="decimal"/>
      <w:lvlText w:val="%1.%2"/>
      <w:lvlJc w:val="left"/>
      <w:pPr>
        <w:ind w:left="1121" w:hanging="562"/>
      </w:pPr>
      <w:rPr>
        <w:rFonts w:ascii="Arial" w:eastAsia="Arial" w:hAnsi="Arial" w:hint="default"/>
        <w:sz w:val="24"/>
        <w:szCs w:val="24"/>
      </w:rPr>
    </w:lvl>
    <w:lvl w:ilvl="2" w:tplc="64347AA6">
      <w:start w:val="1"/>
      <w:numFmt w:val="decimal"/>
      <w:lvlText w:val="%1.%2.%3"/>
      <w:lvlJc w:val="left"/>
      <w:pPr>
        <w:ind w:left="1279" w:hanging="720"/>
      </w:pPr>
      <w:rPr>
        <w:rFonts w:ascii="Arial" w:eastAsia="Arial" w:hAnsi="Arial" w:hint="default"/>
        <w:spacing w:val="-1"/>
        <w:sz w:val="22"/>
        <w:szCs w:val="22"/>
      </w:rPr>
    </w:lvl>
    <w:lvl w:ilvl="3" w:tplc="C6C2AEDA">
      <w:start w:val="1"/>
      <w:numFmt w:val="bullet"/>
      <w:lvlText w:val=""/>
      <w:lvlJc w:val="left"/>
      <w:pPr>
        <w:ind w:left="739" w:hanging="361"/>
      </w:pPr>
      <w:rPr>
        <w:rFonts w:ascii="Symbol" w:eastAsia="Symbol" w:hAnsi="Symbol" w:hint="default"/>
        <w:sz w:val="22"/>
        <w:szCs w:val="22"/>
      </w:rPr>
    </w:lvl>
    <w:lvl w:ilvl="4" w:tplc="8F1A75B6">
      <w:start w:val="1"/>
      <w:numFmt w:val="bullet"/>
      <w:lvlText w:val="•"/>
      <w:lvlJc w:val="left"/>
      <w:pPr>
        <w:ind w:left="2528" w:hanging="361"/>
      </w:pPr>
      <w:rPr>
        <w:rFonts w:hint="default"/>
      </w:rPr>
    </w:lvl>
    <w:lvl w:ilvl="5" w:tplc="68EA729C">
      <w:start w:val="1"/>
      <w:numFmt w:val="bullet"/>
      <w:lvlText w:val="•"/>
      <w:lvlJc w:val="left"/>
      <w:pPr>
        <w:ind w:left="3777" w:hanging="361"/>
      </w:pPr>
      <w:rPr>
        <w:rFonts w:hint="default"/>
      </w:rPr>
    </w:lvl>
    <w:lvl w:ilvl="6" w:tplc="295C34F4">
      <w:start w:val="1"/>
      <w:numFmt w:val="bullet"/>
      <w:lvlText w:val="•"/>
      <w:lvlJc w:val="left"/>
      <w:pPr>
        <w:ind w:left="5025" w:hanging="361"/>
      </w:pPr>
      <w:rPr>
        <w:rFonts w:hint="default"/>
      </w:rPr>
    </w:lvl>
    <w:lvl w:ilvl="7" w:tplc="F80EBDA0">
      <w:start w:val="1"/>
      <w:numFmt w:val="bullet"/>
      <w:lvlText w:val="•"/>
      <w:lvlJc w:val="left"/>
      <w:pPr>
        <w:ind w:left="6274" w:hanging="361"/>
      </w:pPr>
      <w:rPr>
        <w:rFonts w:hint="default"/>
      </w:rPr>
    </w:lvl>
    <w:lvl w:ilvl="8" w:tplc="5D121A00">
      <w:start w:val="1"/>
      <w:numFmt w:val="bullet"/>
      <w:lvlText w:val="•"/>
      <w:lvlJc w:val="left"/>
      <w:pPr>
        <w:ind w:left="7522" w:hanging="361"/>
      </w:pPr>
      <w:rPr>
        <w:rFonts w:hint="default"/>
      </w:rPr>
    </w:lvl>
  </w:abstractNum>
  <w:abstractNum w:abstractNumId="3" w15:restartNumberingAfterBreak="0">
    <w:nsid w:val="15F3523C"/>
    <w:multiLevelType w:val="multilevel"/>
    <w:tmpl w:val="3AE4891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6A2A06"/>
    <w:multiLevelType w:val="multilevel"/>
    <w:tmpl w:val="EB48C46C"/>
    <w:lvl w:ilvl="0">
      <w:start w:val="4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17921"/>
    <w:multiLevelType w:val="hybridMultilevel"/>
    <w:tmpl w:val="71CACB32"/>
    <w:lvl w:ilvl="0" w:tplc="C688F5F2">
      <w:start w:val="2"/>
      <w:numFmt w:val="lowerRoman"/>
      <w:lvlText w:val="%1."/>
      <w:lvlJc w:val="left"/>
      <w:pPr>
        <w:ind w:left="1107" w:hanging="317"/>
      </w:pPr>
      <w:rPr>
        <w:rFonts w:ascii="Arial" w:eastAsia="Arial" w:hAnsi="Arial" w:hint="default"/>
        <w:sz w:val="18"/>
        <w:szCs w:val="18"/>
      </w:rPr>
    </w:lvl>
    <w:lvl w:ilvl="1" w:tplc="CB980B00">
      <w:start w:val="1"/>
      <w:numFmt w:val="bullet"/>
      <w:lvlText w:val=""/>
      <w:lvlJc w:val="left"/>
      <w:pPr>
        <w:ind w:left="920" w:hanging="181"/>
      </w:pPr>
      <w:rPr>
        <w:rFonts w:ascii="Symbol" w:eastAsia="Symbol" w:hAnsi="Symbol" w:hint="default"/>
        <w:sz w:val="22"/>
        <w:szCs w:val="22"/>
      </w:rPr>
    </w:lvl>
    <w:lvl w:ilvl="2" w:tplc="4C48F010">
      <w:start w:val="1"/>
      <w:numFmt w:val="bullet"/>
      <w:lvlText w:val="•"/>
      <w:lvlJc w:val="left"/>
      <w:pPr>
        <w:ind w:left="2099" w:hanging="181"/>
      </w:pPr>
      <w:rPr>
        <w:rFonts w:hint="default"/>
      </w:rPr>
    </w:lvl>
    <w:lvl w:ilvl="3" w:tplc="57E0AC50">
      <w:start w:val="1"/>
      <w:numFmt w:val="bullet"/>
      <w:lvlText w:val="•"/>
      <w:lvlJc w:val="left"/>
      <w:pPr>
        <w:ind w:left="3092" w:hanging="181"/>
      </w:pPr>
      <w:rPr>
        <w:rFonts w:hint="default"/>
      </w:rPr>
    </w:lvl>
    <w:lvl w:ilvl="4" w:tplc="2B8024E8">
      <w:start w:val="1"/>
      <w:numFmt w:val="bullet"/>
      <w:lvlText w:val="•"/>
      <w:lvlJc w:val="left"/>
      <w:pPr>
        <w:ind w:left="4084" w:hanging="181"/>
      </w:pPr>
      <w:rPr>
        <w:rFonts w:hint="default"/>
      </w:rPr>
    </w:lvl>
    <w:lvl w:ilvl="5" w:tplc="23561B06">
      <w:start w:val="1"/>
      <w:numFmt w:val="bullet"/>
      <w:lvlText w:val="•"/>
      <w:lvlJc w:val="left"/>
      <w:pPr>
        <w:ind w:left="5077" w:hanging="181"/>
      </w:pPr>
      <w:rPr>
        <w:rFonts w:hint="default"/>
      </w:rPr>
    </w:lvl>
    <w:lvl w:ilvl="6" w:tplc="F9BC23FE">
      <w:start w:val="1"/>
      <w:numFmt w:val="bullet"/>
      <w:lvlText w:val="•"/>
      <w:lvlJc w:val="left"/>
      <w:pPr>
        <w:ind w:left="6069" w:hanging="181"/>
      </w:pPr>
      <w:rPr>
        <w:rFonts w:hint="default"/>
      </w:rPr>
    </w:lvl>
    <w:lvl w:ilvl="7" w:tplc="44387D58">
      <w:start w:val="1"/>
      <w:numFmt w:val="bullet"/>
      <w:lvlText w:val="•"/>
      <w:lvlJc w:val="left"/>
      <w:pPr>
        <w:ind w:left="7062" w:hanging="181"/>
      </w:pPr>
      <w:rPr>
        <w:rFonts w:hint="default"/>
      </w:rPr>
    </w:lvl>
    <w:lvl w:ilvl="8" w:tplc="1A6E2F02">
      <w:start w:val="1"/>
      <w:numFmt w:val="bullet"/>
      <w:lvlText w:val="•"/>
      <w:lvlJc w:val="left"/>
      <w:pPr>
        <w:ind w:left="8054" w:hanging="181"/>
      </w:pPr>
      <w:rPr>
        <w:rFonts w:hint="default"/>
      </w:rPr>
    </w:lvl>
  </w:abstractNum>
  <w:abstractNum w:abstractNumId="6" w15:restartNumberingAfterBreak="0">
    <w:nsid w:val="2B255322"/>
    <w:multiLevelType w:val="hybridMultilevel"/>
    <w:tmpl w:val="11EA8E64"/>
    <w:lvl w:ilvl="0" w:tplc="2720783E">
      <w:start w:val="2"/>
      <w:numFmt w:val="lowerRoman"/>
      <w:lvlText w:val="%1."/>
      <w:lvlJc w:val="left"/>
      <w:pPr>
        <w:ind w:left="1100" w:hanging="310"/>
      </w:pPr>
      <w:rPr>
        <w:rFonts w:ascii="Arial" w:eastAsia="Arial" w:hAnsi="Arial" w:hint="default"/>
        <w:sz w:val="18"/>
        <w:szCs w:val="18"/>
      </w:rPr>
    </w:lvl>
    <w:lvl w:ilvl="1" w:tplc="3EF82200">
      <w:start w:val="1"/>
      <w:numFmt w:val="bullet"/>
      <w:lvlText w:val=""/>
      <w:lvlJc w:val="left"/>
      <w:pPr>
        <w:ind w:left="918" w:hanging="181"/>
      </w:pPr>
      <w:rPr>
        <w:rFonts w:ascii="Symbol" w:eastAsia="Symbol" w:hAnsi="Symbol" w:hint="default"/>
        <w:sz w:val="22"/>
        <w:szCs w:val="22"/>
      </w:rPr>
    </w:lvl>
    <w:lvl w:ilvl="2" w:tplc="A0043D16">
      <w:start w:val="1"/>
      <w:numFmt w:val="bullet"/>
      <w:lvlText w:val="•"/>
      <w:lvlJc w:val="left"/>
      <w:pPr>
        <w:ind w:left="2091" w:hanging="181"/>
      </w:pPr>
      <w:rPr>
        <w:rFonts w:hint="default"/>
      </w:rPr>
    </w:lvl>
    <w:lvl w:ilvl="3" w:tplc="EF761B7E">
      <w:start w:val="1"/>
      <w:numFmt w:val="bullet"/>
      <w:lvlText w:val="•"/>
      <w:lvlJc w:val="left"/>
      <w:pPr>
        <w:ind w:left="3082" w:hanging="181"/>
      </w:pPr>
      <w:rPr>
        <w:rFonts w:hint="default"/>
      </w:rPr>
    </w:lvl>
    <w:lvl w:ilvl="4" w:tplc="25521790">
      <w:start w:val="1"/>
      <w:numFmt w:val="bullet"/>
      <w:lvlText w:val="•"/>
      <w:lvlJc w:val="left"/>
      <w:pPr>
        <w:ind w:left="4073" w:hanging="181"/>
      </w:pPr>
      <w:rPr>
        <w:rFonts w:hint="default"/>
      </w:rPr>
    </w:lvl>
    <w:lvl w:ilvl="5" w:tplc="2E084E5A">
      <w:start w:val="1"/>
      <w:numFmt w:val="bullet"/>
      <w:lvlText w:val="•"/>
      <w:lvlJc w:val="left"/>
      <w:pPr>
        <w:ind w:left="5064" w:hanging="181"/>
      </w:pPr>
      <w:rPr>
        <w:rFonts w:hint="default"/>
      </w:rPr>
    </w:lvl>
    <w:lvl w:ilvl="6" w:tplc="44409DA4">
      <w:start w:val="1"/>
      <w:numFmt w:val="bullet"/>
      <w:lvlText w:val="•"/>
      <w:lvlJc w:val="left"/>
      <w:pPr>
        <w:ind w:left="6055" w:hanging="181"/>
      </w:pPr>
      <w:rPr>
        <w:rFonts w:hint="default"/>
      </w:rPr>
    </w:lvl>
    <w:lvl w:ilvl="7" w:tplc="17E29D62">
      <w:start w:val="1"/>
      <w:numFmt w:val="bullet"/>
      <w:lvlText w:val="•"/>
      <w:lvlJc w:val="left"/>
      <w:pPr>
        <w:ind w:left="7046" w:hanging="181"/>
      </w:pPr>
      <w:rPr>
        <w:rFonts w:hint="default"/>
      </w:rPr>
    </w:lvl>
    <w:lvl w:ilvl="8" w:tplc="4B566F06">
      <w:start w:val="1"/>
      <w:numFmt w:val="bullet"/>
      <w:lvlText w:val="•"/>
      <w:lvlJc w:val="left"/>
      <w:pPr>
        <w:ind w:left="8037" w:hanging="181"/>
      </w:pPr>
      <w:rPr>
        <w:rFonts w:hint="default"/>
      </w:rPr>
    </w:lvl>
  </w:abstractNum>
  <w:abstractNum w:abstractNumId="7" w15:restartNumberingAfterBreak="0">
    <w:nsid w:val="3A312FA5"/>
    <w:multiLevelType w:val="hybridMultilevel"/>
    <w:tmpl w:val="FC865028"/>
    <w:lvl w:ilvl="0" w:tplc="8676E4FA">
      <w:start w:val="5"/>
      <w:numFmt w:val="decimal"/>
      <w:lvlText w:val="%1"/>
      <w:lvlJc w:val="left"/>
      <w:pPr>
        <w:ind w:left="1095" w:hanging="536"/>
      </w:pPr>
      <w:rPr>
        <w:rFonts w:hint="default"/>
      </w:rPr>
    </w:lvl>
    <w:lvl w:ilvl="1" w:tplc="D00CED5E">
      <w:start w:val="1"/>
      <w:numFmt w:val="decimal"/>
      <w:lvlText w:val="%1.%2"/>
      <w:lvlJc w:val="left"/>
      <w:pPr>
        <w:ind w:left="1095" w:hanging="536"/>
      </w:pPr>
      <w:rPr>
        <w:rFonts w:ascii="Arial" w:eastAsia="Arial" w:hAnsi="Arial" w:hint="default"/>
        <w:b/>
        <w:bCs/>
        <w:sz w:val="24"/>
        <w:szCs w:val="24"/>
      </w:rPr>
    </w:lvl>
    <w:lvl w:ilvl="2" w:tplc="AD2CF8A8">
      <w:start w:val="1"/>
      <w:numFmt w:val="bullet"/>
      <w:lvlText w:val=""/>
      <w:lvlJc w:val="left"/>
      <w:pPr>
        <w:ind w:left="739" w:hanging="181"/>
      </w:pPr>
      <w:rPr>
        <w:rFonts w:ascii="Symbol" w:eastAsia="Symbol" w:hAnsi="Symbol" w:hint="default"/>
        <w:sz w:val="22"/>
        <w:szCs w:val="22"/>
      </w:rPr>
    </w:lvl>
    <w:lvl w:ilvl="3" w:tplc="F8F09EB6">
      <w:start w:val="1"/>
      <w:numFmt w:val="bullet"/>
      <w:lvlText w:val="•"/>
      <w:lvlJc w:val="left"/>
      <w:pPr>
        <w:ind w:left="3078" w:hanging="181"/>
      </w:pPr>
      <w:rPr>
        <w:rFonts w:hint="default"/>
      </w:rPr>
    </w:lvl>
    <w:lvl w:ilvl="4" w:tplc="30CA401E">
      <w:start w:val="1"/>
      <w:numFmt w:val="bullet"/>
      <w:lvlText w:val="•"/>
      <w:lvlJc w:val="left"/>
      <w:pPr>
        <w:ind w:left="4070" w:hanging="181"/>
      </w:pPr>
      <w:rPr>
        <w:rFonts w:hint="default"/>
      </w:rPr>
    </w:lvl>
    <w:lvl w:ilvl="5" w:tplc="380ECF3C">
      <w:start w:val="1"/>
      <w:numFmt w:val="bullet"/>
      <w:lvlText w:val="•"/>
      <w:lvlJc w:val="left"/>
      <w:pPr>
        <w:ind w:left="5061" w:hanging="181"/>
      </w:pPr>
      <w:rPr>
        <w:rFonts w:hint="default"/>
      </w:rPr>
    </w:lvl>
    <w:lvl w:ilvl="6" w:tplc="ECB2ED78">
      <w:start w:val="1"/>
      <w:numFmt w:val="bullet"/>
      <w:lvlText w:val="•"/>
      <w:lvlJc w:val="left"/>
      <w:pPr>
        <w:ind w:left="6053" w:hanging="181"/>
      </w:pPr>
      <w:rPr>
        <w:rFonts w:hint="default"/>
      </w:rPr>
    </w:lvl>
    <w:lvl w:ilvl="7" w:tplc="B9AA3696">
      <w:start w:val="1"/>
      <w:numFmt w:val="bullet"/>
      <w:lvlText w:val="•"/>
      <w:lvlJc w:val="left"/>
      <w:pPr>
        <w:ind w:left="7045" w:hanging="181"/>
      </w:pPr>
      <w:rPr>
        <w:rFonts w:hint="default"/>
      </w:rPr>
    </w:lvl>
    <w:lvl w:ilvl="8" w:tplc="60CA86F0">
      <w:start w:val="1"/>
      <w:numFmt w:val="bullet"/>
      <w:lvlText w:val="•"/>
      <w:lvlJc w:val="left"/>
      <w:pPr>
        <w:ind w:left="8036" w:hanging="181"/>
      </w:pPr>
      <w:rPr>
        <w:rFonts w:hint="default"/>
      </w:rPr>
    </w:lvl>
  </w:abstractNum>
  <w:abstractNum w:abstractNumId="8" w15:restartNumberingAfterBreak="0">
    <w:nsid w:val="4167453D"/>
    <w:multiLevelType w:val="multilevel"/>
    <w:tmpl w:val="CE52D414"/>
    <w:lvl w:ilvl="0">
      <w:start w:val="2"/>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F47E74"/>
    <w:multiLevelType w:val="multilevel"/>
    <w:tmpl w:val="E6A600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3165D1"/>
    <w:multiLevelType w:val="multilevel"/>
    <w:tmpl w:val="9E721A8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527E55"/>
    <w:multiLevelType w:val="hybridMultilevel"/>
    <w:tmpl w:val="93C44420"/>
    <w:lvl w:ilvl="0" w:tplc="1396B84E">
      <w:start w:val="2"/>
      <w:numFmt w:val="decimal"/>
      <w:lvlText w:val="%1"/>
      <w:lvlJc w:val="left"/>
      <w:pPr>
        <w:ind w:left="1011" w:hanging="452"/>
      </w:pPr>
      <w:rPr>
        <w:rFonts w:hint="default"/>
      </w:rPr>
    </w:lvl>
    <w:lvl w:ilvl="1" w:tplc="29667498">
      <w:start w:val="1"/>
      <w:numFmt w:val="decimal"/>
      <w:lvlText w:val="%1.%2"/>
      <w:lvlJc w:val="left"/>
      <w:pPr>
        <w:ind w:left="1011" w:hanging="452"/>
      </w:pPr>
      <w:rPr>
        <w:rFonts w:ascii="Arial" w:eastAsia="Arial" w:hAnsi="Arial" w:hint="default"/>
        <w:b/>
        <w:bCs/>
        <w:sz w:val="24"/>
        <w:szCs w:val="24"/>
      </w:rPr>
    </w:lvl>
    <w:lvl w:ilvl="2" w:tplc="6F4648E4">
      <w:start w:val="1"/>
      <w:numFmt w:val="bullet"/>
      <w:lvlText w:val=""/>
      <w:lvlJc w:val="left"/>
      <w:pPr>
        <w:ind w:left="747" w:hanging="353"/>
      </w:pPr>
      <w:rPr>
        <w:rFonts w:ascii="Symbol" w:eastAsia="Symbol" w:hAnsi="Symbol" w:hint="default"/>
        <w:sz w:val="22"/>
        <w:szCs w:val="22"/>
      </w:rPr>
    </w:lvl>
    <w:lvl w:ilvl="3" w:tplc="E9E0BF28">
      <w:start w:val="1"/>
      <w:numFmt w:val="bullet"/>
      <w:lvlText w:val="•"/>
      <w:lvlJc w:val="left"/>
      <w:pPr>
        <w:ind w:left="3017" w:hanging="353"/>
      </w:pPr>
      <w:rPr>
        <w:rFonts w:hint="default"/>
      </w:rPr>
    </w:lvl>
    <w:lvl w:ilvl="4" w:tplc="D152C1CE">
      <w:start w:val="1"/>
      <w:numFmt w:val="bullet"/>
      <w:lvlText w:val="•"/>
      <w:lvlJc w:val="left"/>
      <w:pPr>
        <w:ind w:left="4020" w:hanging="353"/>
      </w:pPr>
      <w:rPr>
        <w:rFonts w:hint="default"/>
      </w:rPr>
    </w:lvl>
    <w:lvl w:ilvl="5" w:tplc="A16A0004">
      <w:start w:val="1"/>
      <w:numFmt w:val="bullet"/>
      <w:lvlText w:val="•"/>
      <w:lvlJc w:val="left"/>
      <w:pPr>
        <w:ind w:left="5024" w:hanging="353"/>
      </w:pPr>
      <w:rPr>
        <w:rFonts w:hint="default"/>
      </w:rPr>
    </w:lvl>
    <w:lvl w:ilvl="6" w:tplc="E21E1CCA">
      <w:start w:val="1"/>
      <w:numFmt w:val="bullet"/>
      <w:lvlText w:val="•"/>
      <w:lvlJc w:val="left"/>
      <w:pPr>
        <w:ind w:left="6027" w:hanging="353"/>
      </w:pPr>
      <w:rPr>
        <w:rFonts w:hint="default"/>
      </w:rPr>
    </w:lvl>
    <w:lvl w:ilvl="7" w:tplc="EC60A23C">
      <w:start w:val="1"/>
      <w:numFmt w:val="bullet"/>
      <w:lvlText w:val="•"/>
      <w:lvlJc w:val="left"/>
      <w:pPr>
        <w:ind w:left="7030" w:hanging="353"/>
      </w:pPr>
      <w:rPr>
        <w:rFonts w:hint="default"/>
      </w:rPr>
    </w:lvl>
    <w:lvl w:ilvl="8" w:tplc="84AAD97A">
      <w:start w:val="1"/>
      <w:numFmt w:val="bullet"/>
      <w:lvlText w:val="•"/>
      <w:lvlJc w:val="left"/>
      <w:pPr>
        <w:ind w:left="8033" w:hanging="353"/>
      </w:pPr>
      <w:rPr>
        <w:rFonts w:hint="default"/>
      </w:rPr>
    </w:lvl>
  </w:abstractNum>
  <w:abstractNum w:abstractNumId="12" w15:restartNumberingAfterBreak="0">
    <w:nsid w:val="622C106E"/>
    <w:multiLevelType w:val="hybridMultilevel"/>
    <w:tmpl w:val="0FD01A86"/>
    <w:lvl w:ilvl="0" w:tplc="047EA0EE">
      <w:start w:val="3"/>
      <w:numFmt w:val="decimal"/>
      <w:lvlText w:val="%1"/>
      <w:lvlJc w:val="left"/>
      <w:pPr>
        <w:ind w:left="1011" w:hanging="452"/>
      </w:pPr>
      <w:rPr>
        <w:rFonts w:hint="default"/>
      </w:rPr>
    </w:lvl>
    <w:lvl w:ilvl="1" w:tplc="71F43D94">
      <w:start w:val="1"/>
      <w:numFmt w:val="decimal"/>
      <w:lvlText w:val="%1.%2"/>
      <w:lvlJc w:val="left"/>
      <w:pPr>
        <w:ind w:left="1011" w:hanging="452"/>
      </w:pPr>
      <w:rPr>
        <w:rFonts w:ascii="Arial" w:eastAsia="Arial" w:hAnsi="Arial" w:hint="default"/>
        <w:sz w:val="24"/>
        <w:szCs w:val="24"/>
      </w:rPr>
    </w:lvl>
    <w:lvl w:ilvl="2" w:tplc="EAE6313A">
      <w:start w:val="1"/>
      <w:numFmt w:val="decimal"/>
      <w:lvlText w:val="%1.%2.%3"/>
      <w:lvlJc w:val="left"/>
      <w:pPr>
        <w:ind w:left="1279" w:hanging="720"/>
      </w:pPr>
      <w:rPr>
        <w:rFonts w:ascii="Arial" w:eastAsia="Arial" w:hAnsi="Arial" w:hint="default"/>
        <w:spacing w:val="-1"/>
        <w:sz w:val="22"/>
        <w:szCs w:val="22"/>
      </w:rPr>
    </w:lvl>
    <w:lvl w:ilvl="3" w:tplc="DA06A4EA">
      <w:start w:val="1"/>
      <w:numFmt w:val="bullet"/>
      <w:lvlText w:val=""/>
      <w:lvlJc w:val="left"/>
      <w:pPr>
        <w:ind w:left="740" w:hanging="361"/>
      </w:pPr>
      <w:rPr>
        <w:rFonts w:ascii="Symbol" w:eastAsia="Symbol" w:hAnsi="Symbol" w:hint="default"/>
        <w:sz w:val="22"/>
        <w:szCs w:val="22"/>
      </w:rPr>
    </w:lvl>
    <w:lvl w:ilvl="4" w:tplc="1216542C">
      <w:start w:val="1"/>
      <w:numFmt w:val="bullet"/>
      <w:lvlText w:val="•"/>
      <w:lvlJc w:val="left"/>
      <w:pPr>
        <w:ind w:left="2531" w:hanging="361"/>
      </w:pPr>
      <w:rPr>
        <w:rFonts w:hint="default"/>
      </w:rPr>
    </w:lvl>
    <w:lvl w:ilvl="5" w:tplc="AB40485A">
      <w:start w:val="1"/>
      <w:numFmt w:val="bullet"/>
      <w:lvlText w:val="•"/>
      <w:lvlJc w:val="left"/>
      <w:pPr>
        <w:ind w:left="3782" w:hanging="361"/>
      </w:pPr>
      <w:rPr>
        <w:rFonts w:hint="default"/>
      </w:rPr>
    </w:lvl>
    <w:lvl w:ilvl="6" w:tplc="01D247EE">
      <w:start w:val="1"/>
      <w:numFmt w:val="bullet"/>
      <w:lvlText w:val="•"/>
      <w:lvlJc w:val="left"/>
      <w:pPr>
        <w:ind w:left="5034" w:hanging="361"/>
      </w:pPr>
      <w:rPr>
        <w:rFonts w:hint="default"/>
      </w:rPr>
    </w:lvl>
    <w:lvl w:ilvl="7" w:tplc="CA9429C8">
      <w:start w:val="1"/>
      <w:numFmt w:val="bullet"/>
      <w:lvlText w:val="•"/>
      <w:lvlJc w:val="left"/>
      <w:pPr>
        <w:ind w:left="6285" w:hanging="361"/>
      </w:pPr>
      <w:rPr>
        <w:rFonts w:hint="default"/>
      </w:rPr>
    </w:lvl>
    <w:lvl w:ilvl="8" w:tplc="36F47840">
      <w:start w:val="1"/>
      <w:numFmt w:val="bullet"/>
      <w:lvlText w:val="•"/>
      <w:lvlJc w:val="left"/>
      <w:pPr>
        <w:ind w:left="7537" w:hanging="361"/>
      </w:pPr>
      <w:rPr>
        <w:rFonts w:hint="default"/>
      </w:rPr>
    </w:lvl>
  </w:abstractNum>
  <w:abstractNum w:abstractNumId="13" w15:restartNumberingAfterBreak="0">
    <w:nsid w:val="66AC0E82"/>
    <w:multiLevelType w:val="hybridMultilevel"/>
    <w:tmpl w:val="6AA26B72"/>
    <w:lvl w:ilvl="0" w:tplc="74DA7220">
      <w:start w:val="4"/>
      <w:numFmt w:val="decimal"/>
      <w:lvlText w:val="%1"/>
      <w:lvlJc w:val="left"/>
      <w:pPr>
        <w:ind w:left="1054" w:hanging="495"/>
      </w:pPr>
      <w:rPr>
        <w:rFonts w:hint="default"/>
      </w:rPr>
    </w:lvl>
    <w:lvl w:ilvl="1" w:tplc="AA9235EA">
      <w:start w:val="1"/>
      <w:numFmt w:val="decimal"/>
      <w:lvlText w:val="%1.%2"/>
      <w:lvlJc w:val="left"/>
      <w:pPr>
        <w:ind w:left="1054" w:hanging="495"/>
      </w:pPr>
      <w:rPr>
        <w:rFonts w:ascii="Arial" w:eastAsia="Arial" w:hAnsi="Arial" w:hint="default"/>
        <w:sz w:val="24"/>
        <w:szCs w:val="24"/>
      </w:rPr>
    </w:lvl>
    <w:lvl w:ilvl="2" w:tplc="CAD0007E">
      <w:start w:val="1"/>
      <w:numFmt w:val="decimal"/>
      <w:lvlText w:val="%1.%2.%3"/>
      <w:lvlJc w:val="left"/>
      <w:pPr>
        <w:ind w:left="1107" w:hanging="548"/>
      </w:pPr>
      <w:rPr>
        <w:rFonts w:ascii="Arial" w:eastAsia="Arial" w:hAnsi="Arial" w:hint="default"/>
        <w:spacing w:val="-1"/>
        <w:sz w:val="22"/>
        <w:szCs w:val="22"/>
      </w:rPr>
    </w:lvl>
    <w:lvl w:ilvl="3" w:tplc="4D4E00EA">
      <w:start w:val="1"/>
      <w:numFmt w:val="lowerRoman"/>
      <w:lvlText w:val="%4."/>
      <w:lvlJc w:val="left"/>
      <w:pPr>
        <w:ind w:left="1107" w:hanging="298"/>
      </w:pPr>
      <w:rPr>
        <w:rFonts w:ascii="Arial" w:eastAsia="Arial" w:hAnsi="Arial" w:hint="default"/>
        <w:spacing w:val="-2"/>
        <w:sz w:val="22"/>
        <w:szCs w:val="22"/>
      </w:rPr>
    </w:lvl>
    <w:lvl w:ilvl="4" w:tplc="6F98AFB4">
      <w:start w:val="1"/>
      <w:numFmt w:val="bullet"/>
      <w:lvlText w:val=""/>
      <w:lvlJc w:val="left"/>
      <w:pPr>
        <w:ind w:left="919" w:hanging="181"/>
      </w:pPr>
      <w:rPr>
        <w:rFonts w:ascii="Symbol" w:eastAsia="Symbol" w:hAnsi="Symbol" w:hint="default"/>
        <w:sz w:val="22"/>
        <w:szCs w:val="22"/>
      </w:rPr>
    </w:lvl>
    <w:lvl w:ilvl="5" w:tplc="046C091A">
      <w:start w:val="1"/>
      <w:numFmt w:val="bullet"/>
      <w:lvlText w:val="•"/>
      <w:lvlJc w:val="left"/>
      <w:pPr>
        <w:ind w:left="1054" w:hanging="181"/>
      </w:pPr>
      <w:rPr>
        <w:rFonts w:hint="default"/>
      </w:rPr>
    </w:lvl>
    <w:lvl w:ilvl="6" w:tplc="AC66682E">
      <w:start w:val="1"/>
      <w:numFmt w:val="bullet"/>
      <w:lvlText w:val="•"/>
      <w:lvlJc w:val="left"/>
      <w:pPr>
        <w:ind w:left="1066" w:hanging="181"/>
      </w:pPr>
      <w:rPr>
        <w:rFonts w:hint="default"/>
      </w:rPr>
    </w:lvl>
    <w:lvl w:ilvl="7" w:tplc="044E9C6E">
      <w:start w:val="1"/>
      <w:numFmt w:val="bullet"/>
      <w:lvlText w:val="•"/>
      <w:lvlJc w:val="left"/>
      <w:pPr>
        <w:ind w:left="1107" w:hanging="181"/>
      </w:pPr>
      <w:rPr>
        <w:rFonts w:hint="default"/>
      </w:rPr>
    </w:lvl>
    <w:lvl w:ilvl="8" w:tplc="AD9000C6">
      <w:start w:val="1"/>
      <w:numFmt w:val="bullet"/>
      <w:lvlText w:val="•"/>
      <w:lvlJc w:val="left"/>
      <w:pPr>
        <w:ind w:left="1107" w:hanging="181"/>
      </w:pPr>
      <w:rPr>
        <w:rFonts w:hint="default"/>
      </w:rPr>
    </w:lvl>
  </w:abstractNum>
  <w:abstractNum w:abstractNumId="14" w15:restartNumberingAfterBreak="0">
    <w:nsid w:val="676D7F1B"/>
    <w:multiLevelType w:val="multilevel"/>
    <w:tmpl w:val="E6A600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0A3880"/>
    <w:multiLevelType w:val="hybridMultilevel"/>
    <w:tmpl w:val="89CCCCAA"/>
    <w:lvl w:ilvl="0" w:tplc="4ABA38E0">
      <w:start w:val="2"/>
      <w:numFmt w:val="lowerRoman"/>
      <w:lvlText w:val="%1."/>
      <w:lvlJc w:val="left"/>
      <w:pPr>
        <w:ind w:left="1107" w:hanging="317"/>
      </w:pPr>
      <w:rPr>
        <w:rFonts w:ascii="Arial" w:eastAsia="Arial" w:hAnsi="Arial" w:hint="default"/>
        <w:sz w:val="18"/>
        <w:szCs w:val="18"/>
      </w:rPr>
    </w:lvl>
    <w:lvl w:ilvl="1" w:tplc="429E2D50">
      <w:start w:val="1"/>
      <w:numFmt w:val="bullet"/>
      <w:lvlText w:val=""/>
      <w:lvlJc w:val="left"/>
      <w:pPr>
        <w:ind w:left="920" w:hanging="181"/>
      </w:pPr>
      <w:rPr>
        <w:rFonts w:ascii="Symbol" w:eastAsia="Symbol" w:hAnsi="Symbol" w:hint="default"/>
        <w:sz w:val="22"/>
        <w:szCs w:val="22"/>
      </w:rPr>
    </w:lvl>
    <w:lvl w:ilvl="2" w:tplc="C8CCEB62">
      <w:start w:val="1"/>
      <w:numFmt w:val="bullet"/>
      <w:lvlText w:val="•"/>
      <w:lvlJc w:val="left"/>
      <w:pPr>
        <w:ind w:left="2097" w:hanging="181"/>
      </w:pPr>
      <w:rPr>
        <w:rFonts w:hint="default"/>
      </w:rPr>
    </w:lvl>
    <w:lvl w:ilvl="3" w:tplc="C2B08BAA">
      <w:start w:val="1"/>
      <w:numFmt w:val="bullet"/>
      <w:lvlText w:val="•"/>
      <w:lvlJc w:val="left"/>
      <w:pPr>
        <w:ind w:left="3087" w:hanging="181"/>
      </w:pPr>
      <w:rPr>
        <w:rFonts w:hint="default"/>
      </w:rPr>
    </w:lvl>
    <w:lvl w:ilvl="4" w:tplc="9CAE67CE">
      <w:start w:val="1"/>
      <w:numFmt w:val="bullet"/>
      <w:lvlText w:val="•"/>
      <w:lvlJc w:val="left"/>
      <w:pPr>
        <w:ind w:left="4078" w:hanging="181"/>
      </w:pPr>
      <w:rPr>
        <w:rFonts w:hint="default"/>
      </w:rPr>
    </w:lvl>
    <w:lvl w:ilvl="5" w:tplc="C0D89CC8">
      <w:start w:val="1"/>
      <w:numFmt w:val="bullet"/>
      <w:lvlText w:val="•"/>
      <w:lvlJc w:val="left"/>
      <w:pPr>
        <w:ind w:left="5068" w:hanging="181"/>
      </w:pPr>
      <w:rPr>
        <w:rFonts w:hint="default"/>
      </w:rPr>
    </w:lvl>
    <w:lvl w:ilvl="6" w:tplc="3E0CD584">
      <w:start w:val="1"/>
      <w:numFmt w:val="bullet"/>
      <w:lvlText w:val="•"/>
      <w:lvlJc w:val="left"/>
      <w:pPr>
        <w:ind w:left="6058" w:hanging="181"/>
      </w:pPr>
      <w:rPr>
        <w:rFonts w:hint="default"/>
      </w:rPr>
    </w:lvl>
    <w:lvl w:ilvl="7" w:tplc="EB6E947C">
      <w:start w:val="1"/>
      <w:numFmt w:val="bullet"/>
      <w:lvlText w:val="•"/>
      <w:lvlJc w:val="left"/>
      <w:pPr>
        <w:ind w:left="7049" w:hanging="181"/>
      </w:pPr>
      <w:rPr>
        <w:rFonts w:hint="default"/>
      </w:rPr>
    </w:lvl>
    <w:lvl w:ilvl="8" w:tplc="F686FCBC">
      <w:start w:val="1"/>
      <w:numFmt w:val="bullet"/>
      <w:lvlText w:val="•"/>
      <w:lvlJc w:val="left"/>
      <w:pPr>
        <w:ind w:left="8039" w:hanging="181"/>
      </w:pPr>
      <w:rPr>
        <w:rFonts w:hint="default"/>
      </w:rPr>
    </w:lvl>
  </w:abstractNum>
  <w:abstractNum w:abstractNumId="16" w15:restartNumberingAfterBreak="0">
    <w:nsid w:val="6FBE23B9"/>
    <w:multiLevelType w:val="hybridMultilevel"/>
    <w:tmpl w:val="627E197E"/>
    <w:lvl w:ilvl="0" w:tplc="64AEDF04">
      <w:start w:val="1"/>
      <w:numFmt w:val="decimal"/>
      <w:lvlText w:val="%1"/>
      <w:lvlJc w:val="left"/>
      <w:pPr>
        <w:ind w:left="1006" w:hanging="447"/>
      </w:pPr>
      <w:rPr>
        <w:rFonts w:hint="default"/>
      </w:rPr>
    </w:lvl>
    <w:lvl w:ilvl="1" w:tplc="607E3EC8">
      <w:start w:val="1"/>
      <w:numFmt w:val="decimal"/>
      <w:lvlText w:val="%1.%2"/>
      <w:lvlJc w:val="left"/>
      <w:pPr>
        <w:ind w:left="1006" w:hanging="447"/>
      </w:pPr>
      <w:rPr>
        <w:rFonts w:ascii="Arial" w:eastAsia="Arial" w:hAnsi="Arial" w:hint="default"/>
        <w:b/>
        <w:bCs/>
        <w:sz w:val="24"/>
        <w:szCs w:val="24"/>
      </w:rPr>
    </w:lvl>
    <w:lvl w:ilvl="2" w:tplc="D24C5BC0">
      <w:start w:val="1"/>
      <w:numFmt w:val="bullet"/>
      <w:lvlText w:val=""/>
      <w:lvlJc w:val="left"/>
      <w:pPr>
        <w:ind w:left="747" w:hanging="353"/>
      </w:pPr>
      <w:rPr>
        <w:rFonts w:ascii="Symbol" w:eastAsia="Symbol" w:hAnsi="Symbol" w:hint="default"/>
        <w:sz w:val="22"/>
        <w:szCs w:val="22"/>
      </w:rPr>
    </w:lvl>
    <w:lvl w:ilvl="3" w:tplc="6E843D26">
      <w:start w:val="1"/>
      <w:numFmt w:val="bullet"/>
      <w:lvlText w:val="•"/>
      <w:lvlJc w:val="left"/>
      <w:pPr>
        <w:ind w:left="3013" w:hanging="353"/>
      </w:pPr>
      <w:rPr>
        <w:rFonts w:hint="default"/>
      </w:rPr>
    </w:lvl>
    <w:lvl w:ilvl="4" w:tplc="3CBC520C">
      <w:start w:val="1"/>
      <w:numFmt w:val="bullet"/>
      <w:lvlText w:val="•"/>
      <w:lvlJc w:val="left"/>
      <w:pPr>
        <w:ind w:left="4017" w:hanging="353"/>
      </w:pPr>
      <w:rPr>
        <w:rFonts w:hint="default"/>
      </w:rPr>
    </w:lvl>
    <w:lvl w:ilvl="5" w:tplc="0DD6217E">
      <w:start w:val="1"/>
      <w:numFmt w:val="bullet"/>
      <w:lvlText w:val="•"/>
      <w:lvlJc w:val="left"/>
      <w:pPr>
        <w:ind w:left="5021" w:hanging="353"/>
      </w:pPr>
      <w:rPr>
        <w:rFonts w:hint="default"/>
      </w:rPr>
    </w:lvl>
    <w:lvl w:ilvl="6" w:tplc="319C9FC2">
      <w:start w:val="1"/>
      <w:numFmt w:val="bullet"/>
      <w:lvlText w:val="•"/>
      <w:lvlJc w:val="left"/>
      <w:pPr>
        <w:ind w:left="6025" w:hanging="353"/>
      </w:pPr>
      <w:rPr>
        <w:rFonts w:hint="default"/>
      </w:rPr>
    </w:lvl>
    <w:lvl w:ilvl="7" w:tplc="7918339C">
      <w:start w:val="1"/>
      <w:numFmt w:val="bullet"/>
      <w:lvlText w:val="•"/>
      <w:lvlJc w:val="left"/>
      <w:pPr>
        <w:ind w:left="7028" w:hanging="353"/>
      </w:pPr>
      <w:rPr>
        <w:rFonts w:hint="default"/>
      </w:rPr>
    </w:lvl>
    <w:lvl w:ilvl="8" w:tplc="2EB642B2">
      <w:start w:val="1"/>
      <w:numFmt w:val="bullet"/>
      <w:lvlText w:val="•"/>
      <w:lvlJc w:val="left"/>
      <w:pPr>
        <w:ind w:left="8032" w:hanging="353"/>
      </w:pPr>
      <w:rPr>
        <w:rFonts w:hint="default"/>
      </w:rPr>
    </w:lvl>
  </w:abstractNum>
  <w:abstractNum w:abstractNumId="17" w15:restartNumberingAfterBreak="0">
    <w:nsid w:val="75C960AD"/>
    <w:multiLevelType w:val="multilevel"/>
    <w:tmpl w:val="3040535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
  </w:num>
  <w:num w:numId="2">
    <w:abstractNumId w:val="7"/>
  </w:num>
  <w:num w:numId="3">
    <w:abstractNumId w:val="5"/>
  </w:num>
  <w:num w:numId="4">
    <w:abstractNumId w:val="15"/>
  </w:num>
  <w:num w:numId="5">
    <w:abstractNumId w:val="6"/>
  </w:num>
  <w:num w:numId="6">
    <w:abstractNumId w:val="13"/>
  </w:num>
  <w:num w:numId="7">
    <w:abstractNumId w:val="2"/>
  </w:num>
  <w:num w:numId="8">
    <w:abstractNumId w:val="12"/>
  </w:num>
  <w:num w:numId="9">
    <w:abstractNumId w:val="11"/>
  </w:num>
  <w:num w:numId="10">
    <w:abstractNumId w:val="16"/>
  </w:num>
  <w:num w:numId="11">
    <w:abstractNumId w:val="3"/>
  </w:num>
  <w:num w:numId="12">
    <w:abstractNumId w:val="10"/>
  </w:num>
  <w:num w:numId="13">
    <w:abstractNumId w:val="0"/>
  </w:num>
  <w:num w:numId="14">
    <w:abstractNumId w:val="8"/>
  </w:num>
  <w:num w:numId="15">
    <w:abstractNumId w:val="4"/>
  </w:num>
  <w:num w:numId="16">
    <w:abstractNumId w:val="1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4AF7"/>
    <w:rsid w:val="00010150"/>
    <w:rsid w:val="000A3454"/>
    <w:rsid w:val="000A4051"/>
    <w:rsid w:val="000A42DE"/>
    <w:rsid w:val="000A55CD"/>
    <w:rsid w:val="000A684B"/>
    <w:rsid w:val="000D6648"/>
    <w:rsid w:val="000E175C"/>
    <w:rsid w:val="000F4807"/>
    <w:rsid w:val="001272EF"/>
    <w:rsid w:val="00185C2E"/>
    <w:rsid w:val="001930AE"/>
    <w:rsid w:val="001A4ADF"/>
    <w:rsid w:val="001B6FDE"/>
    <w:rsid w:val="001D0A7E"/>
    <w:rsid w:val="001F157C"/>
    <w:rsid w:val="002165B3"/>
    <w:rsid w:val="00235709"/>
    <w:rsid w:val="00237257"/>
    <w:rsid w:val="002632C0"/>
    <w:rsid w:val="002D1B85"/>
    <w:rsid w:val="00300B82"/>
    <w:rsid w:val="00313B37"/>
    <w:rsid w:val="00353C43"/>
    <w:rsid w:val="00386AA0"/>
    <w:rsid w:val="0039037F"/>
    <w:rsid w:val="003A1EE7"/>
    <w:rsid w:val="003C61A2"/>
    <w:rsid w:val="003C782E"/>
    <w:rsid w:val="003F5403"/>
    <w:rsid w:val="00405AE4"/>
    <w:rsid w:val="00412D7A"/>
    <w:rsid w:val="00480FE7"/>
    <w:rsid w:val="00493604"/>
    <w:rsid w:val="004E3455"/>
    <w:rsid w:val="004E6D16"/>
    <w:rsid w:val="0053741B"/>
    <w:rsid w:val="00554A6F"/>
    <w:rsid w:val="005749F3"/>
    <w:rsid w:val="005878B5"/>
    <w:rsid w:val="00617EA0"/>
    <w:rsid w:val="00636BF1"/>
    <w:rsid w:val="00643EBE"/>
    <w:rsid w:val="00644347"/>
    <w:rsid w:val="00740051"/>
    <w:rsid w:val="00764016"/>
    <w:rsid w:val="007A1923"/>
    <w:rsid w:val="007D0006"/>
    <w:rsid w:val="007E60A7"/>
    <w:rsid w:val="0080617E"/>
    <w:rsid w:val="008E2803"/>
    <w:rsid w:val="00906457"/>
    <w:rsid w:val="00916C31"/>
    <w:rsid w:val="00925805"/>
    <w:rsid w:val="00957992"/>
    <w:rsid w:val="00997F95"/>
    <w:rsid w:val="009A5B72"/>
    <w:rsid w:val="009C1D1C"/>
    <w:rsid w:val="00A43228"/>
    <w:rsid w:val="00A56583"/>
    <w:rsid w:val="00A575D7"/>
    <w:rsid w:val="00A92D82"/>
    <w:rsid w:val="00A94F48"/>
    <w:rsid w:val="00A96DF5"/>
    <w:rsid w:val="00A97C5D"/>
    <w:rsid w:val="00AA0131"/>
    <w:rsid w:val="00AA15AE"/>
    <w:rsid w:val="00AB473D"/>
    <w:rsid w:val="00AC4C86"/>
    <w:rsid w:val="00B118B6"/>
    <w:rsid w:val="00B33090"/>
    <w:rsid w:val="00B670E9"/>
    <w:rsid w:val="00B732C5"/>
    <w:rsid w:val="00B80D98"/>
    <w:rsid w:val="00B91E16"/>
    <w:rsid w:val="00BC0529"/>
    <w:rsid w:val="00BF4C3C"/>
    <w:rsid w:val="00C41B79"/>
    <w:rsid w:val="00C8375C"/>
    <w:rsid w:val="00C85890"/>
    <w:rsid w:val="00C8703F"/>
    <w:rsid w:val="00C87423"/>
    <w:rsid w:val="00CB6525"/>
    <w:rsid w:val="00CB6CC6"/>
    <w:rsid w:val="00CC12A3"/>
    <w:rsid w:val="00CC2C87"/>
    <w:rsid w:val="00CD3F59"/>
    <w:rsid w:val="00CE37E0"/>
    <w:rsid w:val="00CE43A0"/>
    <w:rsid w:val="00CF2692"/>
    <w:rsid w:val="00CF41CD"/>
    <w:rsid w:val="00D351B6"/>
    <w:rsid w:val="00DA4AF7"/>
    <w:rsid w:val="00E241F1"/>
    <w:rsid w:val="00E55C73"/>
    <w:rsid w:val="00E917CB"/>
    <w:rsid w:val="00E975F0"/>
    <w:rsid w:val="00EB70FC"/>
    <w:rsid w:val="00ED4E80"/>
    <w:rsid w:val="00F112A5"/>
    <w:rsid w:val="00F1448F"/>
    <w:rsid w:val="00F45424"/>
    <w:rsid w:val="00F91DED"/>
    <w:rsid w:val="00F9568D"/>
    <w:rsid w:val="00FA45DC"/>
    <w:rsid w:val="00FC3DCA"/>
    <w:rsid w:val="00FC75A5"/>
    <w:rsid w:val="00FD7AD3"/>
    <w:rsid w:val="00FE1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0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560"/>
      <w:outlineLvl w:val="0"/>
    </w:pPr>
    <w:rPr>
      <w:rFonts w:ascii="Arial" w:eastAsia="Arial" w:hAnsi="Arial"/>
      <w:b/>
      <w:bCs/>
      <w:sz w:val="24"/>
      <w:szCs w:val="24"/>
    </w:rPr>
  </w:style>
  <w:style w:type="paragraph" w:styleId="Heading2">
    <w:name w:val="heading 2"/>
    <w:basedOn w:val="Normal"/>
    <w:uiPriority w:val="9"/>
    <w:unhideWhenUsed/>
    <w:qFormat/>
    <w:pPr>
      <w:ind w:left="1054" w:hanging="494"/>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4E3455"/>
    <w:pPr>
      <w:widowControl/>
      <w:tabs>
        <w:tab w:val="left" w:pos="921"/>
      </w:tabs>
      <w:jc w:val="both"/>
    </w:pPr>
    <w:rPr>
      <w:rFonts w:ascii="Times New Roman" w:eastAsia="Arial" w:hAnsi="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C61A2"/>
    <w:pPr>
      <w:tabs>
        <w:tab w:val="center" w:pos="4513"/>
        <w:tab w:val="right" w:pos="9026"/>
      </w:tabs>
    </w:pPr>
  </w:style>
  <w:style w:type="character" w:customStyle="1" w:styleId="HeaderChar">
    <w:name w:val="Header Char"/>
    <w:basedOn w:val="DefaultParagraphFont"/>
    <w:link w:val="Header"/>
    <w:rsid w:val="003C61A2"/>
  </w:style>
  <w:style w:type="paragraph" w:styleId="Footer">
    <w:name w:val="footer"/>
    <w:basedOn w:val="Normal"/>
    <w:link w:val="FooterChar"/>
    <w:unhideWhenUsed/>
    <w:rsid w:val="003C61A2"/>
    <w:pPr>
      <w:tabs>
        <w:tab w:val="center" w:pos="4513"/>
        <w:tab w:val="right" w:pos="9026"/>
      </w:tabs>
    </w:pPr>
  </w:style>
  <w:style w:type="character" w:customStyle="1" w:styleId="FooterChar">
    <w:name w:val="Footer Char"/>
    <w:basedOn w:val="DefaultParagraphFont"/>
    <w:link w:val="Footer"/>
    <w:rsid w:val="003C61A2"/>
  </w:style>
  <w:style w:type="table" w:styleId="TableGrid">
    <w:name w:val="Table Grid"/>
    <w:basedOn w:val="TableNormal"/>
    <w:uiPriority w:val="39"/>
    <w:rsid w:val="00E9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1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96DE2-8D88-44A8-9014-CAA312FB1A77}">
  <ds:schemaRefs>
    <ds:schemaRef ds:uri="http://schemas.microsoft.com/sharepoint/v3/contenttype/forms"/>
  </ds:schemaRefs>
</ds:datastoreItem>
</file>

<file path=customXml/itemProps2.xml><?xml version="1.0" encoding="utf-8"?>
<ds:datastoreItem xmlns:ds="http://schemas.openxmlformats.org/officeDocument/2006/customXml" ds:itemID="{D96EA51D-577A-46D9-87BC-BAD1E8BF471F}"/>
</file>

<file path=customXml/itemProps3.xml><?xml version="1.0" encoding="utf-8"?>
<ds:datastoreItem xmlns:ds="http://schemas.openxmlformats.org/officeDocument/2006/customXml" ds:itemID="{424949CD-F661-4B2D-B0FF-A8450FD18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17280</Words>
  <Characters>9850</Characters>
  <Application>Microsoft Office Word</Application>
  <DocSecurity>0</DocSecurity>
  <Lines>82</Lines>
  <Paragraphs>54</Paragraphs>
  <ScaleCrop>false</ScaleCrop>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2021-05-24T08:54:00Z</dcterms:created>
  <dcterms:modified xsi:type="dcterms:W3CDTF">2021-07-06T11:52:00Z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