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A88FE" w14:textId="7CC4A7B2" w:rsidR="002167DE" w:rsidRDefault="002167DE" w:rsidP="00173AD7">
      <w:pPr>
        <w:jc w:val="both"/>
        <w:rPr>
          <w:rFonts w:ascii="Times New Roman" w:eastAsia="Times New Roman" w:hAnsi="Times New Roman" w:cs="Times New Roman"/>
          <w:noProof/>
          <w:sz w:val="24"/>
          <w:szCs w:val="11"/>
        </w:rPr>
      </w:pPr>
    </w:p>
    <w:p w14:paraId="1F624703" w14:textId="0B5A4A75" w:rsidR="00173AD7" w:rsidRDefault="00173AD7" w:rsidP="00173AD7">
      <w:pPr>
        <w:jc w:val="center"/>
        <w:rPr>
          <w:rFonts w:ascii="Times New Roman" w:eastAsia="Times New Roman" w:hAnsi="Times New Roman" w:cs="Times New Roman"/>
          <w:noProof/>
          <w:sz w:val="24"/>
          <w:szCs w:val="11"/>
        </w:rPr>
      </w:pPr>
      <w:r>
        <w:rPr>
          <w:rFonts w:ascii="Times New Roman" w:hAnsi="Times New Roman"/>
          <w:i/>
          <w:iCs/>
          <w:sz w:val="24"/>
        </w:rPr>
        <w:t>WADA</w:t>
      </w:r>
      <w:r>
        <w:rPr>
          <w:rFonts w:ascii="Times New Roman" w:hAnsi="Times New Roman"/>
          <w:sz w:val="24"/>
        </w:rPr>
        <w:t xml:space="preserve"> tehniskais dokuments – </w:t>
      </w:r>
      <w:r>
        <w:rPr>
          <w:rFonts w:ascii="Times New Roman" w:hAnsi="Times New Roman"/>
          <w:i/>
          <w:iCs/>
          <w:sz w:val="24"/>
        </w:rPr>
        <w:t>TD2018EAAS</w:t>
      </w:r>
    </w:p>
    <w:p w14:paraId="0DAF1E86" w14:textId="77777777" w:rsidR="00173AD7" w:rsidRPr="00173AD7" w:rsidRDefault="00173AD7" w:rsidP="00173AD7">
      <w:pPr>
        <w:jc w:val="both"/>
        <w:rPr>
          <w:rFonts w:ascii="Times New Roman" w:eastAsia="Times New Roman" w:hAnsi="Times New Roman" w:cs="Times New Roman"/>
          <w:noProof/>
          <w:sz w:val="24"/>
          <w:szCs w:val="11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2723"/>
        <w:gridCol w:w="1931"/>
        <w:gridCol w:w="2580"/>
      </w:tblGrid>
      <w:tr w:rsidR="002167DE" w:rsidRPr="00173AD7" w14:paraId="7706FF62" w14:textId="77777777" w:rsidTr="00173AD7">
        <w:tc>
          <w:tcPr>
            <w:tcW w:w="10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65389" w14:textId="77777777" w:rsidR="002167DE" w:rsidRPr="00173AD7" w:rsidRDefault="002167DE" w:rsidP="00173AD7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Dokumenta numurs:</w:t>
            </w:r>
          </w:p>
        </w:tc>
        <w:tc>
          <w:tcPr>
            <w:tcW w:w="14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F91C0" w14:textId="77777777" w:rsidR="002167DE" w:rsidRPr="00173AD7" w:rsidRDefault="002167DE" w:rsidP="00173AD7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TD2018EAAS</w:t>
            </w:r>
          </w:p>
        </w:tc>
        <w:tc>
          <w:tcPr>
            <w:tcW w:w="10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74A91" w14:textId="77777777" w:rsidR="002167DE" w:rsidRPr="00173AD7" w:rsidRDefault="002167DE" w:rsidP="00173AD7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Versijas numurs:</w:t>
            </w:r>
          </w:p>
        </w:tc>
        <w:tc>
          <w:tcPr>
            <w:tcW w:w="14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47206" w14:textId="77777777" w:rsidR="002167DE" w:rsidRPr="00173AD7" w:rsidRDefault="002167DE" w:rsidP="00173AD7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</w:tr>
      <w:tr w:rsidR="002167DE" w:rsidRPr="00173AD7" w14:paraId="377D4901" w14:textId="77777777" w:rsidTr="00173AD7">
        <w:tc>
          <w:tcPr>
            <w:tcW w:w="10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03D13" w14:textId="77777777" w:rsidR="002167DE" w:rsidRPr="00173AD7" w:rsidRDefault="002167DE" w:rsidP="00173AD7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Sarakstījusi:</w:t>
            </w:r>
          </w:p>
        </w:tc>
        <w:tc>
          <w:tcPr>
            <w:tcW w:w="14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3EE79" w14:textId="77777777" w:rsidR="002167DE" w:rsidRPr="00173AD7" w:rsidRDefault="002167DE" w:rsidP="00173AD7">
            <w:pPr>
              <w:pStyle w:val="TableParagraph"/>
              <w:jc w:val="both"/>
              <w:rPr>
                <w:rFonts w:ascii="Times New Roman" w:eastAsia="Verdana" w:hAnsi="Times New Roman" w:cs="Verdana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WADA</w:t>
            </w:r>
            <w:r>
              <w:rPr>
                <w:rFonts w:ascii="Times New Roman" w:hAnsi="Times New Roman"/>
                <w:sz w:val="20"/>
              </w:rPr>
              <w:t xml:space="preserve"> laboratoriju ekspertu grupa</w:t>
            </w:r>
          </w:p>
        </w:tc>
        <w:tc>
          <w:tcPr>
            <w:tcW w:w="10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0795D" w14:textId="77777777" w:rsidR="002167DE" w:rsidRPr="00173AD7" w:rsidRDefault="002167DE" w:rsidP="00173AD7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Apstiprinājusi:</w:t>
            </w:r>
          </w:p>
        </w:tc>
        <w:tc>
          <w:tcPr>
            <w:tcW w:w="14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CC3B8" w14:textId="77777777" w:rsidR="002167DE" w:rsidRPr="00173AD7" w:rsidRDefault="002167DE" w:rsidP="00173AD7">
            <w:pPr>
              <w:pStyle w:val="TableParagraph"/>
              <w:jc w:val="both"/>
              <w:rPr>
                <w:rFonts w:ascii="Times New Roman" w:eastAsia="Verdana" w:hAnsi="Times New Roman" w:cs="Verdana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WADA</w:t>
            </w:r>
            <w:r>
              <w:rPr>
                <w:rFonts w:ascii="Times New Roman" w:hAnsi="Times New Roman"/>
                <w:sz w:val="20"/>
              </w:rPr>
              <w:t xml:space="preserve"> izpildkomiteja</w:t>
            </w:r>
          </w:p>
        </w:tc>
      </w:tr>
      <w:tr w:rsidR="002167DE" w:rsidRPr="00173AD7" w14:paraId="3E56B060" w14:textId="77777777" w:rsidTr="00173AD7">
        <w:tc>
          <w:tcPr>
            <w:tcW w:w="10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67910" w14:textId="77777777" w:rsidR="002167DE" w:rsidRPr="00173AD7" w:rsidRDefault="002167DE" w:rsidP="00173AD7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Datums:</w:t>
            </w:r>
          </w:p>
        </w:tc>
        <w:tc>
          <w:tcPr>
            <w:tcW w:w="14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F4283" w14:textId="77777777" w:rsidR="002167DE" w:rsidRPr="00173AD7" w:rsidRDefault="002167DE" w:rsidP="00173AD7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2018. gada 16. maijs</w:t>
            </w:r>
          </w:p>
        </w:tc>
        <w:tc>
          <w:tcPr>
            <w:tcW w:w="10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7846A" w14:textId="77777777" w:rsidR="002167DE" w:rsidRPr="00173AD7" w:rsidRDefault="002167DE" w:rsidP="00173AD7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Spēkā stāšanās diena:</w:t>
            </w:r>
          </w:p>
        </w:tc>
        <w:tc>
          <w:tcPr>
            <w:tcW w:w="14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FB4C4" w14:textId="77777777" w:rsidR="002167DE" w:rsidRPr="00173AD7" w:rsidRDefault="002167DE" w:rsidP="00173AD7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2018. gada 1. septembris</w:t>
            </w:r>
          </w:p>
        </w:tc>
      </w:tr>
    </w:tbl>
    <w:p w14:paraId="1EB91F4E" w14:textId="77777777" w:rsidR="002167DE" w:rsidRPr="00173AD7" w:rsidRDefault="002167DE" w:rsidP="00173AD7">
      <w:pPr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14:paraId="3EF2B14D" w14:textId="77777777" w:rsidR="002167DE" w:rsidRPr="00173AD7" w:rsidRDefault="002167DE" w:rsidP="00E66A09">
      <w:pPr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Endogēnie anaboliskie androgēnie steroīdi</w:t>
      </w:r>
    </w:p>
    <w:p w14:paraId="7F88B920" w14:textId="77777777" w:rsidR="002167DE" w:rsidRPr="00173AD7" w:rsidRDefault="002167DE" w:rsidP="00E66A09">
      <w:pPr>
        <w:pStyle w:val="Heading1"/>
        <w:ind w:left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Mērījumi un ziņošana</w:t>
      </w:r>
    </w:p>
    <w:p w14:paraId="3B32FEE1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b/>
          <w:bCs/>
          <w:noProof/>
          <w:sz w:val="24"/>
          <w:szCs w:val="32"/>
        </w:rPr>
      </w:pPr>
    </w:p>
    <w:p w14:paraId="2E68DA20" w14:textId="34F2848C" w:rsidR="002167DE" w:rsidRPr="00173AD7" w:rsidRDefault="002167DE" w:rsidP="00173AD7">
      <w:pPr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1.0. Ievads</w:t>
      </w:r>
    </w:p>
    <w:p w14:paraId="1212B761" w14:textId="77777777" w:rsidR="00E66A09" w:rsidRDefault="00E66A09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0784D60B" w14:textId="56D3AFF9" w:rsidR="002167DE" w:rsidRPr="00173AD7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Šis tehniskais dokuments (</w:t>
      </w:r>
      <w:r>
        <w:rPr>
          <w:rFonts w:ascii="Times New Roman" w:hAnsi="Times New Roman"/>
          <w:i/>
          <w:iCs/>
          <w:sz w:val="24"/>
        </w:rPr>
        <w:t>TD</w:t>
      </w:r>
      <w:r>
        <w:rPr>
          <w:rFonts w:ascii="Times New Roman" w:hAnsi="Times New Roman"/>
          <w:sz w:val="24"/>
        </w:rPr>
        <w:t>) ir izveidots, lai saskaņotu pieejas endogēno anabolisko androgēno steroīdu (</w:t>
      </w:r>
      <w:r>
        <w:rPr>
          <w:rFonts w:ascii="Times New Roman" w:hAnsi="Times New Roman"/>
          <w:i/>
          <w:iCs/>
          <w:sz w:val="24"/>
        </w:rPr>
        <w:t>EAAS</w:t>
      </w:r>
      <w:r>
        <w:rPr>
          <w:rFonts w:ascii="Times New Roman" w:hAnsi="Times New Roman"/>
          <w:sz w:val="24"/>
        </w:rPr>
        <w:t xml:space="preserve">) urīna </w:t>
      </w:r>
      <w:r>
        <w:rPr>
          <w:rFonts w:ascii="Times New Roman" w:hAnsi="Times New Roman"/>
          <w:i/>
          <w:iCs/>
          <w:sz w:val="24"/>
        </w:rPr>
        <w:t>paraugos</w:t>
      </w:r>
      <w:r>
        <w:rPr>
          <w:rFonts w:ascii="Times New Roman" w:hAnsi="Times New Roman"/>
          <w:sz w:val="24"/>
        </w:rPr>
        <w:t xml:space="preserve"> mērījumiem uz ziņošanai par tiem, kā arī tajā ir iekļauti dati, kas nepieciešami, lai izveidotu </w:t>
      </w:r>
      <w:r>
        <w:rPr>
          <w:rFonts w:ascii="Times New Roman" w:hAnsi="Times New Roman"/>
          <w:i/>
          <w:sz w:val="24"/>
        </w:rPr>
        <w:t>sportista bioloģiskā pases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ABP</w:t>
      </w:r>
      <w:r>
        <w:rPr>
          <w:rFonts w:ascii="Times New Roman" w:hAnsi="Times New Roman"/>
          <w:sz w:val="24"/>
        </w:rPr>
        <w:t xml:space="preserve">) steroīdu moduli (steroīdu </w:t>
      </w:r>
      <w:r>
        <w:rPr>
          <w:rFonts w:ascii="Times New Roman" w:hAnsi="Times New Roman"/>
          <w:sz w:val="24"/>
          <w:u w:val="single" w:color="000000"/>
        </w:rPr>
        <w:t>pase</w:t>
      </w:r>
      <w:r>
        <w:rPr>
          <w:rFonts w:ascii="Times New Roman" w:hAnsi="Times New Roman"/>
          <w:sz w:val="24"/>
        </w:rPr>
        <w:t>).</w:t>
      </w:r>
    </w:p>
    <w:p w14:paraId="0C459C30" w14:textId="77777777" w:rsidR="00E66A09" w:rsidRDefault="00E66A09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0E14245D" w14:textId="7311C87F" w:rsidR="002167DE" w:rsidRPr="00173AD7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EAAS</w:t>
      </w:r>
      <w:r>
        <w:rPr>
          <w:rFonts w:ascii="Times New Roman" w:hAnsi="Times New Roman"/>
          <w:sz w:val="24"/>
        </w:rPr>
        <w:t xml:space="preserve"> koncentrācijas vērtības un to proporcijas veido urīna steroīdu profilu, kas var mainīties, ievadot </w:t>
      </w:r>
      <w:r>
        <w:rPr>
          <w:rFonts w:ascii="Times New Roman" w:hAnsi="Times New Roman"/>
          <w:i/>
          <w:iCs/>
          <w:sz w:val="24"/>
        </w:rPr>
        <w:t>EAAS</w:t>
      </w:r>
      <w:r>
        <w:rPr>
          <w:rFonts w:ascii="Times New Roman" w:hAnsi="Times New Roman"/>
          <w:sz w:val="24"/>
        </w:rPr>
        <w:t xml:space="preserve"> sintētiskās formas, jo īpaši testosteronu (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), tā prekursorus [piemēram, (dehidroepiandrosteronu jeb </w:t>
      </w:r>
      <w:r>
        <w:rPr>
          <w:rFonts w:ascii="Times New Roman" w:hAnsi="Times New Roman"/>
          <w:i/>
          <w:iCs/>
          <w:sz w:val="24"/>
        </w:rPr>
        <w:t>DHEA</w:t>
      </w:r>
      <w:r>
        <w:rPr>
          <w:rFonts w:ascii="Times New Roman" w:hAnsi="Times New Roman"/>
          <w:sz w:val="24"/>
        </w:rPr>
        <w:t>) vai tā aktīvo metabolītu [dihidrotestosteronu (</w:t>
      </w:r>
      <w:r>
        <w:rPr>
          <w:rFonts w:ascii="Times New Roman" w:hAnsi="Times New Roman"/>
          <w:i/>
          <w:iCs/>
          <w:sz w:val="24"/>
        </w:rPr>
        <w:t>DHT</w:t>
      </w:r>
      <w:r>
        <w:rPr>
          <w:rFonts w:ascii="Times New Roman" w:hAnsi="Times New Roman"/>
          <w:sz w:val="24"/>
        </w:rPr>
        <w:t>)], kā arī epitestosteronu (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>).</w:t>
      </w:r>
    </w:p>
    <w:p w14:paraId="4FADB756" w14:textId="77777777" w:rsidR="00E66A09" w:rsidRDefault="00E66A09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5C3B863" w14:textId="565F3289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ABP</w:t>
      </w:r>
      <w:r>
        <w:rPr>
          <w:rFonts w:ascii="Times New Roman" w:hAnsi="Times New Roman"/>
          <w:sz w:val="24"/>
        </w:rPr>
        <w:t xml:space="preserve"> steroīdu modulī izmanto </w:t>
      </w:r>
      <w:r>
        <w:rPr>
          <w:rFonts w:ascii="Times New Roman" w:hAnsi="Times New Roman"/>
          <w:sz w:val="24"/>
          <w:u w:val="single"/>
        </w:rPr>
        <w:t>adaptīvo moduli</w:t>
      </w:r>
      <w:r>
        <w:rPr>
          <w:rFonts w:ascii="Times New Roman" w:hAnsi="Times New Roman"/>
          <w:sz w:val="24"/>
        </w:rPr>
        <w:t xml:space="preserve">, lai identificētu </w:t>
      </w:r>
      <w:r>
        <w:rPr>
          <w:rFonts w:ascii="Times New Roman" w:hAnsi="Times New Roman"/>
          <w:i/>
          <w:iCs/>
          <w:sz w:val="24"/>
        </w:rPr>
        <w:t>netipisku [bioloģiskās] pases parametru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</w:rPr>
        <w:t>ATPF</w:t>
      </w:r>
      <w:r>
        <w:rPr>
          <w:rFonts w:ascii="Times New Roman" w:hAnsi="Times New Roman"/>
          <w:sz w:val="24"/>
        </w:rPr>
        <w:t xml:space="preserve">) un pēc tam savukārt veiktu </w:t>
      </w:r>
      <w:r>
        <w:rPr>
          <w:rFonts w:ascii="Times New Roman" w:hAnsi="Times New Roman"/>
          <w:sz w:val="24"/>
          <w:u w:val="single"/>
        </w:rPr>
        <w:t>apstiprināšanas procedūras</w:t>
      </w:r>
      <w:r>
        <w:rPr>
          <w:rFonts w:ascii="Times New Roman" w:hAnsi="Times New Roman"/>
          <w:sz w:val="24"/>
        </w:rPr>
        <w:t xml:space="preserve">. To turklāt var izmantot, lai veiktu pārdomātas </w:t>
      </w:r>
      <w:r>
        <w:rPr>
          <w:rFonts w:ascii="Times New Roman" w:hAnsi="Times New Roman"/>
          <w:i/>
          <w:iCs/>
          <w:sz w:val="24"/>
        </w:rPr>
        <w:t>sportista</w:t>
      </w:r>
      <w:r>
        <w:rPr>
          <w:rFonts w:ascii="Times New Roman" w:hAnsi="Times New Roman"/>
          <w:sz w:val="24"/>
        </w:rPr>
        <w:t xml:space="preserve"> garengriezuma </w:t>
      </w:r>
      <w:r>
        <w:rPr>
          <w:rFonts w:ascii="Times New Roman" w:hAnsi="Times New Roman"/>
          <w:i/>
          <w:iCs/>
          <w:sz w:val="24"/>
        </w:rPr>
        <w:t>mērķpārbaudes</w:t>
      </w:r>
      <w:r>
        <w:rPr>
          <w:rFonts w:ascii="Times New Roman" w:hAnsi="Times New Roman"/>
          <w:sz w:val="24"/>
        </w:rPr>
        <w:t xml:space="preserve">. Turklāt pārmērīgu steroīdu profilu (kas iegūts no viena urīna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) vai netipisku steroīdu </w:t>
      </w:r>
      <w:r>
        <w:rPr>
          <w:rFonts w:ascii="Times New Roman" w:hAnsi="Times New Roman"/>
          <w:sz w:val="24"/>
          <w:u w:val="single"/>
        </w:rPr>
        <w:t>pasi</w:t>
      </w:r>
      <w:r>
        <w:rPr>
          <w:rFonts w:ascii="Times New Roman" w:hAnsi="Times New Roman"/>
          <w:sz w:val="24"/>
        </w:rPr>
        <w:t xml:space="preserve"> (iekļaujot steroīdu profilus, kas iegūti no vairākiem </w:t>
      </w:r>
      <w:r>
        <w:rPr>
          <w:rFonts w:ascii="Times New Roman" w:hAnsi="Times New Roman"/>
          <w:i/>
          <w:iCs/>
          <w:sz w:val="24"/>
        </w:rPr>
        <w:t>paraugiem</w:t>
      </w:r>
      <w:r>
        <w:rPr>
          <w:rFonts w:ascii="Times New Roman" w:hAnsi="Times New Roman"/>
          <w:sz w:val="24"/>
        </w:rPr>
        <w:t>, kas savākti ilgākā laikposmā) var izmantot, lai izskatītu antidopinga noteikumu pārkāpumu (</w:t>
      </w:r>
      <w:r>
        <w:rPr>
          <w:rFonts w:ascii="Times New Roman" w:hAnsi="Times New Roman"/>
          <w:i/>
          <w:iCs/>
          <w:sz w:val="24"/>
        </w:rPr>
        <w:t>ADRV</w:t>
      </w:r>
      <w:r>
        <w:rPr>
          <w:rFonts w:ascii="Times New Roman" w:hAnsi="Times New Roman"/>
          <w:sz w:val="24"/>
        </w:rPr>
        <w:t>).</w:t>
      </w:r>
    </w:p>
    <w:p w14:paraId="1D2298E0" w14:textId="77777777" w:rsidR="00E66A09" w:rsidRPr="00173AD7" w:rsidRDefault="00E66A09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0857513" w14:textId="534F7A74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EAAS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analītiskās pārbaudes</w:t>
      </w:r>
      <w:r>
        <w:rPr>
          <w:rFonts w:ascii="Times New Roman" w:hAnsi="Times New Roman"/>
          <w:sz w:val="24"/>
        </w:rPr>
        <w:t xml:space="preserve"> un ziņošanas procedūrai ir divi posmi. </w:t>
      </w:r>
      <w:r>
        <w:rPr>
          <w:rFonts w:ascii="Times New Roman" w:hAnsi="Times New Roman"/>
          <w:sz w:val="24"/>
          <w:u w:val="single" w:color="000000"/>
        </w:rPr>
        <w:t>Sākotnējās pārbaudes procedūru</w:t>
      </w:r>
      <w:r>
        <w:rPr>
          <w:rFonts w:ascii="Times New Roman" w:hAnsi="Times New Roman"/>
          <w:sz w:val="24"/>
        </w:rPr>
        <w:t xml:space="preserve"> veic, lai noteiktu </w:t>
      </w:r>
      <w:r>
        <w:rPr>
          <w:rFonts w:ascii="Times New Roman" w:hAnsi="Times New Roman"/>
          <w:i/>
          <w:sz w:val="24"/>
        </w:rPr>
        <w:t>sportista parauga</w:t>
      </w:r>
      <w:r>
        <w:rPr>
          <w:rFonts w:ascii="Times New Roman" w:hAnsi="Times New Roman"/>
          <w:sz w:val="24"/>
        </w:rPr>
        <w:t xml:space="preserve"> steroīdu profilu. Pēc tam veic </w:t>
      </w:r>
      <w:r>
        <w:rPr>
          <w:rFonts w:ascii="Times New Roman" w:hAnsi="Times New Roman"/>
          <w:sz w:val="24"/>
          <w:u w:val="single" w:color="000000"/>
        </w:rPr>
        <w:t>apstiprināšanas procedūru</w:t>
      </w:r>
      <w:r>
        <w:rPr>
          <w:rFonts w:ascii="Times New Roman" w:hAnsi="Times New Roman"/>
          <w:sz w:val="24"/>
        </w:rPr>
        <w:t xml:space="preserve">, ja aprēķinātais steroīdu profils ir 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 xml:space="preserve">, kas noteikts, izmantojot </w:t>
      </w:r>
      <w:r>
        <w:rPr>
          <w:rFonts w:ascii="Times New Roman" w:hAnsi="Times New Roman"/>
          <w:sz w:val="24"/>
          <w:u w:val="single" w:color="000000"/>
        </w:rPr>
        <w:t>adaptīvo modeli</w:t>
      </w:r>
      <w:r>
        <w:rPr>
          <w:rFonts w:ascii="Times New Roman" w:hAnsi="Times New Roman"/>
          <w:sz w:val="24"/>
        </w:rPr>
        <w:t>, vai ir “aizdomīgs steroīdu profila” (</w:t>
      </w:r>
      <w:r>
        <w:rPr>
          <w:rFonts w:ascii="Times New Roman" w:hAnsi="Times New Roman"/>
          <w:i/>
          <w:iCs/>
          <w:sz w:val="24"/>
        </w:rPr>
        <w:t>SSP</w:t>
      </w:r>
      <w:r>
        <w:rPr>
          <w:rFonts w:ascii="Times New Roman" w:hAnsi="Times New Roman"/>
          <w:sz w:val="24"/>
        </w:rPr>
        <w:t xml:space="preserve">) rezultāts vai ja to pieprasa </w:t>
      </w:r>
      <w:r>
        <w:rPr>
          <w:rFonts w:ascii="Times New Roman" w:hAnsi="Times New Roman"/>
          <w:sz w:val="24"/>
          <w:u w:val="single" w:color="000000"/>
        </w:rPr>
        <w:t>sportista [bioloģiskās] pases pārvaldības struktūrvienība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sz w:val="24"/>
          <w:u w:val="single" w:color="000000"/>
        </w:rPr>
        <w:t>pārbaudes iestāde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WADA</w:t>
      </w:r>
      <w:r>
        <w:rPr>
          <w:rFonts w:ascii="Times New Roman" w:hAnsi="Times New Roman"/>
          <w:sz w:val="24"/>
        </w:rPr>
        <w:t>.</w:t>
      </w:r>
    </w:p>
    <w:p w14:paraId="2B198D02" w14:textId="77777777" w:rsidR="00E66A09" w:rsidRPr="00173AD7" w:rsidRDefault="00E66A09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0AE91BD8" w14:textId="77777777" w:rsidR="002167DE" w:rsidRPr="00173AD7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 w:color="000000"/>
        </w:rPr>
        <w:t>Apstiprināšanas procedūra</w:t>
      </w:r>
      <w:r>
        <w:rPr>
          <w:rFonts w:ascii="Times New Roman" w:hAnsi="Times New Roman"/>
          <w:sz w:val="24"/>
        </w:rPr>
        <w:t xml:space="preserve"> ietver steroīdu profila </w:t>
      </w:r>
      <w:r>
        <w:rPr>
          <w:rFonts w:ascii="Times New Roman" w:hAnsi="Times New Roman"/>
          <w:i/>
          <w:sz w:val="24"/>
        </w:rPr>
        <w:t>marķieru</w:t>
      </w:r>
      <w:r>
        <w:rPr>
          <w:rFonts w:ascii="Times New Roman" w:hAnsi="Times New Roman"/>
          <w:sz w:val="24"/>
        </w:rPr>
        <w:t xml:space="preserve"> kvantitatīvu noteikšanu, kā izklāstīts šajā </w:t>
      </w:r>
      <w:r>
        <w:rPr>
          <w:rFonts w:ascii="Times New Roman" w:hAnsi="Times New Roman"/>
          <w:i/>
          <w:iCs/>
          <w:sz w:val="24"/>
        </w:rPr>
        <w:t>TD</w:t>
      </w:r>
      <w:r>
        <w:rPr>
          <w:rFonts w:ascii="Times New Roman" w:hAnsi="Times New Roman"/>
          <w:sz w:val="24"/>
        </w:rPr>
        <w:t>, kā arī tajā ietilpst gāzu hromatogrāfijas – degšanas – izotopu attiecības masspektrometrijas (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) analīze, kas aplūkota atsevišķā </w:t>
      </w:r>
      <w:r>
        <w:rPr>
          <w:rFonts w:ascii="Times New Roman" w:hAnsi="Times New Roman"/>
          <w:i/>
          <w:iCs/>
          <w:sz w:val="24"/>
        </w:rPr>
        <w:t>TD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</w:rPr>
        <w:t>TD IRMS</w:t>
      </w:r>
      <w:r>
        <w:rPr>
          <w:rFonts w:ascii="Times New Roman" w:hAnsi="Times New Roman"/>
          <w:sz w:val="24"/>
        </w:rPr>
        <w:t>) [1].</w:t>
      </w:r>
    </w:p>
    <w:p w14:paraId="25B9F365" w14:textId="547DE378" w:rsidR="00F729B6" w:rsidRDefault="00F729B6">
      <w:pPr>
        <w:rPr>
          <w:rFonts w:ascii="Times New Roman" w:hAnsi="Times New Roman"/>
          <w:noProof/>
          <w:sz w:val="24"/>
        </w:rPr>
      </w:pPr>
      <w:r>
        <w:br w:type="page"/>
      </w:r>
    </w:p>
    <w:p w14:paraId="070645D3" w14:textId="77777777" w:rsidR="00E66A09" w:rsidRPr="00173AD7" w:rsidRDefault="00E66A09" w:rsidP="00173AD7">
      <w:pPr>
        <w:jc w:val="both"/>
        <w:rPr>
          <w:rFonts w:ascii="Times New Roman" w:hAnsi="Times New Roman"/>
          <w:noProof/>
          <w:sz w:val="24"/>
        </w:rPr>
      </w:pPr>
    </w:p>
    <w:p w14:paraId="6058BF2D" w14:textId="07E200EE" w:rsidR="002167DE" w:rsidRPr="00173AD7" w:rsidRDefault="00F729B6" w:rsidP="00F729B6">
      <w:pPr>
        <w:pStyle w:val="Heading2"/>
        <w:tabs>
          <w:tab w:val="left" w:pos="598"/>
        </w:tabs>
        <w:spacing w:before="0"/>
        <w:ind w:left="0"/>
        <w:jc w:val="both"/>
        <w:rPr>
          <w:rFonts w:eastAsia="Verdana" w:cs="Verdana"/>
          <w:noProof/>
        </w:rPr>
      </w:pPr>
      <w:r>
        <w:t>1.1. Steroīdu profils</w:t>
      </w:r>
    </w:p>
    <w:p w14:paraId="0A8F1AF8" w14:textId="77777777" w:rsidR="00F729B6" w:rsidRDefault="00F729B6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47AB0ED1" w14:textId="2F0A636D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Katru urīna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analizē, lai noteiktu tā steroīdu profilu.</w:t>
      </w:r>
    </w:p>
    <w:p w14:paraId="3C952371" w14:textId="77777777" w:rsidR="00F729B6" w:rsidRPr="00173AD7" w:rsidRDefault="00F729B6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0864503B" w14:textId="407D6D88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Šajā </w:t>
      </w:r>
      <w:r>
        <w:rPr>
          <w:rFonts w:ascii="Times New Roman" w:hAnsi="Times New Roman"/>
          <w:i/>
          <w:iCs/>
          <w:sz w:val="24"/>
        </w:rPr>
        <w:t>TD</w:t>
      </w:r>
      <w:r>
        <w:rPr>
          <w:rFonts w:ascii="Times New Roman" w:hAnsi="Times New Roman"/>
          <w:sz w:val="24"/>
        </w:rPr>
        <w:t xml:space="preserve"> pieņem, ka steroīdu profils ir veidots no šādiem </w:t>
      </w:r>
      <w:r>
        <w:rPr>
          <w:rFonts w:ascii="Times New Roman" w:hAnsi="Times New Roman"/>
          <w:i/>
          <w:iCs/>
          <w:sz w:val="24"/>
        </w:rPr>
        <w:t>marķieriem</w:t>
      </w:r>
      <w:r>
        <w:rPr>
          <w:rFonts w:ascii="Times New Roman" w:hAnsi="Times New Roman"/>
          <w:sz w:val="24"/>
        </w:rPr>
        <w:t xml:space="preserve"> (kā brīvo steroīdu saturs, kas iegūts no brīvā steroīda daļas, kā arī no tiem, kas atbrīvoti no konjugētas </w:t>
      </w:r>
      <w:r>
        <w:rPr>
          <w:rFonts w:ascii="Times New Roman" w:hAnsi="Times New Roman"/>
          <w:i/>
          <w:sz w:val="24"/>
        </w:rPr>
        <w:t>E. coli</w:t>
      </w:r>
      <w:r>
        <w:rPr>
          <w:rFonts w:ascii="Times New Roman" w:hAnsi="Times New Roman"/>
          <w:sz w:val="24"/>
        </w:rPr>
        <w:t xml:space="preserve"> daļas pēc hidrolīzes ar β-glukuronidāzi):</w:t>
      </w:r>
    </w:p>
    <w:p w14:paraId="26DFDF30" w14:textId="77777777" w:rsidR="00F729B6" w:rsidRPr="00173AD7" w:rsidRDefault="00F729B6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0B6694EB" w14:textId="77777777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androsterona (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>);</w:t>
      </w:r>
    </w:p>
    <w:p w14:paraId="796BB8A9" w14:textId="77777777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etioholanolona (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>);</w:t>
      </w:r>
    </w:p>
    <w:p w14:paraId="34981B90" w14:textId="3A64AC8C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eastAsia="Symbol" w:hAnsi="Times New Roman" w:cs="Symbol"/>
          <w:noProof/>
          <w:sz w:val="24"/>
        </w:rPr>
      </w:pPr>
      <w:r>
        <w:rPr>
          <w:rFonts w:ascii="Times New Roman" w:hAnsi="Times New Roman"/>
          <w:sz w:val="24"/>
        </w:rPr>
        <w:t>5α-androstān-3α,17β-diola (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>);</w:t>
      </w:r>
    </w:p>
    <w:p w14:paraId="4A663A01" w14:textId="375D2C2A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5β-androstān-3α,17β-diola (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>);</w:t>
      </w:r>
    </w:p>
    <w:p w14:paraId="4ECC1845" w14:textId="77777777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testosterona (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);</w:t>
      </w:r>
    </w:p>
    <w:p w14:paraId="06CBFC17" w14:textId="77777777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epitestosterona (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>);</w:t>
      </w:r>
    </w:p>
    <w:p w14:paraId="5A92BCD8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</w:rPr>
      </w:pPr>
    </w:p>
    <w:p w14:paraId="4A63970A" w14:textId="4EA37CA6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un šādām proporcijām:</w:t>
      </w:r>
    </w:p>
    <w:p w14:paraId="70F1CB89" w14:textId="77777777" w:rsidR="00F729B6" w:rsidRPr="00173AD7" w:rsidRDefault="00F729B6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69A63C0A" w14:textId="77777777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>;</w:t>
      </w:r>
    </w:p>
    <w:p w14:paraId="295A2A92" w14:textId="77777777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;</w:t>
      </w:r>
    </w:p>
    <w:p w14:paraId="031FDBD7" w14:textId="77777777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>;</w:t>
      </w:r>
    </w:p>
    <w:p w14:paraId="78416E71" w14:textId="182234DD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>,</w:t>
      </w:r>
    </w:p>
    <w:p w14:paraId="0136CCC2" w14:textId="24AF9429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>.</w:t>
      </w:r>
    </w:p>
    <w:p w14:paraId="7B4CDC11" w14:textId="77777777" w:rsidR="00F729B6" w:rsidRDefault="00F729B6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2E59E1A7" w14:textId="7ED3BEE9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Ievadot </w:t>
      </w:r>
      <w:r>
        <w:rPr>
          <w:rFonts w:ascii="Times New Roman" w:hAnsi="Times New Roman"/>
          <w:i/>
          <w:iCs/>
          <w:sz w:val="24"/>
        </w:rPr>
        <w:t>EAAS</w:t>
      </w:r>
      <w:r>
        <w:rPr>
          <w:rFonts w:ascii="Times New Roman" w:hAnsi="Times New Roman"/>
          <w:sz w:val="24"/>
        </w:rPr>
        <w:t xml:space="preserve">, var izmainīt vienu vai vairākus urīna steroīdu profila </w:t>
      </w:r>
      <w:r>
        <w:rPr>
          <w:rFonts w:ascii="Times New Roman" w:hAnsi="Times New Roman"/>
          <w:i/>
          <w:iCs/>
          <w:sz w:val="24"/>
        </w:rPr>
        <w:t>marķierus</w:t>
      </w:r>
      <w:r>
        <w:rPr>
          <w:rFonts w:ascii="Times New Roman" w:hAnsi="Times New Roman"/>
          <w:sz w:val="24"/>
        </w:rPr>
        <w:t xml:space="preserve"> un/vai tā proporcijas, tādējādi palielinot vai samazinot konkrētu steroīdu </w:t>
      </w:r>
      <w:r>
        <w:rPr>
          <w:rFonts w:ascii="Times New Roman" w:hAnsi="Times New Roman"/>
          <w:i/>
          <w:iCs/>
          <w:sz w:val="24"/>
        </w:rPr>
        <w:t>metabolītu</w:t>
      </w:r>
      <w:r>
        <w:rPr>
          <w:rFonts w:ascii="Times New Roman" w:hAnsi="Times New Roman"/>
          <w:sz w:val="24"/>
        </w:rPr>
        <w:t xml:space="preserve"> pāru koncentrāciju un/vai proporcijas [2–4].</w:t>
      </w:r>
    </w:p>
    <w:p w14:paraId="1C4FF592" w14:textId="77777777" w:rsidR="00F729B6" w:rsidRPr="00173AD7" w:rsidRDefault="00F729B6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49329FD5" w14:textId="428C9E82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Turklāt urīna steroīdu profila izmaiņas var notikt vairāku iemeslu dēļ, cita starpā tās var izraisīt arī šādi maldinoši faktori:</w:t>
      </w:r>
    </w:p>
    <w:p w14:paraId="27A9AB1C" w14:textId="77777777" w:rsidR="00F729B6" w:rsidRPr="00173AD7" w:rsidRDefault="00F729B6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62A7D64" w14:textId="77777777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citu anabolisko steroīdu ievadīšana (</w:t>
      </w:r>
      <w:r>
        <w:rPr>
          <w:rFonts w:ascii="Times New Roman" w:hAnsi="Times New Roman"/>
          <w:i/>
          <w:iCs/>
          <w:sz w:val="24"/>
        </w:rPr>
        <w:t>piemēram</w:t>
      </w:r>
      <w:r>
        <w:rPr>
          <w:rFonts w:ascii="Times New Roman" w:hAnsi="Times New Roman"/>
          <w:sz w:val="24"/>
        </w:rPr>
        <w:t>, stanozolols);</w:t>
      </w:r>
    </w:p>
    <w:p w14:paraId="171940BE" w14:textId="77777777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cilvēka horionu gonadotropīna (</w:t>
      </w:r>
      <w:r>
        <w:rPr>
          <w:rFonts w:ascii="Times New Roman" w:hAnsi="Times New Roman"/>
          <w:i/>
          <w:iCs/>
          <w:sz w:val="24"/>
        </w:rPr>
        <w:t>hCG</w:t>
      </w:r>
      <w:r>
        <w:rPr>
          <w:rFonts w:ascii="Times New Roman" w:hAnsi="Times New Roman"/>
          <w:sz w:val="24"/>
        </w:rPr>
        <w:t>) ievadīšana vīriešiem;</w:t>
      </w:r>
    </w:p>
    <w:p w14:paraId="3ED58394" w14:textId="77777777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aromatāzes inhibitoru un antiestrogēnu ievadīšana;</w:t>
      </w:r>
    </w:p>
    <w:p w14:paraId="20259457" w14:textId="0E264956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5α-reduktāzes inhibitoru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>, finasterīda) ievadīšana;</w:t>
      </w:r>
    </w:p>
    <w:p w14:paraId="5CB8A3B2" w14:textId="77777777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alkohola lietošana (etanols);</w:t>
      </w:r>
    </w:p>
    <w:p w14:paraId="326CD88E" w14:textId="77777777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ketokonazola vai citu līdzīgu savienojumu ievadīšana;</w:t>
      </w:r>
    </w:p>
    <w:p w14:paraId="14BC80DA" w14:textId="77777777" w:rsidR="002167DE" w:rsidRPr="00173AD7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maskējošo līdzekļu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>, probenecīda) un diurētisko līdzekļu lietošana vai</w:t>
      </w:r>
    </w:p>
    <w:p w14:paraId="1EA7E6B1" w14:textId="33160865" w:rsidR="002167DE" w:rsidRDefault="002167DE" w:rsidP="00F729B6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mikroorganismu augšana.</w:t>
      </w:r>
    </w:p>
    <w:p w14:paraId="6F4CDF82" w14:textId="6DD82562" w:rsidR="00F729B6" w:rsidRDefault="00F729B6">
      <w:pPr>
        <w:rPr>
          <w:rFonts w:ascii="Times New Roman" w:eastAsia="Verdana" w:hAnsi="Times New Roman"/>
          <w:noProof/>
          <w:sz w:val="24"/>
        </w:rPr>
      </w:pPr>
      <w:r>
        <w:br w:type="page"/>
      </w:r>
    </w:p>
    <w:p w14:paraId="7230767D" w14:textId="77777777" w:rsidR="00F729B6" w:rsidRPr="00173AD7" w:rsidRDefault="00F729B6" w:rsidP="00F729B6">
      <w:pPr>
        <w:pStyle w:val="BodyText"/>
        <w:tabs>
          <w:tab w:val="left" w:pos="845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423AF27C" w14:textId="17C1FE3C" w:rsidR="002167DE" w:rsidRPr="00173AD7" w:rsidRDefault="002167DE" w:rsidP="00173AD7">
      <w:pPr>
        <w:pStyle w:val="Heading1"/>
        <w:ind w:left="0"/>
        <w:jc w:val="both"/>
        <w:rPr>
          <w:rFonts w:ascii="Times New Roman" w:hAnsi="Times New Roman"/>
          <w:b w:val="0"/>
          <w:bCs w:val="0"/>
          <w:noProof/>
        </w:rPr>
      </w:pPr>
      <w:r>
        <w:rPr>
          <w:rFonts w:ascii="Times New Roman" w:hAnsi="Times New Roman"/>
        </w:rPr>
        <w:t xml:space="preserve">2.0. </w:t>
      </w:r>
      <w:r>
        <w:rPr>
          <w:rFonts w:ascii="Times New Roman" w:hAnsi="Times New Roman"/>
          <w:u w:val="thick" w:color="000000"/>
        </w:rPr>
        <w:t>Sākotnējās pārbaudes procedūra</w:t>
      </w:r>
    </w:p>
    <w:p w14:paraId="7163ABC8" w14:textId="77777777" w:rsidR="00F729B6" w:rsidRDefault="00F729B6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6A7561BA" w14:textId="7042D770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izmanto validētu </w:t>
      </w:r>
      <w:r>
        <w:rPr>
          <w:rFonts w:ascii="Times New Roman" w:hAnsi="Times New Roman"/>
          <w:sz w:val="24"/>
          <w:u w:val="single" w:color="000000"/>
        </w:rPr>
        <w:t>sākotnējās pārbaudes procedūru</w:t>
      </w:r>
      <w:r>
        <w:rPr>
          <w:rFonts w:ascii="Times New Roman" w:hAnsi="Times New Roman"/>
          <w:sz w:val="24"/>
        </w:rPr>
        <w:t xml:space="preserve">, kas ir </w:t>
      </w:r>
      <w:r>
        <w:rPr>
          <w:rFonts w:ascii="Times New Roman" w:hAnsi="Times New Roman"/>
          <w:sz w:val="24"/>
          <w:u w:val="single" w:color="000000"/>
        </w:rPr>
        <w:t>nolūkam atbilstīga</w:t>
      </w:r>
      <w:r>
        <w:rPr>
          <w:rFonts w:ascii="Times New Roman" w:hAnsi="Times New Roman"/>
          <w:sz w:val="24"/>
        </w:rPr>
        <w:t xml:space="preserve">, lai noteiktu urīna steroīdu profila </w:t>
      </w:r>
      <w:r>
        <w:rPr>
          <w:rFonts w:ascii="Times New Roman" w:hAnsi="Times New Roman"/>
          <w:i/>
          <w:sz w:val="24"/>
        </w:rPr>
        <w:t>marķierus</w:t>
      </w:r>
      <w:r>
        <w:rPr>
          <w:rFonts w:ascii="Times New Roman" w:hAnsi="Times New Roman"/>
          <w:sz w:val="24"/>
        </w:rPr>
        <w:t xml:space="preserve"> attiecīgajā vīriešiem un sievietēm noteiktajā vērtību diapazonā.</w:t>
      </w:r>
    </w:p>
    <w:p w14:paraId="0FEC1DE0" w14:textId="77777777" w:rsidR="00F729B6" w:rsidRPr="00173AD7" w:rsidRDefault="00F729B6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432FEE1" w14:textId="77777777" w:rsidR="002167DE" w:rsidRPr="00173AD7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 w:color="000000"/>
        </w:rPr>
        <w:t>Sākotnējās pārbaudes procedūru</w:t>
      </w:r>
      <w:r>
        <w:rPr>
          <w:rFonts w:ascii="Times New Roman" w:hAnsi="Times New Roman"/>
          <w:sz w:val="24"/>
        </w:rPr>
        <w:t xml:space="preserve"> veic vienai </w:t>
      </w:r>
      <w:r>
        <w:rPr>
          <w:rFonts w:ascii="Times New Roman" w:hAnsi="Times New Roman"/>
          <w:sz w:val="24"/>
          <w:u w:val="single" w:color="000000"/>
        </w:rPr>
        <w:t>alikvotai</w:t>
      </w:r>
      <w:r>
        <w:rPr>
          <w:rFonts w:ascii="Times New Roman" w:hAnsi="Times New Roman"/>
          <w:sz w:val="24"/>
        </w:rPr>
        <w:t>.</w:t>
      </w:r>
    </w:p>
    <w:p w14:paraId="2368BD34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18"/>
        </w:rPr>
      </w:pPr>
    </w:p>
    <w:p w14:paraId="042F47F7" w14:textId="66D0764C" w:rsidR="002167DE" w:rsidRPr="00173AD7" w:rsidRDefault="002167DE" w:rsidP="00173AD7">
      <w:pPr>
        <w:pStyle w:val="Heading2"/>
        <w:tabs>
          <w:tab w:val="left" w:pos="839"/>
        </w:tabs>
        <w:spacing w:before="0"/>
        <w:ind w:left="0"/>
        <w:jc w:val="both"/>
        <w:rPr>
          <w:rFonts w:eastAsia="Verdana"/>
          <w:noProof/>
        </w:rPr>
      </w:pPr>
      <w:r>
        <w:t>2.1. Metodes raksturlielumi</w:t>
      </w:r>
    </w:p>
    <w:p w14:paraId="396B3DEE" w14:textId="77777777" w:rsidR="00F729B6" w:rsidRDefault="00F729B6" w:rsidP="00F729B6">
      <w:pPr>
        <w:pStyle w:val="BodyText"/>
        <w:tabs>
          <w:tab w:val="left" w:pos="833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24E87A91" w14:textId="66572D21" w:rsidR="002167DE" w:rsidRPr="00173AD7" w:rsidRDefault="002167DE" w:rsidP="00B919D3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Ir jāizmanto gāzu hromatogrāfija apvienojumā ar </w:t>
      </w:r>
      <w:r>
        <w:rPr>
          <w:rFonts w:ascii="Times New Roman" w:hAnsi="Times New Roman"/>
          <w:i/>
          <w:iCs/>
          <w:sz w:val="24"/>
        </w:rPr>
        <w:t>TMS</w:t>
      </w:r>
      <w:r>
        <w:rPr>
          <w:rFonts w:ascii="Times New Roman" w:hAnsi="Times New Roman"/>
          <w:sz w:val="24"/>
        </w:rPr>
        <w:t xml:space="preserve"> (keto un hidroksila grupu) atvasinājumu masspektrometriju (</w:t>
      </w:r>
      <w:r>
        <w:rPr>
          <w:rFonts w:ascii="Times New Roman" w:hAnsi="Times New Roman"/>
          <w:i/>
          <w:iCs/>
          <w:sz w:val="24"/>
        </w:rPr>
        <w:t>GC-MS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GC-MS/MS</w:t>
      </w:r>
      <w:r>
        <w:rPr>
          <w:rFonts w:ascii="Times New Roman" w:hAnsi="Times New Roman"/>
          <w:sz w:val="24"/>
        </w:rPr>
        <w:t>).</w:t>
      </w:r>
    </w:p>
    <w:p w14:paraId="05B2CA1F" w14:textId="77777777" w:rsidR="002167DE" w:rsidRPr="00173AD7" w:rsidRDefault="002167DE" w:rsidP="00B919D3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Katrā analīzes virknē ir jāiekļauj kalibrēšanas standarts(-i) vai kalibrēšanas līkne.</w:t>
      </w:r>
    </w:p>
    <w:p w14:paraId="3700B8A4" w14:textId="77777777" w:rsidR="002167DE" w:rsidRPr="00173AD7" w:rsidRDefault="002167DE" w:rsidP="00B919D3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Katrā analīzes virknē ir jāiekļauj vismaz divi urīna kvalitātes kontroles (</w:t>
      </w:r>
      <w:r>
        <w:rPr>
          <w:rFonts w:ascii="Times New Roman" w:hAnsi="Times New Roman"/>
          <w:i/>
          <w:iCs/>
          <w:sz w:val="24"/>
        </w:rPr>
        <w:t>QC</w:t>
      </w:r>
      <w:r>
        <w:rPr>
          <w:rFonts w:ascii="Times New Roman" w:hAnsi="Times New Roman"/>
          <w:sz w:val="24"/>
        </w:rPr>
        <w:t xml:space="preserve">) paraugi, kuros ir mainīga un reprezentatīva steroīdu profila </w:t>
      </w:r>
      <w:r>
        <w:rPr>
          <w:rFonts w:ascii="Times New Roman" w:hAnsi="Times New Roman"/>
          <w:i/>
          <w:iCs/>
          <w:sz w:val="24"/>
        </w:rPr>
        <w:t>marķieru</w:t>
      </w:r>
      <w:r>
        <w:rPr>
          <w:rFonts w:ascii="Times New Roman" w:hAnsi="Times New Roman"/>
          <w:sz w:val="24"/>
        </w:rPr>
        <w:t xml:space="preserve"> koncentrācija.</w:t>
      </w:r>
    </w:p>
    <w:p w14:paraId="31B839F4" w14:textId="77777777" w:rsidR="002167DE" w:rsidRPr="00173AD7" w:rsidRDefault="002167DE" w:rsidP="00B919D3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Izmantojot no </w:t>
      </w:r>
      <w:r>
        <w:rPr>
          <w:rFonts w:ascii="Times New Roman" w:hAnsi="Times New Roman"/>
          <w:i/>
          <w:sz w:val="24"/>
        </w:rPr>
        <w:t>E. coli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H. pomatia</w:t>
      </w:r>
      <w:r>
        <w:rPr>
          <w:rFonts w:ascii="Times New Roman" w:hAnsi="Times New Roman"/>
          <w:sz w:val="24"/>
        </w:rPr>
        <w:t xml:space="preserve"> maisījumi nav pieņemami) iegūtu attīrītu β-glukuronidāzi, veic enzimātisko hidrolīzi.</w:t>
      </w:r>
    </w:p>
    <w:p w14:paraId="03941F55" w14:textId="77777777" w:rsidR="002167DE" w:rsidRPr="00173AD7" w:rsidRDefault="002167DE" w:rsidP="00B919D3">
      <w:pPr>
        <w:pStyle w:val="BodyText"/>
        <w:numPr>
          <w:ilvl w:val="2"/>
          <w:numId w:val="1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Glikurokonjugēto urīnā esošo steroīdu hidrolīzes pilnīgumu kontrolē, izmantojot ar izotopu marķētu A-glikuronīdu (vai līdzvērtīgu zinātniski atzītu alternatīvu).</w:t>
      </w:r>
    </w:p>
    <w:p w14:paraId="6482C39D" w14:textId="77777777" w:rsidR="002167DE" w:rsidRPr="00173AD7" w:rsidRDefault="002167DE" w:rsidP="00B919D3">
      <w:pPr>
        <w:pStyle w:val="BodyText"/>
        <w:numPr>
          <w:ilvl w:val="0"/>
          <w:numId w:val="18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Atvasināšanas pilnīgumu kontrolē, uzraugot 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mono-O-TMS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di-O-TMS</w:t>
      </w:r>
      <w:r>
        <w:rPr>
          <w:rFonts w:ascii="Times New Roman" w:hAnsi="Times New Roman"/>
          <w:sz w:val="24"/>
        </w:rPr>
        <w:t xml:space="preserve"> atvasinājumus.</w:t>
      </w:r>
    </w:p>
    <w:p w14:paraId="07973FAC" w14:textId="6B13EFD2" w:rsidR="002167DE" w:rsidRPr="00173AD7" w:rsidRDefault="002167DE" w:rsidP="00B919D3">
      <w:pPr>
        <w:pStyle w:val="BodyText"/>
        <w:numPr>
          <w:ilvl w:val="0"/>
          <w:numId w:val="17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Nepieciešamības gadījumā</w:t>
      </w:r>
      <w:r w:rsidR="00B919D3">
        <w:rPr>
          <w:rStyle w:val="FootnoteReference"/>
          <w:rFonts w:ascii="Times New Roman" w:hAnsi="Times New Roman"/>
          <w:noProof/>
          <w:sz w:val="24"/>
        </w:rPr>
        <w:footnoteReference w:id="1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alikvotas</w:t>
      </w:r>
      <w:r>
        <w:rPr>
          <w:rFonts w:ascii="Times New Roman" w:hAnsi="Times New Roman"/>
          <w:sz w:val="24"/>
        </w:rPr>
        <w:t xml:space="preserve"> daudzumu var pielīdzināt kā tās īpatnējā svara (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sz w:val="24"/>
        </w:rPr>
        <w:t xml:space="preserve">) un </w:t>
      </w:r>
      <w:r>
        <w:rPr>
          <w:rFonts w:ascii="Times New Roman" w:hAnsi="Times New Roman"/>
          <w:i/>
          <w:iCs/>
          <w:sz w:val="24"/>
        </w:rPr>
        <w:t>sportista</w:t>
      </w:r>
      <w:r>
        <w:rPr>
          <w:rFonts w:ascii="Times New Roman" w:hAnsi="Times New Roman"/>
          <w:sz w:val="24"/>
        </w:rPr>
        <w:t xml:space="preserve"> dzimuma funkciju.</w:t>
      </w:r>
    </w:p>
    <w:p w14:paraId="3C304231" w14:textId="7D5B2BC2" w:rsidR="00B919D3" w:rsidRPr="00B919D3" w:rsidRDefault="002167DE" w:rsidP="00B919D3">
      <w:pPr>
        <w:pStyle w:val="BodyText"/>
        <w:numPr>
          <w:ilvl w:val="0"/>
          <w:numId w:val="17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proporcijas nosaka, ņemot vērā koriģēto hromatogrāfiskās smailes laukumu vai smailes augstumu proporcijas.</w:t>
      </w:r>
      <w:r w:rsidR="00B919D3">
        <w:rPr>
          <w:rStyle w:val="FootnoteReference"/>
          <w:rFonts w:ascii="Times New Roman" w:hAnsi="Times New Roman"/>
          <w:noProof/>
          <w:sz w:val="24"/>
        </w:rPr>
        <w:footnoteReference w:id="2"/>
      </w:r>
    </w:p>
    <w:p w14:paraId="4A3DC3C4" w14:textId="27AB898F" w:rsidR="002167DE" w:rsidRPr="00173AD7" w:rsidRDefault="002167DE" w:rsidP="00B919D3">
      <w:pPr>
        <w:pStyle w:val="BodyText"/>
        <w:numPr>
          <w:ilvl w:val="1"/>
          <w:numId w:val="16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Metodes linearitāte, kas noteikta, veicot metodes validāciju, aptver </w:t>
      </w:r>
      <w:r>
        <w:rPr>
          <w:rFonts w:ascii="Times New Roman" w:hAnsi="Times New Roman"/>
          <w:i/>
          <w:sz w:val="24"/>
        </w:rPr>
        <w:t>marķieru</w:t>
      </w:r>
      <w:r>
        <w:rPr>
          <w:rFonts w:ascii="Times New Roman" w:hAnsi="Times New Roman"/>
          <w:sz w:val="24"/>
        </w:rPr>
        <w:t xml:space="preserve"> koncentrācijas diapazonu, kas parasti ir atrodams vīriešiem un sievietēm –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kvantifikācijas robeža (</w:t>
      </w:r>
      <w:r>
        <w:rPr>
          <w:rFonts w:ascii="Times New Roman" w:hAnsi="Times New Roman"/>
          <w:i/>
          <w:iCs/>
          <w:sz w:val="24"/>
        </w:rPr>
        <w:t>LOQ</w:t>
      </w:r>
      <w:r>
        <w:rPr>
          <w:rFonts w:ascii="Times New Roman" w:hAnsi="Times New Roman"/>
          <w:sz w:val="24"/>
        </w:rPr>
        <w:t>) nedrīkst būt augstāka par 2 ng/ml.</w:t>
      </w:r>
      <w:r w:rsidR="00B92996">
        <w:rPr>
          <w:rStyle w:val="FootnoteReference"/>
          <w:rFonts w:ascii="Times New Roman" w:hAnsi="Times New Roman"/>
          <w:noProof/>
          <w:sz w:val="24"/>
        </w:rPr>
        <w:footnoteReference w:id="3"/>
      </w:r>
    </w:p>
    <w:p w14:paraId="3E8C15BD" w14:textId="2169BCF0" w:rsidR="002167DE" w:rsidRDefault="002167DE" w:rsidP="00B919D3">
      <w:pPr>
        <w:pStyle w:val="BodyText"/>
        <w:numPr>
          <w:ilvl w:val="1"/>
          <w:numId w:val="16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noteikšanai nepieciešamā relatīvā kombinētā </w:t>
      </w:r>
      <w:r>
        <w:rPr>
          <w:rFonts w:ascii="Times New Roman" w:hAnsi="Times New Roman"/>
          <w:sz w:val="24"/>
          <w:u w:val="single" w:color="000000"/>
        </w:rPr>
        <w:t>mērījuma standartnenoteiktība</w:t>
      </w:r>
      <w:r>
        <w:rPr>
          <w:rFonts w:ascii="Times New Roman" w:hAnsi="Times New Roman"/>
          <w:sz w:val="24"/>
        </w:rPr>
        <w:t xml:space="preserve"> [</w:t>
      </w:r>
      <w:r>
        <w:rPr>
          <w:rFonts w:ascii="Times New Roman" w:hAnsi="Times New Roman"/>
          <w:i/>
          <w:sz w:val="24"/>
        </w:rPr>
        <w:t>uc</w:t>
      </w:r>
      <w:r>
        <w:rPr>
          <w:rFonts w:ascii="Times New Roman" w:hAnsi="Times New Roman"/>
          <w:sz w:val="24"/>
        </w:rPr>
        <w:t xml:space="preserve"> (%)], kas noteikta, veicot </w:t>
      </w:r>
      <w:r>
        <w:rPr>
          <w:rFonts w:ascii="Times New Roman" w:hAnsi="Times New Roman"/>
          <w:sz w:val="24"/>
          <w:u w:val="single" w:color="000000"/>
        </w:rPr>
        <w:t>sākotnējās pārbaudes procedūras</w:t>
      </w:r>
      <w:r>
        <w:rPr>
          <w:rFonts w:ascii="Times New Roman" w:hAnsi="Times New Roman"/>
          <w:sz w:val="24"/>
        </w:rPr>
        <w:t xml:space="preserve"> metodes validāciju:</w:t>
      </w:r>
    </w:p>
    <w:p w14:paraId="11DD7E90" w14:textId="77777777" w:rsidR="00B919D3" w:rsidRPr="00173AD7" w:rsidRDefault="00B919D3" w:rsidP="00B919D3">
      <w:pPr>
        <w:pStyle w:val="BodyText"/>
        <w:tabs>
          <w:tab w:val="left" w:pos="833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1F2ABDD7" w14:textId="77777777" w:rsidR="002167DE" w:rsidRPr="00173AD7" w:rsidRDefault="002167DE" w:rsidP="00B92996">
      <w:pPr>
        <w:pStyle w:val="BodyText"/>
        <w:numPr>
          <w:ilvl w:val="2"/>
          <w:numId w:val="16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nedrīkst būt lielāka par 30 % attiecīgajā </w:t>
      </w:r>
      <w:r>
        <w:rPr>
          <w:rFonts w:ascii="Times New Roman" w:hAnsi="Times New Roman"/>
          <w:i/>
          <w:iCs/>
          <w:sz w:val="24"/>
        </w:rPr>
        <w:t>LOQ</w:t>
      </w:r>
      <w:r>
        <w:rPr>
          <w:rFonts w:ascii="Times New Roman" w:hAnsi="Times New Roman"/>
          <w:sz w:val="24"/>
        </w:rPr>
        <w:t>;</w:t>
      </w:r>
    </w:p>
    <w:p w14:paraId="332AF33A" w14:textId="23D6061D" w:rsidR="002167DE" w:rsidRPr="00B92996" w:rsidRDefault="002167DE" w:rsidP="00B92996">
      <w:pPr>
        <w:pStyle w:val="BodyText"/>
        <w:numPr>
          <w:ilvl w:val="2"/>
          <w:numId w:val="16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nedrīkst būt lielāka par 20 % (attiecībā uz 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 xml:space="preserve">) vai 25 % (attiecībā uz adioliem) pieckārtīgā (5) </w:t>
      </w:r>
      <w:r>
        <w:rPr>
          <w:rFonts w:ascii="Times New Roman" w:hAnsi="Times New Roman"/>
          <w:i/>
          <w:iCs/>
          <w:sz w:val="24"/>
        </w:rPr>
        <w:t>LOQ</w:t>
      </w:r>
      <w:r>
        <w:rPr>
          <w:rFonts w:ascii="Times New Roman" w:hAnsi="Times New Roman"/>
          <w:sz w:val="24"/>
        </w:rPr>
        <w:t>;</w:t>
      </w:r>
    </w:p>
    <w:p w14:paraId="11C1C4BA" w14:textId="25020F50" w:rsidR="002167DE" w:rsidRDefault="002167DE" w:rsidP="00B92996">
      <w:pPr>
        <w:pStyle w:val="BodyText"/>
        <w:numPr>
          <w:ilvl w:val="2"/>
          <w:numId w:val="16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nedrīkst būt lielāka par 20 % (attiecībā uz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>), ja koncentrācija ir lielāka par 5 ng/ml.</w:t>
      </w:r>
    </w:p>
    <w:p w14:paraId="5B1236F1" w14:textId="77777777" w:rsidR="00B92996" w:rsidRPr="00173AD7" w:rsidRDefault="00B92996" w:rsidP="00B92996">
      <w:pPr>
        <w:pStyle w:val="BodyText"/>
        <w:tabs>
          <w:tab w:val="left" w:pos="1201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51A4C014" w14:textId="79930ED6" w:rsidR="002167DE" w:rsidRDefault="002167DE" w:rsidP="00B92996">
      <w:pPr>
        <w:pStyle w:val="BodyText"/>
        <w:numPr>
          <w:ilvl w:val="1"/>
          <w:numId w:val="16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z w:val="24"/>
          <w:vertAlign w:val="subscript"/>
        </w:rPr>
        <w:t>c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(%), ko piemēro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proporciju noteikšanai un ko aprēķina no koriģētās hromatogrāfiskās smailes laukumiem vai augstumiem:</w:t>
      </w:r>
    </w:p>
    <w:p w14:paraId="19AD1E35" w14:textId="77777777" w:rsidR="00B92996" w:rsidRPr="00173AD7" w:rsidRDefault="00B92996" w:rsidP="00B92996">
      <w:pPr>
        <w:pStyle w:val="BodyText"/>
        <w:tabs>
          <w:tab w:val="left" w:pos="834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869950F" w14:textId="77777777" w:rsidR="002167DE" w:rsidRPr="00173AD7" w:rsidRDefault="002167DE" w:rsidP="00B92996">
      <w:pPr>
        <w:pStyle w:val="BodyText"/>
        <w:numPr>
          <w:ilvl w:val="2"/>
          <w:numId w:val="16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nedrīkst būt lielāka par 15 %, ja gan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, gan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koncentrācija ir augstāka (&gt;) par 5 ng/ml;</w:t>
      </w:r>
    </w:p>
    <w:p w14:paraId="45883977" w14:textId="01BCB29A" w:rsidR="002167DE" w:rsidRDefault="002167DE" w:rsidP="00B92996">
      <w:pPr>
        <w:pStyle w:val="BodyText"/>
        <w:numPr>
          <w:ilvl w:val="2"/>
          <w:numId w:val="16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nedrīkst būt lielāka par 30 %, ja gan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un/vai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koncentrācija ir (≤) 5 ng/ml vai zemāka.</w:t>
      </w:r>
    </w:p>
    <w:p w14:paraId="541F6CA4" w14:textId="77777777" w:rsidR="00B92996" w:rsidRPr="00173AD7" w:rsidRDefault="00B92996" w:rsidP="00B92996">
      <w:pPr>
        <w:pStyle w:val="BodyText"/>
        <w:tabs>
          <w:tab w:val="left" w:pos="1201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16115BFB" w14:textId="7BB4CDA8" w:rsidR="002167DE" w:rsidRPr="00173AD7" w:rsidRDefault="002167DE" w:rsidP="00B92996">
      <w:pPr>
        <w:pStyle w:val="BodyText"/>
        <w:numPr>
          <w:ilvl w:val="1"/>
          <w:numId w:val="16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uzrauga mikrobiālās degradācijas pierādījumus [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>, 3α-hidroksisteroīda dehidrogenāzes (</w:t>
      </w:r>
      <w:r>
        <w:rPr>
          <w:rFonts w:ascii="Times New Roman" w:hAnsi="Times New Roman"/>
          <w:i/>
          <w:iCs/>
          <w:sz w:val="24"/>
        </w:rPr>
        <w:t>HSD</w:t>
      </w:r>
      <w:r>
        <w:rPr>
          <w:rFonts w:ascii="Times New Roman" w:hAnsi="Times New Roman"/>
          <w:sz w:val="24"/>
        </w:rPr>
        <w:t>) aktivitātes rādītāju klātbūtni] un 5α-reduktāzes inhibitoru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finasterīda), etanola </w:t>
      </w:r>
      <w:r>
        <w:rPr>
          <w:rFonts w:ascii="Times New Roman" w:hAnsi="Times New Roman"/>
          <w:i/>
          <w:sz w:val="24"/>
        </w:rPr>
        <w:t>metabolīta(-u)</w:t>
      </w:r>
      <w:r>
        <w:rPr>
          <w:rFonts w:ascii="Times New Roman" w:hAnsi="Times New Roman"/>
          <w:sz w:val="24"/>
        </w:rPr>
        <w:t xml:space="preserve"> un ketokonazola (un līdzīgu vielu) klātbūtni.</w:t>
      </w:r>
      <w:r w:rsidR="00B92996">
        <w:rPr>
          <w:rStyle w:val="FootnoteReference"/>
          <w:rFonts w:ascii="Times New Roman" w:hAnsi="Times New Roman"/>
          <w:noProof/>
          <w:sz w:val="24"/>
          <w:u w:val="single" w:color="000000"/>
        </w:rPr>
        <w:footnoteReference w:id="4"/>
      </w:r>
    </w:p>
    <w:p w14:paraId="132F638B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0563DED2" w14:textId="0F7FFAE2" w:rsidR="002167DE" w:rsidRPr="00173AD7" w:rsidRDefault="00B92996" w:rsidP="00B92996">
      <w:pPr>
        <w:tabs>
          <w:tab w:val="left" w:pos="684"/>
        </w:tabs>
        <w:jc w:val="both"/>
        <w:rPr>
          <w:rFonts w:ascii="Times New Roman" w:eastAsia="Verdana" w:hAnsi="Times New Roman" w:cs="Verdana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2.2. Ziņošana par steroīdu profilu pēc </w:t>
      </w:r>
      <w:r>
        <w:rPr>
          <w:rFonts w:ascii="Times New Roman" w:hAnsi="Times New Roman"/>
          <w:sz w:val="24"/>
          <w:u w:val="single" w:color="000000"/>
        </w:rPr>
        <w:t>sākotnējās pārbaudes procedūras</w:t>
      </w:r>
    </w:p>
    <w:p w14:paraId="194E88FF" w14:textId="77777777" w:rsidR="00B92996" w:rsidRDefault="00B92996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6367E0E6" w14:textId="697B01B1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Pēc </w:t>
      </w:r>
      <w:r>
        <w:rPr>
          <w:rFonts w:ascii="Times New Roman" w:hAnsi="Times New Roman"/>
          <w:sz w:val="24"/>
          <w:u w:val="single" w:color="000000"/>
        </w:rPr>
        <w:t>sākotnējās pārbaudes procedūras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ziņo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par katra analizētā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steroīdu profilu</w:t>
      </w:r>
      <w:r w:rsidR="00B92996">
        <w:rPr>
          <w:rStyle w:val="FootnoteReference"/>
          <w:rFonts w:ascii="Times New Roman" w:hAnsi="Times New Roman"/>
          <w:noProof/>
          <w:sz w:val="24"/>
        </w:rPr>
        <w:footnoteReference w:id="5"/>
      </w:r>
      <w:r>
        <w:rPr>
          <w:rFonts w:ascii="Times New Roman" w:hAnsi="Times New Roman"/>
          <w:sz w:val="24"/>
          <w:vertAlign w:val="superscript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B92996">
        <w:rPr>
          <w:rStyle w:val="FootnoteReference"/>
          <w:rFonts w:ascii="Times New Roman" w:hAnsi="Times New Roman"/>
          <w:noProof/>
          <w:sz w:val="24"/>
          <w:szCs w:val="14"/>
        </w:rPr>
        <w:footnoteReference w:id="6"/>
      </w:r>
      <w:r>
        <w:rPr>
          <w:rFonts w:ascii="Times New Roman" w:hAnsi="Times New Roman"/>
          <w:sz w:val="24"/>
        </w:rPr>
        <w:t>, norādot:</w:t>
      </w:r>
    </w:p>
    <w:p w14:paraId="5BCA5ACD" w14:textId="77777777" w:rsidR="00B92996" w:rsidRPr="00173AD7" w:rsidRDefault="00B92996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232BC3C1" w14:textId="5A04114F" w:rsidR="002167DE" w:rsidRPr="00173AD7" w:rsidRDefault="002167DE" w:rsidP="00B92996">
      <w:pPr>
        <w:numPr>
          <w:ilvl w:val="2"/>
          <w:numId w:val="15"/>
        </w:numPr>
        <w:ind w:left="426" w:hanging="426"/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sz w:val="24"/>
        </w:rPr>
        <w:t>;</w:t>
      </w:r>
      <w:r w:rsidR="00B92996">
        <w:rPr>
          <w:rStyle w:val="FootnoteReference"/>
          <w:rFonts w:ascii="Times New Roman" w:hAnsi="Times New Roman"/>
          <w:noProof/>
          <w:sz w:val="24"/>
        </w:rPr>
        <w:footnoteReference w:id="7"/>
      </w:r>
    </w:p>
    <w:p w14:paraId="42E65C40" w14:textId="0EE1B3C4" w:rsidR="002167DE" w:rsidRPr="00783C10" w:rsidRDefault="002167DE" w:rsidP="00173AD7">
      <w:pPr>
        <w:pStyle w:val="BodyText"/>
        <w:numPr>
          <w:ilvl w:val="2"/>
          <w:numId w:val="15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 xml:space="preserve"> koncentrāciju;</w:t>
      </w:r>
      <w:r w:rsidR="00B92996">
        <w:rPr>
          <w:rStyle w:val="FootnoteReference"/>
          <w:rFonts w:ascii="Times New Roman" w:hAnsi="Times New Roman"/>
          <w:noProof/>
          <w:sz w:val="24"/>
        </w:rPr>
        <w:footnoteReference w:id="8"/>
      </w:r>
      <w:r>
        <w:rPr>
          <w:rFonts w:ascii="Times New Roman" w:hAnsi="Times New Roman"/>
          <w:sz w:val="24"/>
          <w:vertAlign w:val="superscript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783C10">
        <w:rPr>
          <w:rStyle w:val="FootnoteReference"/>
          <w:rFonts w:ascii="Times New Roman" w:hAnsi="Times New Roman"/>
          <w:noProof/>
          <w:sz w:val="24"/>
          <w:szCs w:val="14"/>
        </w:rPr>
        <w:footnoteReference w:id="9"/>
      </w:r>
      <w:r>
        <w:rPr>
          <w:rFonts w:ascii="Times New Roman" w:hAnsi="Times New Roman"/>
          <w:sz w:val="24"/>
          <w:vertAlign w:val="superscript"/>
        </w:rPr>
        <w:t>,</w:t>
      </w:r>
      <w:r w:rsidR="00783C10">
        <w:rPr>
          <w:rStyle w:val="FootnoteReference"/>
          <w:rFonts w:ascii="Times New Roman" w:hAnsi="Times New Roman"/>
          <w:noProof/>
          <w:sz w:val="24"/>
          <w:szCs w:val="14"/>
        </w:rPr>
        <w:footnoteReference w:id="10"/>
      </w:r>
    </w:p>
    <w:p w14:paraId="751BD70D" w14:textId="1BCBCF77" w:rsidR="002167DE" w:rsidRPr="00173AD7" w:rsidRDefault="002167DE" w:rsidP="00D82B82">
      <w:pPr>
        <w:numPr>
          <w:ilvl w:val="1"/>
          <w:numId w:val="14"/>
        </w:numPr>
        <w:ind w:left="426" w:hanging="426"/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proporciju;</w:t>
      </w:r>
      <w:r>
        <w:rPr>
          <w:rFonts w:ascii="Times New Roman" w:hAnsi="Times New Roman"/>
          <w:sz w:val="24"/>
          <w:vertAlign w:val="superscript"/>
        </w:rPr>
        <w:t>2,</w:t>
      </w:r>
      <w:r w:rsidR="00783C10">
        <w:rPr>
          <w:rStyle w:val="FootnoteReference"/>
          <w:rFonts w:ascii="Times New Roman" w:hAnsi="Times New Roman"/>
          <w:noProof/>
          <w:sz w:val="24"/>
        </w:rPr>
        <w:footnoteReference w:id="11"/>
      </w:r>
    </w:p>
    <w:p w14:paraId="48160CA7" w14:textId="7770F8F9" w:rsidR="002167DE" w:rsidRPr="00173AD7" w:rsidRDefault="002167DE" w:rsidP="00D82B82">
      <w:pPr>
        <w:pStyle w:val="BodyText"/>
        <w:numPr>
          <w:ilvl w:val="1"/>
          <w:numId w:val="1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mikrobiālās aktivitātes pazīmes </w:t>
      </w:r>
      <w:r>
        <w:rPr>
          <w:rFonts w:ascii="Times New Roman" w:hAnsi="Times New Roman"/>
          <w:i/>
          <w:sz w:val="24"/>
        </w:rPr>
        <w:t>paraugā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>, 5α-androstenediona (</w:t>
      </w:r>
      <w:r>
        <w:rPr>
          <w:rFonts w:ascii="Times New Roman" w:hAnsi="Times New Roman"/>
          <w:i/>
          <w:iCs/>
          <w:sz w:val="24"/>
        </w:rPr>
        <w:t>5βAND</w:t>
      </w:r>
      <w:r>
        <w:rPr>
          <w:rFonts w:ascii="Times New Roman" w:hAnsi="Times New Roman"/>
          <w:sz w:val="24"/>
        </w:rPr>
        <w:t xml:space="preserve">) un 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 xml:space="preserve"> proporciju un 5β-androstenediona (</w:t>
      </w:r>
      <w:r>
        <w:rPr>
          <w:rFonts w:ascii="Times New Roman" w:hAnsi="Times New Roman"/>
          <w:i/>
          <w:iCs/>
          <w:sz w:val="24"/>
        </w:rPr>
        <w:t>5βAND</w:t>
      </w:r>
      <w:r>
        <w:rPr>
          <w:rFonts w:ascii="Times New Roman" w:hAnsi="Times New Roman"/>
          <w:sz w:val="24"/>
        </w:rPr>
        <w:t xml:space="preserve">) un 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 xml:space="preserve"> proporciju;</w:t>
      </w:r>
      <w:r w:rsidR="00D82B82">
        <w:rPr>
          <w:rStyle w:val="FootnoteReference"/>
          <w:rFonts w:ascii="Times New Roman" w:hAnsi="Times New Roman"/>
          <w:noProof/>
          <w:sz w:val="24"/>
        </w:rPr>
        <w:footnoteReference w:id="12"/>
      </w:r>
    </w:p>
    <w:p w14:paraId="10F0311F" w14:textId="16C511DD" w:rsidR="002167DE" w:rsidRPr="00173AD7" w:rsidRDefault="002167DE" w:rsidP="00D82B82">
      <w:pPr>
        <w:pStyle w:val="BodyText"/>
        <w:numPr>
          <w:ilvl w:val="1"/>
          <w:numId w:val="1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tādas(-u) vielas(-u) klātbūtni vai neesību </w:t>
      </w:r>
      <w:r>
        <w:rPr>
          <w:rFonts w:ascii="Times New Roman" w:hAnsi="Times New Roman"/>
          <w:i/>
          <w:sz w:val="24"/>
        </w:rPr>
        <w:t>paraugā</w:t>
      </w:r>
      <w:r>
        <w:rPr>
          <w:rFonts w:ascii="Times New Roman" w:hAnsi="Times New Roman"/>
          <w:sz w:val="24"/>
        </w:rPr>
        <w:t>, kura(-as) varētu izmainīt steroīdu profilu.</w:t>
      </w:r>
      <w:r>
        <w:rPr>
          <w:rFonts w:ascii="Times New Roman" w:hAnsi="Times New Roman"/>
          <w:sz w:val="24"/>
          <w:vertAlign w:val="superscript"/>
        </w:rPr>
        <w:t>12</w:t>
      </w:r>
    </w:p>
    <w:p w14:paraId="3EA2B0F4" w14:textId="77777777" w:rsidR="00D82B82" w:rsidRDefault="00D82B82" w:rsidP="00D82B82">
      <w:pPr>
        <w:pStyle w:val="BodyText"/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</w:p>
    <w:p w14:paraId="69992C8E" w14:textId="2B043DFF" w:rsidR="002167DE" w:rsidRDefault="002167DE" w:rsidP="00D82B82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i/>
          <w:sz w:val="24"/>
        </w:rPr>
        <w:t>paraugs</w:t>
      </w:r>
      <w:r>
        <w:rPr>
          <w:rFonts w:ascii="Times New Roman" w:hAnsi="Times New Roman"/>
          <w:sz w:val="24"/>
        </w:rPr>
        <w:t xml:space="preserve"> neatbilst cilvēka urīnam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sz w:val="24"/>
        </w:rPr>
        <w:t xml:space="preserve"> ≤ 1,001, kreatinīns ≤ 5 mg/dl [5], fizioloģiskai izcelsmei neatbilstīga sāls koncentrācija, pārmērīgas pH vērtības, endogēno steroīdu, kortikosteroīdu, proteīnu neesība vai neraksturīgi zems to līmenis),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>:</w:t>
      </w:r>
    </w:p>
    <w:p w14:paraId="6B4734AE" w14:textId="77777777" w:rsidR="00D82B82" w:rsidRPr="00173AD7" w:rsidRDefault="00D82B82" w:rsidP="00D82B82">
      <w:pPr>
        <w:pStyle w:val="BodyText"/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</w:p>
    <w:p w14:paraId="344F2990" w14:textId="77777777" w:rsidR="002167DE" w:rsidRPr="00173AD7" w:rsidRDefault="002167DE" w:rsidP="00D82B82">
      <w:pPr>
        <w:numPr>
          <w:ilvl w:val="1"/>
          <w:numId w:val="14"/>
        </w:numPr>
        <w:ind w:left="426" w:hanging="426"/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ziņo par rezultātu kā par </w:t>
      </w:r>
      <w:r>
        <w:rPr>
          <w:rFonts w:ascii="Times New Roman" w:hAnsi="Times New Roman"/>
          <w:i/>
          <w:sz w:val="24"/>
        </w:rPr>
        <w:t>AAF</w:t>
      </w:r>
      <w:r>
        <w:rPr>
          <w:rFonts w:ascii="Times New Roman" w:hAnsi="Times New Roman"/>
          <w:sz w:val="24"/>
        </w:rPr>
        <w:t xml:space="preserve"> saistībā ar </w:t>
      </w:r>
      <w:r>
        <w:rPr>
          <w:rFonts w:ascii="Times New Roman" w:hAnsi="Times New Roman"/>
          <w:i/>
          <w:sz w:val="24"/>
        </w:rPr>
        <w:t>falsifikāciju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falsifikācijas mēģinājumu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Aizliegto vielu un metožu saraksta</w:t>
      </w:r>
      <w:r>
        <w:rPr>
          <w:rFonts w:ascii="Times New Roman" w:hAnsi="Times New Roman"/>
          <w:sz w:val="24"/>
        </w:rPr>
        <w:t xml:space="preserve"> M2.1. punkts), ja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spēj nepārprotami identificēt šķidruma veidu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ūdens, sārms, mākslīgais urīns), kas iesniegts kā viltots </w:t>
      </w:r>
      <w:r>
        <w:rPr>
          <w:rFonts w:ascii="Times New Roman" w:hAnsi="Times New Roman"/>
          <w:i/>
          <w:sz w:val="24"/>
        </w:rPr>
        <w:t>paraugs</w:t>
      </w:r>
      <w:r>
        <w:rPr>
          <w:rFonts w:ascii="Times New Roman" w:hAnsi="Times New Roman"/>
          <w:sz w:val="24"/>
        </w:rPr>
        <w:t>, vai</w:t>
      </w:r>
    </w:p>
    <w:p w14:paraId="5BFA5B51" w14:textId="77777777" w:rsidR="002167DE" w:rsidRPr="00173AD7" w:rsidRDefault="002167DE" w:rsidP="00D82B82">
      <w:pPr>
        <w:pStyle w:val="BodyText"/>
        <w:numPr>
          <w:ilvl w:val="1"/>
          <w:numId w:val="1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ziņo par rezultātu kā par </w:t>
      </w:r>
      <w:r>
        <w:rPr>
          <w:rFonts w:ascii="Times New Roman" w:hAnsi="Times New Roman"/>
          <w:i/>
          <w:sz w:val="24"/>
        </w:rPr>
        <w:t>AAF</w:t>
      </w:r>
      <w:r>
        <w:rPr>
          <w:rFonts w:ascii="Times New Roman" w:hAnsi="Times New Roman"/>
          <w:sz w:val="24"/>
        </w:rPr>
        <w:t xml:space="preserve"> saistībā ar </w:t>
      </w:r>
      <w:r>
        <w:rPr>
          <w:rFonts w:ascii="Times New Roman" w:hAnsi="Times New Roman"/>
          <w:i/>
          <w:sz w:val="24"/>
        </w:rPr>
        <w:t>falsifikāciju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falsifikācijas mēģinājumu</w:t>
      </w:r>
      <w:r>
        <w:rPr>
          <w:rFonts w:ascii="Times New Roman" w:hAnsi="Times New Roman"/>
          <w:sz w:val="24"/>
        </w:rPr>
        <w:t xml:space="preserve">, ja </w:t>
      </w:r>
      <w:r>
        <w:rPr>
          <w:rFonts w:ascii="Times New Roman" w:hAnsi="Times New Roman"/>
          <w:sz w:val="24"/>
          <w:u w:val="single" w:color="000000"/>
        </w:rPr>
        <w:t>laboratorijai</w:t>
      </w:r>
      <w:r>
        <w:rPr>
          <w:rFonts w:ascii="Times New Roman" w:hAnsi="Times New Roman"/>
          <w:sz w:val="24"/>
        </w:rPr>
        <w:t xml:space="preserve"> ir iemesls uzskatīt, ka </w:t>
      </w:r>
      <w:r>
        <w:rPr>
          <w:rFonts w:ascii="Times New Roman" w:hAnsi="Times New Roman"/>
          <w:i/>
          <w:sz w:val="24"/>
        </w:rPr>
        <w:t>paraugs</w:t>
      </w:r>
      <w:r>
        <w:rPr>
          <w:rFonts w:ascii="Times New Roman" w:hAnsi="Times New Roman"/>
          <w:sz w:val="24"/>
        </w:rPr>
        <w:t xml:space="preserve"> varētu būt jebkādā veidā pārveidots, ar to ir veiktas nepareizas darbības vai tas varētu būt izmantots, veicot jebkādu krāpšanu, kas varētu izmainīt </w:t>
      </w:r>
      <w:r>
        <w:rPr>
          <w:rFonts w:ascii="Times New Roman" w:hAnsi="Times New Roman"/>
          <w:sz w:val="24"/>
          <w:u w:val="single" w:color="000000"/>
        </w:rPr>
        <w:t>analītiskās pārbaudes</w:t>
      </w:r>
      <w:r>
        <w:rPr>
          <w:rFonts w:ascii="Times New Roman" w:hAnsi="Times New Roman"/>
          <w:sz w:val="24"/>
        </w:rPr>
        <w:t xml:space="preserve"> rezultātus, vai</w:t>
      </w:r>
    </w:p>
    <w:p w14:paraId="2E8E22BF" w14:textId="77777777" w:rsidR="002167DE" w:rsidRPr="00173AD7" w:rsidRDefault="002167DE" w:rsidP="00D82B82">
      <w:pPr>
        <w:pStyle w:val="BodyText"/>
        <w:numPr>
          <w:ilvl w:val="1"/>
          <w:numId w:val="1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ziņo </w:t>
      </w:r>
      <w:r>
        <w:rPr>
          <w:rFonts w:ascii="Times New Roman" w:hAnsi="Times New Roman"/>
          <w:sz w:val="24"/>
          <w:u w:val="single" w:color="000000"/>
        </w:rPr>
        <w:t>pārbaudes iestādei</w:t>
      </w:r>
      <w:r>
        <w:rPr>
          <w:rFonts w:ascii="Times New Roman" w:hAnsi="Times New Roman"/>
          <w:sz w:val="24"/>
        </w:rPr>
        <w:t xml:space="preserve"> par aizdomīgu atradi un lūdz papildu informāciju, ko varētu sniegt papildus, ziņojot par šo atradi kā par </w:t>
      </w:r>
      <w:r>
        <w:rPr>
          <w:rFonts w:ascii="Times New Roman" w:hAnsi="Times New Roman"/>
          <w:i/>
          <w:sz w:val="24"/>
        </w:rPr>
        <w:t>AAF</w:t>
      </w:r>
      <w:r>
        <w:rPr>
          <w:rFonts w:ascii="Times New Roman" w:hAnsi="Times New Roman"/>
          <w:sz w:val="24"/>
        </w:rPr>
        <w:t xml:space="preserve"> saistībā ar </w:t>
      </w:r>
      <w:r>
        <w:rPr>
          <w:rFonts w:ascii="Times New Roman" w:hAnsi="Times New Roman"/>
          <w:i/>
          <w:sz w:val="24"/>
        </w:rPr>
        <w:t>falsifikāciju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falsifikācijas mēģinājumu</w:t>
      </w:r>
      <w:r>
        <w:rPr>
          <w:rFonts w:ascii="Times New Roman" w:hAnsi="Times New Roman"/>
          <w:sz w:val="24"/>
        </w:rPr>
        <w:t xml:space="preserve"> (piemēram, </w:t>
      </w:r>
      <w:r>
        <w:rPr>
          <w:rFonts w:ascii="Times New Roman" w:hAnsi="Times New Roman"/>
          <w:i/>
          <w:sz w:val="24"/>
        </w:rPr>
        <w:t>sportista</w:t>
      </w:r>
      <w:r>
        <w:rPr>
          <w:rFonts w:ascii="Times New Roman" w:hAnsi="Times New Roman"/>
          <w:sz w:val="24"/>
        </w:rPr>
        <w:t xml:space="preserve"> “steroīdu garenprofila” datus), vai</w:t>
      </w:r>
    </w:p>
    <w:p w14:paraId="4FB3C7C6" w14:textId="5034DB12" w:rsidR="002167DE" w:rsidRPr="00D82B82" w:rsidRDefault="002167DE" w:rsidP="00D82B82">
      <w:pPr>
        <w:numPr>
          <w:ilvl w:val="1"/>
          <w:numId w:val="14"/>
        </w:numPr>
        <w:ind w:left="426" w:hanging="426"/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ziņo par atradi kā par </w:t>
      </w:r>
      <w:r>
        <w:rPr>
          <w:rFonts w:ascii="Times New Roman" w:hAnsi="Times New Roman"/>
          <w:i/>
          <w:sz w:val="24"/>
        </w:rPr>
        <w:t>ATF</w:t>
      </w:r>
      <w:r>
        <w:rPr>
          <w:rFonts w:ascii="Times New Roman" w:hAnsi="Times New Roman"/>
          <w:sz w:val="24"/>
        </w:rPr>
        <w:t xml:space="preserve"> saistībā ar </w:t>
      </w:r>
      <w:r>
        <w:rPr>
          <w:rFonts w:ascii="Times New Roman" w:hAnsi="Times New Roman"/>
          <w:i/>
          <w:sz w:val="24"/>
        </w:rPr>
        <w:t>falsifikāciju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falsifikācijas mēģinājumu</w:t>
      </w:r>
      <w:r>
        <w:rPr>
          <w:rFonts w:ascii="Times New Roman" w:hAnsi="Times New Roman"/>
          <w:sz w:val="24"/>
        </w:rPr>
        <w:t xml:space="preserve"> un pievieno piezīmi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, kurā iesaka </w:t>
      </w:r>
      <w:r>
        <w:rPr>
          <w:rFonts w:ascii="Times New Roman" w:hAnsi="Times New Roman"/>
          <w:sz w:val="24"/>
          <w:u w:val="single" w:color="000000"/>
        </w:rPr>
        <w:t>pārbaudes iestādei</w:t>
      </w:r>
      <w:r>
        <w:rPr>
          <w:rFonts w:ascii="Times New Roman" w:hAnsi="Times New Roman"/>
          <w:sz w:val="24"/>
        </w:rPr>
        <w:t xml:space="preserve"> veikt papildu izmeklēšanu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papildu analīzes, </w:t>
      </w:r>
      <w:r>
        <w:rPr>
          <w:rFonts w:ascii="Times New Roman" w:hAnsi="Times New Roman"/>
          <w:i/>
          <w:sz w:val="24"/>
        </w:rPr>
        <w:t>sportista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mērķpārbaudi</w:t>
      </w:r>
      <w:r>
        <w:rPr>
          <w:rFonts w:ascii="Times New Roman" w:hAnsi="Times New Roman"/>
          <w:sz w:val="24"/>
        </w:rPr>
        <w:t xml:space="preserve">), lai noteiktu, vai ir notikusi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falsifikācija</w:t>
      </w:r>
      <w:r>
        <w:rPr>
          <w:rFonts w:ascii="Times New Roman" w:hAnsi="Times New Roman"/>
          <w:sz w:val="24"/>
        </w:rPr>
        <w:t xml:space="preserve"> un atrade būtu jāuzskata par antidopinga noteikumu pārkāpumu.</w:t>
      </w:r>
    </w:p>
    <w:p w14:paraId="3F03D591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1124DEF7" w14:textId="5CCB365D" w:rsidR="002167DE" w:rsidRPr="00173AD7" w:rsidRDefault="002167DE" w:rsidP="00173AD7">
      <w:pPr>
        <w:pStyle w:val="Heading2"/>
        <w:spacing w:before="0"/>
        <w:ind w:left="0"/>
        <w:jc w:val="both"/>
        <w:rPr>
          <w:rFonts w:eastAsia="Verdana" w:cs="Verdana"/>
          <w:noProof/>
        </w:rPr>
      </w:pPr>
      <w:r>
        <w:t xml:space="preserve">2.2.1. </w:t>
      </w:r>
      <w:r>
        <w:rPr>
          <w:i/>
          <w:iCs/>
        </w:rPr>
        <w:t>Parauga</w:t>
      </w:r>
      <w:r>
        <w:t xml:space="preserve"> (steroīdu profila) derīgums</w:t>
      </w:r>
    </w:p>
    <w:p w14:paraId="1E6F953D" w14:textId="77777777" w:rsidR="00D82B82" w:rsidRDefault="00D82B82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4E8A618D" w14:textId="39BD1A81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derīgums pēc steroīdu profila paziņošanas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tiks noteikts automātiski saskaņā ar turpmāk izklāstītajiem nosacījumiem.</w:t>
      </w:r>
    </w:p>
    <w:p w14:paraId="26AE9C6F" w14:textId="77777777" w:rsidR="00D82B82" w:rsidRPr="00173AD7" w:rsidRDefault="00D82B82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2DCD446D" w14:textId="61A91192" w:rsidR="002167DE" w:rsidRDefault="00D82B82" w:rsidP="00D82B82">
      <w:pPr>
        <w:tabs>
          <w:tab w:val="left" w:pos="555"/>
          <w:tab w:val="left" w:pos="1987"/>
          <w:tab w:val="left" w:pos="3587"/>
          <w:tab w:val="left" w:pos="7130"/>
        </w:tabs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a) </w:t>
      </w:r>
      <w:r>
        <w:rPr>
          <w:rFonts w:ascii="Times New Roman" w:hAnsi="Times New Roman"/>
          <w:b/>
          <w:sz w:val="24"/>
        </w:rPr>
        <w:t>“Nederīgs”</w:t>
      </w:r>
      <w:r>
        <w:rPr>
          <w:rFonts w:ascii="Times New Roman" w:hAnsi="Times New Roman"/>
          <w:sz w:val="24"/>
        </w:rPr>
        <w:t xml:space="preserve"> – </w:t>
      </w:r>
      <w:r>
        <w:rPr>
          <w:rFonts w:ascii="Times New Roman" w:hAnsi="Times New Roman"/>
          <w:b/>
          <w:sz w:val="24"/>
        </w:rPr>
        <w:t xml:space="preserve">tikai tad, ja </w:t>
      </w:r>
      <w:r>
        <w:rPr>
          <w:rFonts w:ascii="Times New Roman" w:hAnsi="Times New Roman"/>
          <w:b/>
          <w:i/>
          <w:sz w:val="24"/>
        </w:rPr>
        <w:t>paraugā</w:t>
      </w:r>
      <w:r>
        <w:rPr>
          <w:rFonts w:ascii="Times New Roman" w:hAnsi="Times New Roman"/>
          <w:b/>
          <w:sz w:val="24"/>
        </w:rPr>
        <w:t xml:space="preserve"> novēro pārmērīgas degradācijas pazīmes</w:t>
      </w:r>
      <w:r w:rsidR="000C79F9">
        <w:rPr>
          <w:rStyle w:val="FootnoteReference"/>
          <w:rFonts w:ascii="Times New Roman" w:eastAsia="Verdana" w:hAnsi="Times New Roman" w:cs="Verdana"/>
          <w:b/>
          <w:bCs/>
          <w:noProof/>
          <w:sz w:val="24"/>
        </w:rPr>
        <w:footnoteReference w:id="13"/>
      </w:r>
      <w:r>
        <w:rPr>
          <w:rFonts w:ascii="Times New Roman" w:hAnsi="Times New Roman"/>
          <w:sz w:val="24"/>
        </w:rPr>
        <w:t>, ko nosaka pēc šādiem parametriem:</w:t>
      </w:r>
    </w:p>
    <w:p w14:paraId="0DC70343" w14:textId="77777777" w:rsidR="00D82B82" w:rsidRPr="00173AD7" w:rsidRDefault="00D82B82" w:rsidP="00D82B82">
      <w:pPr>
        <w:tabs>
          <w:tab w:val="left" w:pos="555"/>
          <w:tab w:val="left" w:pos="1987"/>
          <w:tab w:val="left" w:pos="3587"/>
          <w:tab w:val="left" w:pos="7130"/>
        </w:tabs>
        <w:jc w:val="both"/>
        <w:rPr>
          <w:rFonts w:ascii="Times New Roman" w:eastAsia="Verdana" w:hAnsi="Times New Roman" w:cs="Verdana"/>
          <w:noProof/>
          <w:sz w:val="24"/>
        </w:rPr>
      </w:pPr>
    </w:p>
    <w:p w14:paraId="36C6DA25" w14:textId="4C31F2E8" w:rsidR="002167DE" w:rsidRPr="00173AD7" w:rsidRDefault="002167DE" w:rsidP="00D82B82">
      <w:pPr>
        <w:pStyle w:val="BodyText"/>
        <w:numPr>
          <w:ilvl w:val="1"/>
          <w:numId w:val="13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5αAND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> ≥ 0,1 un/vai</w:t>
      </w:r>
    </w:p>
    <w:p w14:paraId="05ABA166" w14:textId="77777777" w:rsidR="002167DE" w:rsidRPr="00173AD7" w:rsidRDefault="002167DE" w:rsidP="00D82B82">
      <w:pPr>
        <w:pStyle w:val="BodyText"/>
        <w:numPr>
          <w:ilvl w:val="1"/>
          <w:numId w:val="13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5βAND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> ≥ 0,1.</w:t>
      </w:r>
    </w:p>
    <w:p w14:paraId="245B855F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p w14:paraId="661853A5" w14:textId="76CD04DC" w:rsidR="002167DE" w:rsidRPr="00173AD7" w:rsidRDefault="000C79F9" w:rsidP="000C79F9">
      <w:pPr>
        <w:tabs>
          <w:tab w:val="left" w:pos="435"/>
        </w:tabs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>a) “</w:t>
      </w:r>
      <w:r>
        <w:rPr>
          <w:rFonts w:ascii="Times New Roman" w:hAnsi="Times New Roman"/>
          <w:b/>
          <w:sz w:val="24"/>
        </w:rPr>
        <w:t>Derīgs”</w:t>
      </w:r>
      <w:r>
        <w:rPr>
          <w:rFonts w:ascii="Times New Roman" w:hAnsi="Times New Roman"/>
          <w:sz w:val="24"/>
        </w:rPr>
        <w:t xml:space="preserve"> – </w:t>
      </w:r>
      <w:r>
        <w:rPr>
          <w:rFonts w:ascii="Times New Roman" w:hAnsi="Times New Roman"/>
          <w:b/>
          <w:sz w:val="24"/>
        </w:rPr>
        <w:t>visos pārējos gadījumos</w:t>
      </w:r>
      <w:r>
        <w:rPr>
          <w:rFonts w:ascii="Times New Roman" w:hAnsi="Times New Roman"/>
          <w:sz w:val="24"/>
        </w:rPr>
        <w:t>, tostarp tālāk uzskaitītajos gadījumos:</w:t>
      </w:r>
    </w:p>
    <w:p w14:paraId="39FDC583" w14:textId="77777777" w:rsidR="000C79F9" w:rsidRDefault="000C79F9" w:rsidP="000C79F9">
      <w:pPr>
        <w:tabs>
          <w:tab w:val="left" w:pos="833"/>
        </w:tabs>
        <w:jc w:val="both"/>
        <w:rPr>
          <w:rFonts w:ascii="Times New Roman" w:eastAsia="Verdana" w:hAnsi="Times New Roman" w:cs="Verdana"/>
          <w:noProof/>
          <w:sz w:val="24"/>
        </w:rPr>
      </w:pPr>
    </w:p>
    <w:p w14:paraId="4E4DBB61" w14:textId="47BADE09" w:rsidR="002167DE" w:rsidRPr="00173AD7" w:rsidRDefault="002167DE" w:rsidP="000C79F9">
      <w:pPr>
        <w:numPr>
          <w:ilvl w:val="0"/>
          <w:numId w:val="12"/>
        </w:numPr>
        <w:tabs>
          <w:tab w:val="left" w:pos="833"/>
        </w:tabs>
        <w:ind w:left="426" w:hanging="426"/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LOD</w:t>
      </w:r>
      <w:r>
        <w:rPr>
          <w:rFonts w:ascii="Times New Roman" w:hAnsi="Times New Roman"/>
          <w:sz w:val="24"/>
        </w:rPr>
        <w:t> ≤ [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un/vai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>] &lt; </w:t>
      </w:r>
      <w:r>
        <w:rPr>
          <w:rFonts w:ascii="Times New Roman" w:hAnsi="Times New Roman"/>
          <w:i/>
          <w:iCs/>
          <w:sz w:val="24"/>
        </w:rPr>
        <w:t>LOQ</w:t>
      </w:r>
      <w:r>
        <w:rPr>
          <w:rFonts w:ascii="Times New Roman" w:hAnsi="Times New Roman"/>
          <w:sz w:val="24"/>
        </w:rPr>
        <w:t>.</w:t>
      </w:r>
    </w:p>
    <w:p w14:paraId="171A5B4C" w14:textId="77777777" w:rsidR="002167DE" w:rsidRPr="00173AD7" w:rsidRDefault="002167DE" w:rsidP="000C79F9">
      <w:pPr>
        <w:pStyle w:val="BodyText"/>
        <w:spacing w:before="0"/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analizētajā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alikvotā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un/vai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koncentrācijas daudzumu nevar noteikt, bet tā hromatogrāfiskās smailes signāls vēl ir nosakāms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S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N</w:t>
      </w:r>
      <w:r>
        <w:rPr>
          <w:rFonts w:ascii="Times New Roman" w:hAnsi="Times New Roman"/>
          <w:sz w:val="24"/>
        </w:rPr>
        <w:t xml:space="preserve"> &gt; 3) un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proporciju var noteikt no koriģētajiem hromatogrāfiskās smailes laukumiem vai smailes augstumiem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proporcijas aprēķināto vērtību ziņo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, ziņojot, ka attiecīgi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un/vai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koncentrācija ir “-1” (1. tabula);</w:t>
      </w:r>
      <w:r>
        <w:rPr>
          <w:rFonts w:ascii="Times New Roman" w:hAnsi="Times New Roman"/>
          <w:sz w:val="24"/>
          <w:vertAlign w:val="superscript"/>
        </w:rPr>
        <w:t>9</w:t>
      </w:r>
    </w:p>
    <w:p w14:paraId="692D2B07" w14:textId="77777777" w:rsidR="002167DE" w:rsidRPr="00173AD7" w:rsidRDefault="002167DE" w:rsidP="000C79F9">
      <w:pPr>
        <w:pStyle w:val="BodyText"/>
        <w:numPr>
          <w:ilvl w:val="0"/>
          <w:numId w:val="12"/>
        </w:numPr>
        <w:tabs>
          <w:tab w:val="left" w:pos="840"/>
        </w:tabs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[T] &lt; </w:t>
      </w:r>
      <w:r>
        <w:rPr>
          <w:rFonts w:ascii="Times New Roman" w:hAnsi="Times New Roman"/>
          <w:i/>
          <w:iCs/>
          <w:sz w:val="24"/>
        </w:rPr>
        <w:t>LOD</w:t>
      </w:r>
      <w:r>
        <w:rPr>
          <w:rFonts w:ascii="Times New Roman" w:hAnsi="Times New Roman"/>
          <w:sz w:val="24"/>
        </w:rPr>
        <w:t>.</w:t>
      </w:r>
    </w:p>
    <w:p w14:paraId="04D8A322" w14:textId="578F11F9" w:rsidR="002167DE" w:rsidRDefault="002167DE" w:rsidP="000C79F9">
      <w:pPr>
        <w:pStyle w:val="BodyText"/>
        <w:spacing w:before="0"/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hromatogrāfiskās smailes signālu nav iespējams noteikt, ziņo, ka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koncentrācija ir “-2” un ka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vērtība ir “-1” (1. tabula)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>, un:</w:t>
      </w:r>
    </w:p>
    <w:p w14:paraId="26B16011" w14:textId="77777777" w:rsidR="000C79F9" w:rsidRPr="00173AD7" w:rsidRDefault="000C79F9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05F6FEEF" w14:textId="60224E22" w:rsidR="002167DE" w:rsidRPr="00173AD7" w:rsidRDefault="000C79F9" w:rsidP="000C79F9">
      <w:pPr>
        <w:pStyle w:val="BodyText"/>
        <w:tabs>
          <w:tab w:val="left" w:pos="1380"/>
        </w:tabs>
        <w:spacing w:before="0"/>
        <w:ind w:left="709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i) ja [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>] ≥ </w:t>
      </w:r>
      <w:r>
        <w:rPr>
          <w:rFonts w:ascii="Times New Roman" w:hAnsi="Times New Roman"/>
          <w:i/>
          <w:iCs/>
          <w:sz w:val="24"/>
        </w:rPr>
        <w:t>LOQ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pievieno piezīmi, kurā norāda, ka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proporciju nebija iespējams izmērīt, jo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koncentrācija bija zemāka par pārbaudes metodes noteikšanas spēju, vai</w:t>
      </w:r>
    </w:p>
    <w:p w14:paraId="08EA6161" w14:textId="4045432E" w:rsidR="002167DE" w:rsidRDefault="000C79F9" w:rsidP="000C79F9">
      <w:pPr>
        <w:pStyle w:val="BodyText"/>
        <w:tabs>
          <w:tab w:val="left" w:pos="1381"/>
        </w:tabs>
        <w:spacing w:before="0"/>
        <w:ind w:left="709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ii) ja </w:t>
      </w:r>
      <w:r>
        <w:rPr>
          <w:rFonts w:ascii="Times New Roman" w:hAnsi="Times New Roman"/>
          <w:i/>
          <w:iCs/>
          <w:sz w:val="24"/>
        </w:rPr>
        <w:t>LOD</w:t>
      </w:r>
      <w:r>
        <w:rPr>
          <w:rFonts w:ascii="Times New Roman" w:hAnsi="Times New Roman"/>
          <w:sz w:val="24"/>
        </w:rPr>
        <w:t> ≤ [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>] &lt; </w:t>
      </w:r>
      <w:r>
        <w:rPr>
          <w:rFonts w:ascii="Times New Roman" w:hAnsi="Times New Roman"/>
          <w:i/>
          <w:iCs/>
          <w:sz w:val="24"/>
        </w:rPr>
        <w:t>LOQ</w:t>
      </w:r>
      <w:r>
        <w:rPr>
          <w:rFonts w:ascii="Times New Roman" w:hAnsi="Times New Roman"/>
          <w:sz w:val="24"/>
        </w:rPr>
        <w:t xml:space="preserve">, ziņo, ka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koncentrācija ir “-1”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 xml:space="preserve">, un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pievieno piezīmi, kurā norāda, ka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proporciju nebija iespējams izmērīt, jo nebija iespējams izmērīt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koncentrāciju;</w:t>
      </w:r>
    </w:p>
    <w:p w14:paraId="7DC281ED" w14:textId="77777777" w:rsidR="000C79F9" w:rsidRPr="000C79F9" w:rsidRDefault="000C79F9" w:rsidP="000C79F9">
      <w:pPr>
        <w:pStyle w:val="BodyText"/>
        <w:tabs>
          <w:tab w:val="left" w:pos="1381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22A685A1" w14:textId="77777777" w:rsidR="002167DE" w:rsidRPr="00173AD7" w:rsidRDefault="002167DE" w:rsidP="000C79F9">
      <w:pPr>
        <w:pStyle w:val="BodyText"/>
        <w:numPr>
          <w:ilvl w:val="1"/>
          <w:numId w:val="14"/>
        </w:numPr>
        <w:tabs>
          <w:tab w:val="left" w:pos="820"/>
        </w:tabs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>] &lt; </w:t>
      </w:r>
      <w:r>
        <w:rPr>
          <w:rFonts w:ascii="Times New Roman" w:hAnsi="Times New Roman"/>
          <w:i/>
          <w:iCs/>
          <w:sz w:val="24"/>
        </w:rPr>
        <w:t>LOD</w:t>
      </w:r>
      <w:r>
        <w:rPr>
          <w:rFonts w:ascii="Times New Roman" w:hAnsi="Times New Roman"/>
          <w:sz w:val="24"/>
        </w:rPr>
        <w:t>.</w:t>
      </w:r>
    </w:p>
    <w:p w14:paraId="72EACFF5" w14:textId="5F75D35A" w:rsidR="000C79F9" w:rsidRDefault="002167DE" w:rsidP="000C79F9">
      <w:pPr>
        <w:pStyle w:val="BodyText"/>
        <w:spacing w:before="0"/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hromatogrāfiskās smailes signālu nav iespējams noteikt, ziņo, ka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koncentrācija ir “-2”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 xml:space="preserve"> (1. tabula), un:</w:t>
      </w:r>
    </w:p>
    <w:p w14:paraId="463A12BD" w14:textId="77777777" w:rsidR="000C79F9" w:rsidRPr="00173AD7" w:rsidRDefault="000C79F9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52AAFD2C" w14:textId="26AE09FB" w:rsidR="002167DE" w:rsidRPr="00173AD7" w:rsidRDefault="000C79F9" w:rsidP="000C79F9">
      <w:pPr>
        <w:pStyle w:val="BodyText"/>
        <w:tabs>
          <w:tab w:val="left" w:pos="1360"/>
        </w:tabs>
        <w:spacing w:before="0"/>
        <w:ind w:left="709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i) ja [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] ≥ </w:t>
      </w:r>
      <w:r>
        <w:rPr>
          <w:rFonts w:ascii="Times New Roman" w:hAnsi="Times New Roman"/>
          <w:i/>
          <w:iCs/>
          <w:sz w:val="24"/>
        </w:rPr>
        <w:t>LOQ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proporciju aprēķina, pamatojoties uz </w:t>
      </w:r>
      <w:r>
        <w:rPr>
          <w:rFonts w:ascii="Times New Roman" w:hAnsi="Times New Roman"/>
          <w:sz w:val="24"/>
          <w:u w:val="single" w:color="000000"/>
        </w:rPr>
        <w:t>laboratorijas</w:t>
      </w:r>
      <w:r>
        <w:rPr>
          <w:rFonts w:ascii="Times New Roman" w:hAnsi="Times New Roman"/>
          <w:sz w:val="24"/>
        </w:rPr>
        <w:t xml:space="preserve"> noteikto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LOD</w:t>
      </w:r>
      <w:r>
        <w:rPr>
          <w:rFonts w:ascii="Times New Roman" w:hAnsi="Times New Roman"/>
          <w:sz w:val="24"/>
        </w:rPr>
        <w:t xml:space="preserve"> vērtību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ja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koncentrācija ir 3 ng/ml un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nevar konstatēt un ja </w:t>
      </w:r>
      <w:r>
        <w:rPr>
          <w:rFonts w:ascii="Times New Roman" w:hAnsi="Times New Roman"/>
          <w:sz w:val="24"/>
          <w:u w:val="single" w:color="000000"/>
        </w:rPr>
        <w:t>laboratorijas</w:t>
      </w:r>
      <w:r>
        <w:rPr>
          <w:rFonts w:ascii="Times New Roman" w:hAnsi="Times New Roman"/>
          <w:sz w:val="24"/>
        </w:rPr>
        <w:t xml:space="preserve"> noteiktā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LOD</w:t>
      </w:r>
      <w:r>
        <w:rPr>
          <w:rFonts w:ascii="Times New Roman" w:hAnsi="Times New Roman"/>
          <w:sz w:val="24"/>
        </w:rPr>
        <w:t xml:space="preserve"> ir 0,5 ng/ml, ziņo, ka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ir 6,0) (1. tabula).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pievieno piezīmi, kurā norāda, ka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proporciju nebija iespējams precīzi izmērīt, jo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koncentrācija bija zemāka par pārbaudes metodes noteikšanas spēju, vai</w:t>
      </w:r>
    </w:p>
    <w:p w14:paraId="04BF646B" w14:textId="708D85C9" w:rsidR="002167DE" w:rsidRDefault="000C79F9" w:rsidP="000C79F9">
      <w:pPr>
        <w:pStyle w:val="BodyText"/>
        <w:tabs>
          <w:tab w:val="left" w:pos="1360"/>
        </w:tabs>
        <w:spacing w:before="0"/>
        <w:ind w:left="709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ii) ja </w:t>
      </w:r>
      <w:r>
        <w:rPr>
          <w:rFonts w:ascii="Times New Roman" w:hAnsi="Times New Roman"/>
          <w:i/>
          <w:iCs/>
          <w:sz w:val="24"/>
        </w:rPr>
        <w:t>LOD</w:t>
      </w:r>
      <w:r>
        <w:rPr>
          <w:rFonts w:ascii="Times New Roman" w:hAnsi="Times New Roman"/>
          <w:sz w:val="24"/>
        </w:rPr>
        <w:t> ≤ [T] &lt; </w:t>
      </w:r>
      <w:r>
        <w:rPr>
          <w:rFonts w:ascii="Times New Roman" w:hAnsi="Times New Roman"/>
          <w:i/>
          <w:iCs/>
          <w:sz w:val="24"/>
        </w:rPr>
        <w:t>LOQ</w:t>
      </w:r>
      <w:r>
        <w:rPr>
          <w:rFonts w:ascii="Times New Roman" w:hAnsi="Times New Roman"/>
          <w:sz w:val="24"/>
        </w:rPr>
        <w:t xml:space="preserve">, ziņo, ka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proporcija un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koncentrācija ir “-1”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 xml:space="preserve">, un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pievieno piezīmi, kurā norāda, ka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proporciju nebija iespējams precīzi izmērīt, jo nebija iespējams izmērīt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koncentrāciju (1. tabula);</w:t>
      </w:r>
    </w:p>
    <w:p w14:paraId="5862C07E" w14:textId="77777777" w:rsidR="000C79F9" w:rsidRPr="00173AD7" w:rsidRDefault="000C79F9" w:rsidP="000C79F9">
      <w:pPr>
        <w:pStyle w:val="BodyText"/>
        <w:tabs>
          <w:tab w:val="left" w:pos="1360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D7C11C5" w14:textId="77777777" w:rsidR="002167DE" w:rsidRPr="00173AD7" w:rsidRDefault="002167DE" w:rsidP="000C79F9">
      <w:pPr>
        <w:pStyle w:val="BodyText"/>
        <w:numPr>
          <w:ilvl w:val="1"/>
          <w:numId w:val="1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abi [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>] &lt; </w:t>
      </w:r>
      <w:r>
        <w:rPr>
          <w:rFonts w:ascii="Times New Roman" w:hAnsi="Times New Roman"/>
          <w:i/>
          <w:iCs/>
          <w:sz w:val="24"/>
        </w:rPr>
        <w:t>LOD</w:t>
      </w:r>
      <w:r>
        <w:rPr>
          <w:rFonts w:ascii="Times New Roman" w:hAnsi="Times New Roman"/>
          <w:sz w:val="24"/>
        </w:rPr>
        <w:t>.</w:t>
      </w:r>
    </w:p>
    <w:p w14:paraId="5BC2958C" w14:textId="77777777" w:rsidR="002167DE" w:rsidRPr="00173AD7" w:rsidRDefault="002167DE" w:rsidP="000C79F9">
      <w:pPr>
        <w:pStyle w:val="BodyText"/>
        <w:spacing w:before="0"/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gan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, gan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hromatogrāfiskās smailes signālu nav iespējams noteikt, ziņo, ka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koncentrācija ir “-2” un ka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vērtība ir “-2” (1. tabula).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pievieno piezīmi, kurā norāda, ka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proporciju nebija iespējams izmērīt, jo gan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, gan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koncentrācija bija zemāka par pārbaudes metodes noteikšanas spēju;</w:t>
      </w:r>
    </w:p>
    <w:p w14:paraId="52EFF3AD" w14:textId="005268BC" w:rsidR="002167DE" w:rsidRDefault="002167DE" w:rsidP="000C79F9">
      <w:pPr>
        <w:pStyle w:val="BodyText"/>
        <w:numPr>
          <w:ilvl w:val="1"/>
          <w:numId w:val="1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precīzi nav iespējams izmērīt citu(-us) steroīdu profila </w:t>
      </w:r>
      <w:r>
        <w:rPr>
          <w:rFonts w:ascii="Times New Roman" w:hAnsi="Times New Roman"/>
          <w:i/>
          <w:sz w:val="24"/>
        </w:rPr>
        <w:t>marķieri(-us)</w:t>
      </w:r>
      <w:r>
        <w:rPr>
          <w:rFonts w:ascii="Times New Roman" w:hAnsi="Times New Roman"/>
          <w:sz w:val="24"/>
        </w:rPr>
        <w:t>, rīkojas šādi:</w:t>
      </w:r>
    </w:p>
    <w:p w14:paraId="74889962" w14:textId="77777777" w:rsidR="000C79F9" w:rsidRPr="00173AD7" w:rsidRDefault="000C79F9" w:rsidP="000C79F9">
      <w:pPr>
        <w:pStyle w:val="BodyText"/>
        <w:tabs>
          <w:tab w:val="left" w:pos="813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5A640931" w14:textId="75528690" w:rsidR="002167DE" w:rsidRPr="00173AD7" w:rsidRDefault="002167DE" w:rsidP="000C79F9">
      <w:pPr>
        <w:numPr>
          <w:ilvl w:val="2"/>
          <w:numId w:val="14"/>
        </w:numPr>
        <w:tabs>
          <w:tab w:val="left" w:pos="1094"/>
        </w:tabs>
        <w:ind w:left="709" w:hanging="283"/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LOD</w:t>
      </w:r>
      <w:r>
        <w:rPr>
          <w:rFonts w:ascii="Times New Roman" w:hAnsi="Times New Roman"/>
          <w:sz w:val="24"/>
        </w:rPr>
        <w:t> ≤ [</w:t>
      </w:r>
      <w:r>
        <w:rPr>
          <w:rFonts w:ascii="Times New Roman" w:hAnsi="Times New Roman"/>
          <w:i/>
          <w:sz w:val="24"/>
        </w:rPr>
        <w:t>marķieris</w:t>
      </w:r>
      <w:r>
        <w:rPr>
          <w:rFonts w:ascii="Times New Roman" w:hAnsi="Times New Roman"/>
          <w:sz w:val="24"/>
        </w:rPr>
        <w:t>] &lt; </w:t>
      </w:r>
      <w:r>
        <w:rPr>
          <w:rFonts w:ascii="Times New Roman" w:hAnsi="Times New Roman"/>
          <w:i/>
          <w:iCs/>
          <w:sz w:val="24"/>
        </w:rPr>
        <w:t>LOQ</w:t>
      </w:r>
      <w:r>
        <w:rPr>
          <w:rFonts w:ascii="Times New Roman" w:hAnsi="Times New Roman"/>
          <w:sz w:val="24"/>
        </w:rPr>
        <w:t>.</w:t>
      </w:r>
    </w:p>
    <w:p w14:paraId="4AC1725E" w14:textId="77777777" w:rsidR="002167DE" w:rsidRPr="00173AD7" w:rsidRDefault="002167DE" w:rsidP="000C79F9">
      <w:pPr>
        <w:pStyle w:val="BodyText"/>
        <w:spacing w:before="0"/>
        <w:ind w:left="709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i/>
          <w:sz w:val="24"/>
        </w:rPr>
        <w:t>marķiera</w:t>
      </w:r>
      <w:r>
        <w:rPr>
          <w:rFonts w:ascii="Times New Roman" w:hAnsi="Times New Roman"/>
          <w:sz w:val="24"/>
        </w:rPr>
        <w:t xml:space="preserve"> koncentrācija </w:t>
      </w:r>
      <w:r>
        <w:rPr>
          <w:rFonts w:ascii="Times New Roman" w:hAnsi="Times New Roman"/>
          <w:sz w:val="24"/>
          <w:u w:val="single" w:color="000000"/>
        </w:rPr>
        <w:t>alikvotā</w:t>
      </w:r>
      <w:r>
        <w:rPr>
          <w:rFonts w:ascii="Times New Roman" w:hAnsi="Times New Roman"/>
          <w:sz w:val="24"/>
        </w:rPr>
        <w:t xml:space="preserve"> ir zemāka par pārbaudes metodes </w:t>
      </w:r>
      <w:r>
        <w:rPr>
          <w:rFonts w:ascii="Times New Roman" w:hAnsi="Times New Roman"/>
          <w:i/>
          <w:iCs/>
          <w:sz w:val="24"/>
        </w:rPr>
        <w:t>LOQ</w:t>
      </w:r>
      <w:r>
        <w:rPr>
          <w:rFonts w:ascii="Times New Roman" w:hAnsi="Times New Roman"/>
          <w:sz w:val="24"/>
        </w:rPr>
        <w:t>, bet tā hromatogrāfiskās smailes signāls vēl ir nosakāms (</w:t>
      </w:r>
      <w:r>
        <w:rPr>
          <w:rFonts w:ascii="Times New Roman" w:hAnsi="Times New Roman"/>
          <w:i/>
          <w:sz w:val="24"/>
        </w:rPr>
        <w:t>t. i.</w:t>
      </w:r>
      <w:r>
        <w:rPr>
          <w:rFonts w:ascii="Times New Roman" w:hAnsi="Times New Roman"/>
          <w:sz w:val="24"/>
        </w:rPr>
        <w:t xml:space="preserve">, virs pārbaudes metodes </w:t>
      </w:r>
      <w:r>
        <w:rPr>
          <w:rFonts w:ascii="Times New Roman" w:hAnsi="Times New Roman"/>
          <w:i/>
          <w:iCs/>
          <w:sz w:val="24"/>
        </w:rPr>
        <w:t>LOD</w:t>
      </w:r>
      <w:r>
        <w:rPr>
          <w:rFonts w:ascii="Times New Roman" w:hAnsi="Times New Roman"/>
          <w:sz w:val="24"/>
        </w:rPr>
        <w:t xml:space="preserve">), ziņo, ka </w:t>
      </w:r>
      <w:r>
        <w:rPr>
          <w:rFonts w:ascii="Times New Roman" w:hAnsi="Times New Roman"/>
          <w:i/>
          <w:sz w:val="24"/>
        </w:rPr>
        <w:t>marķiera</w:t>
      </w:r>
      <w:r>
        <w:rPr>
          <w:rFonts w:ascii="Times New Roman" w:hAnsi="Times New Roman"/>
          <w:sz w:val="24"/>
        </w:rPr>
        <w:t xml:space="preserve"> koncentrācija ir “-1”;</w:t>
      </w:r>
      <w:r>
        <w:rPr>
          <w:rFonts w:ascii="Times New Roman" w:hAnsi="Times New Roman"/>
          <w:sz w:val="24"/>
          <w:vertAlign w:val="superscript"/>
        </w:rPr>
        <w:t>9</w:t>
      </w:r>
    </w:p>
    <w:p w14:paraId="7A4D6A9E" w14:textId="77777777" w:rsidR="002167DE" w:rsidRPr="00173AD7" w:rsidRDefault="002167DE" w:rsidP="000C79F9">
      <w:pPr>
        <w:numPr>
          <w:ilvl w:val="2"/>
          <w:numId w:val="14"/>
        </w:numPr>
        <w:tabs>
          <w:tab w:val="left" w:pos="1094"/>
        </w:tabs>
        <w:ind w:left="709" w:hanging="283"/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i/>
          <w:sz w:val="24"/>
        </w:rPr>
        <w:t>marķieris</w:t>
      </w:r>
      <w:r>
        <w:rPr>
          <w:rFonts w:ascii="Times New Roman" w:hAnsi="Times New Roman"/>
          <w:sz w:val="24"/>
        </w:rPr>
        <w:t>] &lt; </w:t>
      </w:r>
      <w:r>
        <w:rPr>
          <w:rFonts w:ascii="Times New Roman" w:hAnsi="Times New Roman"/>
          <w:i/>
          <w:iCs/>
          <w:sz w:val="24"/>
        </w:rPr>
        <w:t>LOD</w:t>
      </w:r>
      <w:r>
        <w:rPr>
          <w:rFonts w:ascii="Times New Roman" w:hAnsi="Times New Roman"/>
          <w:sz w:val="24"/>
        </w:rPr>
        <w:t>.</w:t>
      </w:r>
    </w:p>
    <w:p w14:paraId="070033E0" w14:textId="77777777" w:rsidR="002167DE" w:rsidRPr="00173AD7" w:rsidRDefault="002167DE" w:rsidP="000C79F9">
      <w:pPr>
        <w:pStyle w:val="BodyText"/>
        <w:spacing w:before="0"/>
        <w:ind w:left="709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Ja marķiera hromatogrāfiskās smailes signālu nav iespējams noteikt (</w:t>
      </w:r>
      <w:r>
        <w:rPr>
          <w:rFonts w:ascii="Times New Roman" w:hAnsi="Times New Roman"/>
          <w:i/>
          <w:sz w:val="24"/>
        </w:rPr>
        <w:t>t. i.</w:t>
      </w:r>
      <w:r>
        <w:rPr>
          <w:rFonts w:ascii="Times New Roman" w:hAnsi="Times New Roman"/>
          <w:sz w:val="24"/>
        </w:rPr>
        <w:t xml:space="preserve">, tas ir zemāks par pārbaudes metodes </w:t>
      </w:r>
      <w:r>
        <w:rPr>
          <w:rFonts w:ascii="Times New Roman" w:hAnsi="Times New Roman"/>
          <w:i/>
          <w:iCs/>
          <w:sz w:val="24"/>
        </w:rPr>
        <w:t>LOD</w:t>
      </w:r>
      <w:r>
        <w:rPr>
          <w:rFonts w:ascii="Times New Roman" w:hAnsi="Times New Roman"/>
          <w:sz w:val="24"/>
        </w:rPr>
        <w:t>), ziņo, ka koncentrācija ir “-2”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>;</w:t>
      </w:r>
    </w:p>
    <w:p w14:paraId="19CF5C42" w14:textId="77777777" w:rsidR="00173AD7" w:rsidRPr="00173AD7" w:rsidRDefault="00173AD7" w:rsidP="00173AD7">
      <w:pPr>
        <w:jc w:val="both"/>
        <w:rPr>
          <w:rFonts w:ascii="Times New Roman" w:hAnsi="Times New Roman"/>
          <w:noProof/>
          <w:sz w:val="24"/>
        </w:rPr>
      </w:pPr>
    </w:p>
    <w:p w14:paraId="2717195E" w14:textId="77777777" w:rsidR="002167DE" w:rsidRPr="00173AD7" w:rsidRDefault="002167DE" w:rsidP="000C79F9">
      <w:pPr>
        <w:pStyle w:val="BodyText"/>
        <w:numPr>
          <w:ilvl w:val="1"/>
          <w:numId w:val="1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konstatēts ne tik pārmērīgs mikrobioloģiskais piesārņojums, par ko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  <w:vertAlign w:val="superscript"/>
        </w:rPr>
        <w:t>12</w:t>
      </w:r>
      <w:r>
        <w:rPr>
          <w:rFonts w:ascii="Times New Roman" w:hAnsi="Times New Roman"/>
          <w:sz w:val="24"/>
        </w:rPr>
        <w:t xml:space="preserve"> ir jāziņo kā par:</w:t>
      </w:r>
    </w:p>
    <w:p w14:paraId="19ACFE61" w14:textId="77777777" w:rsidR="000C79F9" w:rsidRDefault="000C79F9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C34E345" w14:textId="3A8400AB" w:rsidR="002167DE" w:rsidRPr="00173AD7" w:rsidRDefault="002167DE" w:rsidP="000C79F9">
      <w:pPr>
        <w:pStyle w:val="BodyText"/>
        <w:spacing w:before="0"/>
        <w:ind w:left="709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5αAND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 xml:space="preserve"> proporciju un/vai </w:t>
      </w:r>
      <w:r>
        <w:rPr>
          <w:rFonts w:ascii="Times New Roman" w:hAnsi="Times New Roman"/>
          <w:i/>
          <w:iCs/>
          <w:sz w:val="24"/>
        </w:rPr>
        <w:t>5βAND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 xml:space="preserve"> proporciju diapazonā no 0,05 līdz 0,1;</w:t>
      </w:r>
    </w:p>
    <w:p w14:paraId="53FFA9C7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p w14:paraId="12211DB9" w14:textId="77777777" w:rsidR="002167DE" w:rsidRPr="00173AD7" w:rsidRDefault="002167DE" w:rsidP="000C79F9">
      <w:pPr>
        <w:pStyle w:val="BodyText"/>
        <w:numPr>
          <w:ilvl w:val="1"/>
          <w:numId w:val="1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ziņo par </w:t>
      </w:r>
      <w:r>
        <w:rPr>
          <w:rFonts w:ascii="Times New Roman" w:hAnsi="Times New Roman"/>
          <w:i/>
          <w:sz w:val="24"/>
        </w:rPr>
        <w:t>AAF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ATF</w:t>
      </w:r>
      <w:r>
        <w:rPr>
          <w:rFonts w:ascii="Times New Roman" w:hAnsi="Times New Roman"/>
          <w:sz w:val="24"/>
        </w:rPr>
        <w:t xml:space="preserve"> saistībā ar </w:t>
      </w:r>
      <w:r>
        <w:rPr>
          <w:rFonts w:ascii="Times New Roman" w:hAnsi="Times New Roman"/>
          <w:i/>
          <w:sz w:val="24"/>
        </w:rPr>
        <w:t>aizliegto vielu</w:t>
      </w:r>
      <w:r>
        <w:rPr>
          <w:rFonts w:ascii="Times New Roman" w:hAnsi="Times New Roman"/>
          <w:sz w:val="24"/>
        </w:rPr>
        <w:t>, kas varētu izmainīt steroīdu profilu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anaboliskais steroīds, </w:t>
      </w:r>
      <w:r>
        <w:rPr>
          <w:rFonts w:ascii="Times New Roman" w:hAnsi="Times New Roman"/>
          <w:i/>
          <w:iCs/>
          <w:sz w:val="24"/>
        </w:rPr>
        <w:t>hCG</w:t>
      </w:r>
      <w:r>
        <w:rPr>
          <w:rFonts w:ascii="Times New Roman" w:hAnsi="Times New Roman"/>
          <w:sz w:val="24"/>
        </w:rPr>
        <w:t xml:space="preserve"> vīriešiem, diurētiskais līdzeklis vai maskējošais līdzeklis);</w:t>
      </w:r>
      <w:r>
        <w:rPr>
          <w:rFonts w:ascii="Times New Roman" w:hAnsi="Times New Roman"/>
          <w:sz w:val="24"/>
          <w:vertAlign w:val="superscript"/>
        </w:rPr>
        <w:t>12</w:t>
      </w:r>
    </w:p>
    <w:p w14:paraId="1B7E014D" w14:textId="1AE0497B" w:rsidR="002167DE" w:rsidRPr="00173AD7" w:rsidRDefault="002167DE" w:rsidP="000C79F9">
      <w:pPr>
        <w:pStyle w:val="BodyText"/>
        <w:numPr>
          <w:ilvl w:val="1"/>
          <w:numId w:val="1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paraugā</w:t>
      </w:r>
      <w:r>
        <w:rPr>
          <w:rFonts w:ascii="Times New Roman" w:hAnsi="Times New Roman"/>
          <w:sz w:val="24"/>
        </w:rPr>
        <w:t xml:space="preserve"> konstatē citas vielas, kas varētu izraisīt steroīdu profila izmaiņas, un ziņo par tām (skat. 1.1. punktu).</w:t>
      </w:r>
      <w:r>
        <w:rPr>
          <w:rFonts w:ascii="Times New Roman" w:hAnsi="Times New Roman"/>
          <w:sz w:val="24"/>
          <w:vertAlign w:val="superscript"/>
        </w:rPr>
        <w:t>12,</w:t>
      </w:r>
      <w:r w:rsidR="000C79F9">
        <w:rPr>
          <w:rStyle w:val="FootnoteReference"/>
          <w:rFonts w:ascii="Times New Roman" w:hAnsi="Times New Roman"/>
          <w:noProof/>
          <w:sz w:val="24"/>
          <w:szCs w:val="14"/>
        </w:rPr>
        <w:footnoteReference w:id="14"/>
      </w:r>
    </w:p>
    <w:p w14:paraId="4C049833" w14:textId="23AFECD7" w:rsidR="000C79F9" w:rsidRDefault="000C79F9">
      <w:pPr>
        <w:rPr>
          <w:rFonts w:ascii="Times New Roman" w:eastAsia="Verdana" w:hAnsi="Times New Roman" w:cs="Verdana"/>
          <w:noProof/>
          <w:sz w:val="24"/>
          <w:szCs w:val="20"/>
        </w:rPr>
      </w:pPr>
      <w:r>
        <w:br w:type="page"/>
      </w:r>
    </w:p>
    <w:p w14:paraId="37DB143B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2414AC83" w14:textId="77777777" w:rsidR="002167DE" w:rsidRPr="00173AD7" w:rsidRDefault="002167DE" w:rsidP="0062026E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sz w:val="24"/>
        </w:rPr>
        <w:t>1. tabula</w:t>
      </w:r>
      <w:r>
        <w:rPr>
          <w:rFonts w:ascii="Times New Roman" w:hAnsi="Times New Roman"/>
          <w:sz w:val="24"/>
        </w:rPr>
        <w:t xml:space="preserve">. Nosacījumi attiecībā uz ziņošanu par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koncentrāciju un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proporciju</w:t>
      </w:r>
    </w:p>
    <w:p w14:paraId="482AE1D9" w14:textId="77777777" w:rsidR="002167DE" w:rsidRPr="00173AD7" w:rsidRDefault="002167DE" w:rsidP="00173AD7">
      <w:pPr>
        <w:jc w:val="both"/>
        <w:rPr>
          <w:rFonts w:ascii="Times New Roman" w:hAnsi="Times New Roman"/>
          <w:noProof/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164"/>
        <w:gridCol w:w="3012"/>
        <w:gridCol w:w="3952"/>
      </w:tblGrid>
      <w:tr w:rsidR="002167DE" w:rsidRPr="0062026E" w14:paraId="54C3473B" w14:textId="77777777" w:rsidTr="0062026E">
        <w:tc>
          <w:tcPr>
            <w:tcW w:w="1185" w:type="pct"/>
            <w:tcBorders>
              <w:top w:val="single" w:sz="18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30272DE1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b/>
                <w:sz w:val="20"/>
              </w:rPr>
              <w:t xml:space="preserve"> koncentrācija</w:t>
            </w:r>
          </w:p>
        </w:tc>
        <w:tc>
          <w:tcPr>
            <w:tcW w:w="1650" w:type="pct"/>
            <w:tcBorders>
              <w:top w:val="single" w:sz="18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6A17E7BA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koncentrācija</w:t>
            </w:r>
          </w:p>
        </w:tc>
        <w:tc>
          <w:tcPr>
            <w:tcW w:w="2165" w:type="pct"/>
            <w:tcBorders>
              <w:top w:val="single" w:sz="18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3221C65A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proporcija</w:t>
            </w:r>
          </w:p>
        </w:tc>
      </w:tr>
      <w:tr w:rsidR="002167DE" w:rsidRPr="0062026E" w14:paraId="29490A96" w14:textId="77777777" w:rsidTr="0062026E">
        <w:tc>
          <w:tcPr>
            <w:tcW w:w="1185" w:type="pct"/>
            <w:vMerge w:val="restart"/>
            <w:tcBorders>
              <w:top w:val="single" w:sz="18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090AAD5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Izmērītais </w:t>
            </w:r>
            <w:r>
              <w:rPr>
                <w:rFonts w:ascii="Times New Roman" w:hAnsi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 xml:space="preserve"> hromatogrāfiskās smailes signāls atbilst 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</w:rPr>
              <w:t xml:space="preserve"> vai ir augstāks.</w:t>
            </w:r>
          </w:p>
          <w:p w14:paraId="48F66C8B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</w:pPr>
          </w:p>
          <w:p w14:paraId="30AEEF0F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[</w:t>
            </w:r>
            <w:r>
              <w:rPr>
                <w:rFonts w:ascii="Times New Roman" w:hAnsi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] ≥ 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T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</w:p>
          <w:p w14:paraId="4215DA3B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</w:pPr>
          </w:p>
          <w:p w14:paraId="5B61E3B9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b/>
                <w:sz w:val="20"/>
              </w:rPr>
              <w:t xml:space="preserve"> ir izmērīts</w:t>
            </w:r>
          </w:p>
        </w:tc>
        <w:tc>
          <w:tcPr>
            <w:tcW w:w="1650" w:type="pct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A0553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Izmērītais 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hromatogrāfiskās smailes signāls atbilst 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</w:rPr>
              <w:t xml:space="preserve"> vai ir augstāks.</w:t>
            </w:r>
          </w:p>
          <w:p w14:paraId="5F5B282D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</w:pPr>
          </w:p>
          <w:p w14:paraId="47213D2F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[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] ≥ 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E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</w:p>
          <w:p w14:paraId="6135110F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izmērīts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65" w:type="pct"/>
            <w:vMerge w:val="restart"/>
            <w:tcBorders>
              <w:top w:val="single" w:sz="18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184A8B6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noteikts</w:t>
            </w:r>
            <w:r>
              <w:rPr>
                <w:rFonts w:ascii="Times New Roman" w:hAnsi="Times New Roman"/>
                <w:sz w:val="20"/>
              </w:rPr>
              <w:t xml:space="preserve"> no koriģēta smailes augstuma/laukuma</w:t>
            </w:r>
          </w:p>
        </w:tc>
      </w:tr>
      <w:tr w:rsidR="002167DE" w:rsidRPr="0062026E" w14:paraId="21B16D39" w14:textId="77777777" w:rsidTr="0062026E">
        <w:tc>
          <w:tcPr>
            <w:tcW w:w="1185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227E65E" w14:textId="77777777" w:rsidR="002167DE" w:rsidRPr="0062026E" w:rsidRDefault="002167DE" w:rsidP="006202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DA818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hromatogrāfiskās smailes signāls ir noteikts, taču tas ir zemāks par 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29E69BFA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</w:pPr>
          </w:p>
          <w:p w14:paraId="0EFA9805" w14:textId="364FD500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LOD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E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  <w:r>
              <w:rPr>
                <w:rFonts w:ascii="Times New Roman" w:hAnsi="Times New Roman"/>
                <w:sz w:val="20"/>
              </w:rPr>
              <w:t> ≤ [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] &lt; 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E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</w:p>
          <w:p w14:paraId="3EA6B542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“-1”</w:t>
            </w:r>
            <w:r>
              <w:rPr>
                <w:rFonts w:ascii="Times New Roman" w:hAnsi="Times New Roman"/>
                <w:sz w:val="20"/>
                <w:vertAlign w:val="superscript"/>
              </w:rPr>
              <w:t>9</w:t>
            </w:r>
          </w:p>
        </w:tc>
        <w:tc>
          <w:tcPr>
            <w:tcW w:w="21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47CB8" w14:textId="77777777" w:rsidR="002167DE" w:rsidRPr="0062026E" w:rsidRDefault="002167DE" w:rsidP="006202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167DE" w:rsidRPr="0062026E" w14:paraId="3CD5F563" w14:textId="77777777" w:rsidTr="0062026E">
        <w:tc>
          <w:tcPr>
            <w:tcW w:w="1185" w:type="pct"/>
            <w:vMerge/>
            <w:tcBorders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2EB7D709" w14:textId="77777777" w:rsidR="002167DE" w:rsidRPr="0062026E" w:rsidRDefault="002167DE" w:rsidP="006202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5DC13801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hromatogrāfiskās smailes signāls nav noteikts.</w:t>
            </w:r>
          </w:p>
          <w:p w14:paraId="588E5FFE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</w:pPr>
          </w:p>
          <w:p w14:paraId="6905871C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[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] &lt; </w:t>
            </w:r>
            <w:r>
              <w:rPr>
                <w:rFonts w:ascii="Times New Roman" w:hAnsi="Times New Roman"/>
                <w:i/>
                <w:iCs/>
                <w:sz w:val="20"/>
              </w:rPr>
              <w:t>LOD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E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</w:p>
          <w:p w14:paraId="141D3655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“-2”</w:t>
            </w:r>
            <w:r>
              <w:rPr>
                <w:rFonts w:ascii="Times New Roman" w:hAnsi="Times New Roman"/>
                <w:sz w:val="20"/>
                <w:vertAlign w:val="superscript"/>
              </w:rPr>
              <w:t>9</w:t>
            </w:r>
          </w:p>
        </w:tc>
        <w:tc>
          <w:tcPr>
            <w:tcW w:w="2165" w:type="pct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3FBA29B4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LOD</w:t>
            </w:r>
            <w:r>
              <w:rPr>
                <w:rFonts w:ascii="Times New Roman" w:hAnsi="Times New Roman"/>
                <w:b/>
                <w:sz w:val="20"/>
                <w:vertAlign w:val="subscript"/>
              </w:rPr>
              <w:t>(E)</w:t>
            </w:r>
          </w:p>
          <w:p w14:paraId="63DEBB86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Piezīme ADAMS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72CCFB6A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“</w:t>
            </w:r>
            <w:r>
              <w:rPr>
                <w:rFonts w:ascii="Times New Roman" w:hAnsi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proporciju nebija iespējams precīzi izmērīt, jo 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koncentrācija bija zemāka par pārbaudes metodes noteikšanas spēju.”</w:t>
            </w:r>
          </w:p>
        </w:tc>
      </w:tr>
      <w:tr w:rsidR="002167DE" w:rsidRPr="0062026E" w14:paraId="7257A073" w14:textId="77777777" w:rsidTr="0062026E">
        <w:tc>
          <w:tcPr>
            <w:tcW w:w="1185" w:type="pct"/>
            <w:vMerge w:val="restart"/>
            <w:tcBorders>
              <w:top w:val="single" w:sz="18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7C74D02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 xml:space="preserve"> hromatogrāfiskās smailes signāls ir noteikts, taču tas ir zemāks par 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43E20F62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</w:pPr>
          </w:p>
          <w:p w14:paraId="5274EB48" w14:textId="2C240A6E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LOD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T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  <w:r>
              <w:rPr>
                <w:rFonts w:ascii="Times New Roman" w:hAnsi="Times New Roman"/>
                <w:sz w:val="20"/>
              </w:rPr>
              <w:t> ≤ [</w:t>
            </w:r>
            <w:r>
              <w:rPr>
                <w:rFonts w:ascii="Times New Roman" w:hAnsi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] &lt; 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T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</w:p>
          <w:p w14:paraId="6A730A56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</w:pPr>
          </w:p>
          <w:p w14:paraId="5A6075A2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b/>
                <w:sz w:val="20"/>
              </w:rPr>
              <w:t xml:space="preserve"> ir “-1”</w:t>
            </w:r>
            <w:r>
              <w:rPr>
                <w:rFonts w:ascii="Times New Roman" w:hAnsi="Times New Roman"/>
                <w:sz w:val="20"/>
                <w:vertAlign w:val="superscript"/>
              </w:rPr>
              <w:t>9</w:t>
            </w:r>
          </w:p>
        </w:tc>
        <w:tc>
          <w:tcPr>
            <w:tcW w:w="1650" w:type="pct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8DB360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Izmērītais 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hromatogrāfiskās smailes signāls atbilst 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</w:rPr>
              <w:t xml:space="preserve"> vai ir augstāks.</w:t>
            </w:r>
          </w:p>
          <w:p w14:paraId="74273673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</w:pPr>
          </w:p>
          <w:p w14:paraId="1F60CC0C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[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] ≥ 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E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</w:p>
          <w:p w14:paraId="5F809BFC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izmērīts</w:t>
            </w:r>
          </w:p>
        </w:tc>
        <w:tc>
          <w:tcPr>
            <w:tcW w:w="2165" w:type="pct"/>
            <w:vMerge w:val="restart"/>
            <w:tcBorders>
              <w:top w:val="single" w:sz="18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C1DE7F0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izmērīts</w:t>
            </w:r>
            <w:r>
              <w:rPr>
                <w:rFonts w:ascii="Times New Roman" w:hAnsi="Times New Roman"/>
                <w:sz w:val="20"/>
              </w:rPr>
              <w:t xml:space="preserve"> no koriģēta smailes augstuma/laukuma</w:t>
            </w:r>
          </w:p>
        </w:tc>
      </w:tr>
      <w:tr w:rsidR="002167DE" w:rsidRPr="0062026E" w14:paraId="1AECB518" w14:textId="77777777" w:rsidTr="0062026E">
        <w:tc>
          <w:tcPr>
            <w:tcW w:w="1185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6B359CF" w14:textId="77777777" w:rsidR="002167DE" w:rsidRPr="0062026E" w:rsidRDefault="002167DE" w:rsidP="006202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921C1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hromatogrāfiskās smailes signāls ir noteikts, taču tas ir zemāks par 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2CE0D4DD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</w:pPr>
          </w:p>
          <w:p w14:paraId="4852DD67" w14:textId="7FA9BDBC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LOD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E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  <w:r>
              <w:rPr>
                <w:rFonts w:ascii="Times New Roman" w:hAnsi="Times New Roman"/>
                <w:sz w:val="20"/>
              </w:rPr>
              <w:t> ≤ [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] &lt; 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E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</w:p>
          <w:p w14:paraId="2E049E52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“-1”</w:t>
            </w:r>
            <w:r>
              <w:rPr>
                <w:rFonts w:ascii="Times New Roman" w:hAnsi="Times New Roman"/>
                <w:sz w:val="20"/>
                <w:vertAlign w:val="superscript"/>
              </w:rPr>
              <w:t>9</w:t>
            </w:r>
          </w:p>
        </w:tc>
        <w:tc>
          <w:tcPr>
            <w:tcW w:w="21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A8AD5" w14:textId="77777777" w:rsidR="002167DE" w:rsidRPr="0062026E" w:rsidRDefault="002167DE" w:rsidP="006202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167DE" w:rsidRPr="0062026E" w14:paraId="1CE3805D" w14:textId="77777777" w:rsidTr="0062026E">
        <w:tc>
          <w:tcPr>
            <w:tcW w:w="1185" w:type="pct"/>
            <w:vMerge/>
            <w:tcBorders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05EC178A" w14:textId="77777777" w:rsidR="002167DE" w:rsidRPr="0062026E" w:rsidRDefault="002167DE" w:rsidP="006202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4D4FCDFE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hromatogrāfiskās smailes signāls nav noteikts.</w:t>
            </w:r>
          </w:p>
          <w:p w14:paraId="099E6058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</w:pPr>
          </w:p>
          <w:p w14:paraId="1BE2C5FF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[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] &lt; </w:t>
            </w:r>
            <w:r>
              <w:rPr>
                <w:rFonts w:ascii="Times New Roman" w:hAnsi="Times New Roman"/>
                <w:i/>
                <w:iCs/>
                <w:sz w:val="20"/>
              </w:rPr>
              <w:t>LOD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E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</w:p>
          <w:p w14:paraId="65D279B0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“-2”</w:t>
            </w:r>
            <w:r>
              <w:rPr>
                <w:rFonts w:ascii="Times New Roman" w:hAnsi="Times New Roman"/>
                <w:sz w:val="20"/>
                <w:vertAlign w:val="superscript"/>
              </w:rPr>
              <w:t>9</w:t>
            </w:r>
          </w:p>
        </w:tc>
        <w:tc>
          <w:tcPr>
            <w:tcW w:w="2165" w:type="pct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56933BAA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“-1”</w:t>
            </w:r>
          </w:p>
          <w:p w14:paraId="6964C3B8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Piezīme ADAMS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59B55750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“</w:t>
            </w:r>
            <w:r>
              <w:rPr>
                <w:rFonts w:ascii="Times New Roman" w:hAnsi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proporciju nebija iespējams precīzi izmērīt, jo </w:t>
            </w:r>
            <w:r>
              <w:rPr>
                <w:rFonts w:ascii="Times New Roman" w:hAnsi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 xml:space="preserve"> un 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koncentrāciju nebija iespējams izmērīt.”</w:t>
            </w:r>
          </w:p>
        </w:tc>
      </w:tr>
      <w:tr w:rsidR="002167DE" w:rsidRPr="0062026E" w14:paraId="4CC06152" w14:textId="77777777" w:rsidTr="0062026E">
        <w:tc>
          <w:tcPr>
            <w:tcW w:w="1185" w:type="pct"/>
            <w:vMerge w:val="restart"/>
            <w:tcBorders>
              <w:top w:val="single" w:sz="18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AAC7CCE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 xml:space="preserve"> hromatogrāfiskās smailes signāls nav noteikts.</w:t>
            </w:r>
          </w:p>
          <w:p w14:paraId="563CB59D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</w:pPr>
          </w:p>
          <w:p w14:paraId="72102C83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[</w:t>
            </w:r>
            <w:r>
              <w:rPr>
                <w:rFonts w:ascii="Times New Roman" w:hAnsi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] &lt; </w:t>
            </w:r>
            <w:r>
              <w:rPr>
                <w:rFonts w:ascii="Times New Roman" w:hAnsi="Times New Roman"/>
                <w:i/>
                <w:iCs/>
                <w:sz w:val="20"/>
              </w:rPr>
              <w:t>LOD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T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</w:p>
          <w:p w14:paraId="71888DAE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</w:pPr>
          </w:p>
          <w:p w14:paraId="1EB0423A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b/>
                <w:sz w:val="20"/>
              </w:rPr>
              <w:t xml:space="preserve"> ir “-2”</w:t>
            </w:r>
            <w:r>
              <w:rPr>
                <w:rFonts w:ascii="Times New Roman" w:hAnsi="Times New Roman"/>
                <w:sz w:val="20"/>
                <w:vertAlign w:val="superscript"/>
              </w:rPr>
              <w:t>9</w:t>
            </w:r>
          </w:p>
        </w:tc>
        <w:tc>
          <w:tcPr>
            <w:tcW w:w="1650" w:type="pct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961D7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Izmērītais 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hromatogrāfiskās smailes signāls atbilst 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</w:rPr>
              <w:t xml:space="preserve"> vai ir augstāks.</w:t>
            </w:r>
          </w:p>
          <w:p w14:paraId="165B6CD8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</w:pPr>
          </w:p>
          <w:p w14:paraId="4C6B5822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[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] ≥ 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E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</w:p>
          <w:p w14:paraId="4D20FCFF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izmērīts</w:t>
            </w:r>
          </w:p>
        </w:tc>
        <w:tc>
          <w:tcPr>
            <w:tcW w:w="2165" w:type="pct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6AB04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“-1”</w:t>
            </w:r>
          </w:p>
          <w:p w14:paraId="002B6CE8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Piezīme ADAMS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1CFDB974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“</w:t>
            </w:r>
            <w:r>
              <w:rPr>
                <w:rFonts w:ascii="Times New Roman" w:hAnsi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proporciju nebija iespējams izmērīt, jo </w:t>
            </w:r>
            <w:r>
              <w:rPr>
                <w:rFonts w:ascii="Times New Roman" w:hAnsi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 xml:space="preserve"> koncentrācija bija zemāka par pārbaudes metodes noteikšanas spēju.”</w:t>
            </w:r>
          </w:p>
        </w:tc>
      </w:tr>
      <w:tr w:rsidR="002167DE" w:rsidRPr="0062026E" w14:paraId="67BA4142" w14:textId="77777777" w:rsidTr="0062026E">
        <w:tc>
          <w:tcPr>
            <w:tcW w:w="1185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B626846" w14:textId="77777777" w:rsidR="002167DE" w:rsidRPr="0062026E" w:rsidRDefault="002167DE" w:rsidP="006202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704F8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hromatogrāfiskās smailes signāls ir noteikts, taču tas ir zemāks par 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14967922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</w:pPr>
          </w:p>
          <w:p w14:paraId="6BB1DB6D" w14:textId="25A7CF55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LOD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E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  <w:r>
              <w:rPr>
                <w:rFonts w:ascii="Times New Roman" w:hAnsi="Times New Roman"/>
                <w:sz w:val="20"/>
              </w:rPr>
              <w:t> ≤ [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] &lt; </w:t>
            </w:r>
            <w:r>
              <w:rPr>
                <w:rFonts w:ascii="Times New Roman" w:hAnsi="Times New Roman"/>
                <w:i/>
                <w:iCs/>
                <w:sz w:val="20"/>
              </w:rPr>
              <w:t>LOQ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E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</w:p>
          <w:p w14:paraId="213BC8C7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“-1”</w:t>
            </w:r>
            <w:r>
              <w:rPr>
                <w:rFonts w:ascii="Times New Roman" w:hAnsi="Times New Roman"/>
                <w:sz w:val="20"/>
                <w:vertAlign w:val="superscript"/>
              </w:rPr>
              <w:t>9</w:t>
            </w:r>
          </w:p>
        </w:tc>
        <w:tc>
          <w:tcPr>
            <w:tcW w:w="2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24E97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“-1”</w:t>
            </w:r>
          </w:p>
          <w:p w14:paraId="40DDB798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Piezīme ADAMS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14D919AA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“</w:t>
            </w:r>
            <w:r>
              <w:rPr>
                <w:rFonts w:ascii="Times New Roman" w:hAnsi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proporciju nebija iespējams izmērīt, jo </w:t>
            </w:r>
            <w:r>
              <w:rPr>
                <w:rFonts w:ascii="Times New Roman" w:hAnsi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 xml:space="preserve"> un 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koncentrāciju nebija iespējams izmērīt.”</w:t>
            </w:r>
          </w:p>
        </w:tc>
      </w:tr>
      <w:tr w:rsidR="002167DE" w:rsidRPr="0062026E" w14:paraId="7E1B39FE" w14:textId="77777777" w:rsidTr="0062026E">
        <w:tc>
          <w:tcPr>
            <w:tcW w:w="1185" w:type="pct"/>
            <w:vMerge/>
            <w:tcBorders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6F666B26" w14:textId="77777777" w:rsidR="002167DE" w:rsidRPr="0062026E" w:rsidRDefault="002167DE" w:rsidP="006202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47297968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hromatogrāfiskās smailes signāls nav noteikts.</w:t>
            </w:r>
          </w:p>
          <w:p w14:paraId="1D235423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</w:pPr>
          </w:p>
          <w:p w14:paraId="6F5F95E2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[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] &lt; </w:t>
            </w:r>
            <w:r>
              <w:rPr>
                <w:rFonts w:ascii="Times New Roman" w:hAnsi="Times New Roman"/>
                <w:i/>
                <w:iCs/>
                <w:sz w:val="20"/>
              </w:rPr>
              <w:t>LOD</w:t>
            </w:r>
            <w:r>
              <w:rPr>
                <w:rFonts w:ascii="Times New Roman" w:hAnsi="Times New Roman"/>
                <w:sz w:val="20"/>
                <w:vertAlign w:val="subscript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E</w:t>
            </w:r>
            <w:r>
              <w:rPr>
                <w:rFonts w:ascii="Times New Roman" w:hAnsi="Times New Roman"/>
                <w:sz w:val="20"/>
                <w:vertAlign w:val="subscript"/>
              </w:rPr>
              <w:t>)</w:t>
            </w:r>
          </w:p>
          <w:p w14:paraId="4105F0C5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“-2”</w:t>
            </w:r>
            <w:r>
              <w:rPr>
                <w:rFonts w:ascii="Times New Roman" w:hAnsi="Times New Roman"/>
                <w:sz w:val="20"/>
                <w:vertAlign w:val="superscript"/>
              </w:rPr>
              <w:t>9</w:t>
            </w:r>
          </w:p>
        </w:tc>
        <w:tc>
          <w:tcPr>
            <w:tcW w:w="2165" w:type="pct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1BF27E2D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Ziņo, ka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 ir “-2”</w:t>
            </w:r>
          </w:p>
          <w:p w14:paraId="40DF3833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Piezīme ADAMS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4E7BCAAD" w14:textId="77777777" w:rsidR="002167DE" w:rsidRPr="0062026E" w:rsidRDefault="002167DE" w:rsidP="0062026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“</w:t>
            </w:r>
            <w:r>
              <w:rPr>
                <w:rFonts w:ascii="Times New Roman" w:hAnsi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proporciju nebija iespējams izmērīt, jo gan </w:t>
            </w:r>
            <w:r>
              <w:rPr>
                <w:rFonts w:ascii="Times New Roman" w:hAnsi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 xml:space="preserve">, gan </w:t>
            </w:r>
            <w:r>
              <w:rPr>
                <w:rFonts w:ascii="Times New Roman" w:hAnsi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koncentrācija bija zemāka par pārbaudes metodes noteikšanas spēju.”</w:t>
            </w:r>
          </w:p>
        </w:tc>
      </w:tr>
    </w:tbl>
    <w:p w14:paraId="41606F0B" w14:textId="121F0F8D" w:rsidR="0062026E" w:rsidRDefault="0062026E">
      <w:pPr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br w:type="page"/>
      </w:r>
    </w:p>
    <w:p w14:paraId="0777986C" w14:textId="77777777" w:rsidR="0062026E" w:rsidRPr="00173AD7" w:rsidRDefault="0062026E" w:rsidP="00173AD7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6720DC9F" w14:textId="38B18B03" w:rsidR="002167DE" w:rsidRPr="00173AD7" w:rsidRDefault="002167DE" w:rsidP="00173AD7">
      <w:pPr>
        <w:pStyle w:val="Heading1"/>
        <w:ind w:left="0"/>
        <w:jc w:val="both"/>
        <w:rPr>
          <w:rFonts w:ascii="Times New Roman" w:hAnsi="Times New Roman"/>
          <w:b w:val="0"/>
          <w:bCs w:val="0"/>
          <w:noProof/>
        </w:rPr>
      </w:pPr>
      <w:r>
        <w:rPr>
          <w:rFonts w:ascii="Times New Roman" w:hAnsi="Times New Roman"/>
        </w:rPr>
        <w:t xml:space="preserve">3.0. </w:t>
      </w:r>
      <w:r>
        <w:rPr>
          <w:rFonts w:ascii="Times New Roman" w:hAnsi="Times New Roman"/>
          <w:u w:val="thick" w:color="000000"/>
        </w:rPr>
        <w:t>Apstiprināšanas procedūras</w:t>
      </w:r>
    </w:p>
    <w:p w14:paraId="34E7B469" w14:textId="77777777" w:rsidR="0062026E" w:rsidRDefault="0062026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  <w:u w:val="single" w:color="000000"/>
        </w:rPr>
      </w:pPr>
    </w:p>
    <w:p w14:paraId="72BCB745" w14:textId="48E479EE" w:rsidR="002167DE" w:rsidRPr="00173AD7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EAAS</w:t>
      </w:r>
      <w:r>
        <w:rPr>
          <w:rFonts w:ascii="Times New Roman" w:hAnsi="Times New Roman"/>
          <w:sz w:val="24"/>
        </w:rPr>
        <w:t xml:space="preserve"> eksogēnas ievadīšanas </w:t>
      </w:r>
      <w:r>
        <w:rPr>
          <w:rFonts w:ascii="Times New Roman" w:hAnsi="Times New Roman"/>
          <w:sz w:val="24"/>
          <w:u w:val="single" w:color="000000"/>
        </w:rPr>
        <w:t>apstiprināšanas procedūras</w:t>
      </w:r>
      <w:r>
        <w:rPr>
          <w:rFonts w:ascii="Times New Roman" w:hAnsi="Times New Roman"/>
          <w:sz w:val="24"/>
        </w:rPr>
        <w:t xml:space="preserve"> ietver </w:t>
      </w:r>
      <w:r>
        <w:rPr>
          <w:rFonts w:ascii="Times New Roman" w:hAnsi="Times New Roman"/>
          <w:i/>
          <w:iCs/>
          <w:sz w:val="24"/>
        </w:rPr>
        <w:t>GC-MS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GC-MS/MS</w:t>
      </w:r>
      <w:r>
        <w:rPr>
          <w:rFonts w:ascii="Times New Roman" w:hAnsi="Times New Roman"/>
          <w:sz w:val="24"/>
        </w:rPr>
        <w:t xml:space="preserve"> kvantitatīvu noteikšanu</w:t>
      </w:r>
      <w:r w:rsidR="0062026E">
        <w:rPr>
          <w:rStyle w:val="FootnoteReference"/>
          <w:rFonts w:ascii="Times New Roman" w:hAnsi="Times New Roman"/>
          <w:noProof/>
          <w:sz w:val="24"/>
        </w:rPr>
        <w:footnoteReference w:id="15"/>
      </w:r>
      <w:r>
        <w:rPr>
          <w:rFonts w:ascii="Times New Roman" w:hAnsi="Times New Roman"/>
          <w:sz w:val="24"/>
        </w:rPr>
        <w:t xml:space="preserve"> un steroīdu profila </w:t>
      </w:r>
      <w:r>
        <w:rPr>
          <w:rFonts w:ascii="Times New Roman" w:hAnsi="Times New Roman"/>
          <w:i/>
          <w:sz w:val="24"/>
        </w:rPr>
        <w:t>marķiera(-u)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analīzi.</w:t>
      </w:r>
    </w:p>
    <w:p w14:paraId="151371CC" w14:textId="77777777" w:rsidR="0062026E" w:rsidRDefault="0062026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4CCFC767" w14:textId="58299F27" w:rsidR="002167DE" w:rsidRPr="00173AD7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Turklāt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attiecīgi apstiprina maldinošu faktoru esību vai neesību steroīdu profilā, kā aprakstīts 1.1. punktā, </w:t>
      </w:r>
      <w:r>
        <w:rPr>
          <w:rFonts w:ascii="Times New Roman" w:hAnsi="Times New Roman"/>
          <w:i/>
          <w:sz w:val="24"/>
        </w:rPr>
        <w:t>t. i.</w:t>
      </w:r>
      <w:r>
        <w:rPr>
          <w:rFonts w:ascii="Times New Roman" w:hAnsi="Times New Roman"/>
          <w:sz w:val="24"/>
        </w:rPr>
        <w:t xml:space="preserve">, konjugēto(-os) etanola </w:t>
      </w:r>
      <w:r>
        <w:rPr>
          <w:rFonts w:ascii="Times New Roman" w:hAnsi="Times New Roman"/>
          <w:i/>
          <w:sz w:val="24"/>
        </w:rPr>
        <w:t>metabolītu(-us)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EtG</w:t>
      </w:r>
      <w:r>
        <w:rPr>
          <w:rFonts w:ascii="Times New Roman" w:hAnsi="Times New Roman"/>
          <w:sz w:val="24"/>
        </w:rPr>
        <w:t>), 5α-reduktāzes inhibitorus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finasterīdu), ketokonazolu, kā arī mikrobiālās degradācijas pazīmes, cita starpā, piemēram,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5βAND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5βAND</w:t>
      </w:r>
      <w:r>
        <w:rPr>
          <w:rFonts w:ascii="Times New Roman" w:hAnsi="Times New Roman"/>
          <w:sz w:val="24"/>
        </w:rPr>
        <w:t xml:space="preserve"> brīvo formu klātbūtni.</w:t>
      </w:r>
    </w:p>
    <w:p w14:paraId="5A21A5A4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19"/>
        </w:rPr>
      </w:pPr>
    </w:p>
    <w:p w14:paraId="57DC5BA5" w14:textId="69542643" w:rsidR="002167DE" w:rsidRPr="00173AD7" w:rsidRDefault="0062026E" w:rsidP="0062026E">
      <w:pPr>
        <w:tabs>
          <w:tab w:val="left" w:pos="620"/>
        </w:tabs>
        <w:jc w:val="both"/>
        <w:rPr>
          <w:rFonts w:ascii="Times New Roman" w:eastAsia="Verdana" w:hAnsi="Times New Roman" w:cs="Verdana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3.1. “</w:t>
      </w:r>
      <w:r>
        <w:rPr>
          <w:rFonts w:ascii="Times New Roman" w:hAnsi="Times New Roman"/>
          <w:i/>
          <w:sz w:val="24"/>
        </w:rPr>
        <w:t>Netipisku [bioloģiskās] pases parametru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apstiprināšanas procedūras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iCs/>
          <w:sz w:val="24"/>
        </w:rPr>
        <w:t>CPR</w:t>
      </w:r>
      <w:r>
        <w:rPr>
          <w:rFonts w:ascii="Times New Roman" w:hAnsi="Times New Roman"/>
          <w:sz w:val="24"/>
        </w:rPr>
        <w:t>) pieprasījums”</w:t>
      </w:r>
    </w:p>
    <w:p w14:paraId="79E7B416" w14:textId="77777777" w:rsidR="0062026E" w:rsidRDefault="0062026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BB4A554" w14:textId="48F4AD32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Pēc tam, kad laboratorija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steroīdu profilu ir paziņojusi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ierakstu salīdzina ar dopinga kontroles anketu (</w:t>
      </w:r>
      <w:r>
        <w:rPr>
          <w:rFonts w:ascii="Times New Roman" w:hAnsi="Times New Roman"/>
          <w:i/>
          <w:iCs/>
          <w:sz w:val="24"/>
        </w:rPr>
        <w:t>DCF</w:t>
      </w:r>
      <w:r>
        <w:rPr>
          <w:rFonts w:ascii="Times New Roman" w:hAnsi="Times New Roman"/>
          <w:sz w:val="24"/>
        </w:rPr>
        <w:t xml:space="preserve">), lai pēc tam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steroīdu profilu varētu iekļaut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sportista</w:t>
      </w:r>
      <w:r>
        <w:rPr>
          <w:rFonts w:ascii="Times New Roman" w:hAnsi="Times New Roman"/>
          <w:sz w:val="24"/>
        </w:rPr>
        <w:t xml:space="preserve"> steroīdu </w:t>
      </w:r>
      <w:r>
        <w:rPr>
          <w:rFonts w:ascii="Times New Roman" w:hAnsi="Times New Roman"/>
          <w:sz w:val="24"/>
          <w:u w:val="single" w:color="000000"/>
        </w:rPr>
        <w:t>pasē</w:t>
      </w:r>
      <w:r>
        <w:rPr>
          <w:rFonts w:ascii="Times New Roman" w:hAnsi="Times New Roman"/>
          <w:sz w:val="24"/>
        </w:rPr>
        <w:t>.</w:t>
      </w:r>
    </w:p>
    <w:p w14:paraId="6DA54515" w14:textId="77777777" w:rsidR="0062026E" w:rsidRPr="00173AD7" w:rsidRDefault="0062026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1C375FEF" w14:textId="7858225F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 w:color="000000"/>
        </w:rPr>
        <w:t>Adaptīvais modelis</w:t>
      </w:r>
      <w:r>
        <w:rPr>
          <w:rFonts w:ascii="Times New Roman" w:hAnsi="Times New Roman"/>
          <w:sz w:val="24"/>
        </w:rPr>
        <w:t xml:space="preserve"> ģenerēs “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iCs/>
          <w:sz w:val="24"/>
        </w:rPr>
        <w:t>CPR</w:t>
      </w:r>
      <w:r>
        <w:rPr>
          <w:rFonts w:ascii="Times New Roman" w:hAnsi="Times New Roman"/>
          <w:sz w:val="24"/>
        </w:rPr>
        <w:t xml:space="preserve">” paziņojumu, ja, piemērojot </w:t>
      </w:r>
      <w:r>
        <w:rPr>
          <w:rFonts w:ascii="Times New Roman" w:hAnsi="Times New Roman"/>
          <w:sz w:val="24"/>
          <w:u w:val="single" w:color="000000"/>
        </w:rPr>
        <w:t>adaptīvo modeli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proporcija būs pārmērīgi augsta, salīdzinot ar iepriekšējām </w:t>
      </w:r>
      <w:r>
        <w:rPr>
          <w:rFonts w:ascii="Times New Roman" w:hAnsi="Times New Roman"/>
          <w:i/>
          <w:iCs/>
          <w:sz w:val="24"/>
        </w:rPr>
        <w:t>sportista</w:t>
      </w:r>
      <w:r>
        <w:rPr>
          <w:rFonts w:ascii="Times New Roman" w:hAnsi="Times New Roman"/>
          <w:sz w:val="24"/>
        </w:rPr>
        <w:t xml:space="preserve"> garengriezuma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vērtībām.</w:t>
      </w:r>
    </w:p>
    <w:p w14:paraId="682B9E81" w14:textId="77777777" w:rsidR="0062026E" w:rsidRPr="00173AD7" w:rsidRDefault="0062026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13681431" w14:textId="6C6CAEC6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Saņemot par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 “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iCs/>
          <w:sz w:val="24"/>
        </w:rPr>
        <w:t>CPR</w:t>
      </w:r>
      <w:r>
        <w:rPr>
          <w:rFonts w:ascii="Times New Roman" w:hAnsi="Times New Roman"/>
          <w:sz w:val="24"/>
        </w:rPr>
        <w:t xml:space="preserve">” paziņojumu,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veic </w:t>
      </w:r>
      <w:r>
        <w:rPr>
          <w:rFonts w:ascii="Times New Roman" w:hAnsi="Times New Roman"/>
          <w:sz w:val="24"/>
          <w:u w:val="single" w:color="000000"/>
        </w:rPr>
        <w:t>apstiprināšanas procedūras</w:t>
      </w:r>
      <w:r>
        <w:rPr>
          <w:rFonts w:ascii="Times New Roman" w:hAnsi="Times New Roman"/>
          <w:sz w:val="24"/>
        </w:rPr>
        <w:t>, izņemot tālāk uzskaitītajos gadījumos.</w:t>
      </w:r>
    </w:p>
    <w:p w14:paraId="2079E20F" w14:textId="77777777" w:rsidR="0062026E" w:rsidRPr="00173AD7" w:rsidRDefault="0062026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1ADB5067" w14:textId="7EE2244D" w:rsidR="002167DE" w:rsidRDefault="002167DE" w:rsidP="0062026E">
      <w:pPr>
        <w:pStyle w:val="BodyText"/>
        <w:numPr>
          <w:ilvl w:val="2"/>
          <w:numId w:val="9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 xml:space="preserve">, minot attaisnojošu(-us) iemeslu(-us), rakstveidā iesaka </w:t>
      </w:r>
      <w:r>
        <w:rPr>
          <w:rFonts w:ascii="Times New Roman" w:hAnsi="Times New Roman"/>
          <w:sz w:val="24"/>
          <w:u w:val="single" w:color="000000"/>
        </w:rPr>
        <w:t>laboratorijai</w:t>
      </w:r>
      <w:r>
        <w:rPr>
          <w:rFonts w:ascii="Times New Roman" w:hAnsi="Times New Roman"/>
          <w:sz w:val="24"/>
        </w:rPr>
        <w:t xml:space="preserve"> neapstiprināt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steroīdu profilu. Pamatojumā neveikt 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apstiprināšanas procedūru</w:t>
      </w:r>
      <w:r>
        <w:rPr>
          <w:rFonts w:ascii="Times New Roman" w:hAnsi="Times New Roman"/>
          <w:sz w:val="24"/>
        </w:rPr>
        <w:t xml:space="preserve"> var iekļaut šādus elementus:</w:t>
      </w:r>
    </w:p>
    <w:p w14:paraId="4497896B" w14:textId="77777777" w:rsidR="0062026E" w:rsidRPr="00173AD7" w:rsidRDefault="0062026E" w:rsidP="0062026E">
      <w:pPr>
        <w:pStyle w:val="BodyText"/>
        <w:tabs>
          <w:tab w:val="left" w:pos="841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6AA84686" w14:textId="77777777" w:rsidR="002167DE" w:rsidRPr="00173AD7" w:rsidRDefault="002167DE" w:rsidP="0062026E">
      <w:pPr>
        <w:pStyle w:val="BodyText"/>
        <w:numPr>
          <w:ilvl w:val="3"/>
          <w:numId w:val="9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EtG</w:t>
      </w:r>
      <w:r>
        <w:rPr>
          <w:rFonts w:ascii="Times New Roman" w:hAnsi="Times New Roman"/>
          <w:sz w:val="24"/>
        </w:rPr>
        <w:t xml:space="preserve"> klātbūtni </w:t>
      </w:r>
      <w:r>
        <w:rPr>
          <w:rFonts w:ascii="Times New Roman" w:hAnsi="Times New Roman"/>
          <w:i/>
          <w:sz w:val="24"/>
        </w:rPr>
        <w:t>sportista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paraugā</w:t>
      </w:r>
      <w:r>
        <w:rPr>
          <w:rFonts w:ascii="Times New Roman" w:hAnsi="Times New Roman"/>
          <w:sz w:val="24"/>
        </w:rPr>
        <w:t xml:space="preserve">, kura rezultāti ir līdzīgi iepriekšējiem rezultātiem viņa </w:t>
      </w:r>
      <w:r>
        <w:rPr>
          <w:rFonts w:ascii="Times New Roman" w:hAnsi="Times New Roman"/>
          <w:sz w:val="24"/>
          <w:u w:val="single" w:color="000000"/>
        </w:rPr>
        <w:t>pasē</w:t>
      </w:r>
      <w:r>
        <w:rPr>
          <w:rFonts w:ascii="Times New Roman" w:hAnsi="Times New Roman"/>
          <w:sz w:val="24"/>
        </w:rPr>
        <w:t xml:space="preserve">, kurā ir negatīvi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rezultāti (kas norāda uz alkohola pārmērīgu lietošanu), vai</w:t>
      </w:r>
    </w:p>
    <w:p w14:paraId="54A66AFB" w14:textId="77777777" w:rsidR="002167DE" w:rsidRPr="00173AD7" w:rsidRDefault="002167DE" w:rsidP="0062026E">
      <w:pPr>
        <w:pStyle w:val="BodyText"/>
        <w:numPr>
          <w:ilvl w:val="3"/>
          <w:numId w:val="9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par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ir ziņoti vēl citi </w:t>
      </w:r>
      <w:r>
        <w:rPr>
          <w:rFonts w:ascii="Times New Roman" w:hAnsi="Times New Roman"/>
          <w:i/>
          <w:sz w:val="24"/>
        </w:rPr>
        <w:t>AAF</w:t>
      </w:r>
      <w:r>
        <w:rPr>
          <w:rFonts w:ascii="Times New Roman" w:hAnsi="Times New Roman"/>
          <w:sz w:val="24"/>
        </w:rPr>
        <w:t>, kuru dēļ, visticamāk, būs jāpiemēro maksimālais sods.</w:t>
      </w:r>
    </w:p>
    <w:p w14:paraId="7A5DE0EF" w14:textId="77777777" w:rsidR="0062026E" w:rsidRDefault="0062026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B69AE67" w14:textId="0D972472" w:rsidR="002167DE" w:rsidRPr="00173AD7" w:rsidRDefault="002167DE" w:rsidP="0062026E">
      <w:pPr>
        <w:pStyle w:val="BodyText"/>
        <w:spacing w:before="0"/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Šādā gadījumā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atjaunina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ziņojumu par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, pievienojot piezīmi, kurā norāda, ka </w:t>
      </w:r>
      <w:r>
        <w:rPr>
          <w:rFonts w:ascii="Times New Roman" w:hAnsi="Times New Roman"/>
          <w:i/>
          <w:iCs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 xml:space="preserve"> ir pieprasījusi neveikt </w:t>
      </w:r>
      <w:r>
        <w:rPr>
          <w:rFonts w:ascii="Times New Roman" w:hAnsi="Times New Roman"/>
          <w:sz w:val="24"/>
          <w:u w:val="single" w:color="000000"/>
        </w:rPr>
        <w:t>apstiprināšanas procedūru(-as)</w:t>
      </w:r>
      <w:r>
        <w:rPr>
          <w:rFonts w:ascii="Times New Roman" w:hAnsi="Times New Roman"/>
          <w:sz w:val="24"/>
        </w:rPr>
        <w:t xml:space="preserve">. Arī </w:t>
      </w:r>
      <w:r>
        <w:rPr>
          <w:rFonts w:ascii="Times New Roman" w:hAnsi="Times New Roman"/>
          <w:i/>
          <w:iCs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 xml:space="preserve"> atjaunina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  <w:u w:val="single" w:color="000000"/>
        </w:rPr>
        <w:t>APMU</w:t>
      </w:r>
      <w:r>
        <w:rPr>
          <w:rFonts w:ascii="Times New Roman" w:hAnsi="Times New Roman"/>
          <w:sz w:val="24"/>
          <w:u w:val="single" w:color="000000"/>
        </w:rPr>
        <w:t xml:space="preserve"> ziņojumu</w:t>
      </w:r>
      <w:r>
        <w:rPr>
          <w:rFonts w:ascii="Times New Roman" w:hAnsi="Times New Roman"/>
          <w:sz w:val="24"/>
        </w:rPr>
        <w:t xml:space="preserve">, paskaidrojot, kāpēc </w:t>
      </w:r>
      <w:r>
        <w:rPr>
          <w:rFonts w:ascii="Times New Roman" w:hAnsi="Times New Roman"/>
          <w:sz w:val="24"/>
          <w:u w:val="single" w:color="000000"/>
        </w:rPr>
        <w:t>apstiprināšanas procedūru(-as)</w:t>
      </w:r>
      <w:r>
        <w:rPr>
          <w:rFonts w:ascii="Times New Roman" w:hAnsi="Times New Roman"/>
          <w:sz w:val="24"/>
        </w:rPr>
        <w:t xml:space="preserve"> nebija nepieciešama(-as).</w:t>
      </w:r>
    </w:p>
    <w:p w14:paraId="60547BBC" w14:textId="77777777" w:rsidR="002167DE" w:rsidRPr="00173AD7" w:rsidRDefault="002167DE" w:rsidP="0062026E">
      <w:pPr>
        <w:pStyle w:val="BodyText"/>
        <w:numPr>
          <w:ilvl w:val="0"/>
          <w:numId w:val="1"/>
        </w:numPr>
        <w:tabs>
          <w:tab w:val="left" w:pos="841"/>
        </w:tabs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Turklāt saistībā ar 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apstiprināšanas procedūra</w:t>
      </w:r>
      <w:r>
        <w:rPr>
          <w:rFonts w:ascii="Times New Roman" w:hAnsi="Times New Roman"/>
          <w:sz w:val="24"/>
        </w:rPr>
        <w:t xml:space="preserve"> nav obligāta, ja </w:t>
      </w:r>
      <w:r>
        <w:rPr>
          <w:rFonts w:ascii="Times New Roman" w:hAnsi="Times New Roman"/>
          <w:i/>
          <w:iCs/>
          <w:sz w:val="24"/>
        </w:rPr>
        <w:t>GC-MS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GC-MS/MS</w:t>
      </w:r>
      <w:r>
        <w:rPr>
          <w:rFonts w:ascii="Times New Roman" w:hAnsi="Times New Roman"/>
          <w:sz w:val="24"/>
        </w:rPr>
        <w:t xml:space="preserve"> kvantitatīvajā analīzē </w:t>
      </w:r>
      <w:r>
        <w:rPr>
          <w:rFonts w:ascii="Times New Roman" w:hAnsi="Times New Roman"/>
          <w:i/>
          <w:sz w:val="24"/>
        </w:rPr>
        <w:t>paraugā</w:t>
      </w:r>
      <w:r>
        <w:rPr>
          <w:rFonts w:ascii="Times New Roman" w:hAnsi="Times New Roman"/>
          <w:sz w:val="24"/>
        </w:rPr>
        <w:t xml:space="preserve"> nav apstiprināta pārmērīgi augsta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proporcija (skat. 3.5. punktu tālāk). Šādos gadījumus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ziņo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apstiprinātās steroīdu profila </w:t>
      </w:r>
      <w:r>
        <w:rPr>
          <w:rFonts w:ascii="Times New Roman" w:hAnsi="Times New Roman"/>
          <w:i/>
          <w:sz w:val="24"/>
        </w:rPr>
        <w:t>marķieru</w:t>
      </w:r>
      <w:r>
        <w:rPr>
          <w:rFonts w:ascii="Times New Roman" w:hAnsi="Times New Roman"/>
          <w:sz w:val="24"/>
        </w:rPr>
        <w:t xml:space="preserve"> vērtības (skat. 3.6. punktu tālāk), pievienojot piezīmi, kurā norāda, ka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 netika veikta, jo pārmērīgi augsta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proporcija netika apstiprināta.</w:t>
      </w:r>
    </w:p>
    <w:p w14:paraId="56DD7638" w14:textId="77777777" w:rsidR="0062026E" w:rsidRDefault="0062026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241BBEBB" w14:textId="7B94F7D0" w:rsidR="002167DE" w:rsidRPr="00173AD7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 w:color="000000"/>
        </w:rPr>
        <w:t>Adaptīvais modelis</w:t>
      </w:r>
      <w:r>
        <w:rPr>
          <w:rFonts w:ascii="Times New Roman" w:hAnsi="Times New Roman"/>
          <w:sz w:val="24"/>
        </w:rPr>
        <w:t xml:space="preserve"> noteiks arī citu steroīdu profila proporciju pārmērīgās vērtības (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). Tomēr šādos gadījumos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ar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starpniecību nesaņems “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iCs/>
          <w:sz w:val="24"/>
        </w:rPr>
        <w:t>CPR</w:t>
      </w:r>
      <w:r>
        <w:rPr>
          <w:rFonts w:ascii="Times New Roman" w:hAnsi="Times New Roman"/>
          <w:sz w:val="24"/>
        </w:rPr>
        <w:t xml:space="preserve">” paziņojumu. Toties </w:t>
      </w:r>
      <w:r>
        <w:rPr>
          <w:rFonts w:ascii="Times New Roman" w:hAnsi="Times New Roman"/>
          <w:sz w:val="24"/>
          <w:u w:val="single" w:color="000000"/>
        </w:rPr>
        <w:t>sportista [bioloģiskās] pases pārvaldības struktūrvienība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 xml:space="preserve">) ieteiks </w:t>
      </w:r>
      <w:r>
        <w:rPr>
          <w:rFonts w:ascii="Times New Roman" w:hAnsi="Times New Roman"/>
          <w:sz w:val="24"/>
          <w:u w:val="single" w:color="000000"/>
        </w:rPr>
        <w:t>pārbaudes iestādei</w:t>
      </w:r>
      <w:r>
        <w:rPr>
          <w:rFonts w:ascii="Times New Roman" w:hAnsi="Times New Roman"/>
          <w:sz w:val="24"/>
        </w:rPr>
        <w:t xml:space="preserve">, vai </w:t>
      </w:r>
      <w:r>
        <w:rPr>
          <w:rFonts w:ascii="Times New Roman" w:hAnsi="Times New Roman"/>
          <w:i/>
          <w:sz w:val="24"/>
        </w:rPr>
        <w:t>paraugam</w:t>
      </w:r>
      <w:r>
        <w:rPr>
          <w:rFonts w:ascii="Times New Roman" w:hAnsi="Times New Roman"/>
          <w:sz w:val="24"/>
        </w:rPr>
        <w:t xml:space="preserve"> ir jāveic </w:t>
      </w:r>
      <w:r>
        <w:rPr>
          <w:rFonts w:ascii="Times New Roman" w:hAnsi="Times New Roman"/>
          <w:sz w:val="24"/>
          <w:u w:val="single" w:color="000000"/>
        </w:rPr>
        <w:t>apstiprināšanas procedūras</w:t>
      </w:r>
      <w:r>
        <w:rPr>
          <w:rFonts w:ascii="Times New Roman" w:hAnsi="Times New Roman"/>
          <w:sz w:val="24"/>
        </w:rPr>
        <w:t xml:space="preserve">. Tāpēc šajos gadījumos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pārbaudes iestādes</w:t>
      </w:r>
      <w:r>
        <w:rPr>
          <w:rFonts w:ascii="Times New Roman" w:hAnsi="Times New Roman"/>
          <w:sz w:val="24"/>
        </w:rPr>
        <w:t xml:space="preserve"> pieprasījumu saņems pirms </w:t>
      </w:r>
      <w:r>
        <w:rPr>
          <w:rFonts w:ascii="Times New Roman" w:hAnsi="Times New Roman"/>
          <w:sz w:val="24"/>
          <w:u w:val="single" w:color="000000"/>
        </w:rPr>
        <w:t>apstiprināšanas procedūras(-u)</w:t>
      </w:r>
      <w:r>
        <w:rPr>
          <w:rFonts w:ascii="Times New Roman" w:hAnsi="Times New Roman"/>
          <w:sz w:val="24"/>
        </w:rPr>
        <w:t xml:space="preserve"> izpildes sākuma.</w:t>
      </w:r>
      <w:r w:rsidR="00BB6381">
        <w:rPr>
          <w:rStyle w:val="FootnoteReference"/>
          <w:rFonts w:ascii="Times New Roman" w:hAnsi="Times New Roman"/>
          <w:noProof/>
          <w:sz w:val="24"/>
        </w:rPr>
        <w:footnoteReference w:id="16"/>
      </w:r>
    </w:p>
    <w:p w14:paraId="5770C0D5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15"/>
        </w:rPr>
      </w:pPr>
    </w:p>
    <w:p w14:paraId="1BA28E5D" w14:textId="6F1F9486" w:rsidR="002167DE" w:rsidRPr="00173AD7" w:rsidRDefault="0062026E" w:rsidP="0062026E">
      <w:pPr>
        <w:pStyle w:val="Heading2"/>
        <w:tabs>
          <w:tab w:val="left" w:pos="632"/>
        </w:tabs>
        <w:spacing w:before="0"/>
        <w:ind w:left="0"/>
        <w:jc w:val="both"/>
        <w:rPr>
          <w:rFonts w:eastAsia="Verdana" w:cs="Verdana"/>
          <w:noProof/>
        </w:rPr>
      </w:pPr>
      <w:r>
        <w:t xml:space="preserve">3.2. “Aizdomīga steroīdu profila </w:t>
      </w:r>
      <w:r>
        <w:rPr>
          <w:u w:val="single" w:color="000000"/>
        </w:rPr>
        <w:t>apstiprināšanas procedūras</w:t>
      </w:r>
      <w:r>
        <w:t xml:space="preserve"> (</w:t>
      </w:r>
      <w:r>
        <w:rPr>
          <w:i/>
          <w:iCs/>
        </w:rPr>
        <w:t>SSP</w:t>
      </w:r>
      <w:r>
        <w:t>-</w:t>
      </w:r>
      <w:r>
        <w:rPr>
          <w:i/>
          <w:iCs/>
        </w:rPr>
        <w:t>CPR</w:t>
      </w:r>
      <w:r>
        <w:t>) pieprasījums”</w:t>
      </w:r>
    </w:p>
    <w:p w14:paraId="5FB1341B" w14:textId="77777777" w:rsidR="0062026E" w:rsidRDefault="0062026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463C373D" w14:textId="50015F48" w:rsidR="002167DE" w:rsidRPr="00173AD7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ar </w:t>
      </w:r>
      <w:r>
        <w:rPr>
          <w:rFonts w:ascii="Times New Roman" w:hAnsi="Times New Roman"/>
          <w:i/>
          <w:iCs/>
          <w:sz w:val="24"/>
        </w:rPr>
        <w:t>ADAMS</w:t>
      </w:r>
      <w:r>
        <w:rPr>
          <w:rFonts w:ascii="Times New Roman" w:hAnsi="Times New Roman"/>
          <w:sz w:val="24"/>
        </w:rPr>
        <w:t xml:space="preserve"> starpniecību saņems “</w:t>
      </w:r>
      <w:r>
        <w:rPr>
          <w:rFonts w:ascii="Times New Roman" w:hAnsi="Times New Roman"/>
          <w:i/>
          <w:iCs/>
          <w:sz w:val="24"/>
        </w:rPr>
        <w:t>SSP-CPR</w:t>
      </w:r>
      <w:r>
        <w:rPr>
          <w:rFonts w:ascii="Times New Roman" w:hAnsi="Times New Roman"/>
          <w:sz w:val="24"/>
        </w:rPr>
        <w:t>” paziņojumu šādos gadījumos:</w:t>
      </w:r>
    </w:p>
    <w:p w14:paraId="3719D0F5" w14:textId="77777777" w:rsidR="0062026E" w:rsidRDefault="0062026E" w:rsidP="0062026E">
      <w:pPr>
        <w:tabs>
          <w:tab w:val="left" w:pos="478"/>
        </w:tabs>
        <w:jc w:val="both"/>
        <w:rPr>
          <w:rFonts w:ascii="Times New Roman" w:eastAsia="Verdana" w:hAnsi="Times New Roman" w:cs="Verdana"/>
          <w:noProof/>
          <w:sz w:val="24"/>
        </w:rPr>
      </w:pPr>
    </w:p>
    <w:p w14:paraId="0F1FF482" w14:textId="4B3A0FDB" w:rsidR="002167DE" w:rsidRPr="00173AD7" w:rsidRDefault="0062026E" w:rsidP="0062026E">
      <w:pPr>
        <w:tabs>
          <w:tab w:val="left" w:pos="478"/>
        </w:tabs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i/>
          <w:sz w:val="24"/>
        </w:rPr>
        <w:t>paraugs</w:t>
      </w:r>
      <w:r>
        <w:rPr>
          <w:rFonts w:ascii="Times New Roman" w:hAnsi="Times New Roman"/>
          <w:sz w:val="24"/>
        </w:rPr>
        <w:t xml:space="preserve"> atbilst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ievietotajai </w:t>
      </w:r>
      <w:r>
        <w:rPr>
          <w:rFonts w:ascii="Times New Roman" w:hAnsi="Times New Roman"/>
          <w:i/>
          <w:iCs/>
          <w:sz w:val="24"/>
        </w:rPr>
        <w:t>DCF</w:t>
      </w:r>
      <w:r>
        <w:rPr>
          <w:rFonts w:ascii="Times New Roman" w:hAnsi="Times New Roman"/>
          <w:sz w:val="24"/>
        </w:rPr>
        <w:t xml:space="preserve">, taču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nav </w:t>
      </w:r>
      <w:r>
        <w:rPr>
          <w:rFonts w:ascii="Times New Roman" w:hAnsi="Times New Roman"/>
          <w:i/>
          <w:iCs/>
          <w:sz w:val="24"/>
        </w:rPr>
        <w:t>sportista</w:t>
      </w:r>
      <w:r>
        <w:rPr>
          <w:rFonts w:ascii="Times New Roman" w:hAnsi="Times New Roman"/>
          <w:sz w:val="24"/>
        </w:rPr>
        <w:t xml:space="preserve"> steroīdu </w:t>
      </w:r>
      <w:r>
        <w:rPr>
          <w:rFonts w:ascii="Times New Roman" w:hAnsi="Times New Roman"/>
          <w:sz w:val="24"/>
          <w:u w:val="single" w:color="000000"/>
        </w:rPr>
        <w:t>pases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t. i.</w:t>
      </w:r>
      <w:r>
        <w:rPr>
          <w:rFonts w:ascii="Times New Roman" w:hAnsi="Times New Roman"/>
          <w:sz w:val="24"/>
        </w:rPr>
        <w:t xml:space="preserve">, tas ir pirmais </w:t>
      </w:r>
      <w:r>
        <w:rPr>
          <w:rFonts w:ascii="Times New Roman" w:hAnsi="Times New Roman"/>
          <w:i/>
          <w:sz w:val="24"/>
        </w:rPr>
        <w:t>paraugs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sportista</w:t>
      </w:r>
      <w:r>
        <w:rPr>
          <w:rFonts w:ascii="Times New Roman" w:hAnsi="Times New Roman"/>
          <w:sz w:val="24"/>
        </w:rPr>
        <w:t xml:space="preserve"> steroīdu </w:t>
      </w:r>
      <w:r>
        <w:rPr>
          <w:rFonts w:ascii="Times New Roman" w:hAnsi="Times New Roman"/>
          <w:sz w:val="24"/>
          <w:u w:val="single" w:color="000000"/>
        </w:rPr>
        <w:t>pasē</w:t>
      </w:r>
      <w:r>
        <w:rPr>
          <w:rFonts w:ascii="Times New Roman" w:hAnsi="Times New Roman"/>
          <w:sz w:val="24"/>
        </w:rPr>
        <w:t>), vai</w:t>
      </w:r>
    </w:p>
    <w:p w14:paraId="78ECD9CD" w14:textId="77777777" w:rsidR="0062026E" w:rsidRDefault="0062026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57F3CE6E" w14:textId="0BEF5DC4" w:rsidR="002167DE" w:rsidRPr="00173AD7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četrpadsmit (14) kalendārajās dienās pēc dienas, kad </w:t>
      </w:r>
      <w:r>
        <w:rPr>
          <w:rFonts w:ascii="Times New Roman" w:hAnsi="Times New Roman"/>
          <w:i/>
          <w:iCs/>
          <w:sz w:val="24"/>
        </w:rPr>
        <w:t>paraugs</w:t>
      </w:r>
      <w:r>
        <w:rPr>
          <w:rFonts w:ascii="Times New Roman" w:hAnsi="Times New Roman"/>
          <w:sz w:val="24"/>
        </w:rPr>
        <w:t xml:space="preserve"> saņemts </w:t>
      </w:r>
      <w:r>
        <w:rPr>
          <w:rFonts w:ascii="Times New Roman" w:hAnsi="Times New Roman"/>
          <w:sz w:val="24"/>
          <w:u w:val="single" w:color="000000"/>
        </w:rPr>
        <w:t>laboratorijā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nevar atrast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atbilstību </w:t>
      </w:r>
      <w:r>
        <w:rPr>
          <w:rFonts w:ascii="Times New Roman" w:hAnsi="Times New Roman"/>
          <w:i/>
          <w:iCs/>
          <w:sz w:val="24"/>
        </w:rPr>
        <w:t>DCF</w:t>
      </w:r>
      <w:r>
        <w:rPr>
          <w:rFonts w:ascii="Times New Roman" w:hAnsi="Times New Roman"/>
          <w:sz w:val="24"/>
        </w:rPr>
        <w:t xml:space="preserve">, un tāpēc nevar apstrādāt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steroīdu profilu, izmantojot </w:t>
      </w:r>
      <w:r>
        <w:rPr>
          <w:rFonts w:ascii="Times New Roman" w:hAnsi="Times New Roman"/>
          <w:sz w:val="24"/>
          <w:u w:val="single"/>
        </w:rPr>
        <w:t>adaptīvo modeli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ADAMS</w:t>
      </w:r>
      <w:r>
        <w:rPr>
          <w:rFonts w:ascii="Times New Roman" w:hAnsi="Times New Roman"/>
          <w:sz w:val="24"/>
        </w:rPr>
        <w:t>,</w:t>
      </w:r>
    </w:p>
    <w:p w14:paraId="584CB6DC" w14:textId="77777777" w:rsidR="00BB6381" w:rsidRDefault="00BB6381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F433C6F" w14:textId="39A05E41" w:rsidR="002167DE" w:rsidRPr="00173AD7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un</w:t>
      </w:r>
    </w:p>
    <w:p w14:paraId="68EB1D8E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6EBFFD97" w14:textId="17BF737E" w:rsidR="002167DE" w:rsidRDefault="00BB6381" w:rsidP="00BB6381">
      <w:pPr>
        <w:pStyle w:val="BodyText"/>
        <w:tabs>
          <w:tab w:val="left" w:pos="437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steroīdu profils atbilst </w:t>
      </w:r>
      <w:r>
        <w:rPr>
          <w:rFonts w:ascii="Times New Roman" w:hAnsi="Times New Roman"/>
          <w:b/>
          <w:sz w:val="24"/>
        </w:rPr>
        <w:t>jebkuram</w:t>
      </w:r>
      <w:r>
        <w:rPr>
          <w:rFonts w:ascii="Times New Roman" w:hAnsi="Times New Roman"/>
          <w:sz w:val="24"/>
        </w:rPr>
        <w:t xml:space="preserve"> no šiem kritērijiem:</w:t>
      </w:r>
    </w:p>
    <w:p w14:paraId="26BE78B9" w14:textId="77777777" w:rsidR="00BB6381" w:rsidRPr="00173AD7" w:rsidRDefault="00BB6381" w:rsidP="00BB6381">
      <w:pPr>
        <w:pStyle w:val="BodyText"/>
        <w:tabs>
          <w:tab w:val="left" w:pos="437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56708569" w14:textId="77777777" w:rsidR="002167DE" w:rsidRPr="00173AD7" w:rsidRDefault="002167DE" w:rsidP="00BB6381">
      <w:pPr>
        <w:pStyle w:val="BodyText"/>
        <w:numPr>
          <w:ilvl w:val="1"/>
          <w:numId w:val="8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proporcija (kas aprēķināta no koriģētiem hromatogrāfiskās smailes laukumiem vai augstumiem) ir lielāka par 4,0;</w:t>
      </w:r>
    </w:p>
    <w:p w14:paraId="35BAFB37" w14:textId="77777777" w:rsidR="002167DE" w:rsidRPr="00173AD7" w:rsidRDefault="002167DE" w:rsidP="00BB6381">
      <w:pPr>
        <w:pStyle w:val="BodyText"/>
        <w:numPr>
          <w:ilvl w:val="1"/>
          <w:numId w:val="8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proporcija ir mazāka par 20;</w:t>
      </w:r>
    </w:p>
    <w:p w14:paraId="6144404D" w14:textId="717FA77B" w:rsidR="002167DE" w:rsidRPr="00173AD7" w:rsidRDefault="002167DE" w:rsidP="00BB6381">
      <w:pPr>
        <w:pStyle w:val="BodyText"/>
        <w:numPr>
          <w:ilvl w:val="1"/>
          <w:numId w:val="8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 xml:space="preserve"> proporcija ir lielāka par 2,4;</w:t>
      </w:r>
    </w:p>
    <w:p w14:paraId="1263A337" w14:textId="54999C7A" w:rsidR="002167DE" w:rsidRPr="00173AD7" w:rsidRDefault="002167DE" w:rsidP="00BB6381">
      <w:pPr>
        <w:pStyle w:val="BodyText"/>
        <w:numPr>
          <w:ilvl w:val="1"/>
          <w:numId w:val="8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koncentrācija (pielīdzināta atbilstīgi 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sz w:val="24"/>
          <w:vertAlign w:val="superscript"/>
        </w:rPr>
        <w:t>7,</w:t>
      </w:r>
      <w:r>
        <w:rPr>
          <w:rFonts w:ascii="Times New Roman" w:hAnsi="Times New Roman"/>
          <w:sz w:val="24"/>
        </w:rPr>
        <w:t xml:space="preserve"> </w:t>
      </w:r>
      <w:r w:rsidR="00BB6381">
        <w:rPr>
          <w:rStyle w:val="FootnoteReference"/>
          <w:rFonts w:ascii="Times New Roman" w:hAnsi="Times New Roman"/>
          <w:noProof/>
          <w:sz w:val="24"/>
        </w:rPr>
        <w:footnoteReference w:id="17"/>
      </w:r>
      <w:r>
        <w:rPr>
          <w:rFonts w:ascii="Times New Roman" w:hAnsi="Times New Roman"/>
          <w:sz w:val="24"/>
        </w:rPr>
        <w:t>) ir augstāka par 200 ng/ml vīriešiem vai augstāka par 50 ng/ml sievietēm;</w:t>
      </w:r>
    </w:p>
    <w:p w14:paraId="13793546" w14:textId="77777777" w:rsidR="002167DE" w:rsidRPr="00173AD7" w:rsidRDefault="002167DE" w:rsidP="00BB6381">
      <w:pPr>
        <w:pStyle w:val="BodyText"/>
        <w:numPr>
          <w:ilvl w:val="1"/>
          <w:numId w:val="8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 xml:space="preserve"> koncentrācija (pielīdzināta atbilstīgi 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sz w:val="24"/>
          <w:vertAlign w:val="superscript"/>
        </w:rPr>
        <w:t>7,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>17</w:t>
      </w:r>
      <w:r>
        <w:rPr>
          <w:rFonts w:ascii="Times New Roman" w:hAnsi="Times New Roman"/>
          <w:sz w:val="24"/>
        </w:rPr>
        <w:t>) ir augstāka par 10 000 ng/ml;</w:t>
      </w:r>
    </w:p>
    <w:p w14:paraId="2BFD6C10" w14:textId="33B83C08" w:rsidR="002167DE" w:rsidRDefault="002167DE" w:rsidP="00BB6381">
      <w:pPr>
        <w:pStyle w:val="BodyText"/>
        <w:numPr>
          <w:ilvl w:val="1"/>
          <w:numId w:val="8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 xml:space="preserve"> koncentrācija (pielīdzināta atbilstīgi 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sz w:val="24"/>
          <w:vertAlign w:val="superscript"/>
        </w:rPr>
        <w:t>7,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>17</w:t>
      </w:r>
      <w:r>
        <w:rPr>
          <w:rFonts w:ascii="Times New Roman" w:hAnsi="Times New Roman"/>
          <w:sz w:val="24"/>
        </w:rPr>
        <w:t xml:space="preserve">) ir augstāka par 250 ng/ml vīriešiem vai augstāka par 150 ng/ml sievietēm, un to apvieno ar 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proporciju, kas abiem dzimumiem ir lielāka par 10.</w:t>
      </w:r>
    </w:p>
    <w:p w14:paraId="0FAB6994" w14:textId="77777777" w:rsidR="00BB6381" w:rsidRPr="00173AD7" w:rsidRDefault="00BB6381" w:rsidP="00BB6381">
      <w:pPr>
        <w:pStyle w:val="BodyText"/>
        <w:tabs>
          <w:tab w:val="left" w:pos="1287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4276D0B" w14:textId="77777777" w:rsidR="002167DE" w:rsidRPr="00173AD7" w:rsidRDefault="002167DE" w:rsidP="00BB6381">
      <w:pPr>
        <w:pStyle w:val="BodyText"/>
        <w:numPr>
          <w:ilvl w:val="0"/>
          <w:numId w:val="6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Pēc “</w:t>
      </w:r>
      <w:r>
        <w:rPr>
          <w:rFonts w:ascii="Times New Roman" w:hAnsi="Times New Roman"/>
          <w:i/>
          <w:iCs/>
          <w:sz w:val="24"/>
        </w:rPr>
        <w:t>SSP-CPR</w:t>
      </w:r>
      <w:r>
        <w:rPr>
          <w:rFonts w:ascii="Times New Roman" w:hAnsi="Times New Roman"/>
          <w:sz w:val="24"/>
        </w:rPr>
        <w:t xml:space="preserve">” paziņojuma saņemšanas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veic </w:t>
      </w:r>
      <w:r>
        <w:rPr>
          <w:rFonts w:ascii="Times New Roman" w:hAnsi="Times New Roman"/>
          <w:sz w:val="24"/>
          <w:u w:val="single" w:color="000000"/>
        </w:rPr>
        <w:t>apstiprināšanas procedūru(-as)</w:t>
      </w:r>
      <w:r>
        <w:rPr>
          <w:rFonts w:ascii="Times New Roman" w:hAnsi="Times New Roman"/>
          <w:sz w:val="24"/>
        </w:rPr>
        <w:t xml:space="preserve">, izņemot gadījumus, kad pēc sazināšanās ar </w:t>
      </w:r>
      <w:r>
        <w:rPr>
          <w:rFonts w:ascii="Times New Roman" w:hAnsi="Times New Roman"/>
          <w:sz w:val="24"/>
          <w:u w:val="single" w:color="000000"/>
        </w:rPr>
        <w:t>pārbaudes iestādi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pārbaudes iestāde</w:t>
      </w:r>
      <w:r>
        <w:rPr>
          <w:rFonts w:ascii="Times New Roman" w:hAnsi="Times New Roman"/>
          <w:sz w:val="24"/>
        </w:rPr>
        <w:t xml:space="preserve"> septiņās (7) kalendārajās dienās var pamatot, ka </w:t>
      </w:r>
      <w:r>
        <w:rPr>
          <w:rFonts w:ascii="Times New Roman" w:hAnsi="Times New Roman"/>
          <w:sz w:val="24"/>
          <w:u w:val="single" w:color="000000"/>
        </w:rPr>
        <w:t>apstiprināšanas procedūra(-as)</w:t>
      </w:r>
      <w:r>
        <w:rPr>
          <w:rFonts w:ascii="Times New Roman" w:hAnsi="Times New Roman"/>
          <w:sz w:val="24"/>
        </w:rPr>
        <w:t xml:space="preserve"> nav nepieciešama(-as). Pamatojumā neveikt </w:t>
      </w:r>
      <w:r>
        <w:rPr>
          <w:rFonts w:ascii="Times New Roman" w:hAnsi="Times New Roman"/>
          <w:sz w:val="24"/>
          <w:u w:val="single" w:color="000000"/>
        </w:rPr>
        <w:t>apstiprināšanas procedūru</w:t>
      </w:r>
      <w:r>
        <w:rPr>
          <w:rFonts w:ascii="Times New Roman" w:hAnsi="Times New Roman"/>
          <w:sz w:val="24"/>
        </w:rPr>
        <w:t xml:space="preserve"> var iekļaut, piemēram, dabiski paaugstinātu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proporciju, kas apstiprināta iepriekšējā </w:t>
      </w:r>
      <w:r>
        <w:rPr>
          <w:rFonts w:ascii="Times New Roman" w:hAnsi="Times New Roman"/>
          <w:sz w:val="24"/>
          <w:u w:val="single" w:color="000000"/>
        </w:rPr>
        <w:t>analītiskajā pārbaudē</w:t>
      </w:r>
      <w:r>
        <w:rPr>
          <w:rFonts w:ascii="Times New Roman" w:hAnsi="Times New Roman"/>
          <w:sz w:val="24"/>
        </w:rPr>
        <w:t xml:space="preserve">, vai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proporciju diapazonā no 4,0 līdz 6,0, kas iegūta </w:t>
      </w:r>
      <w:r>
        <w:rPr>
          <w:rFonts w:ascii="Times New Roman" w:hAnsi="Times New Roman"/>
          <w:i/>
          <w:sz w:val="24"/>
        </w:rPr>
        <w:t>sportista</w:t>
      </w:r>
      <w:r>
        <w:rPr>
          <w:rFonts w:ascii="Times New Roman" w:hAnsi="Times New Roman"/>
          <w:sz w:val="24"/>
        </w:rPr>
        <w:t xml:space="preserve"> pirmajā pārbaudē, vai gadījumu, kad attiecībā uz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ir ziņots par vēl citiem </w:t>
      </w:r>
      <w:r>
        <w:rPr>
          <w:rFonts w:ascii="Times New Roman" w:hAnsi="Times New Roman"/>
          <w:i/>
          <w:sz w:val="24"/>
        </w:rPr>
        <w:t>AAF</w:t>
      </w:r>
      <w:r>
        <w:rPr>
          <w:rFonts w:ascii="Times New Roman" w:hAnsi="Times New Roman"/>
          <w:sz w:val="24"/>
        </w:rPr>
        <w:t>, kuru dēļ, visticamāk, būs jāpiemēro maksimālais sods.</w:t>
      </w:r>
    </w:p>
    <w:p w14:paraId="678F008E" w14:textId="77777777" w:rsidR="002167DE" w:rsidRPr="00173AD7" w:rsidRDefault="002167DE" w:rsidP="00BB6381">
      <w:pPr>
        <w:pStyle w:val="BodyText"/>
        <w:numPr>
          <w:ilvl w:val="0"/>
          <w:numId w:val="6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sz w:val="24"/>
          <w:u w:val="single" w:color="000000"/>
        </w:rPr>
        <w:t>pārbaudes iestāde</w:t>
      </w:r>
      <w:r>
        <w:rPr>
          <w:rFonts w:ascii="Times New Roman" w:hAnsi="Times New Roman"/>
          <w:sz w:val="24"/>
        </w:rPr>
        <w:t xml:space="preserve"> pamato, ka apstiprināšana nav nepieciešama,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atjaunina ziņojumu par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, pievienojot piezīmi, kurā norāda, ka </w:t>
      </w:r>
      <w:r>
        <w:rPr>
          <w:rFonts w:ascii="Times New Roman" w:hAnsi="Times New Roman"/>
          <w:sz w:val="24"/>
          <w:u w:val="single" w:color="000000"/>
        </w:rPr>
        <w:t>pārbaudes iestāde</w:t>
      </w:r>
      <w:r>
        <w:rPr>
          <w:rFonts w:ascii="Times New Roman" w:hAnsi="Times New Roman"/>
          <w:sz w:val="24"/>
        </w:rPr>
        <w:t xml:space="preserve"> ir konstatējusi, ka </w:t>
      </w:r>
      <w:r>
        <w:rPr>
          <w:rFonts w:ascii="Times New Roman" w:hAnsi="Times New Roman"/>
          <w:sz w:val="24"/>
          <w:u w:val="single" w:color="000000"/>
        </w:rPr>
        <w:t>apstiprināšanas procedūra(-as)</w:t>
      </w:r>
      <w:r>
        <w:rPr>
          <w:rFonts w:ascii="Times New Roman" w:hAnsi="Times New Roman"/>
          <w:sz w:val="24"/>
        </w:rPr>
        <w:t xml:space="preserve"> nav nepieciešama(-as), un izklāsta </w:t>
      </w:r>
      <w:r>
        <w:rPr>
          <w:rFonts w:ascii="Times New Roman" w:hAnsi="Times New Roman"/>
          <w:sz w:val="24"/>
          <w:u w:val="single" w:color="000000"/>
        </w:rPr>
        <w:t>pārbaudes iestādes</w:t>
      </w:r>
      <w:r>
        <w:rPr>
          <w:rFonts w:ascii="Times New Roman" w:hAnsi="Times New Roman"/>
          <w:sz w:val="24"/>
        </w:rPr>
        <w:t xml:space="preserve"> sniegto paskaidrojumu. Ja </w:t>
      </w:r>
      <w:r>
        <w:rPr>
          <w:rFonts w:ascii="Times New Roman" w:hAnsi="Times New Roman"/>
          <w:sz w:val="24"/>
          <w:u w:val="single" w:color="000000"/>
        </w:rPr>
        <w:t>pārbaudes iestāde</w:t>
      </w:r>
      <w:r>
        <w:rPr>
          <w:rFonts w:ascii="Times New Roman" w:hAnsi="Times New Roman"/>
          <w:sz w:val="24"/>
        </w:rPr>
        <w:t xml:space="preserve"> nepamato, ka apstiprināšana nav nepieciešama,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veic apstiprināšanas analīzes.</w:t>
      </w:r>
    </w:p>
    <w:p w14:paraId="7157FBCC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19FD4A20" w14:textId="36427940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saņem “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iCs/>
          <w:sz w:val="24"/>
        </w:rPr>
        <w:t>CPR</w:t>
      </w:r>
      <w:r>
        <w:rPr>
          <w:rFonts w:ascii="Times New Roman" w:hAnsi="Times New Roman"/>
          <w:sz w:val="24"/>
        </w:rPr>
        <w:t>” vai “</w:t>
      </w:r>
      <w:r>
        <w:rPr>
          <w:rFonts w:ascii="Times New Roman" w:hAnsi="Times New Roman"/>
          <w:i/>
          <w:iCs/>
          <w:sz w:val="24"/>
        </w:rPr>
        <w:t>SSP-CPR</w:t>
      </w:r>
      <w:r>
        <w:rPr>
          <w:rFonts w:ascii="Times New Roman" w:hAnsi="Times New Roman"/>
          <w:sz w:val="24"/>
        </w:rPr>
        <w:t xml:space="preserve">” par diviem (2) vai vairākiem </w:t>
      </w:r>
      <w:r>
        <w:rPr>
          <w:rFonts w:ascii="Times New Roman" w:hAnsi="Times New Roman"/>
          <w:i/>
          <w:sz w:val="24"/>
        </w:rPr>
        <w:t>paraugiem</w:t>
      </w:r>
      <w:r>
        <w:rPr>
          <w:rFonts w:ascii="Times New Roman" w:hAnsi="Times New Roman"/>
          <w:sz w:val="24"/>
        </w:rPr>
        <w:t xml:space="preserve">, kas vienā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 savākšanas procesā ir savākti no viena </w:t>
      </w:r>
      <w:r>
        <w:rPr>
          <w:rFonts w:ascii="Times New Roman" w:hAnsi="Times New Roman"/>
          <w:i/>
          <w:sz w:val="24"/>
        </w:rPr>
        <w:t>sportista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, apspriežoties ar </w:t>
      </w:r>
      <w:r>
        <w:rPr>
          <w:rFonts w:ascii="Times New Roman" w:hAnsi="Times New Roman"/>
          <w:sz w:val="24"/>
          <w:u w:val="single" w:color="000000"/>
        </w:rPr>
        <w:t>pārbaudes iestādi</w:t>
      </w:r>
      <w:r>
        <w:rPr>
          <w:rFonts w:ascii="Times New Roman" w:hAnsi="Times New Roman"/>
          <w:sz w:val="24"/>
        </w:rPr>
        <w:t xml:space="preserve">, par prioritāti nosaka tā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apstiprināšanu, kurā ir visaugstākais steroīdu profila </w:t>
      </w:r>
      <w:r>
        <w:rPr>
          <w:rFonts w:ascii="Times New Roman" w:hAnsi="Times New Roman"/>
          <w:i/>
          <w:sz w:val="24"/>
        </w:rPr>
        <w:t>marķieru</w:t>
      </w:r>
      <w:r>
        <w:rPr>
          <w:rFonts w:ascii="Times New Roman" w:hAnsi="Times New Roman"/>
          <w:sz w:val="24"/>
        </w:rPr>
        <w:t xml:space="preserve"> koncentrācijas līmenis.</w:t>
      </w:r>
    </w:p>
    <w:p w14:paraId="2F3268CA" w14:textId="77777777" w:rsidR="00BB6381" w:rsidRPr="00173AD7" w:rsidRDefault="00BB6381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25115A5C" w14:textId="77777777" w:rsidR="002167DE" w:rsidRPr="00173AD7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saņem “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iCs/>
          <w:sz w:val="24"/>
        </w:rPr>
        <w:t>CPR</w:t>
      </w:r>
      <w:r>
        <w:rPr>
          <w:rFonts w:ascii="Times New Roman" w:hAnsi="Times New Roman"/>
          <w:sz w:val="24"/>
        </w:rPr>
        <w:t>” vai “</w:t>
      </w:r>
      <w:r>
        <w:rPr>
          <w:rFonts w:ascii="Times New Roman" w:hAnsi="Times New Roman"/>
          <w:i/>
          <w:iCs/>
          <w:sz w:val="24"/>
        </w:rPr>
        <w:t>SSP-CPR</w:t>
      </w:r>
      <w:r>
        <w:rPr>
          <w:rFonts w:ascii="Times New Roman" w:hAnsi="Times New Roman"/>
          <w:sz w:val="24"/>
        </w:rPr>
        <w:t xml:space="preserve">” attiecībā uz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, par kuru </w:t>
      </w:r>
      <w:r>
        <w:rPr>
          <w:rFonts w:ascii="Times New Roman" w:hAnsi="Times New Roman"/>
          <w:i/>
          <w:sz w:val="24"/>
        </w:rPr>
        <w:t>AAF</w:t>
      </w:r>
      <w:r>
        <w:rPr>
          <w:rFonts w:ascii="Times New Roman" w:hAnsi="Times New Roman"/>
          <w:sz w:val="24"/>
        </w:rPr>
        <w:t xml:space="preserve"> ir ziņoti saistībā ar citu(-ām) </w:t>
      </w:r>
      <w:r>
        <w:rPr>
          <w:rFonts w:ascii="Times New Roman" w:hAnsi="Times New Roman"/>
          <w:i/>
          <w:sz w:val="24"/>
        </w:rPr>
        <w:t>aizliegto(-ajām) vielu(-ām)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metodi(-ēm)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 w:color="000000"/>
        </w:rPr>
        <w:t>laboratorijai</w:t>
      </w:r>
      <w:r>
        <w:rPr>
          <w:rFonts w:ascii="Times New Roman" w:hAnsi="Times New Roman"/>
          <w:sz w:val="24"/>
        </w:rPr>
        <w:t xml:space="preserve"> ir jāapspriežas ar </w:t>
      </w:r>
      <w:r>
        <w:rPr>
          <w:rFonts w:ascii="Times New Roman" w:hAnsi="Times New Roman"/>
          <w:sz w:val="24"/>
          <w:u w:val="single" w:color="000000"/>
        </w:rPr>
        <w:t>pārbaudes iestādi</w:t>
      </w:r>
      <w:r>
        <w:rPr>
          <w:rFonts w:ascii="Times New Roman" w:hAnsi="Times New Roman"/>
          <w:sz w:val="24"/>
        </w:rPr>
        <w:t xml:space="preserve"> par iespēju veikt steroīdu profila </w:t>
      </w:r>
      <w:r>
        <w:rPr>
          <w:rFonts w:ascii="Times New Roman" w:hAnsi="Times New Roman"/>
          <w:i/>
          <w:iCs/>
          <w:sz w:val="24"/>
        </w:rPr>
        <w:t>marķieru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apstiprināšanas procedūras</w:t>
      </w:r>
      <w:r>
        <w:rPr>
          <w:rFonts w:ascii="Times New Roman" w:hAnsi="Times New Roman"/>
          <w:sz w:val="24"/>
        </w:rPr>
        <w:t>.</w:t>
      </w:r>
    </w:p>
    <w:p w14:paraId="25C43FC2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74CEC220" w14:textId="7B00C4ED" w:rsidR="002167DE" w:rsidRPr="00173AD7" w:rsidRDefault="00BB6381" w:rsidP="00BB6381">
      <w:pPr>
        <w:pStyle w:val="Heading2"/>
        <w:tabs>
          <w:tab w:val="left" w:pos="689"/>
        </w:tabs>
        <w:spacing w:before="0"/>
        <w:ind w:left="0"/>
        <w:jc w:val="both"/>
        <w:rPr>
          <w:rFonts w:eastAsia="Verdana" w:cs="Verdana"/>
          <w:noProof/>
        </w:rPr>
      </w:pPr>
      <w:r>
        <w:t xml:space="preserve">3.3. </w:t>
      </w:r>
      <w:r>
        <w:rPr>
          <w:u w:val="single" w:color="000000"/>
        </w:rPr>
        <w:t>Apstiprināšanas procedūras</w:t>
      </w:r>
      <w:r>
        <w:t xml:space="preserve"> pieprasījums no </w:t>
      </w:r>
      <w:r>
        <w:rPr>
          <w:i/>
          <w:iCs/>
          <w:u w:val="single" w:color="000000"/>
        </w:rPr>
        <w:t>APMU</w:t>
      </w:r>
      <w:r>
        <w:t xml:space="preserve">, </w:t>
      </w:r>
      <w:r>
        <w:rPr>
          <w:u w:val="single" w:color="000000"/>
        </w:rPr>
        <w:t>pārbaudes iestādes</w:t>
      </w:r>
      <w:r>
        <w:t xml:space="preserve"> vai </w:t>
      </w:r>
      <w:r>
        <w:rPr>
          <w:i/>
        </w:rPr>
        <w:t>WADA</w:t>
      </w:r>
    </w:p>
    <w:p w14:paraId="606829F1" w14:textId="77777777" w:rsidR="00BB6381" w:rsidRDefault="00BB6381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  <w:u w:val="single" w:color="000000"/>
        </w:rPr>
      </w:pPr>
    </w:p>
    <w:p w14:paraId="2D4A53DE" w14:textId="0FB44176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Steroīdu profila </w:t>
      </w:r>
      <w:r>
        <w:rPr>
          <w:rFonts w:ascii="Times New Roman" w:hAnsi="Times New Roman"/>
          <w:sz w:val="24"/>
          <w:u w:val="single" w:color="000000"/>
        </w:rPr>
        <w:t>apstiprināšanas procedūras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paraugiem</w:t>
      </w:r>
      <w:r>
        <w:rPr>
          <w:rFonts w:ascii="Times New Roman" w:hAnsi="Times New Roman"/>
          <w:sz w:val="24"/>
        </w:rPr>
        <w:t xml:space="preserve"> var veikt arī pēc </w:t>
      </w:r>
      <w:r>
        <w:rPr>
          <w:rFonts w:ascii="Times New Roman" w:hAnsi="Times New Roman"/>
          <w:i/>
          <w:iCs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 w:color="000000"/>
        </w:rPr>
        <w:t>pārbaudes iestādes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WADA</w:t>
      </w:r>
      <w:r>
        <w:rPr>
          <w:rFonts w:ascii="Times New Roman" w:hAnsi="Times New Roman"/>
          <w:sz w:val="24"/>
        </w:rPr>
        <w:t xml:space="preserve"> pieprasījuma.</w:t>
      </w:r>
    </w:p>
    <w:p w14:paraId="11400AE3" w14:textId="77777777" w:rsidR="00BB6381" w:rsidRPr="00173AD7" w:rsidRDefault="00BB6381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17802C3D" w14:textId="77777777" w:rsidR="002167DE" w:rsidRPr="00173AD7" w:rsidRDefault="002167DE" w:rsidP="00173AD7">
      <w:pPr>
        <w:pStyle w:val="BodyText"/>
        <w:spacing w:before="0"/>
        <w:ind w:left="0"/>
        <w:jc w:val="both"/>
        <w:rPr>
          <w:rFonts w:ascii="Times New Roman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Turklāt </w:t>
      </w:r>
      <w:r>
        <w:rPr>
          <w:rFonts w:ascii="Times New Roman" w:hAnsi="Times New Roman"/>
          <w:sz w:val="24"/>
          <w:u w:val="single" w:color="000000"/>
        </w:rPr>
        <w:t>laboratorijai</w:t>
      </w:r>
      <w:r>
        <w:rPr>
          <w:rFonts w:ascii="Times New Roman" w:hAnsi="Times New Roman"/>
          <w:sz w:val="24"/>
        </w:rPr>
        <w:t xml:space="preserve"> var būt noslēgta līgumiska vienošanās ar </w:t>
      </w:r>
      <w:r>
        <w:rPr>
          <w:rFonts w:ascii="Times New Roman" w:hAnsi="Times New Roman"/>
          <w:sz w:val="24"/>
          <w:u w:val="single" w:color="000000"/>
        </w:rPr>
        <w:t>pārbaudes iestādi</w:t>
      </w:r>
      <w:r>
        <w:rPr>
          <w:rFonts w:ascii="Times New Roman" w:hAnsi="Times New Roman"/>
          <w:sz w:val="24"/>
        </w:rPr>
        <w:t xml:space="preserve"> par </w:t>
      </w:r>
      <w:r>
        <w:rPr>
          <w:rFonts w:ascii="Times New Roman" w:hAnsi="Times New Roman"/>
          <w:sz w:val="24"/>
          <w:u w:val="single" w:color="000000"/>
        </w:rPr>
        <w:t>apstiprināšanas procedūras</w:t>
      </w:r>
      <w:r>
        <w:rPr>
          <w:rFonts w:ascii="Times New Roman" w:hAnsi="Times New Roman"/>
          <w:sz w:val="24"/>
        </w:rPr>
        <w:t xml:space="preserve"> veikšanu gadījumos, kad </w:t>
      </w:r>
      <w:r>
        <w:rPr>
          <w:rFonts w:ascii="Times New Roman" w:hAnsi="Times New Roman"/>
          <w:i/>
          <w:sz w:val="24"/>
        </w:rPr>
        <w:t>paraugs</w:t>
      </w:r>
      <w:r>
        <w:rPr>
          <w:rFonts w:ascii="Times New Roman" w:hAnsi="Times New Roman"/>
          <w:sz w:val="24"/>
        </w:rPr>
        <w:t xml:space="preserve"> atbilst jebkuram no “aizdomīga steroīdu profila” analītiskajiem kritērijiem vai kad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ir pieņēmusi lēmumu, pamatojoties uz savu kompetenci. Šādos apstākļos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“aizdomīga steroīdu profila” apstiprināšanu var sākt nekavējoties, negaidot līdz “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iCs/>
          <w:sz w:val="24"/>
        </w:rPr>
        <w:t>CPR</w:t>
      </w:r>
      <w:r>
        <w:rPr>
          <w:rFonts w:ascii="Times New Roman" w:hAnsi="Times New Roman"/>
          <w:sz w:val="24"/>
        </w:rPr>
        <w:t>” vai “</w:t>
      </w:r>
      <w:r>
        <w:rPr>
          <w:rFonts w:ascii="Times New Roman" w:hAnsi="Times New Roman"/>
          <w:i/>
          <w:iCs/>
          <w:sz w:val="24"/>
        </w:rPr>
        <w:t>SSP-CPR</w:t>
      </w:r>
      <w:r>
        <w:rPr>
          <w:rFonts w:ascii="Times New Roman" w:hAnsi="Times New Roman"/>
          <w:sz w:val="24"/>
        </w:rPr>
        <w:t xml:space="preserve">” saņemšanai ar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starpniecību.</w:t>
      </w:r>
    </w:p>
    <w:p w14:paraId="2B2DE9AB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i/>
          <w:noProof/>
          <w:sz w:val="24"/>
          <w:szCs w:val="20"/>
        </w:rPr>
      </w:pPr>
    </w:p>
    <w:p w14:paraId="1B69FFDE" w14:textId="48743911" w:rsidR="002167DE" w:rsidRPr="00173AD7" w:rsidRDefault="00BB6381" w:rsidP="00BB6381">
      <w:pPr>
        <w:pStyle w:val="Heading2"/>
        <w:tabs>
          <w:tab w:val="left" w:pos="598"/>
        </w:tabs>
        <w:spacing w:before="0"/>
        <w:ind w:left="0"/>
        <w:jc w:val="both"/>
        <w:rPr>
          <w:rFonts w:eastAsia="Verdana" w:cs="Verdana"/>
          <w:noProof/>
        </w:rPr>
      </w:pPr>
      <w:r>
        <w:t xml:space="preserve">3.4. </w:t>
      </w:r>
      <w:r>
        <w:rPr>
          <w:i/>
          <w:iCs/>
        </w:rPr>
        <w:t>GC-MS</w:t>
      </w:r>
      <w:r>
        <w:t xml:space="preserve"> vai </w:t>
      </w:r>
      <w:r>
        <w:rPr>
          <w:i/>
          <w:iCs/>
        </w:rPr>
        <w:t>GC-MS/MS</w:t>
      </w:r>
      <w:r>
        <w:t xml:space="preserve"> kvantitatīvās noteikšanas </w:t>
      </w:r>
      <w:r>
        <w:rPr>
          <w:u w:val="single" w:color="000000"/>
        </w:rPr>
        <w:t>apstiprināšanas procedūra</w:t>
      </w:r>
    </w:p>
    <w:p w14:paraId="680A61B9" w14:textId="77777777" w:rsidR="00BB6381" w:rsidRDefault="00BB6381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4C89AAB5" w14:textId="7153D271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identificē (atbilstīgi izklāstam </w:t>
      </w:r>
      <w:r>
        <w:rPr>
          <w:rFonts w:ascii="Times New Roman" w:hAnsi="Times New Roman"/>
          <w:i/>
          <w:iCs/>
          <w:sz w:val="24"/>
        </w:rPr>
        <w:t>TD IDCR</w:t>
      </w:r>
      <w:r>
        <w:rPr>
          <w:rFonts w:ascii="Times New Roman" w:hAnsi="Times New Roman"/>
          <w:sz w:val="24"/>
        </w:rPr>
        <w:t xml:space="preserve"> [6]) un kvantitatīvi nosaka visus steroīdu profila </w:t>
      </w:r>
      <w:r>
        <w:rPr>
          <w:rFonts w:ascii="Times New Roman" w:hAnsi="Times New Roman"/>
          <w:i/>
          <w:sz w:val="24"/>
        </w:rPr>
        <w:t>marķierus</w:t>
      </w:r>
      <w:r>
        <w:rPr>
          <w:rFonts w:ascii="Times New Roman" w:hAnsi="Times New Roman"/>
          <w:sz w:val="24"/>
        </w:rPr>
        <w:t xml:space="preserve"> vienā papildu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alikvotā</w:t>
      </w:r>
      <w:r>
        <w:rPr>
          <w:rFonts w:ascii="Times New Roman" w:hAnsi="Times New Roman"/>
          <w:sz w:val="24"/>
        </w:rPr>
        <w:t xml:space="preserve">, izmantojot validētu </w:t>
      </w:r>
      <w:r>
        <w:rPr>
          <w:rFonts w:ascii="Times New Roman" w:hAnsi="Times New Roman"/>
          <w:sz w:val="24"/>
          <w:u w:val="single" w:color="000000"/>
        </w:rPr>
        <w:t>nolūkam atbilstīgu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GC-MS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GC-MS/MS</w:t>
      </w:r>
      <w:r>
        <w:rPr>
          <w:rFonts w:ascii="Times New Roman" w:hAnsi="Times New Roman"/>
          <w:sz w:val="24"/>
        </w:rPr>
        <w:t xml:space="preserve"> kvantifikācijas metodi.</w:t>
      </w:r>
    </w:p>
    <w:p w14:paraId="37BD29E5" w14:textId="77777777" w:rsidR="00BB6381" w:rsidRPr="00173AD7" w:rsidRDefault="00BB6381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5866D165" w14:textId="77777777" w:rsidR="002167DE" w:rsidRPr="00173AD7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Pirms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analīzes uzsākšanas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kvantitatīvi apstiprina visus steroīdu profila </w:t>
      </w:r>
      <w:r>
        <w:rPr>
          <w:rFonts w:ascii="Times New Roman" w:hAnsi="Times New Roman"/>
          <w:i/>
          <w:sz w:val="24"/>
        </w:rPr>
        <w:t>marķierus</w:t>
      </w:r>
      <w:r>
        <w:rPr>
          <w:rFonts w:ascii="Times New Roman" w:hAnsi="Times New Roman"/>
          <w:sz w:val="24"/>
        </w:rPr>
        <w:t>.</w:t>
      </w:r>
    </w:p>
    <w:p w14:paraId="7B7C0241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5F6F6D66" w14:textId="685E53F1" w:rsidR="002167DE" w:rsidRPr="00173AD7" w:rsidRDefault="00BB6381" w:rsidP="00BB6381">
      <w:pPr>
        <w:tabs>
          <w:tab w:val="left" w:pos="1097"/>
        </w:tabs>
        <w:jc w:val="both"/>
        <w:rPr>
          <w:rFonts w:ascii="Times New Roman" w:eastAsia="Verdana" w:hAnsi="Times New Roman" w:cs="Verdana"/>
          <w:noProof/>
          <w:sz w:val="24"/>
          <w:szCs w:val="23"/>
        </w:rPr>
      </w:pPr>
      <w:r>
        <w:rPr>
          <w:rFonts w:ascii="Times New Roman" w:hAnsi="Times New Roman"/>
          <w:sz w:val="24"/>
        </w:rPr>
        <w:t xml:space="preserve">3.4.1. </w:t>
      </w:r>
      <w:r>
        <w:rPr>
          <w:rFonts w:ascii="Times New Roman" w:hAnsi="Times New Roman"/>
          <w:i/>
          <w:iCs/>
          <w:sz w:val="24"/>
        </w:rPr>
        <w:t>GC-MS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GC-MS/MS</w:t>
      </w:r>
      <w:r>
        <w:rPr>
          <w:rFonts w:ascii="Times New Roman" w:hAnsi="Times New Roman"/>
          <w:sz w:val="24"/>
        </w:rPr>
        <w:t xml:space="preserve"> kvantitatīvās noteikšanas </w:t>
      </w:r>
      <w:r>
        <w:rPr>
          <w:rFonts w:ascii="Times New Roman" w:hAnsi="Times New Roman"/>
          <w:sz w:val="24"/>
          <w:u w:val="single" w:color="000000"/>
        </w:rPr>
        <w:t>apstiprināšanas procedūras</w:t>
      </w:r>
      <w:r>
        <w:rPr>
          <w:rFonts w:ascii="Times New Roman" w:hAnsi="Times New Roman"/>
          <w:sz w:val="24"/>
        </w:rPr>
        <w:t xml:space="preserve"> metodes raksturlielumi</w:t>
      </w:r>
    </w:p>
    <w:p w14:paraId="47A2BD6D" w14:textId="77777777" w:rsidR="00BB6381" w:rsidRDefault="00BB6381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50C4D093" w14:textId="67D00FFF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Piemēro tās pašas analītiskās prasības, kas izklāstītas 2.1. punktā, piemērojot šādas izmaiņas:</w:t>
      </w:r>
    </w:p>
    <w:p w14:paraId="34029C21" w14:textId="77777777" w:rsidR="00BB6381" w:rsidRPr="00173AD7" w:rsidRDefault="00BB6381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4723594F" w14:textId="377D9529" w:rsidR="00173AD7" w:rsidRPr="00BB6381" w:rsidRDefault="002167DE" w:rsidP="00BB6381">
      <w:pPr>
        <w:pStyle w:val="BodyText"/>
        <w:numPr>
          <w:ilvl w:val="3"/>
          <w:numId w:val="5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cietās fāzes ekstrakciju (</w:t>
      </w:r>
      <w:r>
        <w:rPr>
          <w:rFonts w:ascii="Times New Roman" w:hAnsi="Times New Roman"/>
          <w:i/>
          <w:iCs/>
          <w:sz w:val="24"/>
        </w:rPr>
        <w:t>SPE</w:t>
      </w:r>
      <w:r>
        <w:rPr>
          <w:rFonts w:ascii="Times New Roman" w:hAnsi="Times New Roman"/>
          <w:sz w:val="24"/>
        </w:rPr>
        <w:t xml:space="preserve">) veic pirms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enzimātiskās hidrolīzes;</w:t>
      </w:r>
    </w:p>
    <w:p w14:paraId="526C99DD" w14:textId="77777777" w:rsidR="002167DE" w:rsidRPr="00173AD7" w:rsidRDefault="002167DE" w:rsidP="00BB6381">
      <w:pPr>
        <w:pStyle w:val="BodyText"/>
        <w:numPr>
          <w:ilvl w:val="3"/>
          <w:numId w:val="5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iekļauj kalibrēšanas standartus un urīna </w:t>
      </w:r>
      <w:r>
        <w:rPr>
          <w:rFonts w:ascii="Times New Roman" w:hAnsi="Times New Roman"/>
          <w:i/>
          <w:iCs/>
          <w:sz w:val="24"/>
        </w:rPr>
        <w:t>QC</w:t>
      </w:r>
      <w:r>
        <w:rPr>
          <w:rFonts w:ascii="Times New Roman" w:hAnsi="Times New Roman"/>
          <w:sz w:val="24"/>
        </w:rPr>
        <w:t xml:space="preserve"> paraugus, kas satur reprezentatīvus steroīdu profila </w:t>
      </w:r>
      <w:r>
        <w:rPr>
          <w:rFonts w:ascii="Times New Roman" w:hAnsi="Times New Roman"/>
          <w:i/>
          <w:sz w:val="24"/>
        </w:rPr>
        <w:t>marķieru</w:t>
      </w:r>
      <w:r>
        <w:rPr>
          <w:rFonts w:ascii="Times New Roman" w:hAnsi="Times New Roman"/>
          <w:sz w:val="24"/>
        </w:rPr>
        <w:t xml:space="preserve"> līmeņus;</w:t>
      </w:r>
    </w:p>
    <w:p w14:paraId="2B578808" w14:textId="7EF1F1F9" w:rsidR="002167DE" w:rsidRPr="00173AD7" w:rsidRDefault="002167DE" w:rsidP="00BB6381">
      <w:pPr>
        <w:pStyle w:val="BodyText"/>
        <w:numPr>
          <w:ilvl w:val="3"/>
          <w:numId w:val="5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z w:val="24"/>
          <w:vertAlign w:val="subscript"/>
        </w:rPr>
        <w:t>c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(%) 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 xml:space="preserve"> noteikšanai nedrīkst būt lielāka par 15 % koncentrācijā, kas atbilst pieckārtīgai attiecīgajai </w:t>
      </w:r>
      <w:r>
        <w:rPr>
          <w:rFonts w:ascii="Times New Roman" w:hAnsi="Times New Roman"/>
          <w:i/>
          <w:iCs/>
          <w:sz w:val="24"/>
        </w:rPr>
        <w:t>LOQ</w:t>
      </w:r>
      <w:r>
        <w:rPr>
          <w:rFonts w:ascii="Times New Roman" w:hAnsi="Times New Roman"/>
          <w:sz w:val="24"/>
        </w:rPr>
        <w:t>;</w:t>
      </w:r>
    </w:p>
    <w:p w14:paraId="580A6D7A" w14:textId="0C99B390" w:rsidR="002167DE" w:rsidRPr="00173AD7" w:rsidRDefault="002167DE" w:rsidP="00BB6381">
      <w:pPr>
        <w:pStyle w:val="BodyText"/>
        <w:numPr>
          <w:ilvl w:val="3"/>
          <w:numId w:val="5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lai noteiktu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proporcijas,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z w:val="24"/>
          <w:vertAlign w:val="subscript"/>
        </w:rPr>
        <w:t xml:space="preserve">c </w:t>
      </w:r>
      <w:r>
        <w:rPr>
          <w:rFonts w:ascii="Times New Roman" w:hAnsi="Times New Roman"/>
          <w:sz w:val="24"/>
        </w:rPr>
        <w:t xml:space="preserve">(%) nedrīkst būt lielāka par 15 %, ja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koncentrācija ir augstāka par 5 ng/ml.</w:t>
      </w:r>
    </w:p>
    <w:p w14:paraId="2316C19B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3B0E1A72" w14:textId="10B1B54E" w:rsidR="002167DE" w:rsidRPr="00173AD7" w:rsidRDefault="00BB6381" w:rsidP="00BB6381">
      <w:pPr>
        <w:pStyle w:val="Heading2"/>
        <w:tabs>
          <w:tab w:val="left" w:pos="746"/>
        </w:tabs>
        <w:spacing w:before="0"/>
        <w:ind w:left="0"/>
        <w:jc w:val="both"/>
        <w:rPr>
          <w:rFonts w:eastAsia="Verdana" w:cs="Verdana"/>
          <w:noProof/>
        </w:rPr>
      </w:pPr>
      <w:r>
        <w:t xml:space="preserve">3.5. </w:t>
      </w:r>
      <w:r>
        <w:rPr>
          <w:i/>
          <w:iCs/>
        </w:rPr>
        <w:t>GC/C/IRMS</w:t>
      </w:r>
      <w:r>
        <w:t xml:space="preserve"> </w:t>
      </w:r>
      <w:r>
        <w:rPr>
          <w:u w:val="single" w:color="000000"/>
        </w:rPr>
        <w:t>apstiprināšanas procedūra</w:t>
      </w:r>
    </w:p>
    <w:p w14:paraId="6A7D62CD" w14:textId="77777777" w:rsidR="00BB6381" w:rsidRDefault="00BB6381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271957AA" w14:textId="674448B5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apstiprināšanas procedūras</w:t>
      </w:r>
      <w:r>
        <w:rPr>
          <w:rFonts w:ascii="Times New Roman" w:hAnsi="Times New Roman"/>
          <w:sz w:val="24"/>
        </w:rPr>
        <w:t xml:space="preserve"> tehniskās prasības un ziņošanas prasības ir izklāstītas </w:t>
      </w:r>
      <w:r>
        <w:rPr>
          <w:rFonts w:ascii="Times New Roman" w:hAnsi="Times New Roman"/>
          <w:i/>
          <w:iCs/>
          <w:sz w:val="24"/>
        </w:rPr>
        <w:t>TD IRMS</w:t>
      </w:r>
      <w:r>
        <w:rPr>
          <w:rFonts w:ascii="Times New Roman" w:hAnsi="Times New Roman"/>
          <w:sz w:val="24"/>
        </w:rPr>
        <w:t xml:space="preserve"> [1].</w:t>
      </w:r>
    </w:p>
    <w:p w14:paraId="41A639B8" w14:textId="77777777" w:rsidR="00BB6381" w:rsidRPr="00173AD7" w:rsidRDefault="00BB6381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1244DCD8" w14:textId="77777777" w:rsidR="002167DE" w:rsidRPr="00173AD7" w:rsidRDefault="002167DE" w:rsidP="00BB6381">
      <w:pPr>
        <w:pStyle w:val="BodyText"/>
        <w:numPr>
          <w:ilvl w:val="2"/>
          <w:numId w:val="4"/>
        </w:numPr>
        <w:spacing w:before="0"/>
        <w:ind w:left="426" w:hanging="426"/>
        <w:jc w:val="both"/>
        <w:rPr>
          <w:rFonts w:ascii="Times New Roman" w:hAnsi="Times New Roman" w:cs="Verdana"/>
          <w:noProof/>
          <w:sz w:val="24"/>
        </w:rPr>
      </w:pP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iCs/>
          <w:sz w:val="24"/>
        </w:rPr>
        <w:t>CPR</w:t>
      </w:r>
      <w:r>
        <w:rPr>
          <w:rFonts w:ascii="Times New Roman" w:hAnsi="Times New Roman"/>
          <w:sz w:val="24"/>
        </w:rPr>
        <w:t xml:space="preserve"> gadījumā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 nav obligāta, ja apstiprinātā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vērtība ir zemāka par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apstiprināšanas robežu, kas aprēķināta, izmantojot </w:t>
      </w:r>
      <w:r>
        <w:rPr>
          <w:rFonts w:ascii="Times New Roman" w:hAnsi="Times New Roman"/>
          <w:sz w:val="24"/>
          <w:u w:val="single" w:color="000000"/>
        </w:rPr>
        <w:t>adaptīvo modeli</w:t>
      </w:r>
      <w:r>
        <w:rPr>
          <w:rFonts w:ascii="Times New Roman" w:hAnsi="Times New Roman"/>
          <w:sz w:val="24"/>
        </w:rPr>
        <w:t xml:space="preserve">, un ir norādīta </w:t>
      </w:r>
      <w:r>
        <w:rPr>
          <w:rFonts w:ascii="Times New Roman" w:hAnsi="Times New Roman"/>
          <w:i/>
          <w:sz w:val="24"/>
        </w:rPr>
        <w:t>ATPF-CPR</w:t>
      </w:r>
      <w:r>
        <w:rPr>
          <w:rFonts w:ascii="Times New Roman" w:hAnsi="Times New Roman"/>
          <w:sz w:val="24"/>
        </w:rPr>
        <w:t xml:space="preserve"> paziņojumā, kas saņemts no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>.</w:t>
      </w:r>
    </w:p>
    <w:p w14:paraId="76D8F3E7" w14:textId="77777777" w:rsidR="002167DE" w:rsidRPr="00173AD7" w:rsidRDefault="002167DE" w:rsidP="00BB6381">
      <w:pPr>
        <w:pStyle w:val="BodyText"/>
        <w:numPr>
          <w:ilvl w:val="2"/>
          <w:numId w:val="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Citu </w:t>
      </w:r>
      <w:r>
        <w:rPr>
          <w:rFonts w:ascii="Times New Roman" w:hAnsi="Times New Roman"/>
          <w:sz w:val="24"/>
          <w:u w:val="single" w:color="000000"/>
        </w:rPr>
        <w:t>apstiprināšanas procedūras</w:t>
      </w:r>
      <w:r>
        <w:rPr>
          <w:rFonts w:ascii="Times New Roman" w:hAnsi="Times New Roman"/>
          <w:sz w:val="24"/>
        </w:rPr>
        <w:t xml:space="preserve"> pieprasījumu gadījumā (</w:t>
      </w:r>
      <w:r>
        <w:rPr>
          <w:rFonts w:ascii="Times New Roman" w:hAnsi="Times New Roman"/>
          <w:i/>
          <w:sz w:val="24"/>
        </w:rPr>
        <w:t>t. i.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SSP-CPR</w:t>
      </w:r>
      <w:r>
        <w:rPr>
          <w:rFonts w:ascii="Times New Roman" w:hAnsi="Times New Roman"/>
          <w:sz w:val="24"/>
        </w:rPr>
        <w:t xml:space="preserve"> vai pēc </w:t>
      </w:r>
      <w:r>
        <w:rPr>
          <w:rFonts w:ascii="Times New Roman" w:hAnsi="Times New Roman"/>
          <w:i/>
          <w:iCs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u w:val="single" w:color="000000"/>
        </w:rPr>
        <w:t>pārbaudes iestādes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sz w:val="24"/>
        </w:rPr>
        <w:t xml:space="preserve">WADA </w:t>
      </w:r>
      <w:r>
        <w:rPr>
          <w:rFonts w:ascii="Times New Roman" w:hAnsi="Times New Roman"/>
          <w:sz w:val="24"/>
        </w:rPr>
        <w:t xml:space="preserve">pieprasījuma), ja kvantitatīvā </w:t>
      </w:r>
      <w:r>
        <w:rPr>
          <w:rFonts w:ascii="Times New Roman" w:hAnsi="Times New Roman"/>
          <w:i/>
          <w:iCs/>
          <w:sz w:val="24"/>
        </w:rPr>
        <w:t>GC-MS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GC-MS/MS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apstiprināšanas procedūra</w:t>
      </w:r>
      <w:r>
        <w:rPr>
          <w:rFonts w:ascii="Times New Roman" w:hAnsi="Times New Roman"/>
          <w:sz w:val="24"/>
        </w:rPr>
        <w:t xml:space="preserve"> neapstiprina vērtības, kas paziņotas pēc </w:t>
      </w:r>
      <w:r>
        <w:rPr>
          <w:rFonts w:ascii="Times New Roman" w:hAnsi="Times New Roman"/>
          <w:sz w:val="24"/>
          <w:u w:val="single" w:color="000000"/>
        </w:rPr>
        <w:t>sākotnējās pārbaudes procedūras</w:t>
      </w:r>
      <w:r>
        <w:rPr>
          <w:rFonts w:ascii="Times New Roman" w:hAnsi="Times New Roman"/>
          <w:sz w:val="24"/>
        </w:rPr>
        <w:t xml:space="preserve"> (ņemot vērā mērījuma paplašināto nenoteiktību),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apspriežas ar </w:t>
      </w:r>
      <w:r>
        <w:rPr>
          <w:rFonts w:ascii="Times New Roman" w:hAnsi="Times New Roman"/>
          <w:sz w:val="24"/>
          <w:u w:val="single" w:color="000000"/>
        </w:rPr>
        <w:t>pārbaudes iestādi</w:t>
      </w:r>
      <w:r>
        <w:rPr>
          <w:rFonts w:ascii="Times New Roman" w:hAnsi="Times New Roman"/>
          <w:sz w:val="24"/>
        </w:rPr>
        <w:t xml:space="preserve">, lai noteiktu, vai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 ir nepieciešama. Šādos gadījumos </w:t>
      </w:r>
      <w:r>
        <w:rPr>
          <w:rFonts w:ascii="Times New Roman" w:hAnsi="Times New Roman"/>
          <w:sz w:val="24"/>
          <w:u w:val="single" w:color="000000"/>
        </w:rPr>
        <w:t>pārbaudes iestāde</w:t>
      </w:r>
      <w:r>
        <w:rPr>
          <w:rFonts w:ascii="Times New Roman" w:hAnsi="Times New Roman"/>
          <w:sz w:val="24"/>
        </w:rPr>
        <w:t xml:space="preserve"> apspriežas ar </w:t>
      </w:r>
      <w:r>
        <w:rPr>
          <w:rFonts w:ascii="Times New Roman" w:hAnsi="Times New Roman"/>
          <w:sz w:val="24"/>
          <w:u w:val="single" w:color="000000"/>
        </w:rPr>
        <w:t>organizācijas, kas atbild par pasi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 xml:space="preserve">, lai novērtētu, vai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 joprojām ir nepieciešama. Ja uzskata, ka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 nav nepieciešama,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atjaunina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ziņojumu par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, ievadot jaunās apstiprinātās steroīdu profila vērtības, un pievieno piezīmi, kurā norāda, ka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 nebija nepieciešama. </w:t>
      </w:r>
      <w:r>
        <w:rPr>
          <w:rFonts w:ascii="Times New Roman" w:hAnsi="Times New Roman"/>
          <w:i/>
          <w:iCs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 xml:space="preserve"> atjaunina arī </w:t>
      </w:r>
      <w:r>
        <w:rPr>
          <w:rFonts w:ascii="Times New Roman" w:hAnsi="Times New Roman"/>
          <w:i/>
          <w:iCs/>
          <w:sz w:val="24"/>
          <w:u w:val="single" w:color="000000"/>
        </w:rPr>
        <w:t>APMU</w:t>
      </w:r>
      <w:r>
        <w:rPr>
          <w:rFonts w:ascii="Times New Roman" w:hAnsi="Times New Roman"/>
          <w:sz w:val="24"/>
          <w:u w:val="single" w:color="000000"/>
        </w:rPr>
        <w:t xml:space="preserve"> ziņojumu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, paskaidrojot, kāpēc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apstiprināšanas procedūra</w:t>
      </w:r>
      <w:r>
        <w:rPr>
          <w:rFonts w:ascii="Times New Roman" w:hAnsi="Times New Roman"/>
          <w:sz w:val="24"/>
        </w:rPr>
        <w:t xml:space="preserve"> nebija nepieciešama.</w:t>
      </w:r>
    </w:p>
    <w:p w14:paraId="3226187F" w14:textId="77777777" w:rsidR="00173AD7" w:rsidRPr="00173AD7" w:rsidRDefault="00173AD7" w:rsidP="00173AD7">
      <w:pPr>
        <w:jc w:val="both"/>
        <w:rPr>
          <w:rFonts w:ascii="Times New Roman" w:hAnsi="Times New Roman"/>
          <w:noProof/>
          <w:sz w:val="24"/>
        </w:rPr>
      </w:pPr>
    </w:p>
    <w:p w14:paraId="7402C003" w14:textId="12D81B2D" w:rsidR="002167DE" w:rsidRPr="00173AD7" w:rsidRDefault="00BB6381" w:rsidP="00BB6381">
      <w:pPr>
        <w:pStyle w:val="Heading2"/>
        <w:tabs>
          <w:tab w:val="left" w:pos="660"/>
        </w:tabs>
        <w:spacing w:before="0"/>
        <w:ind w:left="0"/>
        <w:jc w:val="both"/>
        <w:rPr>
          <w:rFonts w:eastAsia="Verdana" w:cs="Verdana"/>
          <w:noProof/>
        </w:rPr>
      </w:pPr>
      <w:r>
        <w:t xml:space="preserve">3.6. Ziņošana par </w:t>
      </w:r>
      <w:r>
        <w:rPr>
          <w:u w:val="single" w:color="000000"/>
        </w:rPr>
        <w:t>apstiprināšanas procedūras</w:t>
      </w:r>
      <w:r>
        <w:t xml:space="preserve"> rezultātiem</w:t>
      </w:r>
    </w:p>
    <w:p w14:paraId="3BA454E7" w14:textId="77777777" w:rsidR="00BB6381" w:rsidRDefault="00BB6381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288D1FD0" w14:textId="36A2461E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Pēc “A” vai “B”</w:t>
      </w:r>
      <w:r>
        <w:rPr>
          <w:rFonts w:ascii="Times New Roman" w:hAnsi="Times New Roman"/>
          <w:i/>
          <w:sz w:val="24"/>
        </w:rPr>
        <w:t xml:space="preserve"> parauga</w:t>
      </w:r>
      <w:r w:rsidR="00BB6381">
        <w:rPr>
          <w:rStyle w:val="FootnoteReference"/>
          <w:rFonts w:ascii="Times New Roman" w:hAnsi="Times New Roman" w:cs="Verdana"/>
          <w:i/>
          <w:noProof/>
          <w:sz w:val="24"/>
        </w:rPr>
        <w:footnoteReference w:id="18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apstiprināšanas procedūras(-u)</w:t>
      </w:r>
      <w:r>
        <w:rPr>
          <w:rFonts w:ascii="Times New Roman" w:hAnsi="Times New Roman"/>
          <w:sz w:val="24"/>
        </w:rPr>
        <w:t xml:space="preserve"> izpildes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paziņo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>:</w:t>
      </w:r>
    </w:p>
    <w:p w14:paraId="563C3441" w14:textId="77777777" w:rsidR="00BB6381" w:rsidRPr="00173AD7" w:rsidRDefault="00BB6381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28048610" w14:textId="534C854D" w:rsidR="002167DE" w:rsidRPr="00BB6381" w:rsidRDefault="002167DE" w:rsidP="00BB6381">
      <w:pPr>
        <w:pStyle w:val="BodyText"/>
        <w:numPr>
          <w:ilvl w:val="2"/>
          <w:numId w:val="4"/>
        </w:numPr>
        <w:spacing w:before="0"/>
        <w:ind w:left="426" w:hanging="426"/>
        <w:jc w:val="both"/>
        <w:rPr>
          <w:rFonts w:ascii="Times New Roman" w:hAnsi="Times New Roman" w:cs="Verdana"/>
          <w:noProof/>
          <w:sz w:val="24"/>
        </w:rPr>
      </w:pP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sz w:val="24"/>
          <w:vertAlign w:val="superscript"/>
        </w:rPr>
        <w:t>7</w:t>
      </w:r>
      <w:r>
        <w:rPr>
          <w:rFonts w:ascii="Times New Roman" w:hAnsi="Times New Roman"/>
          <w:sz w:val="24"/>
        </w:rPr>
        <w:t xml:space="preserve"> (kas noteikts attiecīgi “A” vai “B”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jaunajai </w:t>
      </w:r>
      <w:r>
        <w:rPr>
          <w:rFonts w:ascii="Times New Roman" w:hAnsi="Times New Roman"/>
          <w:sz w:val="24"/>
          <w:u w:val="single" w:color="000000"/>
        </w:rPr>
        <w:t>alikvotai</w:t>
      </w:r>
      <w:r>
        <w:rPr>
          <w:rFonts w:ascii="Times New Roman" w:hAnsi="Times New Roman"/>
          <w:sz w:val="24"/>
        </w:rPr>
        <w:t>);</w:t>
      </w:r>
    </w:p>
    <w:p w14:paraId="5097C93C" w14:textId="77777777" w:rsidR="002167DE" w:rsidRPr="00173AD7" w:rsidRDefault="002167DE" w:rsidP="00BB6381">
      <w:pPr>
        <w:pStyle w:val="BodyText"/>
        <w:numPr>
          <w:ilvl w:val="2"/>
          <w:numId w:val="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apstiprinātās steroīdu profila </w:t>
      </w:r>
      <w:r>
        <w:rPr>
          <w:rFonts w:ascii="Times New Roman" w:hAnsi="Times New Roman"/>
          <w:i/>
          <w:sz w:val="24"/>
        </w:rPr>
        <w:t>marķieru</w:t>
      </w:r>
      <w:r>
        <w:rPr>
          <w:rFonts w:ascii="Times New Roman" w:hAnsi="Times New Roman"/>
          <w:sz w:val="24"/>
        </w:rPr>
        <w:t xml:space="preserve"> vērtības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koncentrācijas vērtības,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proporcija), neveicot pielīdzināšanu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  <w:vertAlign w:val="superscript"/>
        </w:rPr>
        <w:t>8, 9, 11</w:t>
      </w:r>
    </w:p>
    <w:p w14:paraId="6A0FF031" w14:textId="77777777" w:rsidR="002167DE" w:rsidRPr="00173AD7" w:rsidRDefault="002167DE" w:rsidP="00BB6381">
      <w:pPr>
        <w:pStyle w:val="BodyText"/>
        <w:numPr>
          <w:ilvl w:val="2"/>
          <w:numId w:val="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saistīto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z w:val="24"/>
          <w:vertAlign w:val="subscript"/>
        </w:rPr>
        <w:t>c</w:t>
      </w:r>
      <w:r>
        <w:rPr>
          <w:rFonts w:ascii="Times New Roman" w:hAnsi="Times New Roman"/>
          <w:sz w:val="24"/>
        </w:rPr>
        <w:t>, kas izteikta mērvienībās;</w:t>
      </w:r>
    </w:p>
    <w:p w14:paraId="007E6923" w14:textId="77777777" w:rsidR="002167DE" w:rsidRPr="00173AD7" w:rsidRDefault="002167DE" w:rsidP="00BB6381">
      <w:pPr>
        <w:pStyle w:val="BodyText"/>
        <w:numPr>
          <w:ilvl w:val="2"/>
          <w:numId w:val="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apstiprināšanas rezultātus, ja tie ir noteikti (skat. 3.5. punktu un </w:t>
      </w:r>
      <w:r>
        <w:rPr>
          <w:rFonts w:ascii="Times New Roman" w:hAnsi="Times New Roman"/>
          <w:i/>
          <w:iCs/>
          <w:sz w:val="24"/>
        </w:rPr>
        <w:t>TD IRMS</w:t>
      </w:r>
      <w:r>
        <w:rPr>
          <w:rFonts w:ascii="Times New Roman" w:hAnsi="Times New Roman"/>
          <w:sz w:val="24"/>
        </w:rPr>
        <w:t xml:space="preserve"> [1]);</w:t>
      </w:r>
    </w:p>
    <w:p w14:paraId="0C941552" w14:textId="592990E8" w:rsidR="002167DE" w:rsidRPr="00173AD7" w:rsidRDefault="002167DE" w:rsidP="00BB6381">
      <w:pPr>
        <w:pStyle w:val="BodyText"/>
        <w:numPr>
          <w:ilvl w:val="2"/>
          <w:numId w:val="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apstiprinātos mikrobioloģiskā piesārņojuma pazīmju rezultātus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5αAND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5βAND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i/>
          <w:iCs/>
          <w:sz w:val="24"/>
          <w:vertAlign w:val="subscript"/>
        </w:rPr>
        <w:t>free</w:t>
      </w:r>
      <w:r>
        <w:rPr>
          <w:rFonts w:ascii="Times New Roman" w:hAnsi="Times New Roman"/>
          <w:sz w:val="24"/>
        </w:rPr>
        <w:t xml:space="preserve"> /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i/>
          <w:iCs/>
          <w:sz w:val="24"/>
          <w:vertAlign w:val="subscript"/>
        </w:rPr>
        <w:t>total</w:t>
      </w:r>
      <w:r w:rsidR="00BB6381">
        <w:rPr>
          <w:rStyle w:val="FootnoteReference"/>
          <w:rFonts w:ascii="Times New Roman" w:hAnsi="Times New Roman"/>
          <w:noProof/>
          <w:sz w:val="24"/>
          <w:szCs w:val="14"/>
        </w:rPr>
        <w:footnoteReference w:id="19"/>
      </w:r>
      <w:r>
        <w:rPr>
          <w:rFonts w:ascii="Times New Roman" w:hAnsi="Times New Roman"/>
          <w:sz w:val="24"/>
        </w:rPr>
        <w:t>);</w:t>
      </w:r>
    </w:p>
    <w:p w14:paraId="2802A7B5" w14:textId="19C20BA6" w:rsidR="002167DE" w:rsidRPr="00173AD7" w:rsidRDefault="002167DE" w:rsidP="00BB6381">
      <w:pPr>
        <w:pStyle w:val="BodyText"/>
        <w:numPr>
          <w:ilvl w:val="2"/>
          <w:numId w:val="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apstiprinātu etanola, 5α-reduktāzes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finasterīda) inhibitoru, ketokonazola konjugētā(-o) </w:t>
      </w:r>
      <w:r>
        <w:rPr>
          <w:rFonts w:ascii="Times New Roman" w:hAnsi="Times New Roman"/>
          <w:i/>
          <w:sz w:val="24"/>
        </w:rPr>
        <w:t>metabolīta(-u)</w:t>
      </w:r>
      <w:r>
        <w:rPr>
          <w:rFonts w:ascii="Times New Roman" w:hAnsi="Times New Roman"/>
          <w:sz w:val="24"/>
        </w:rPr>
        <w:t xml:space="preserve"> vai citu vielu esību vai neesību, kas attiecīgi varētu būt mainījušas steroīdu profilu.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ziņo par apstiprinātajiem aprēķinātajiem līmeņiem, ja tie pārsniedz 5 μg/ml (nepaziņojot šā noteiktā rezultāta </w:t>
      </w:r>
      <w:r>
        <w:rPr>
          <w:rFonts w:ascii="Times New Roman" w:hAnsi="Times New Roman"/>
          <w:sz w:val="24"/>
          <w:u w:val="single" w:color="000000"/>
        </w:rPr>
        <w:t>mērījuma nenoteiktību</w:t>
      </w:r>
      <w:r>
        <w:rPr>
          <w:rFonts w:ascii="Times New Roman" w:hAnsi="Times New Roman"/>
          <w:sz w:val="24"/>
        </w:rPr>
        <w:t>).</w:t>
      </w:r>
    </w:p>
    <w:p w14:paraId="4334827B" w14:textId="77777777" w:rsidR="00BB6381" w:rsidRDefault="00BB6381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08E8A396" w14:textId="5EAD8E2F" w:rsidR="002167DE" w:rsidRPr="00173AD7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Pēc steroīdu profila apstiprināšanas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atjaunina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pārbaudes rezultāta ierakstu (kā </w:t>
      </w:r>
      <w:r>
        <w:rPr>
          <w:rFonts w:ascii="Times New Roman" w:hAnsi="Times New Roman"/>
          <w:i/>
          <w:sz w:val="24"/>
        </w:rPr>
        <w:t>AAF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ATF</w:t>
      </w:r>
      <w:r>
        <w:rPr>
          <w:rFonts w:ascii="Times New Roman" w:hAnsi="Times New Roman"/>
          <w:sz w:val="24"/>
        </w:rPr>
        <w:t xml:space="preserve"> vai “Negatīvs”), pamatojoties uz rezultātiem, kas saskaņā ar </w:t>
      </w:r>
      <w:r>
        <w:rPr>
          <w:rFonts w:ascii="Times New Roman" w:hAnsi="Times New Roman"/>
          <w:i/>
          <w:iCs/>
          <w:sz w:val="24"/>
        </w:rPr>
        <w:t>TD IRMS</w:t>
      </w:r>
      <w:r>
        <w:rPr>
          <w:rFonts w:ascii="Times New Roman" w:hAnsi="Times New Roman"/>
          <w:sz w:val="24"/>
        </w:rPr>
        <w:t xml:space="preserve"> [1] iegūti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apstiprināšanas procedūrā</w:t>
      </w:r>
      <w:r>
        <w:rPr>
          <w:rFonts w:ascii="Times New Roman" w:hAnsi="Times New Roman"/>
          <w:sz w:val="24"/>
        </w:rPr>
        <w:t>, ja tā ir veikta).</w:t>
      </w:r>
    </w:p>
    <w:p w14:paraId="2010F7CC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72608A29" w14:textId="209947DC" w:rsidR="002167DE" w:rsidRDefault="00EC186F" w:rsidP="00EC186F">
      <w:pPr>
        <w:tabs>
          <w:tab w:val="left" w:pos="840"/>
        </w:tabs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3.7. Papildu analīzes: steroīdu esteris(-i) un DNS</w:t>
      </w:r>
    </w:p>
    <w:p w14:paraId="33667AF8" w14:textId="77777777" w:rsidR="00EC186F" w:rsidRPr="00173AD7" w:rsidRDefault="00EC186F" w:rsidP="00EC186F">
      <w:pPr>
        <w:tabs>
          <w:tab w:val="left" w:pos="840"/>
        </w:tabs>
        <w:jc w:val="both"/>
        <w:rPr>
          <w:rFonts w:ascii="Times New Roman" w:hAnsi="Times New Roman"/>
          <w:noProof/>
          <w:sz w:val="24"/>
        </w:rPr>
      </w:pPr>
    </w:p>
    <w:p w14:paraId="7CA14598" w14:textId="7D8850D6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vienādi asins </w:t>
      </w:r>
      <w:r>
        <w:rPr>
          <w:rFonts w:ascii="Times New Roman" w:hAnsi="Times New Roman"/>
          <w:i/>
          <w:sz w:val="24"/>
        </w:rPr>
        <w:t>paraugi</w:t>
      </w:r>
      <w:r>
        <w:rPr>
          <w:rFonts w:ascii="Times New Roman" w:hAnsi="Times New Roman"/>
          <w:sz w:val="24"/>
        </w:rPr>
        <w:t xml:space="preserve"> ir savākti tajā pašā </w:t>
      </w:r>
      <w:r>
        <w:rPr>
          <w:rFonts w:ascii="Times New Roman" w:hAnsi="Times New Roman"/>
          <w:sz w:val="24"/>
          <w:u w:val="single" w:color="000000"/>
        </w:rPr>
        <w:t>paraugu savākšanas procesā</w:t>
      </w:r>
      <w:r>
        <w:rPr>
          <w:rFonts w:ascii="Times New Roman" w:hAnsi="Times New Roman"/>
          <w:sz w:val="24"/>
        </w:rPr>
        <w:t xml:space="preserve">, kad savākti urīna </w:t>
      </w:r>
      <w:r>
        <w:rPr>
          <w:rFonts w:ascii="Times New Roman" w:hAnsi="Times New Roman"/>
          <w:i/>
          <w:iCs/>
          <w:sz w:val="24"/>
        </w:rPr>
        <w:t>paraugi</w:t>
      </w:r>
      <w:r>
        <w:rPr>
          <w:rFonts w:ascii="Times New Roman" w:hAnsi="Times New Roman"/>
          <w:sz w:val="24"/>
        </w:rPr>
        <w:t xml:space="preserve">, kuros identificēts netipisks vai aizdomīgs steroīdu profils, </w:t>
      </w:r>
      <w:r>
        <w:rPr>
          <w:rFonts w:ascii="Times New Roman" w:hAnsi="Times New Roman"/>
          <w:sz w:val="24"/>
          <w:u w:val="single" w:color="000000"/>
        </w:rPr>
        <w:t>laboratorijām</w:t>
      </w:r>
      <w:r>
        <w:rPr>
          <w:rFonts w:ascii="Times New Roman" w:hAnsi="Times New Roman"/>
          <w:sz w:val="24"/>
        </w:rPr>
        <w:t xml:space="preserve">, apspriežoties ar </w:t>
      </w:r>
      <w:r>
        <w:rPr>
          <w:rFonts w:ascii="Times New Roman" w:hAnsi="Times New Roman"/>
          <w:sz w:val="24"/>
          <w:u w:val="single" w:color="000000"/>
        </w:rPr>
        <w:t>pārbaudes iestādi</w:t>
      </w:r>
      <w:r>
        <w:rPr>
          <w:rFonts w:ascii="Times New Roman" w:hAnsi="Times New Roman"/>
          <w:sz w:val="24"/>
        </w:rPr>
        <w:t>, jāapsver iespēja veikt analīzi, lai saistītajā serumā/plazmā noteiktu steroīdu estera(-u) klātbūtni.</w:t>
      </w:r>
    </w:p>
    <w:p w14:paraId="71920C4A" w14:textId="77777777" w:rsidR="00EC186F" w:rsidRPr="00173AD7" w:rsidRDefault="00EC186F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51F7DE6A" w14:textId="0AEE581D" w:rsidR="002167DE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Analīzes steroīdu estera(-u) klātbūtnes apstiprināšanai serumā/plazmā ir ieteicams veikt pirms urīna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analīzes. Steroīdu estera(-u) klātbūtnes noteikšana serumā/plazmā arī ir uzskatāma par nepārprotamu steroīda(-u) eksogēnas izcelsmes pierādījumu. Turpretim nosakāma steroīdu estera(-u) neesība serumā/plazmā neatceļ </w:t>
      </w:r>
      <w:r>
        <w:rPr>
          <w:rFonts w:ascii="Times New Roman" w:hAnsi="Times New Roman"/>
          <w:i/>
          <w:sz w:val="24"/>
        </w:rPr>
        <w:t>AAF</w:t>
      </w:r>
      <w:r>
        <w:rPr>
          <w:rFonts w:ascii="Times New Roman" w:hAnsi="Times New Roman"/>
          <w:sz w:val="24"/>
        </w:rPr>
        <w:t xml:space="preserve">, kas iegūts, veicot urīna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analīzi.</w:t>
      </w:r>
    </w:p>
    <w:p w14:paraId="74B7134B" w14:textId="77777777" w:rsidR="00EC186F" w:rsidRPr="00173AD7" w:rsidRDefault="00EC186F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2D1C6EA3" w14:textId="77777777" w:rsidR="002167DE" w:rsidRPr="00173AD7" w:rsidRDefault="002167DE" w:rsidP="00173AD7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Var apsvērt arī iespēju veikt DNS analīzi, lai saistībā ar </w:t>
      </w:r>
      <w:r>
        <w:rPr>
          <w:rFonts w:ascii="Times New Roman" w:hAnsi="Times New Roman"/>
          <w:i/>
          <w:sz w:val="24"/>
        </w:rPr>
        <w:t>sportista</w:t>
      </w:r>
      <w:r>
        <w:rPr>
          <w:rFonts w:ascii="Times New Roman" w:hAnsi="Times New Roman"/>
          <w:sz w:val="24"/>
        </w:rPr>
        <w:t xml:space="preserve"> “steroīdu garenprofilu” noteiktu </w:t>
      </w:r>
      <w:r>
        <w:rPr>
          <w:rFonts w:ascii="Times New Roman" w:hAnsi="Times New Roman"/>
          <w:i/>
          <w:sz w:val="24"/>
        </w:rPr>
        <w:t>parauga(-u)</w:t>
      </w:r>
      <w:r>
        <w:rPr>
          <w:rFonts w:ascii="Times New Roman" w:hAnsi="Times New Roman"/>
          <w:sz w:val="24"/>
        </w:rPr>
        <w:t xml:space="preserve"> izcelsmi.</w:t>
      </w:r>
    </w:p>
    <w:p w14:paraId="783C4FD2" w14:textId="77777777" w:rsidR="002167DE" w:rsidRPr="00173AD7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30"/>
        </w:rPr>
      </w:pPr>
    </w:p>
    <w:p w14:paraId="3CCF1098" w14:textId="2E6C1E61" w:rsidR="002167DE" w:rsidRPr="00173AD7" w:rsidRDefault="002167DE" w:rsidP="00173AD7">
      <w:pPr>
        <w:pStyle w:val="Heading1"/>
        <w:ind w:left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4.0. Atsauces</w:t>
      </w:r>
    </w:p>
    <w:p w14:paraId="2C3150C4" w14:textId="77777777" w:rsidR="00EC186F" w:rsidRDefault="00EC186F" w:rsidP="00EC186F">
      <w:pPr>
        <w:tabs>
          <w:tab w:val="left" w:pos="382"/>
        </w:tabs>
        <w:jc w:val="both"/>
        <w:rPr>
          <w:rFonts w:ascii="Times New Roman" w:hAnsi="Times New Roman"/>
          <w:i/>
          <w:noProof/>
          <w:sz w:val="24"/>
        </w:rPr>
      </w:pPr>
    </w:p>
    <w:p w14:paraId="6EBC60DF" w14:textId="2892513C" w:rsidR="002167DE" w:rsidRPr="00EC186F" w:rsidRDefault="00EC186F" w:rsidP="00EC186F">
      <w:pPr>
        <w:tabs>
          <w:tab w:val="left" w:pos="382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i/>
          <w:sz w:val="24"/>
        </w:rPr>
        <w:t xml:space="preserve">WADA </w:t>
      </w:r>
      <w:r>
        <w:rPr>
          <w:rFonts w:ascii="Times New Roman" w:hAnsi="Times New Roman"/>
          <w:sz w:val="24"/>
        </w:rPr>
        <w:t>Technical Document TD IRMS (current version): Detection of synthetic forms of Endogenous Anabolic Androgenic Steroids by GC/C/IRMS.</w:t>
      </w:r>
    </w:p>
    <w:p w14:paraId="4BDD3A0E" w14:textId="3F45469D" w:rsidR="002167DE" w:rsidRPr="00EC186F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18"/>
          <w:u w:val="single"/>
        </w:rPr>
      </w:pPr>
      <w:r>
        <w:rPr>
          <w:rFonts w:ascii="Times New Roman" w:hAnsi="Times New Roman"/>
          <w:sz w:val="24"/>
          <w:u w:val="single"/>
        </w:rPr>
        <w:t>https://www.wada-ama.org/en/resources/search?f[0]=field_resource_collections%3A30</w:t>
      </w:r>
    </w:p>
    <w:p w14:paraId="06DCD11B" w14:textId="77777777" w:rsidR="00EC186F" w:rsidRPr="00EC186F" w:rsidRDefault="00EC186F" w:rsidP="00EC186F">
      <w:pPr>
        <w:tabs>
          <w:tab w:val="left" w:pos="404"/>
        </w:tabs>
        <w:jc w:val="both"/>
        <w:rPr>
          <w:rFonts w:ascii="Times New Roman" w:hAnsi="Times New Roman"/>
          <w:noProof/>
          <w:sz w:val="24"/>
        </w:rPr>
      </w:pPr>
    </w:p>
    <w:p w14:paraId="01090C6C" w14:textId="6D67CAB8" w:rsidR="002167DE" w:rsidRPr="00EC186F" w:rsidRDefault="00EC186F" w:rsidP="00EC186F">
      <w:pPr>
        <w:tabs>
          <w:tab w:val="left" w:pos="404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2. Mareck U, Geyer H, Opfermann G, Thevis M, Schänzer W. Factors influencing the steroid profile in doping control analysis. </w:t>
      </w:r>
      <w:r>
        <w:rPr>
          <w:rFonts w:ascii="Times New Roman" w:hAnsi="Times New Roman"/>
          <w:i/>
          <w:sz w:val="24"/>
        </w:rPr>
        <w:t>J Mass Spectrom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43</w:t>
      </w:r>
      <w:r>
        <w:rPr>
          <w:rFonts w:ascii="Times New Roman" w:hAnsi="Times New Roman"/>
          <w:sz w:val="24"/>
        </w:rPr>
        <w:t>(7):877-91, 2008.</w:t>
      </w:r>
    </w:p>
    <w:p w14:paraId="44FAC0C7" w14:textId="77777777" w:rsidR="00EC186F" w:rsidRPr="00EC186F" w:rsidRDefault="00EC186F" w:rsidP="00EC186F">
      <w:pPr>
        <w:tabs>
          <w:tab w:val="left" w:pos="382"/>
        </w:tabs>
        <w:jc w:val="both"/>
        <w:rPr>
          <w:rFonts w:ascii="Times New Roman" w:hAnsi="Times New Roman"/>
          <w:noProof/>
          <w:sz w:val="24"/>
        </w:rPr>
      </w:pPr>
    </w:p>
    <w:p w14:paraId="532E3CD6" w14:textId="2AB287A2" w:rsidR="002167DE" w:rsidRPr="00EC186F" w:rsidRDefault="00EC186F" w:rsidP="00EC186F">
      <w:pPr>
        <w:tabs>
          <w:tab w:val="left" w:pos="382"/>
        </w:tabs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3. Ayotte C. Detecting the administration of endogenous anabolic androgenic steroids.</w:t>
      </w:r>
    </w:p>
    <w:p w14:paraId="2FE0C106" w14:textId="77777777" w:rsidR="002167DE" w:rsidRPr="00EC186F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i/>
          <w:sz w:val="24"/>
        </w:rPr>
        <w:t xml:space="preserve">Handb Exp Pharmacol. </w:t>
      </w:r>
      <w:r>
        <w:rPr>
          <w:rFonts w:ascii="Times New Roman" w:hAnsi="Times New Roman"/>
          <w:b/>
          <w:sz w:val="24"/>
        </w:rPr>
        <w:t>195</w:t>
      </w:r>
      <w:r>
        <w:rPr>
          <w:rFonts w:ascii="Times New Roman" w:hAnsi="Times New Roman"/>
          <w:sz w:val="24"/>
        </w:rPr>
        <w:t>:77-98, 2010.</w:t>
      </w:r>
    </w:p>
    <w:p w14:paraId="58845CF8" w14:textId="77777777" w:rsidR="00EC186F" w:rsidRPr="00EC186F" w:rsidRDefault="00EC186F" w:rsidP="00EC186F">
      <w:pPr>
        <w:tabs>
          <w:tab w:val="left" w:pos="390"/>
        </w:tabs>
        <w:jc w:val="both"/>
        <w:rPr>
          <w:rFonts w:ascii="Times New Roman" w:hAnsi="Times New Roman"/>
          <w:noProof/>
          <w:sz w:val="24"/>
        </w:rPr>
      </w:pPr>
    </w:p>
    <w:p w14:paraId="5C59DBF8" w14:textId="0A6AAD27" w:rsidR="002167DE" w:rsidRPr="00EC186F" w:rsidRDefault="00EC186F" w:rsidP="00EC186F">
      <w:pPr>
        <w:tabs>
          <w:tab w:val="left" w:pos="390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4. Kuuranne T, Saugy M, Baume N. Confounding factors and genetic polymorphism in the evaluation of individual steroid profiling. </w:t>
      </w:r>
      <w:r>
        <w:rPr>
          <w:rFonts w:ascii="Times New Roman" w:hAnsi="Times New Roman"/>
          <w:i/>
          <w:sz w:val="24"/>
        </w:rPr>
        <w:t>Br J Sports Med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48</w:t>
      </w:r>
      <w:r>
        <w:rPr>
          <w:rFonts w:ascii="Times New Roman" w:hAnsi="Times New Roman"/>
          <w:sz w:val="24"/>
        </w:rPr>
        <w:t>(10):848-55, 2014.</w:t>
      </w:r>
    </w:p>
    <w:p w14:paraId="4757D675" w14:textId="77777777" w:rsidR="00EC186F" w:rsidRPr="00EC186F" w:rsidRDefault="00EC186F" w:rsidP="00EC186F">
      <w:pPr>
        <w:tabs>
          <w:tab w:val="left" w:pos="382"/>
        </w:tabs>
        <w:jc w:val="both"/>
        <w:rPr>
          <w:rFonts w:ascii="Times New Roman" w:hAnsi="Times New Roman"/>
          <w:noProof/>
          <w:sz w:val="24"/>
        </w:rPr>
      </w:pPr>
    </w:p>
    <w:p w14:paraId="7E589C4C" w14:textId="558E1C95" w:rsidR="002167DE" w:rsidRPr="00EC186F" w:rsidRDefault="00EC186F" w:rsidP="00EC186F">
      <w:pPr>
        <w:tabs>
          <w:tab w:val="left" w:pos="382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5. J D Cook, Caplan YH, LoDico CP un Bush DM. The Characterization of Human Urine for Specimen Validity Determination in Workplace Drug Testing: A Review. </w:t>
      </w:r>
      <w:r>
        <w:rPr>
          <w:rFonts w:ascii="Times New Roman" w:hAnsi="Times New Roman"/>
          <w:i/>
          <w:sz w:val="24"/>
        </w:rPr>
        <w:t xml:space="preserve">J Anal Toxicol </w:t>
      </w:r>
      <w:r>
        <w:rPr>
          <w:rFonts w:ascii="Times New Roman" w:hAnsi="Times New Roman"/>
          <w:b/>
          <w:sz w:val="24"/>
        </w:rPr>
        <w:t>24</w:t>
      </w:r>
      <w:r>
        <w:rPr>
          <w:rFonts w:ascii="Times New Roman" w:hAnsi="Times New Roman"/>
          <w:sz w:val="24"/>
        </w:rPr>
        <w:t>: 579-588, 2000</w:t>
      </w:r>
    </w:p>
    <w:p w14:paraId="7FD553EE" w14:textId="77777777" w:rsidR="00EC186F" w:rsidRPr="00EC186F" w:rsidRDefault="00EC186F" w:rsidP="00EC186F">
      <w:pPr>
        <w:tabs>
          <w:tab w:val="left" w:pos="476"/>
        </w:tabs>
        <w:jc w:val="both"/>
        <w:rPr>
          <w:rFonts w:ascii="Times New Roman" w:hAnsi="Times New Roman"/>
          <w:i/>
          <w:noProof/>
          <w:sz w:val="24"/>
        </w:rPr>
      </w:pPr>
    </w:p>
    <w:p w14:paraId="2870FC55" w14:textId="614B13C1" w:rsidR="002167DE" w:rsidRPr="00EC186F" w:rsidRDefault="00EC186F" w:rsidP="00EC186F">
      <w:pPr>
        <w:tabs>
          <w:tab w:val="left" w:pos="476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i/>
          <w:sz w:val="24"/>
        </w:rPr>
        <w:t xml:space="preserve">WADA </w:t>
      </w:r>
      <w:r>
        <w:rPr>
          <w:rFonts w:ascii="Times New Roman" w:hAnsi="Times New Roman"/>
          <w:sz w:val="24"/>
        </w:rPr>
        <w:t>Technical Document TD IDCR (current version): Minimum Criteria for Chromatographic-Mass Spectrometric Confirmation of the Identity of Analytes for Doping Control Purposes.</w:t>
      </w:r>
    </w:p>
    <w:p w14:paraId="118D11F0" w14:textId="7DC367F6" w:rsidR="002167DE" w:rsidRPr="00EC186F" w:rsidRDefault="002167DE" w:rsidP="00173AD7">
      <w:pPr>
        <w:jc w:val="both"/>
        <w:rPr>
          <w:rFonts w:ascii="Times New Roman" w:eastAsia="Verdana" w:hAnsi="Times New Roman" w:cs="Verdana"/>
          <w:noProof/>
          <w:sz w:val="24"/>
          <w:szCs w:val="18"/>
          <w:u w:val="single"/>
        </w:rPr>
      </w:pPr>
      <w:r>
        <w:rPr>
          <w:rFonts w:ascii="Times New Roman" w:hAnsi="Times New Roman"/>
          <w:sz w:val="24"/>
          <w:u w:val="single"/>
        </w:rPr>
        <w:t>https://www.wada-ama.org/en/resources/search?f[0]=field_resource_collections%3A30</w:t>
      </w:r>
    </w:p>
    <w:sectPr w:rsidR="002167DE" w:rsidRPr="00EC186F" w:rsidSect="00173AD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51028" w14:textId="77777777" w:rsidR="00173AD7" w:rsidRPr="002167DE" w:rsidRDefault="00173AD7">
      <w:pPr>
        <w:rPr>
          <w:noProof/>
        </w:rPr>
      </w:pPr>
      <w:r w:rsidRPr="002167DE">
        <w:rPr>
          <w:noProof/>
        </w:rPr>
        <w:separator/>
      </w:r>
    </w:p>
  </w:endnote>
  <w:endnote w:type="continuationSeparator" w:id="0">
    <w:p w14:paraId="5588AA8C" w14:textId="77777777" w:rsidR="00173AD7" w:rsidRPr="002167DE" w:rsidRDefault="00173AD7">
      <w:pPr>
        <w:rPr>
          <w:noProof/>
        </w:rPr>
      </w:pPr>
      <w:r w:rsidRPr="002167DE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46937" w14:textId="77777777" w:rsidR="00DE65EF" w:rsidRPr="00DE65EF" w:rsidRDefault="00DE65EF" w:rsidP="00DE65EF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2CD5454A" w14:textId="7DF79083" w:rsidR="00DE65EF" w:rsidRPr="00DE65EF" w:rsidRDefault="00DE65EF" w:rsidP="00DE65EF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DE65EF">
      <w:rPr>
        <w:rStyle w:val="PageNumber"/>
        <w:rFonts w:ascii="Times New Roman" w:hAnsi="Times New Roman" w:cs="Times New Roman"/>
        <w:sz w:val="20"/>
        <w:szCs w:val="18"/>
      </w:rPr>
      <w:tab/>
    </w:r>
  </w:p>
  <w:p w14:paraId="0CCFE75A" w14:textId="77777777" w:rsidR="00DE65EF" w:rsidRPr="00DE65EF" w:rsidRDefault="00DE65EF" w:rsidP="00DE65EF">
    <w:pPr>
      <w:pStyle w:val="Header"/>
      <w:tabs>
        <w:tab w:val="righ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1EEB1567" w14:textId="77777777" w:rsidR="00DE65EF" w:rsidRPr="00DE65EF" w:rsidRDefault="00DE65EF" w:rsidP="00DE65EF">
    <w:pPr>
      <w:pStyle w:val="Footer"/>
      <w:tabs>
        <w:tab w:val="clear" w:pos="4513"/>
        <w:tab w:val="clear" w:pos="9026"/>
        <w:tab w:val="center" w:pos="9072"/>
      </w:tabs>
      <w:rPr>
        <w:rFonts w:ascii="Times New Roman" w:hAnsi="Times New Roman" w:cs="Times New Roman"/>
        <w:sz w:val="20"/>
        <w:szCs w:val="18"/>
      </w:rPr>
    </w:pPr>
    <w:r w:rsidRPr="00DE65EF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DE65EF">
      <w:rPr>
        <w:rFonts w:ascii="Times New Roman" w:hAnsi="Times New Roman" w:cs="Times New Roman"/>
        <w:noProof/>
        <w:sz w:val="20"/>
        <w:szCs w:val="18"/>
      </w:rPr>
      <w:fldChar w:fldCharType="begin"/>
    </w:r>
    <w:r w:rsidRPr="00DE65EF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DE65EF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DE65EF">
      <w:rPr>
        <w:rFonts w:ascii="Times New Roman" w:hAnsi="Times New Roman" w:cs="Times New Roman"/>
        <w:noProof/>
        <w:sz w:val="20"/>
        <w:szCs w:val="18"/>
      </w:rPr>
      <w:t>Ó</w:t>
    </w:r>
    <w:r w:rsidRPr="00DE65EF">
      <w:rPr>
        <w:rFonts w:ascii="Times New Roman" w:hAnsi="Times New Roman" w:cs="Times New Roman"/>
        <w:noProof/>
        <w:sz w:val="20"/>
        <w:szCs w:val="18"/>
      </w:rPr>
      <w:fldChar w:fldCharType="end"/>
    </w:r>
    <w:r w:rsidRPr="00DE65EF">
      <w:rPr>
        <w:rFonts w:ascii="Times New Roman" w:hAnsi="Times New Roman" w:cs="Times New Roman"/>
        <w:noProof/>
        <w:sz w:val="20"/>
        <w:szCs w:val="18"/>
      </w:rPr>
      <w:t xml:space="preserve"> Valsts valodas centrs, 2020</w:t>
    </w:r>
    <w:r w:rsidRPr="00DE65EF">
      <w:rPr>
        <w:rFonts w:ascii="Times New Roman" w:hAnsi="Times New Roman" w:cs="Times New Roman"/>
        <w:sz w:val="20"/>
        <w:szCs w:val="18"/>
      </w:rPr>
      <w:tab/>
    </w:r>
    <w:r w:rsidRPr="00DE65EF">
      <w:rPr>
        <w:rStyle w:val="PageNumber"/>
        <w:rFonts w:ascii="Times New Roman" w:hAnsi="Times New Roman" w:cs="Times New Roman"/>
        <w:sz w:val="20"/>
        <w:szCs w:val="18"/>
      </w:rPr>
      <w:fldChar w:fldCharType="begin"/>
    </w:r>
    <w:r w:rsidRPr="00DE65EF">
      <w:rPr>
        <w:rStyle w:val="PageNumber"/>
        <w:rFonts w:ascii="Times New Roman" w:hAnsi="Times New Roman" w:cs="Times New Roman"/>
        <w:sz w:val="20"/>
        <w:szCs w:val="18"/>
      </w:rPr>
      <w:instrText xml:space="preserve">page </w:instrText>
    </w:r>
    <w:r w:rsidRPr="00DE65EF">
      <w:rPr>
        <w:rStyle w:val="PageNumber"/>
        <w:rFonts w:ascii="Times New Roman" w:hAnsi="Times New Roman" w:cs="Times New Roman"/>
        <w:sz w:val="20"/>
        <w:szCs w:val="18"/>
      </w:rPr>
      <w:fldChar w:fldCharType="separate"/>
    </w:r>
    <w:r w:rsidRPr="00DE65EF">
      <w:rPr>
        <w:rStyle w:val="PageNumber"/>
        <w:rFonts w:ascii="Times New Roman" w:hAnsi="Times New Roman" w:cs="Times New Roman"/>
        <w:sz w:val="20"/>
        <w:szCs w:val="18"/>
      </w:rPr>
      <w:t>2</w:t>
    </w:r>
    <w:r w:rsidRPr="00DE65EF">
      <w:rPr>
        <w:rStyle w:val="PageNumber"/>
        <w:rFonts w:ascii="Times New Roman" w:hAnsi="Times New Roman" w:cs="Times New Roman"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6E647" w14:textId="77777777" w:rsidR="00DE65EF" w:rsidRPr="00DE65EF" w:rsidRDefault="00DE65EF" w:rsidP="00DE65EF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  <w:bookmarkStart w:id="14" w:name="_Hlk496261764"/>
    <w:bookmarkStart w:id="15" w:name="_Hlk496261765"/>
    <w:bookmarkStart w:id="16" w:name="_Hlk496261766"/>
    <w:bookmarkStart w:id="17" w:name="_Hlk30491075"/>
    <w:bookmarkStart w:id="18" w:name="_Hlk30491076"/>
  </w:p>
  <w:p w14:paraId="4E7D0A5C" w14:textId="5BBEED2D" w:rsidR="00DE65EF" w:rsidRPr="00DE65EF" w:rsidRDefault="00DE65EF" w:rsidP="00DE65EF">
    <w:pPr>
      <w:pStyle w:val="Header"/>
      <w:tabs>
        <w:tab w:val="clear" w:pos="4513"/>
        <w:tab w:val="clear" w:pos="9026"/>
        <w:tab w:val="lef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DE65EF">
      <w:rPr>
        <w:rStyle w:val="PageNumber"/>
        <w:rFonts w:ascii="Times New Roman" w:hAnsi="Times New Roman" w:cs="Times New Roman"/>
        <w:sz w:val="20"/>
        <w:szCs w:val="18"/>
      </w:rPr>
      <w:tab/>
    </w:r>
  </w:p>
  <w:p w14:paraId="2E0339B9" w14:textId="77777777" w:rsidR="00DE65EF" w:rsidRPr="00DE65EF" w:rsidRDefault="00DE65EF" w:rsidP="00DE65EF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4CCA40ED" w14:textId="77777777" w:rsidR="00DE65EF" w:rsidRPr="00DE65EF" w:rsidRDefault="00DE65EF" w:rsidP="00DE65EF">
    <w:pPr>
      <w:pStyle w:val="Footer"/>
      <w:rPr>
        <w:rFonts w:ascii="Times New Roman" w:hAnsi="Times New Roman" w:cs="Times New Roman"/>
        <w:sz w:val="20"/>
        <w:szCs w:val="18"/>
      </w:rPr>
    </w:pPr>
    <w:r w:rsidRPr="00DE65EF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DE65EF">
      <w:rPr>
        <w:rFonts w:ascii="Times New Roman" w:hAnsi="Times New Roman" w:cs="Times New Roman"/>
        <w:noProof/>
        <w:sz w:val="20"/>
        <w:szCs w:val="18"/>
      </w:rPr>
      <w:fldChar w:fldCharType="begin"/>
    </w:r>
    <w:r w:rsidRPr="00DE65EF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DE65EF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DE65EF">
      <w:rPr>
        <w:rFonts w:ascii="Times New Roman" w:hAnsi="Times New Roman" w:cs="Times New Roman"/>
        <w:noProof/>
        <w:sz w:val="20"/>
        <w:szCs w:val="18"/>
      </w:rPr>
      <w:t>Ó</w:t>
    </w:r>
    <w:r w:rsidRPr="00DE65EF">
      <w:rPr>
        <w:rFonts w:ascii="Times New Roman" w:hAnsi="Times New Roman" w:cs="Times New Roman"/>
        <w:noProof/>
        <w:sz w:val="20"/>
        <w:szCs w:val="18"/>
      </w:rPr>
      <w:fldChar w:fldCharType="end"/>
    </w:r>
    <w:r w:rsidRPr="00DE65EF">
      <w:rPr>
        <w:rFonts w:ascii="Times New Roman" w:hAnsi="Times New Roman" w:cs="Times New Roman"/>
        <w:noProof/>
        <w:sz w:val="20"/>
        <w:szCs w:val="18"/>
      </w:rPr>
      <w:t xml:space="preserve"> Valsts valodas centrs, 20</w:t>
    </w:r>
    <w:bookmarkEnd w:id="14"/>
    <w:bookmarkEnd w:id="15"/>
    <w:bookmarkEnd w:id="16"/>
    <w:r w:rsidRPr="00DE65EF">
      <w:rPr>
        <w:rFonts w:ascii="Times New Roman" w:hAnsi="Times New Roman" w:cs="Times New Roman"/>
        <w:noProof/>
        <w:sz w:val="20"/>
        <w:szCs w:val="18"/>
      </w:rPr>
      <w:t>20</w:t>
    </w:r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26E2B" w14:textId="77777777" w:rsidR="00173AD7" w:rsidRPr="002167DE" w:rsidRDefault="00173AD7">
      <w:pPr>
        <w:rPr>
          <w:noProof/>
        </w:rPr>
      </w:pPr>
      <w:r w:rsidRPr="002167DE">
        <w:rPr>
          <w:noProof/>
        </w:rPr>
        <w:separator/>
      </w:r>
    </w:p>
  </w:footnote>
  <w:footnote w:type="continuationSeparator" w:id="0">
    <w:p w14:paraId="67884C44" w14:textId="77777777" w:rsidR="00173AD7" w:rsidRPr="002167DE" w:rsidRDefault="00173AD7">
      <w:pPr>
        <w:rPr>
          <w:noProof/>
        </w:rPr>
      </w:pPr>
      <w:r w:rsidRPr="002167DE">
        <w:rPr>
          <w:noProof/>
        </w:rPr>
        <w:continuationSeparator/>
      </w:r>
    </w:p>
  </w:footnote>
  <w:footnote w:id="1">
    <w:p w14:paraId="76E44BB7" w14:textId="77B1B883" w:rsidR="00B919D3" w:rsidRPr="0062026E" w:rsidRDefault="00B919D3" w:rsidP="0062026E">
      <w:pPr>
        <w:pStyle w:val="Heading2"/>
        <w:tabs>
          <w:tab w:val="left" w:pos="291"/>
        </w:tabs>
        <w:spacing w:before="0"/>
        <w:ind w:left="0"/>
        <w:jc w:val="both"/>
        <w:rPr>
          <w:rFonts w:cs="Times New Roman"/>
          <w:noProof/>
          <w:sz w:val="20"/>
          <w:szCs w:val="20"/>
        </w:rPr>
      </w:pPr>
      <w:r>
        <w:rPr>
          <w:rStyle w:val="FootnoteReference"/>
          <w:rFonts w:cs="Times New Roman"/>
          <w:sz w:val="20"/>
          <w:szCs w:val="20"/>
        </w:rPr>
        <w:footnoteRef/>
      </w:r>
      <w:r>
        <w:rPr>
          <w:sz w:val="20"/>
        </w:rPr>
        <w:t xml:space="preserve"> </w:t>
      </w:r>
      <w:r>
        <w:rPr>
          <w:i/>
          <w:iCs/>
          <w:sz w:val="20"/>
        </w:rPr>
        <w:t>T</w:t>
      </w:r>
      <w:r>
        <w:rPr>
          <w:sz w:val="20"/>
        </w:rPr>
        <w:t xml:space="preserve"> un </w:t>
      </w:r>
      <w:r>
        <w:rPr>
          <w:i/>
          <w:iCs/>
          <w:sz w:val="20"/>
        </w:rPr>
        <w:t>E</w:t>
      </w:r>
      <w:r>
        <w:rPr>
          <w:sz w:val="20"/>
        </w:rPr>
        <w:t xml:space="preserve"> daudz mazākā koncentrācijā parasti ir sastopami sieviešu </w:t>
      </w:r>
      <w:r>
        <w:rPr>
          <w:i/>
          <w:sz w:val="20"/>
        </w:rPr>
        <w:t>paraugos</w:t>
      </w:r>
      <w:r>
        <w:rPr>
          <w:sz w:val="20"/>
        </w:rPr>
        <w:t xml:space="preserve"> un </w:t>
      </w:r>
      <w:r>
        <w:rPr>
          <w:i/>
          <w:sz w:val="20"/>
        </w:rPr>
        <w:t>paraugos</w:t>
      </w:r>
      <w:r>
        <w:rPr>
          <w:sz w:val="20"/>
        </w:rPr>
        <w:t xml:space="preserve">, kuru </w:t>
      </w:r>
      <w:r>
        <w:rPr>
          <w:i/>
          <w:iCs/>
          <w:sz w:val="20"/>
        </w:rPr>
        <w:t>SG</w:t>
      </w:r>
      <w:r>
        <w:rPr>
          <w:sz w:val="20"/>
        </w:rPr>
        <w:t xml:space="preserve"> ir zems; tāpēc, lai iegūtu precīzāku mērījumu, iespējams, vajadzēs lielāku </w:t>
      </w:r>
      <w:r>
        <w:rPr>
          <w:sz w:val="20"/>
          <w:u w:val="single" w:color="000000"/>
        </w:rPr>
        <w:t>alikvotas</w:t>
      </w:r>
      <w:r>
        <w:rPr>
          <w:sz w:val="20"/>
        </w:rPr>
        <w:t xml:space="preserve"> daudzumu.</w:t>
      </w:r>
    </w:p>
  </w:footnote>
  <w:footnote w:id="2">
    <w:p w14:paraId="58B03058" w14:textId="1A9B7902" w:rsidR="00B919D3" w:rsidRPr="0062026E" w:rsidRDefault="00B919D3" w:rsidP="0062026E">
      <w:pPr>
        <w:tabs>
          <w:tab w:val="left" w:pos="272"/>
        </w:tabs>
        <w:jc w:val="both"/>
        <w:rPr>
          <w:rFonts w:ascii="Times New Roman" w:hAnsi="Times New Roman"/>
          <w:noProof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i/>
          <w:iCs/>
          <w:sz w:val="20"/>
        </w:rPr>
        <w:t>T</w:t>
      </w:r>
      <w:r>
        <w:rPr>
          <w:rFonts w:ascii="Times New Roman" w:hAnsi="Times New Roman"/>
          <w:sz w:val="20"/>
        </w:rPr>
        <w:t xml:space="preserve"> un </w:t>
      </w:r>
      <w:r>
        <w:rPr>
          <w:rFonts w:ascii="Times New Roman" w:hAnsi="Times New Roman"/>
          <w:i/>
          <w:iCs/>
          <w:sz w:val="20"/>
        </w:rPr>
        <w:t>E</w:t>
      </w:r>
      <w:r>
        <w:rPr>
          <w:rFonts w:ascii="Times New Roman" w:hAnsi="Times New Roman"/>
          <w:sz w:val="20"/>
        </w:rPr>
        <w:t xml:space="preserve"> smailes augstumu vai smailes laukumus koriģē, salīdzinot ar kalibratoru vai kalibrēšanas līkni (abiem steroīdiem pārbaudē konstatēta vienāda masa vai vienāda jonu pāreja).</w:t>
      </w:r>
    </w:p>
  </w:footnote>
  <w:footnote w:id="3">
    <w:p w14:paraId="11053914" w14:textId="77777777" w:rsidR="00B92996" w:rsidRPr="0062026E" w:rsidRDefault="00B92996" w:rsidP="0062026E">
      <w:pPr>
        <w:pStyle w:val="Heading2"/>
        <w:tabs>
          <w:tab w:val="left" w:pos="358"/>
        </w:tabs>
        <w:spacing w:before="0"/>
        <w:ind w:left="0"/>
        <w:jc w:val="both"/>
        <w:rPr>
          <w:rFonts w:cs="Times New Roman"/>
          <w:noProof/>
          <w:sz w:val="20"/>
          <w:szCs w:val="20"/>
        </w:rPr>
      </w:pPr>
      <w:r>
        <w:rPr>
          <w:rStyle w:val="FootnoteReference"/>
          <w:rFonts w:cs="Times New Roman"/>
          <w:sz w:val="20"/>
          <w:szCs w:val="20"/>
        </w:rPr>
        <w:footnoteRef/>
      </w:r>
      <w:r>
        <w:rPr>
          <w:sz w:val="20"/>
        </w:rPr>
        <w:t xml:space="preserve"> Steroīdu profila </w:t>
      </w:r>
      <w:r>
        <w:rPr>
          <w:i/>
          <w:sz w:val="20"/>
        </w:rPr>
        <w:t>marķieru</w:t>
      </w:r>
      <w:r>
        <w:rPr>
          <w:sz w:val="20"/>
        </w:rPr>
        <w:t xml:space="preserve"> </w:t>
      </w:r>
      <w:r>
        <w:rPr>
          <w:i/>
          <w:iCs/>
          <w:sz w:val="20"/>
        </w:rPr>
        <w:t>LOQ</w:t>
      </w:r>
      <w:r>
        <w:rPr>
          <w:sz w:val="20"/>
        </w:rPr>
        <w:t xml:space="preserve"> nosaka kā zemāko koncentrāciju, ko var izmērīt </w:t>
      </w:r>
      <w:r>
        <w:rPr>
          <w:i/>
          <w:sz w:val="20"/>
        </w:rPr>
        <w:t>u</w:t>
      </w:r>
      <w:r>
        <w:rPr>
          <w:i/>
          <w:sz w:val="20"/>
          <w:vertAlign w:val="subscript"/>
        </w:rPr>
        <w:t>c</w:t>
      </w:r>
      <w:r>
        <w:rPr>
          <w:i/>
          <w:sz w:val="20"/>
        </w:rPr>
        <w:t xml:space="preserve"> </w:t>
      </w:r>
      <w:r>
        <w:rPr>
          <w:sz w:val="20"/>
        </w:rPr>
        <w:t>(%) 30 % robežās.</w:t>
      </w:r>
    </w:p>
    <w:p w14:paraId="7AC8E872" w14:textId="791C346D" w:rsidR="00B92996" w:rsidRPr="0062026E" w:rsidRDefault="00B92996" w:rsidP="0062026E">
      <w:pPr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i/>
          <w:iCs/>
          <w:sz w:val="20"/>
        </w:rPr>
        <w:t>LOQ</w:t>
      </w:r>
      <w:r>
        <w:rPr>
          <w:rFonts w:ascii="Times New Roman" w:hAnsi="Times New Roman"/>
          <w:sz w:val="20"/>
        </w:rPr>
        <w:t xml:space="preserve">, kas noteikta, veicot metodes validāciju attiecībā uz </w:t>
      </w:r>
      <w:r>
        <w:rPr>
          <w:rFonts w:ascii="Times New Roman" w:hAnsi="Times New Roman"/>
          <w:i/>
          <w:iCs/>
          <w:sz w:val="20"/>
        </w:rPr>
        <w:t>T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i/>
          <w:iCs/>
          <w:sz w:val="20"/>
        </w:rPr>
        <w:t>E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i/>
          <w:iCs/>
          <w:sz w:val="20"/>
        </w:rPr>
        <w:t>A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i/>
          <w:iCs/>
          <w:sz w:val="20"/>
        </w:rPr>
        <w:t>Etio</w:t>
      </w:r>
      <w:r>
        <w:rPr>
          <w:rFonts w:ascii="Times New Roman" w:hAnsi="Times New Roman"/>
          <w:sz w:val="20"/>
        </w:rPr>
        <w:t>, 5</w:t>
      </w:r>
      <w:r>
        <w:rPr>
          <w:rFonts w:ascii="Times New Roman" w:hAnsi="Times New Roman"/>
          <w:i/>
          <w:iCs/>
          <w:sz w:val="20"/>
        </w:rPr>
        <w:t>αAdiol</w:t>
      </w:r>
      <w:r>
        <w:rPr>
          <w:rFonts w:ascii="Times New Roman" w:hAnsi="Times New Roman"/>
          <w:sz w:val="20"/>
        </w:rPr>
        <w:t xml:space="preserve"> un </w:t>
      </w:r>
      <w:r>
        <w:rPr>
          <w:rFonts w:ascii="Times New Roman" w:hAnsi="Times New Roman"/>
          <w:i/>
          <w:iCs/>
          <w:sz w:val="20"/>
        </w:rPr>
        <w:t>5βAdiol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  <w:u w:val="single"/>
        </w:rPr>
        <w:t>laboratorija</w:t>
      </w:r>
      <w:r>
        <w:rPr>
          <w:rFonts w:ascii="Times New Roman" w:hAnsi="Times New Roman"/>
          <w:sz w:val="20"/>
        </w:rPr>
        <w:t xml:space="preserve"> reģistrē </w:t>
      </w:r>
      <w:r>
        <w:rPr>
          <w:rFonts w:ascii="Times New Roman" w:hAnsi="Times New Roman"/>
          <w:i/>
          <w:sz w:val="20"/>
        </w:rPr>
        <w:t>ADAMS</w:t>
      </w:r>
      <w:r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i/>
          <w:iCs/>
          <w:sz w:val="20"/>
        </w:rPr>
        <w:t>LOQ</w:t>
      </w:r>
      <w:r>
        <w:rPr>
          <w:rFonts w:ascii="Times New Roman" w:hAnsi="Times New Roman"/>
          <w:sz w:val="20"/>
        </w:rPr>
        <w:t xml:space="preserve"> vērtības </w:t>
      </w:r>
      <w:r>
        <w:rPr>
          <w:rFonts w:ascii="Times New Roman" w:hAnsi="Times New Roman"/>
          <w:i/>
          <w:sz w:val="20"/>
        </w:rPr>
        <w:t>ADAMS</w:t>
      </w:r>
      <w:r>
        <w:rPr>
          <w:rFonts w:ascii="Times New Roman" w:hAnsi="Times New Roman"/>
          <w:sz w:val="20"/>
        </w:rPr>
        <w:t xml:space="preserve"> atjaunina vienmēr, kad analītiskajai metodei ir veiktas būtiskas izmaiņas.</w:t>
      </w:r>
    </w:p>
  </w:footnote>
  <w:footnote w:id="4">
    <w:p w14:paraId="62428D81" w14:textId="32BA82CC" w:rsidR="00B92996" w:rsidRPr="0062026E" w:rsidRDefault="00B92996" w:rsidP="0062026E">
      <w:pPr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Urīna </w:t>
      </w:r>
      <w:r>
        <w:rPr>
          <w:rFonts w:ascii="Times New Roman" w:hAnsi="Times New Roman"/>
          <w:i/>
          <w:sz w:val="20"/>
        </w:rPr>
        <w:t>paraugu</w:t>
      </w:r>
      <w:r>
        <w:rPr>
          <w:rFonts w:ascii="Times New Roman" w:hAnsi="Times New Roman"/>
          <w:sz w:val="20"/>
        </w:rPr>
        <w:t xml:space="preserve"> tiešā enzimātiskā hidrolīze var palielināt mikrobioloģiskā piesārņojuma ietekmi.</w:t>
      </w:r>
    </w:p>
  </w:footnote>
  <w:footnote w:id="5">
    <w:p w14:paraId="40CD9C6A" w14:textId="66805AB3" w:rsidR="00B92996" w:rsidRPr="0062026E" w:rsidRDefault="00B92996" w:rsidP="0062026E">
      <w:pPr>
        <w:pStyle w:val="Heading2"/>
        <w:tabs>
          <w:tab w:val="left" w:pos="272"/>
        </w:tabs>
        <w:spacing w:before="0"/>
        <w:ind w:left="0"/>
        <w:jc w:val="both"/>
        <w:rPr>
          <w:rFonts w:cs="Times New Roman"/>
          <w:noProof/>
          <w:sz w:val="20"/>
          <w:szCs w:val="20"/>
        </w:rPr>
      </w:pPr>
      <w:r>
        <w:rPr>
          <w:rStyle w:val="FootnoteReference"/>
          <w:rFonts w:cs="Times New Roman"/>
          <w:sz w:val="20"/>
          <w:szCs w:val="20"/>
        </w:rPr>
        <w:footnoteRef/>
      </w:r>
      <w:r>
        <w:rPr>
          <w:sz w:val="20"/>
        </w:rPr>
        <w:t xml:space="preserve"> Tas attiecas arī uz gadījumiem, kad analizē vairāk nekā vienu (1) </w:t>
      </w:r>
      <w:r>
        <w:rPr>
          <w:i/>
          <w:sz w:val="20"/>
        </w:rPr>
        <w:t>paraugu</w:t>
      </w:r>
      <w:r>
        <w:rPr>
          <w:sz w:val="20"/>
        </w:rPr>
        <w:t xml:space="preserve">, kas iegūts no viena </w:t>
      </w:r>
      <w:r>
        <w:rPr>
          <w:i/>
          <w:sz w:val="20"/>
        </w:rPr>
        <w:t>sportista</w:t>
      </w:r>
      <w:r>
        <w:rPr>
          <w:sz w:val="20"/>
        </w:rPr>
        <w:t xml:space="preserve"> vienā </w:t>
      </w:r>
      <w:r>
        <w:rPr>
          <w:sz w:val="20"/>
          <w:u w:val="single" w:color="000000"/>
        </w:rPr>
        <w:t>paraugu savākšanas procesā</w:t>
      </w:r>
      <w:r>
        <w:rPr>
          <w:sz w:val="20"/>
        </w:rPr>
        <w:t>.</w:t>
      </w:r>
    </w:p>
  </w:footnote>
  <w:footnote w:id="6">
    <w:p w14:paraId="2EFCDA4A" w14:textId="243C49FE" w:rsidR="00B92996" w:rsidRPr="0062026E" w:rsidRDefault="00B92996" w:rsidP="0062026E">
      <w:pPr>
        <w:tabs>
          <w:tab w:val="left" w:pos="303"/>
        </w:tabs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 w:color="000000"/>
        </w:rPr>
        <w:t>Laboratorija</w:t>
      </w:r>
      <w:r>
        <w:rPr>
          <w:rFonts w:ascii="Times New Roman" w:hAnsi="Times New Roman"/>
          <w:sz w:val="20"/>
        </w:rPr>
        <w:t xml:space="preserve"> ziņo </w:t>
      </w:r>
      <w:r>
        <w:rPr>
          <w:rFonts w:ascii="Times New Roman" w:hAnsi="Times New Roman"/>
          <w:i/>
          <w:sz w:val="20"/>
        </w:rPr>
        <w:t>ADAMS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parauga</w:t>
      </w:r>
      <w:r>
        <w:rPr>
          <w:rFonts w:ascii="Times New Roman" w:hAnsi="Times New Roman"/>
          <w:sz w:val="20"/>
        </w:rPr>
        <w:t xml:space="preserve"> steroīdu profilu, kas noteikts </w:t>
      </w:r>
      <w:r>
        <w:rPr>
          <w:rFonts w:ascii="Times New Roman" w:hAnsi="Times New Roman"/>
          <w:sz w:val="20"/>
          <w:u w:val="single" w:color="000000"/>
        </w:rPr>
        <w:t>sākotnējās pārbaudes procedūrā</w:t>
      </w:r>
      <w:r>
        <w:rPr>
          <w:rFonts w:ascii="Times New Roman" w:hAnsi="Times New Roman"/>
          <w:sz w:val="20"/>
        </w:rPr>
        <w:t xml:space="preserve">, ja </w:t>
      </w:r>
      <w:r>
        <w:rPr>
          <w:rFonts w:ascii="Times New Roman" w:hAnsi="Times New Roman"/>
          <w:i/>
          <w:sz w:val="20"/>
        </w:rPr>
        <w:t>paraugā</w:t>
      </w:r>
      <w:r>
        <w:rPr>
          <w:rFonts w:ascii="Times New Roman" w:hAnsi="Times New Roman"/>
          <w:sz w:val="20"/>
        </w:rPr>
        <w:t xml:space="preserve"> nav konstatēta </w:t>
      </w:r>
      <w:r>
        <w:rPr>
          <w:rFonts w:ascii="Times New Roman" w:hAnsi="Times New Roman"/>
          <w:i/>
          <w:sz w:val="20"/>
        </w:rPr>
        <w:t>aizliegtā viela</w:t>
      </w:r>
      <w:r>
        <w:rPr>
          <w:rFonts w:ascii="Times New Roman" w:hAnsi="Times New Roman"/>
          <w:sz w:val="20"/>
        </w:rPr>
        <w:t xml:space="preserve"> vai </w:t>
      </w:r>
      <w:r>
        <w:rPr>
          <w:rFonts w:ascii="Times New Roman" w:hAnsi="Times New Roman"/>
          <w:i/>
          <w:sz w:val="20"/>
        </w:rPr>
        <w:t>aizliegtā metode</w:t>
      </w:r>
      <w:r>
        <w:rPr>
          <w:rFonts w:ascii="Times New Roman" w:hAnsi="Times New Roman"/>
          <w:sz w:val="20"/>
        </w:rPr>
        <w:t xml:space="preserve"> [ziņojot, ka pārbaudes rezultāts ir negatīvs], kā arī gadījumos, kad </w:t>
      </w:r>
      <w:r>
        <w:rPr>
          <w:rFonts w:ascii="Times New Roman" w:hAnsi="Times New Roman"/>
          <w:sz w:val="20"/>
          <w:u w:val="single" w:color="000000"/>
        </w:rPr>
        <w:t>laboratorija</w:t>
      </w:r>
      <w:r>
        <w:rPr>
          <w:rFonts w:ascii="Times New Roman" w:hAnsi="Times New Roman"/>
          <w:sz w:val="20"/>
        </w:rPr>
        <w:t xml:space="preserve"> apstiprina </w:t>
      </w:r>
      <w:r>
        <w:rPr>
          <w:rFonts w:ascii="Times New Roman" w:hAnsi="Times New Roman"/>
          <w:i/>
          <w:sz w:val="20"/>
        </w:rPr>
        <w:t>aizliegtās vielas</w:t>
      </w:r>
      <w:r>
        <w:rPr>
          <w:rFonts w:ascii="Times New Roman" w:hAnsi="Times New Roman"/>
          <w:sz w:val="20"/>
        </w:rPr>
        <w:t xml:space="preserve"> vai </w:t>
      </w:r>
      <w:r>
        <w:rPr>
          <w:rFonts w:ascii="Times New Roman" w:hAnsi="Times New Roman"/>
          <w:i/>
          <w:sz w:val="20"/>
        </w:rPr>
        <w:t>aizliegtās metodes</w:t>
      </w:r>
      <w:r>
        <w:rPr>
          <w:rFonts w:ascii="Times New Roman" w:hAnsi="Times New Roman"/>
          <w:sz w:val="20"/>
        </w:rPr>
        <w:t xml:space="preserve"> klātbūtni [ziņojot, ka attiecībā uz noteikto </w:t>
      </w:r>
      <w:r>
        <w:rPr>
          <w:rFonts w:ascii="Times New Roman" w:hAnsi="Times New Roman"/>
          <w:i/>
          <w:sz w:val="20"/>
        </w:rPr>
        <w:t>aizliegto vielu</w:t>
      </w:r>
      <w:r>
        <w:rPr>
          <w:rFonts w:ascii="Times New Roman" w:hAnsi="Times New Roman"/>
          <w:sz w:val="20"/>
        </w:rPr>
        <w:t xml:space="preserve"> vai </w:t>
      </w:r>
      <w:r>
        <w:rPr>
          <w:rFonts w:ascii="Times New Roman" w:hAnsi="Times New Roman"/>
          <w:i/>
          <w:sz w:val="20"/>
        </w:rPr>
        <w:t>aizliegto metodi</w:t>
      </w:r>
      <w:r>
        <w:rPr>
          <w:rFonts w:ascii="Times New Roman" w:hAnsi="Times New Roman"/>
          <w:sz w:val="20"/>
        </w:rPr>
        <w:t xml:space="preserve"> rezultāts ir vai nu </w:t>
      </w:r>
      <w:r>
        <w:rPr>
          <w:rFonts w:ascii="Times New Roman" w:hAnsi="Times New Roman"/>
          <w:i/>
          <w:sz w:val="20"/>
        </w:rPr>
        <w:t>nelabvēlīgs analīžu rezultāts (AAF)</w:t>
      </w:r>
      <w:r>
        <w:rPr>
          <w:rFonts w:ascii="Times New Roman" w:hAnsi="Times New Roman"/>
          <w:sz w:val="20"/>
        </w:rPr>
        <w:t xml:space="preserve">, vai </w:t>
      </w:r>
      <w:r>
        <w:rPr>
          <w:rFonts w:ascii="Times New Roman" w:hAnsi="Times New Roman"/>
          <w:i/>
          <w:sz w:val="20"/>
        </w:rPr>
        <w:t>netipiska atrade (ATF)</w:t>
      </w:r>
      <w:r>
        <w:rPr>
          <w:rFonts w:ascii="Times New Roman" w:hAnsi="Times New Roman"/>
          <w:sz w:val="20"/>
        </w:rPr>
        <w:t>].</w:t>
      </w:r>
    </w:p>
  </w:footnote>
  <w:footnote w:id="7">
    <w:p w14:paraId="6918E1CF" w14:textId="129E51A3" w:rsidR="00B92996" w:rsidRPr="0062026E" w:rsidRDefault="00B92996" w:rsidP="0062026E">
      <w:pPr>
        <w:pStyle w:val="Heading2"/>
        <w:tabs>
          <w:tab w:val="left" w:pos="281"/>
        </w:tabs>
        <w:spacing w:before="0"/>
        <w:ind w:left="0"/>
        <w:jc w:val="both"/>
        <w:rPr>
          <w:rFonts w:cs="Times New Roman"/>
          <w:noProof/>
          <w:sz w:val="20"/>
          <w:szCs w:val="20"/>
        </w:rPr>
      </w:pPr>
      <w:r>
        <w:rPr>
          <w:rStyle w:val="FootnoteReference"/>
          <w:rFonts w:cs="Times New Roman"/>
          <w:sz w:val="20"/>
          <w:szCs w:val="20"/>
        </w:rPr>
        <w:footnoteRef/>
      </w:r>
      <w:r>
        <w:rPr>
          <w:sz w:val="20"/>
        </w:rPr>
        <w:t xml:space="preserve"> Ko </w:t>
      </w:r>
      <w:r>
        <w:rPr>
          <w:sz w:val="20"/>
          <w:u w:val="single" w:color="000000"/>
        </w:rPr>
        <w:t>laboratorija</w:t>
      </w:r>
      <w:r>
        <w:rPr>
          <w:sz w:val="20"/>
        </w:rPr>
        <w:t xml:space="preserve"> noteikusi, izmantojot, piemēram, refraktometru.</w:t>
      </w:r>
    </w:p>
  </w:footnote>
  <w:footnote w:id="8">
    <w:p w14:paraId="60142D1C" w14:textId="288C1955" w:rsidR="00B92996" w:rsidRPr="0062026E" w:rsidRDefault="00B92996" w:rsidP="0062026E">
      <w:pPr>
        <w:tabs>
          <w:tab w:val="left" w:pos="274"/>
        </w:tabs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Ziņojot par steroīdu profilu </w:t>
      </w:r>
      <w:r>
        <w:rPr>
          <w:rFonts w:ascii="Times New Roman" w:hAnsi="Times New Roman"/>
          <w:i/>
          <w:sz w:val="20"/>
        </w:rPr>
        <w:t>ADAMS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  <w:u w:val="single" w:color="000000"/>
        </w:rPr>
        <w:t>laboratorija</w:t>
      </w:r>
      <w:r>
        <w:rPr>
          <w:rFonts w:ascii="Times New Roman" w:hAnsi="Times New Roman"/>
          <w:sz w:val="20"/>
        </w:rPr>
        <w:t xml:space="preserve"> paziņo </w:t>
      </w:r>
      <w:r>
        <w:rPr>
          <w:rFonts w:ascii="Times New Roman" w:hAnsi="Times New Roman"/>
          <w:i/>
          <w:iCs/>
          <w:sz w:val="20"/>
        </w:rPr>
        <w:t>T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i/>
          <w:iCs/>
          <w:sz w:val="20"/>
        </w:rPr>
        <w:t>E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i/>
          <w:iCs/>
          <w:sz w:val="20"/>
        </w:rPr>
        <w:t>A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i/>
          <w:iCs/>
          <w:sz w:val="20"/>
        </w:rPr>
        <w:t>Etio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i/>
          <w:iCs/>
          <w:sz w:val="20"/>
        </w:rPr>
        <w:t>5αAdiol</w:t>
      </w:r>
      <w:r>
        <w:rPr>
          <w:rFonts w:ascii="Times New Roman" w:hAnsi="Times New Roman"/>
          <w:sz w:val="20"/>
        </w:rPr>
        <w:t xml:space="preserve"> un </w:t>
      </w:r>
      <w:r>
        <w:rPr>
          <w:rFonts w:ascii="Times New Roman" w:hAnsi="Times New Roman"/>
          <w:i/>
          <w:iCs/>
          <w:sz w:val="20"/>
        </w:rPr>
        <w:t>5βAdiol</w:t>
      </w:r>
      <w:r>
        <w:rPr>
          <w:rFonts w:ascii="Times New Roman" w:hAnsi="Times New Roman"/>
          <w:sz w:val="20"/>
        </w:rPr>
        <w:t xml:space="preserve"> koncentrāciju vērtības, kā arī </w:t>
      </w:r>
      <w:r>
        <w:rPr>
          <w:rFonts w:ascii="Times New Roman" w:hAnsi="Times New Roman"/>
          <w:i/>
          <w:iCs/>
          <w:sz w:val="20"/>
        </w:rPr>
        <w:t>T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i/>
          <w:iCs/>
          <w:sz w:val="20"/>
        </w:rPr>
        <w:t>E</w:t>
      </w:r>
      <w:r>
        <w:rPr>
          <w:rFonts w:ascii="Times New Roman" w:hAnsi="Times New Roman"/>
          <w:sz w:val="20"/>
        </w:rPr>
        <w:t xml:space="preserve"> proporciju (</w:t>
      </w:r>
      <w:r>
        <w:rPr>
          <w:rFonts w:ascii="Times New Roman" w:hAnsi="Times New Roman"/>
          <w:b/>
          <w:sz w:val="20"/>
        </w:rPr>
        <w:t xml:space="preserve">neveicot pielīdzināšanu atbilstīgi urīna </w:t>
      </w:r>
      <w:r>
        <w:rPr>
          <w:rFonts w:ascii="Times New Roman" w:hAnsi="Times New Roman"/>
          <w:b/>
          <w:i/>
          <w:iCs/>
          <w:sz w:val="20"/>
        </w:rPr>
        <w:t>SG</w:t>
      </w:r>
      <w:r>
        <w:rPr>
          <w:rFonts w:ascii="Times New Roman" w:hAnsi="Times New Roman"/>
          <w:b/>
          <w:sz w:val="20"/>
        </w:rPr>
        <w:t xml:space="preserve"> vai neveicot korekciju līdz noteiktam skaitam nozīmīgo skaitļu</w:t>
      </w:r>
      <w:r>
        <w:rPr>
          <w:rFonts w:ascii="Times New Roman" w:hAnsi="Times New Roman"/>
          <w:sz w:val="20"/>
        </w:rPr>
        <w:t xml:space="preserve">). Paziņoto vērtību automātiska korekcija līdz 2 nozīmīgajiem skaitļiem tiks veikta </w:t>
      </w:r>
      <w:r>
        <w:rPr>
          <w:rFonts w:ascii="Times New Roman" w:hAnsi="Times New Roman"/>
          <w:i/>
          <w:sz w:val="20"/>
        </w:rPr>
        <w:t>ADAMS</w:t>
      </w:r>
      <w:r>
        <w:rPr>
          <w:rFonts w:ascii="Times New Roman" w:hAnsi="Times New Roman"/>
          <w:sz w:val="20"/>
        </w:rPr>
        <w:t xml:space="preserve">, piemērojot </w:t>
      </w:r>
      <w:r>
        <w:rPr>
          <w:rFonts w:ascii="Times New Roman" w:hAnsi="Times New Roman"/>
          <w:i/>
          <w:sz w:val="20"/>
        </w:rPr>
        <w:t>ABP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 w:color="000000"/>
        </w:rPr>
        <w:t>adaptīvo modeli</w:t>
      </w:r>
      <w:r>
        <w:rPr>
          <w:rFonts w:ascii="Times New Roman" w:hAnsi="Times New Roman"/>
          <w:sz w:val="20"/>
        </w:rPr>
        <w:t>.</w:t>
      </w:r>
    </w:p>
  </w:footnote>
  <w:footnote w:id="9">
    <w:p w14:paraId="351236DF" w14:textId="3CD50B2D" w:rsidR="00783C10" w:rsidRPr="0062026E" w:rsidRDefault="00783C10" w:rsidP="0062026E">
      <w:pPr>
        <w:pStyle w:val="Heading2"/>
        <w:tabs>
          <w:tab w:val="left" w:pos="300"/>
        </w:tabs>
        <w:spacing w:before="0"/>
        <w:ind w:left="0"/>
        <w:jc w:val="both"/>
        <w:rPr>
          <w:rFonts w:cs="Times New Roman"/>
          <w:noProof/>
          <w:sz w:val="20"/>
          <w:szCs w:val="20"/>
        </w:rPr>
      </w:pPr>
      <w:r>
        <w:rPr>
          <w:rStyle w:val="FootnoteReference"/>
          <w:rFonts w:cs="Times New Roman"/>
          <w:sz w:val="20"/>
          <w:szCs w:val="20"/>
        </w:rPr>
        <w:footnoteRef/>
      </w:r>
      <w:r>
        <w:rPr>
          <w:sz w:val="20"/>
        </w:rPr>
        <w:t xml:space="preserve"> Ja, piemēram, atšķaidījuma, neraksturīgu matricas traucējumu, enzimātiskās hidrolīzes inhibīcijas vai nepilnīgas atvasināšanas dēļ </w:t>
      </w:r>
      <w:r>
        <w:rPr>
          <w:sz w:val="20"/>
          <w:u w:val="single" w:color="000000"/>
        </w:rPr>
        <w:t>sākotnējās pārbaudes procedūrā</w:t>
      </w:r>
      <w:r>
        <w:rPr>
          <w:sz w:val="20"/>
        </w:rPr>
        <w:t xml:space="preserve"> steroīdu profila </w:t>
      </w:r>
      <w:r>
        <w:rPr>
          <w:i/>
          <w:sz w:val="20"/>
        </w:rPr>
        <w:t>marķieri</w:t>
      </w:r>
      <w:r>
        <w:rPr>
          <w:sz w:val="20"/>
        </w:rPr>
        <w:t xml:space="preserve"> nav iespējams izmērīt, </w:t>
      </w:r>
      <w:r>
        <w:rPr>
          <w:sz w:val="20"/>
          <w:u w:val="single" w:color="000000"/>
        </w:rPr>
        <w:t>laboratorijai</w:t>
      </w:r>
      <w:r>
        <w:rPr>
          <w:sz w:val="20"/>
        </w:rPr>
        <w:t xml:space="preserve"> ir jāatkārto analīze, izmantojot alternatīvu, validētu </w:t>
      </w:r>
      <w:r>
        <w:rPr>
          <w:i/>
          <w:sz w:val="20"/>
        </w:rPr>
        <w:t>parauga</w:t>
      </w:r>
      <w:r>
        <w:rPr>
          <w:sz w:val="20"/>
        </w:rPr>
        <w:t xml:space="preserve"> sagatavošanas procedūru (</w:t>
      </w:r>
      <w:r>
        <w:rPr>
          <w:i/>
          <w:sz w:val="20"/>
        </w:rPr>
        <w:t>piemēram</w:t>
      </w:r>
      <w:r>
        <w:rPr>
          <w:sz w:val="20"/>
        </w:rPr>
        <w:t xml:space="preserve">, veicot </w:t>
      </w:r>
      <w:r>
        <w:rPr>
          <w:i/>
          <w:sz w:val="20"/>
        </w:rPr>
        <w:t>parauga</w:t>
      </w:r>
      <w:r>
        <w:rPr>
          <w:sz w:val="20"/>
        </w:rPr>
        <w:t xml:space="preserve"> koncentrāciju vai izmantojot lielākus </w:t>
      </w:r>
      <w:r>
        <w:rPr>
          <w:sz w:val="20"/>
          <w:u w:val="single" w:color="000000"/>
        </w:rPr>
        <w:t>alikvotu</w:t>
      </w:r>
      <w:r>
        <w:rPr>
          <w:sz w:val="20"/>
        </w:rPr>
        <w:t xml:space="preserve"> tilpumus, veicot cietās fāzes ekstrakciju, ekstrakciju, izmantojot citu šķīdinātāju, vai piemērojot citu līdzvērtīgu procedūru). Tomēr, ja steroīdu profila </w:t>
      </w:r>
      <w:r>
        <w:rPr>
          <w:i/>
          <w:sz w:val="20"/>
        </w:rPr>
        <w:t>marķiera</w:t>
      </w:r>
      <w:r>
        <w:rPr>
          <w:sz w:val="20"/>
        </w:rPr>
        <w:t xml:space="preserve"> daudzumu nav iespējams noteikt, ziņo, ka </w:t>
      </w:r>
      <w:r>
        <w:rPr>
          <w:i/>
          <w:sz w:val="20"/>
        </w:rPr>
        <w:t>marķiera</w:t>
      </w:r>
      <w:r>
        <w:rPr>
          <w:sz w:val="20"/>
        </w:rPr>
        <w:t xml:space="preserve"> koncentrācija ir “-1”. Ja </w:t>
      </w:r>
      <w:r>
        <w:rPr>
          <w:i/>
          <w:sz w:val="20"/>
        </w:rPr>
        <w:t>marķiera</w:t>
      </w:r>
      <w:r>
        <w:rPr>
          <w:sz w:val="20"/>
        </w:rPr>
        <w:t xml:space="preserve"> hromatogrāfiskās smailes signālu nav iespējams noteikt (</w:t>
      </w:r>
      <w:r>
        <w:rPr>
          <w:i/>
          <w:sz w:val="20"/>
        </w:rPr>
        <w:t>t. i.</w:t>
      </w:r>
      <w:r>
        <w:rPr>
          <w:sz w:val="20"/>
        </w:rPr>
        <w:t xml:space="preserve">, tas ir zemāks par pārbaudes metodes noteikšanas spēju), ziņo, ka </w:t>
      </w:r>
      <w:r>
        <w:rPr>
          <w:i/>
          <w:sz w:val="20"/>
        </w:rPr>
        <w:t>marķiera</w:t>
      </w:r>
      <w:r>
        <w:rPr>
          <w:sz w:val="20"/>
        </w:rPr>
        <w:t xml:space="preserve"> koncentrācija ir “-2” (skat. 1. tabulu).</w:t>
      </w:r>
    </w:p>
  </w:footnote>
  <w:footnote w:id="10">
    <w:p w14:paraId="7F178233" w14:textId="3B12A453" w:rsidR="00783C10" w:rsidRPr="0062026E" w:rsidRDefault="00783C10" w:rsidP="0062026E">
      <w:pPr>
        <w:tabs>
          <w:tab w:val="left" w:pos="408"/>
        </w:tabs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 w:color="000000"/>
        </w:rPr>
        <w:t>Laboratorija</w:t>
      </w:r>
      <w:r>
        <w:rPr>
          <w:rFonts w:ascii="Times New Roman" w:hAnsi="Times New Roman"/>
          <w:sz w:val="20"/>
        </w:rPr>
        <w:t xml:space="preserve"> pēc </w:t>
      </w:r>
      <w:r>
        <w:rPr>
          <w:rFonts w:ascii="Times New Roman" w:hAnsi="Times New Roman"/>
          <w:sz w:val="20"/>
          <w:u w:val="single" w:color="000000"/>
        </w:rPr>
        <w:t>pārbaudes iestādes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  <w:u w:val="single" w:color="000000"/>
        </w:rPr>
        <w:t>rezultātu pārvaldības iestādes</w:t>
      </w:r>
      <w:r>
        <w:rPr>
          <w:rFonts w:ascii="Times New Roman" w:hAnsi="Times New Roman"/>
          <w:sz w:val="20"/>
        </w:rPr>
        <w:t xml:space="preserve"> vai </w:t>
      </w:r>
      <w:r>
        <w:rPr>
          <w:rFonts w:ascii="Times New Roman" w:hAnsi="Times New Roman"/>
          <w:i/>
          <w:iCs/>
          <w:sz w:val="20"/>
          <w:u w:val="single" w:color="000000"/>
        </w:rPr>
        <w:t>APMU</w:t>
      </w:r>
      <w:r>
        <w:rPr>
          <w:rFonts w:ascii="Times New Roman" w:hAnsi="Times New Roman"/>
          <w:sz w:val="20"/>
        </w:rPr>
        <w:t xml:space="preserve"> lūguma var sniegt arī informāciju par citiem steroīdu parametriem, piemēram, par dihidrotestosteronu (</w:t>
      </w:r>
      <w:r>
        <w:rPr>
          <w:rFonts w:ascii="Times New Roman" w:hAnsi="Times New Roman"/>
          <w:i/>
          <w:iCs/>
          <w:sz w:val="20"/>
        </w:rPr>
        <w:t>DHEA</w:t>
      </w:r>
      <w:r>
        <w:rPr>
          <w:rFonts w:ascii="Times New Roman" w:hAnsi="Times New Roman"/>
          <w:sz w:val="20"/>
        </w:rPr>
        <w:t>) un 6α-hidroksi-androstenedionu.</w:t>
      </w:r>
    </w:p>
  </w:footnote>
  <w:footnote w:id="11">
    <w:p w14:paraId="74E2C525" w14:textId="635A997C" w:rsidR="00783C10" w:rsidRPr="0062026E" w:rsidRDefault="00783C10" w:rsidP="0062026E">
      <w:pPr>
        <w:pStyle w:val="Heading2"/>
        <w:tabs>
          <w:tab w:val="left" w:pos="389"/>
        </w:tabs>
        <w:spacing w:before="0"/>
        <w:ind w:left="0"/>
        <w:jc w:val="both"/>
        <w:rPr>
          <w:rFonts w:cs="Times New Roman"/>
          <w:noProof/>
          <w:sz w:val="20"/>
          <w:szCs w:val="20"/>
        </w:rPr>
      </w:pPr>
      <w:r>
        <w:rPr>
          <w:rStyle w:val="FootnoteReference"/>
          <w:rFonts w:cs="Times New Roman"/>
          <w:sz w:val="20"/>
          <w:szCs w:val="20"/>
        </w:rPr>
        <w:footnoteRef/>
      </w:r>
      <w:r>
        <w:rPr>
          <w:sz w:val="20"/>
        </w:rPr>
        <w:t xml:space="preserve"> </w:t>
      </w:r>
      <w:r>
        <w:rPr>
          <w:i/>
          <w:iCs/>
          <w:sz w:val="20"/>
        </w:rPr>
        <w:t>A</w:t>
      </w:r>
      <w:r>
        <w:rPr>
          <w:sz w:val="20"/>
        </w:rPr>
        <w:t>/</w:t>
      </w:r>
      <w:r>
        <w:rPr>
          <w:i/>
          <w:iCs/>
          <w:sz w:val="20"/>
        </w:rPr>
        <w:t>T</w:t>
      </w:r>
      <w:r>
        <w:rPr>
          <w:sz w:val="20"/>
        </w:rPr>
        <w:t xml:space="preserve">, </w:t>
      </w:r>
      <w:r>
        <w:rPr>
          <w:i/>
          <w:iCs/>
          <w:sz w:val="20"/>
        </w:rPr>
        <w:t>A</w:t>
      </w:r>
      <w:r>
        <w:rPr>
          <w:sz w:val="20"/>
        </w:rPr>
        <w:t>/</w:t>
      </w:r>
      <w:r>
        <w:rPr>
          <w:i/>
          <w:iCs/>
          <w:sz w:val="20"/>
        </w:rPr>
        <w:t>Etio</w:t>
      </w:r>
      <w:r>
        <w:rPr>
          <w:sz w:val="20"/>
        </w:rPr>
        <w:t xml:space="preserve">, </w:t>
      </w:r>
      <w:r>
        <w:rPr>
          <w:i/>
          <w:iCs/>
          <w:sz w:val="20"/>
        </w:rPr>
        <w:t>5αAdiol</w:t>
      </w:r>
      <w:r>
        <w:rPr>
          <w:sz w:val="20"/>
        </w:rPr>
        <w:t>/</w:t>
      </w:r>
      <w:r>
        <w:rPr>
          <w:i/>
          <w:iCs/>
          <w:sz w:val="20"/>
        </w:rPr>
        <w:t>5βAdiol</w:t>
      </w:r>
      <w:r>
        <w:rPr>
          <w:sz w:val="20"/>
        </w:rPr>
        <w:t xml:space="preserve"> un </w:t>
      </w:r>
      <w:r>
        <w:rPr>
          <w:i/>
          <w:iCs/>
          <w:sz w:val="20"/>
        </w:rPr>
        <w:t>5αAdiol</w:t>
      </w:r>
      <w:r>
        <w:rPr>
          <w:sz w:val="20"/>
        </w:rPr>
        <w:t>/</w:t>
      </w:r>
      <w:r>
        <w:rPr>
          <w:i/>
          <w:iCs/>
          <w:sz w:val="20"/>
        </w:rPr>
        <w:t>E</w:t>
      </w:r>
      <w:r>
        <w:rPr>
          <w:sz w:val="20"/>
        </w:rPr>
        <w:t xml:space="preserve"> proporcijas tiek automātiski aprēķinātas </w:t>
      </w:r>
      <w:r>
        <w:rPr>
          <w:i/>
          <w:sz w:val="20"/>
        </w:rPr>
        <w:t>ADAMS</w:t>
      </w:r>
      <w:r>
        <w:rPr>
          <w:sz w:val="20"/>
        </w:rPr>
        <w:t xml:space="preserve"> pēc tam, kad </w:t>
      </w:r>
      <w:r>
        <w:rPr>
          <w:sz w:val="20"/>
          <w:u w:val="single" w:color="000000"/>
        </w:rPr>
        <w:t>laboratorija</w:t>
      </w:r>
      <w:r>
        <w:rPr>
          <w:sz w:val="20"/>
        </w:rPr>
        <w:t xml:space="preserve"> ir paziņojusi steroīdu profilu.</w:t>
      </w:r>
    </w:p>
  </w:footnote>
  <w:footnote w:id="12">
    <w:p w14:paraId="440C68F6" w14:textId="4113D3A7" w:rsidR="00D82B82" w:rsidRPr="0062026E" w:rsidRDefault="00D82B82" w:rsidP="0062026E">
      <w:pPr>
        <w:tabs>
          <w:tab w:val="left" w:pos="375"/>
        </w:tabs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Paraugs</w:t>
      </w:r>
      <w:r>
        <w:rPr>
          <w:rFonts w:ascii="Times New Roman" w:hAnsi="Times New Roman"/>
          <w:sz w:val="20"/>
        </w:rPr>
        <w:t xml:space="preserve">, kuram ir konstatētas mikrobiālās degradācijas pazīmes vai kurā ir kāda no vielām, kas var izraisīt steroīdu profila izmaiņas (skat. 1.1. punktu), nevar būt piemērots iekļaušanai “steroīdu garenprofilā”. Šos rezultātus izvērtē </w:t>
      </w:r>
      <w:r>
        <w:rPr>
          <w:rFonts w:ascii="Times New Roman" w:hAnsi="Times New Roman"/>
          <w:i/>
          <w:iCs/>
          <w:sz w:val="20"/>
          <w:u w:val="single" w:color="000000"/>
        </w:rPr>
        <w:t>APMU</w:t>
      </w:r>
      <w:r>
        <w:rPr>
          <w:rFonts w:ascii="Times New Roman" w:hAnsi="Times New Roman"/>
          <w:sz w:val="20"/>
        </w:rPr>
        <w:t xml:space="preserve"> rezultātu pārvaldības procesā, izvērtējot </w:t>
      </w:r>
      <w:r>
        <w:rPr>
          <w:rFonts w:ascii="Times New Roman" w:hAnsi="Times New Roman"/>
          <w:i/>
          <w:sz w:val="20"/>
        </w:rPr>
        <w:t>parauga</w:t>
      </w:r>
      <w:r>
        <w:rPr>
          <w:rFonts w:ascii="Times New Roman" w:hAnsi="Times New Roman"/>
          <w:sz w:val="20"/>
        </w:rPr>
        <w:t xml:space="preserve"> analītiskos datus un novērtējot iespējamos patoloģiskos vai maldinošos apstākļus, kas varēja ietekmēt </w:t>
      </w:r>
      <w:r>
        <w:rPr>
          <w:rFonts w:ascii="Times New Roman" w:hAnsi="Times New Roman"/>
          <w:i/>
          <w:sz w:val="20"/>
        </w:rPr>
        <w:t>parauga</w:t>
      </w:r>
      <w:r>
        <w:rPr>
          <w:rFonts w:ascii="Times New Roman" w:hAnsi="Times New Roman"/>
          <w:sz w:val="20"/>
        </w:rPr>
        <w:t xml:space="preserve"> steroīdu profilu.</w:t>
      </w:r>
    </w:p>
  </w:footnote>
  <w:footnote w:id="13">
    <w:p w14:paraId="2E13F8D0" w14:textId="3DFE0CD2" w:rsidR="000C79F9" w:rsidRPr="0062026E" w:rsidRDefault="000C79F9" w:rsidP="0062026E">
      <w:pPr>
        <w:pStyle w:val="Heading2"/>
        <w:tabs>
          <w:tab w:val="left" w:pos="360"/>
        </w:tabs>
        <w:spacing w:before="0"/>
        <w:ind w:left="0"/>
        <w:jc w:val="both"/>
        <w:rPr>
          <w:rFonts w:cs="Times New Roman"/>
          <w:noProof/>
          <w:sz w:val="20"/>
          <w:szCs w:val="20"/>
        </w:rPr>
      </w:pPr>
      <w:r>
        <w:rPr>
          <w:rStyle w:val="FootnoteReference"/>
          <w:rFonts w:cs="Times New Roman"/>
          <w:sz w:val="20"/>
          <w:szCs w:val="20"/>
        </w:rPr>
        <w:footnoteRef/>
      </w:r>
      <w:r>
        <w:rPr>
          <w:sz w:val="20"/>
        </w:rPr>
        <w:t xml:space="preserve"> Turklāt pēc tam, kad </w:t>
      </w:r>
      <w:r>
        <w:rPr>
          <w:sz w:val="20"/>
          <w:u w:val="single" w:color="000000"/>
        </w:rPr>
        <w:t>laboratorija</w:t>
      </w:r>
      <w:r>
        <w:rPr>
          <w:sz w:val="20"/>
        </w:rPr>
        <w:t xml:space="preserve"> steroīdu profilu ir paziņojusi </w:t>
      </w:r>
      <w:r>
        <w:rPr>
          <w:i/>
          <w:sz w:val="20"/>
        </w:rPr>
        <w:t>ADAMS</w:t>
      </w:r>
      <w:r>
        <w:rPr>
          <w:sz w:val="20"/>
        </w:rPr>
        <w:t xml:space="preserve">, </w:t>
      </w:r>
      <w:r>
        <w:rPr>
          <w:i/>
          <w:iCs/>
          <w:sz w:val="20"/>
          <w:u w:val="single" w:color="000000"/>
        </w:rPr>
        <w:t>APMU</w:t>
      </w:r>
      <w:r>
        <w:rPr>
          <w:sz w:val="20"/>
        </w:rPr>
        <w:t xml:space="preserve"> pēc steroīdu profila datu izvērtēšanas var novērtēt </w:t>
      </w:r>
      <w:r>
        <w:rPr>
          <w:i/>
          <w:sz w:val="20"/>
        </w:rPr>
        <w:t>paraugu</w:t>
      </w:r>
      <w:r>
        <w:rPr>
          <w:sz w:val="20"/>
        </w:rPr>
        <w:t xml:space="preserve"> kā “nederīgu”, piemēram, ņemot vērā tādu vielu klātbūtni, kuras var izmainīt </w:t>
      </w:r>
      <w:r>
        <w:rPr>
          <w:i/>
          <w:sz w:val="20"/>
        </w:rPr>
        <w:t>parauga</w:t>
      </w:r>
      <w:r>
        <w:rPr>
          <w:sz w:val="20"/>
        </w:rPr>
        <w:t xml:space="preserve"> steroīdu profilu.</w:t>
      </w:r>
    </w:p>
  </w:footnote>
  <w:footnote w:id="14">
    <w:p w14:paraId="296FC116" w14:textId="61D911C7" w:rsidR="000C79F9" w:rsidRPr="0062026E" w:rsidRDefault="000C79F9" w:rsidP="0062026E">
      <w:pPr>
        <w:pStyle w:val="Heading2"/>
        <w:tabs>
          <w:tab w:val="left" w:pos="413"/>
        </w:tabs>
        <w:spacing w:before="0"/>
        <w:ind w:left="0"/>
        <w:jc w:val="both"/>
        <w:rPr>
          <w:noProof/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</w:rPr>
        <w:t xml:space="preserve"> </w:t>
      </w:r>
      <w:r>
        <w:rPr>
          <w:sz w:val="20"/>
          <w:u w:val="single" w:color="000000"/>
        </w:rPr>
        <w:t>Laboratorijai</w:t>
      </w:r>
      <w:r>
        <w:rPr>
          <w:sz w:val="20"/>
        </w:rPr>
        <w:t xml:space="preserve"> </w:t>
      </w:r>
      <w:r>
        <w:rPr>
          <w:sz w:val="20"/>
          <w:u w:val="single" w:color="000000"/>
        </w:rPr>
        <w:t>sākotnējās pārbaudes procedūrā</w:t>
      </w:r>
      <w:r>
        <w:rPr>
          <w:sz w:val="20"/>
        </w:rPr>
        <w:t xml:space="preserve"> obligāti ir jāpārbauda vismaz etanola konjugētā(-o) </w:t>
      </w:r>
      <w:r>
        <w:rPr>
          <w:i/>
          <w:sz w:val="20"/>
        </w:rPr>
        <w:t>metabolīta(-u)</w:t>
      </w:r>
      <w:r>
        <w:rPr>
          <w:sz w:val="20"/>
        </w:rPr>
        <w:t xml:space="preserve"> [</w:t>
      </w:r>
      <w:r>
        <w:rPr>
          <w:i/>
          <w:sz w:val="20"/>
        </w:rPr>
        <w:t>piemēram</w:t>
      </w:r>
      <w:r>
        <w:rPr>
          <w:sz w:val="20"/>
        </w:rPr>
        <w:t>, etanola glikuronīda (</w:t>
      </w:r>
      <w:r>
        <w:rPr>
          <w:i/>
          <w:iCs/>
          <w:sz w:val="20"/>
        </w:rPr>
        <w:t>EtG</w:t>
      </w:r>
      <w:r>
        <w:rPr>
          <w:sz w:val="20"/>
        </w:rPr>
        <w:t xml:space="preserve">)], 5α-reduktāzes un ketokonazola inhibitoru klātbūtne un jāziņo, ja aprēķinātā </w:t>
      </w:r>
      <w:r>
        <w:rPr>
          <w:i/>
          <w:iCs/>
          <w:sz w:val="20"/>
        </w:rPr>
        <w:t>EtG</w:t>
      </w:r>
      <w:r>
        <w:rPr>
          <w:sz w:val="20"/>
        </w:rPr>
        <w:t xml:space="preserve"> ir augstāka par 5 μg/ml (par </w:t>
      </w:r>
      <w:r>
        <w:rPr>
          <w:sz w:val="20"/>
          <w:u w:val="single" w:color="000000"/>
        </w:rPr>
        <w:t>mērījuma nenoteiktību</w:t>
      </w:r>
      <w:r>
        <w:rPr>
          <w:sz w:val="20"/>
        </w:rPr>
        <w:t xml:space="preserve"> nav jāziņo).</w:t>
      </w:r>
    </w:p>
  </w:footnote>
  <w:footnote w:id="15">
    <w:p w14:paraId="00268298" w14:textId="07BCA0B3" w:rsidR="0062026E" w:rsidRPr="0062026E" w:rsidRDefault="0062026E" w:rsidP="0062026E">
      <w:pPr>
        <w:pStyle w:val="Heading2"/>
        <w:spacing w:before="0"/>
        <w:ind w:left="0"/>
        <w:jc w:val="both"/>
        <w:rPr>
          <w:noProof/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</w:rPr>
        <w:t xml:space="preserve"> Attiecībā uz </w:t>
      </w:r>
      <w:r>
        <w:rPr>
          <w:i/>
          <w:iCs/>
          <w:sz w:val="20"/>
        </w:rPr>
        <w:t>T</w:t>
      </w:r>
      <w:r>
        <w:rPr>
          <w:sz w:val="20"/>
        </w:rPr>
        <w:t>/</w:t>
      </w:r>
      <w:r>
        <w:rPr>
          <w:i/>
          <w:iCs/>
          <w:sz w:val="20"/>
        </w:rPr>
        <w:t>E</w:t>
      </w:r>
      <w:r>
        <w:rPr>
          <w:sz w:val="20"/>
        </w:rPr>
        <w:t xml:space="preserve"> vērtībām ir jāapstiprina tikai </w:t>
      </w:r>
      <w:r>
        <w:rPr>
          <w:i/>
          <w:iCs/>
          <w:sz w:val="20"/>
        </w:rPr>
        <w:t>T</w:t>
      </w:r>
      <w:r>
        <w:rPr>
          <w:sz w:val="20"/>
        </w:rPr>
        <w:t xml:space="preserve">, ja </w:t>
      </w:r>
      <w:r>
        <w:rPr>
          <w:i/>
          <w:iCs/>
          <w:sz w:val="20"/>
        </w:rPr>
        <w:t>E</w:t>
      </w:r>
      <w:r>
        <w:rPr>
          <w:sz w:val="20"/>
        </w:rPr>
        <w:t xml:space="preserve"> koncentrācijas līmeņi vai </w:t>
      </w:r>
      <w:r>
        <w:rPr>
          <w:i/>
          <w:sz w:val="20"/>
        </w:rPr>
        <w:t>parauga</w:t>
      </w:r>
      <w:r>
        <w:rPr>
          <w:sz w:val="20"/>
        </w:rPr>
        <w:t xml:space="preserve"> tilpums nav pietiekami.</w:t>
      </w:r>
    </w:p>
  </w:footnote>
  <w:footnote w:id="16">
    <w:p w14:paraId="1CF3D16A" w14:textId="04A67F6E" w:rsidR="00BB6381" w:rsidRPr="00BB6381" w:rsidRDefault="00BB6381" w:rsidP="00BB6381">
      <w:pPr>
        <w:pStyle w:val="Heading2"/>
        <w:tabs>
          <w:tab w:val="left" w:pos="358"/>
        </w:tabs>
        <w:spacing w:before="0"/>
        <w:ind w:left="0"/>
        <w:jc w:val="both"/>
        <w:rPr>
          <w:noProof/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</w:rPr>
        <w:t xml:space="preserve"> Ja to paredz </w:t>
      </w:r>
      <w:r>
        <w:rPr>
          <w:sz w:val="20"/>
          <w:u w:val="single" w:color="000000"/>
        </w:rPr>
        <w:t>laboratorijas</w:t>
      </w:r>
      <w:r>
        <w:rPr>
          <w:sz w:val="20"/>
        </w:rPr>
        <w:t xml:space="preserve"> un </w:t>
      </w:r>
      <w:r>
        <w:rPr>
          <w:sz w:val="20"/>
          <w:u w:val="single" w:color="000000"/>
        </w:rPr>
        <w:t>pārbaudes iestādes</w:t>
      </w:r>
      <w:r>
        <w:rPr>
          <w:sz w:val="20"/>
        </w:rPr>
        <w:t xml:space="preserve"> vienošanās.</w:t>
      </w:r>
    </w:p>
  </w:footnote>
  <w:footnote w:id="17">
    <w:p w14:paraId="53521C4D" w14:textId="77777777" w:rsidR="00BB6381" w:rsidRPr="00BB6381" w:rsidRDefault="00BB6381" w:rsidP="00BB6381">
      <w:pPr>
        <w:pStyle w:val="Heading2"/>
        <w:tabs>
          <w:tab w:val="left" w:pos="356"/>
        </w:tabs>
        <w:spacing w:before="0"/>
        <w:ind w:left="0"/>
        <w:jc w:val="both"/>
        <w:rPr>
          <w:noProof/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</w:rPr>
        <w:t xml:space="preserve"> Koncentrācijas vērtības pielīdzina atbilstīgi urīna </w:t>
      </w:r>
      <w:r>
        <w:rPr>
          <w:i/>
          <w:iCs/>
          <w:sz w:val="20"/>
        </w:rPr>
        <w:t>SG</w:t>
      </w:r>
      <w:r>
        <w:rPr>
          <w:sz w:val="20"/>
          <w:vertAlign w:val="superscript"/>
        </w:rPr>
        <w:t>7</w:t>
      </w:r>
      <w:r>
        <w:rPr>
          <w:sz w:val="20"/>
        </w:rPr>
        <w:t xml:space="preserve"> 1,020, izmantojot šādu vienādojumu (brīvie un hidrolizētie glikurokonjugētie steroīdi):</w:t>
      </w:r>
    </w:p>
    <w:p w14:paraId="2414E683" w14:textId="22016C73" w:rsidR="00BB6381" w:rsidRPr="00BB6381" w:rsidRDefault="00BB6381" w:rsidP="00BB6381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i/>
          <w:iCs/>
          <w:sz w:val="20"/>
        </w:rPr>
        <w:t>Conc</w:t>
      </w:r>
      <w:r>
        <w:rPr>
          <w:rFonts w:ascii="Times New Roman" w:hAnsi="Times New Roman"/>
          <w:b/>
          <w:i/>
          <w:iCs/>
          <w:sz w:val="20"/>
          <w:vertAlign w:val="subscript"/>
        </w:rPr>
        <w:t>corr</w:t>
      </w:r>
      <w:r>
        <w:rPr>
          <w:rFonts w:ascii="Times New Roman" w:hAnsi="Times New Roman"/>
          <w:b/>
          <w:sz w:val="20"/>
        </w:rPr>
        <w:t xml:space="preserve"> = </w:t>
      </w:r>
      <w:r>
        <w:rPr>
          <w:rFonts w:ascii="Times New Roman" w:hAnsi="Times New Roman"/>
          <w:b/>
          <w:i/>
          <w:iCs/>
          <w:sz w:val="20"/>
        </w:rPr>
        <w:t>Conc</w:t>
      </w:r>
      <w:r>
        <w:rPr>
          <w:rFonts w:ascii="Times New Roman" w:hAnsi="Times New Roman"/>
          <w:b/>
          <w:i/>
          <w:iCs/>
          <w:sz w:val="20"/>
          <w:vertAlign w:val="subscript"/>
        </w:rPr>
        <w:t>measured</w:t>
      </w:r>
      <w:r>
        <w:rPr>
          <w:rFonts w:ascii="Times New Roman" w:hAnsi="Times New Roman"/>
          <w:b/>
          <w:sz w:val="20"/>
        </w:rPr>
        <w:t xml:space="preserve"> * (1,020 – 1)/(</w:t>
      </w:r>
      <w:r>
        <w:rPr>
          <w:rFonts w:ascii="Times New Roman" w:hAnsi="Times New Roman"/>
          <w:b/>
          <w:i/>
          <w:iCs/>
          <w:sz w:val="20"/>
        </w:rPr>
        <w:t>SG</w:t>
      </w:r>
      <w:r>
        <w:rPr>
          <w:rFonts w:ascii="Times New Roman" w:hAnsi="Times New Roman"/>
          <w:b/>
          <w:sz w:val="20"/>
        </w:rPr>
        <w:t> – 1)</w:t>
      </w:r>
    </w:p>
  </w:footnote>
  <w:footnote w:id="18">
    <w:p w14:paraId="0A68B129" w14:textId="59698AF8" w:rsidR="00BB6381" w:rsidRPr="00BB6381" w:rsidRDefault="00BB6381" w:rsidP="00BB6381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Ja, pamatojoties uz “A” </w:t>
      </w:r>
      <w:r>
        <w:rPr>
          <w:rFonts w:ascii="Times New Roman" w:hAnsi="Times New Roman"/>
          <w:i/>
        </w:rPr>
        <w:t>parauga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GC/C/IRMS</w:t>
      </w:r>
      <w:r>
        <w:rPr>
          <w:rFonts w:ascii="Times New Roman" w:hAnsi="Times New Roman"/>
        </w:rPr>
        <w:t xml:space="preserve"> analīzes rezultātiem, attiecībā uz steroīdu profila </w:t>
      </w:r>
      <w:r>
        <w:rPr>
          <w:rFonts w:ascii="Times New Roman" w:hAnsi="Times New Roman"/>
          <w:i/>
        </w:rPr>
        <w:t>marķieri(-iem)</w:t>
      </w:r>
      <w:r>
        <w:rPr>
          <w:rFonts w:ascii="Times New Roman" w:hAnsi="Times New Roman"/>
        </w:rPr>
        <w:t xml:space="preserve"> ir ziņots par </w:t>
      </w:r>
      <w:r>
        <w:rPr>
          <w:rFonts w:ascii="Times New Roman" w:hAnsi="Times New Roman"/>
          <w:i/>
        </w:rPr>
        <w:t>AAF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GC/C/IRMS</w:t>
      </w:r>
      <w:r>
        <w:rPr>
          <w:rFonts w:ascii="Times New Roman" w:hAnsi="Times New Roman"/>
        </w:rPr>
        <w:t xml:space="preserve"> analīzi atkārto tikai “B” </w:t>
      </w:r>
      <w:r>
        <w:rPr>
          <w:rFonts w:ascii="Times New Roman" w:hAnsi="Times New Roman"/>
          <w:i/>
        </w:rPr>
        <w:t>parauga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 w:color="000000"/>
        </w:rPr>
        <w:t>apstiprināšanas procedūrā</w:t>
      </w:r>
      <w:r>
        <w:rPr>
          <w:rFonts w:ascii="Times New Roman" w:hAnsi="Times New Roman"/>
        </w:rPr>
        <w:t xml:space="preserve">, ja tādu piemēro. Skat. </w:t>
      </w:r>
      <w:r>
        <w:rPr>
          <w:rFonts w:ascii="Times New Roman" w:hAnsi="Times New Roman"/>
          <w:i/>
          <w:iCs/>
        </w:rPr>
        <w:t>TD IRMS</w:t>
      </w:r>
      <w:r>
        <w:rPr>
          <w:rFonts w:ascii="Times New Roman" w:hAnsi="Times New Roman"/>
        </w:rPr>
        <w:t xml:space="preserve"> [1].</w:t>
      </w:r>
    </w:p>
  </w:footnote>
  <w:footnote w:id="19">
    <w:p w14:paraId="2AA8ECB3" w14:textId="29C3D572" w:rsidR="00BB6381" w:rsidRPr="00BB6381" w:rsidRDefault="00BB6381" w:rsidP="00BB6381">
      <w:pPr>
        <w:tabs>
          <w:tab w:val="left" w:pos="387"/>
        </w:tabs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Papildus </w:t>
      </w:r>
      <w:r>
        <w:rPr>
          <w:rFonts w:ascii="Times New Roman" w:hAnsi="Times New Roman"/>
          <w:i/>
          <w:iCs/>
          <w:sz w:val="20"/>
        </w:rPr>
        <w:t>5αAND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i/>
          <w:iCs/>
          <w:sz w:val="20"/>
        </w:rPr>
        <w:t>A</w:t>
      </w:r>
      <w:r>
        <w:rPr>
          <w:rFonts w:ascii="Times New Roman" w:hAnsi="Times New Roman"/>
          <w:sz w:val="20"/>
        </w:rPr>
        <w:t xml:space="preserve"> un </w:t>
      </w:r>
      <w:r>
        <w:rPr>
          <w:rFonts w:ascii="Times New Roman" w:hAnsi="Times New Roman"/>
          <w:i/>
          <w:iCs/>
          <w:sz w:val="20"/>
        </w:rPr>
        <w:t>5βAND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i/>
          <w:iCs/>
          <w:sz w:val="20"/>
        </w:rPr>
        <w:t>Etio</w:t>
      </w:r>
      <w:r>
        <w:rPr>
          <w:rFonts w:ascii="Times New Roman" w:hAnsi="Times New Roman"/>
          <w:sz w:val="20"/>
        </w:rPr>
        <w:t xml:space="preserve"> proporciju noteikšanai, kas apliecina mikrobioloģisko piesārņojumu, kā aprakstīts 2.2.1. punktā par </w:t>
      </w:r>
      <w:r>
        <w:rPr>
          <w:rFonts w:ascii="Times New Roman" w:hAnsi="Times New Roman"/>
          <w:sz w:val="20"/>
          <w:u w:val="single" w:color="000000"/>
        </w:rPr>
        <w:t>sākotnējās pārbaudes procedūru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  <w:u w:val="single" w:color="000000"/>
        </w:rPr>
        <w:t>apstiprināšanas procedūrā</w:t>
      </w:r>
      <w:r>
        <w:rPr>
          <w:rFonts w:ascii="Times New Roman" w:hAnsi="Times New Roman"/>
          <w:sz w:val="20"/>
        </w:rPr>
        <w:t xml:space="preserve"> noteikta paaugstināta brīvā testosterona attiecība pret kopējo testosterona daudzumu (</w:t>
      </w:r>
      <w:r>
        <w:rPr>
          <w:rFonts w:ascii="Times New Roman" w:hAnsi="Times New Roman"/>
          <w:i/>
          <w:iCs/>
          <w:sz w:val="20"/>
        </w:rPr>
        <w:t>Tfree</w:t>
      </w:r>
      <w:r>
        <w:rPr>
          <w:rFonts w:ascii="Times New Roman" w:hAnsi="Times New Roman"/>
          <w:sz w:val="20"/>
        </w:rPr>
        <w:t xml:space="preserve"> / </w:t>
      </w:r>
      <w:r>
        <w:rPr>
          <w:rFonts w:ascii="Times New Roman" w:hAnsi="Times New Roman"/>
          <w:i/>
          <w:iCs/>
          <w:sz w:val="20"/>
        </w:rPr>
        <w:t>Ttotal</w:t>
      </w:r>
      <w:r>
        <w:rPr>
          <w:rFonts w:ascii="Times New Roman" w:hAnsi="Times New Roman"/>
          <w:sz w:val="20"/>
        </w:rPr>
        <w:t xml:space="preserve"> &gt; 0,05) arī padarīs nederīgu </w:t>
      </w:r>
      <w:r>
        <w:rPr>
          <w:rFonts w:ascii="Times New Roman" w:hAnsi="Times New Roman"/>
          <w:i/>
          <w:iCs/>
          <w:sz w:val="20"/>
        </w:rPr>
        <w:t>paraugu</w:t>
      </w:r>
      <w:r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i/>
          <w:iCs/>
          <w:sz w:val="20"/>
        </w:rPr>
        <w:t>parauga</w:t>
      </w:r>
      <w:r>
        <w:rPr>
          <w:rFonts w:ascii="Times New Roman" w:hAnsi="Times New Roman"/>
          <w:sz w:val="20"/>
        </w:rPr>
        <w:t xml:space="preserve"> steroīdu profilu).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2DD55" w14:textId="77777777" w:rsidR="00DE65EF" w:rsidRPr="00DE65EF" w:rsidRDefault="00DE65EF" w:rsidP="00DE65EF">
    <w:pPr>
      <w:pStyle w:val="Header"/>
      <w:rPr>
        <w:rStyle w:val="PageNumber"/>
        <w:rFonts w:ascii="Times New Roman" w:hAnsi="Times New Roman" w:cs="Times New Roman"/>
        <w:sz w:val="20"/>
        <w:szCs w:val="20"/>
      </w:rPr>
    </w:pPr>
    <w:bookmarkStart w:id="0" w:name="_Hlk496261784"/>
    <w:bookmarkStart w:id="1" w:name="_Hlk496261785"/>
    <w:bookmarkStart w:id="2" w:name="_Hlk496261786"/>
    <w:bookmarkStart w:id="3" w:name="_Hlk502757728"/>
    <w:bookmarkStart w:id="4" w:name="_Hlk502757729"/>
    <w:bookmarkStart w:id="5" w:name="_Hlk502757738"/>
    <w:bookmarkStart w:id="6" w:name="_Hlk502757739"/>
    <w:bookmarkStart w:id="7" w:name="_Hlk30491084"/>
    <w:bookmarkStart w:id="8" w:name="_Hlk30491085"/>
  </w:p>
  <w:p w14:paraId="0F11FE97" w14:textId="5C71FC04" w:rsidR="00DE65EF" w:rsidRPr="00DE65EF" w:rsidRDefault="00DE65EF" w:rsidP="00DE65EF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r w:rsidRPr="00DE65EF">
      <w:rPr>
        <w:rStyle w:val="PageNumber"/>
        <w:rFonts w:ascii="Times New Roman" w:hAnsi="Times New Roman" w:cs="Times New Roman"/>
        <w:sz w:val="20"/>
        <w:szCs w:val="20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p w14:paraId="4060B24F" w14:textId="77777777" w:rsidR="00DE65EF" w:rsidRPr="00DE65EF" w:rsidRDefault="00DE65EF" w:rsidP="00DE65EF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EBA68" w14:textId="77777777" w:rsidR="00DE65EF" w:rsidRPr="00DE65EF" w:rsidRDefault="00DE65EF" w:rsidP="00DE65EF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9" w:name="_Hlk496261745"/>
    <w:bookmarkStart w:id="10" w:name="_Hlk496261746"/>
    <w:bookmarkStart w:id="11" w:name="_Hlk496261747"/>
    <w:bookmarkStart w:id="12" w:name="_Hlk30491063"/>
    <w:bookmarkStart w:id="13" w:name="_Hlk30491064"/>
  </w:p>
  <w:bookmarkEnd w:id="9"/>
  <w:bookmarkEnd w:id="10"/>
  <w:bookmarkEnd w:id="11"/>
  <w:bookmarkEnd w:id="12"/>
  <w:bookmarkEnd w:id="13"/>
  <w:p w14:paraId="3E61FA0E" w14:textId="77777777" w:rsidR="00DE65EF" w:rsidRPr="00DE65EF" w:rsidRDefault="00DE65EF" w:rsidP="00DE65EF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03099"/>
    <w:multiLevelType w:val="hybridMultilevel"/>
    <w:tmpl w:val="454E3AFA"/>
    <w:lvl w:ilvl="0" w:tplc="F39C4CDC">
      <w:start w:val="1"/>
      <w:numFmt w:val="bullet"/>
      <w:lvlText w:val=""/>
      <w:lvlJc w:val="left"/>
      <w:pPr>
        <w:ind w:left="832" w:hanging="356"/>
      </w:pPr>
      <w:rPr>
        <w:rFonts w:ascii="Symbol" w:eastAsia="Symbol" w:hAnsi="Symbol" w:hint="default"/>
        <w:sz w:val="24"/>
        <w:szCs w:val="24"/>
      </w:rPr>
    </w:lvl>
    <w:lvl w:ilvl="1" w:tplc="0D442D14">
      <w:start w:val="1"/>
      <w:numFmt w:val="bullet"/>
      <w:lvlText w:val="•"/>
      <w:lvlJc w:val="left"/>
      <w:pPr>
        <w:ind w:left="1641" w:hanging="356"/>
      </w:pPr>
      <w:rPr>
        <w:rFonts w:hint="default"/>
      </w:rPr>
    </w:lvl>
    <w:lvl w:ilvl="2" w:tplc="E850DAEE">
      <w:start w:val="1"/>
      <w:numFmt w:val="bullet"/>
      <w:lvlText w:val="•"/>
      <w:lvlJc w:val="left"/>
      <w:pPr>
        <w:ind w:left="2450" w:hanging="356"/>
      </w:pPr>
      <w:rPr>
        <w:rFonts w:hint="default"/>
      </w:rPr>
    </w:lvl>
    <w:lvl w:ilvl="3" w:tplc="782A625E">
      <w:start w:val="1"/>
      <w:numFmt w:val="bullet"/>
      <w:lvlText w:val="•"/>
      <w:lvlJc w:val="left"/>
      <w:pPr>
        <w:ind w:left="3258" w:hanging="356"/>
      </w:pPr>
      <w:rPr>
        <w:rFonts w:hint="default"/>
      </w:rPr>
    </w:lvl>
    <w:lvl w:ilvl="4" w:tplc="0510B91E">
      <w:start w:val="1"/>
      <w:numFmt w:val="bullet"/>
      <w:lvlText w:val="•"/>
      <w:lvlJc w:val="left"/>
      <w:pPr>
        <w:ind w:left="4067" w:hanging="356"/>
      </w:pPr>
      <w:rPr>
        <w:rFonts w:hint="default"/>
      </w:rPr>
    </w:lvl>
    <w:lvl w:ilvl="5" w:tplc="6C44CED8">
      <w:start w:val="1"/>
      <w:numFmt w:val="bullet"/>
      <w:lvlText w:val="•"/>
      <w:lvlJc w:val="left"/>
      <w:pPr>
        <w:ind w:left="4876" w:hanging="356"/>
      </w:pPr>
      <w:rPr>
        <w:rFonts w:hint="default"/>
      </w:rPr>
    </w:lvl>
    <w:lvl w:ilvl="6" w:tplc="D172AAAA">
      <w:start w:val="1"/>
      <w:numFmt w:val="bullet"/>
      <w:lvlText w:val="•"/>
      <w:lvlJc w:val="left"/>
      <w:pPr>
        <w:ind w:left="5685" w:hanging="356"/>
      </w:pPr>
      <w:rPr>
        <w:rFonts w:hint="default"/>
      </w:rPr>
    </w:lvl>
    <w:lvl w:ilvl="7" w:tplc="B608CEDC">
      <w:start w:val="1"/>
      <w:numFmt w:val="bullet"/>
      <w:lvlText w:val="•"/>
      <w:lvlJc w:val="left"/>
      <w:pPr>
        <w:ind w:left="6493" w:hanging="356"/>
      </w:pPr>
      <w:rPr>
        <w:rFonts w:hint="default"/>
      </w:rPr>
    </w:lvl>
    <w:lvl w:ilvl="8" w:tplc="742084A0">
      <w:start w:val="1"/>
      <w:numFmt w:val="bullet"/>
      <w:lvlText w:val="•"/>
      <w:lvlJc w:val="left"/>
      <w:pPr>
        <w:ind w:left="7302" w:hanging="356"/>
      </w:pPr>
      <w:rPr>
        <w:rFonts w:hint="default"/>
      </w:rPr>
    </w:lvl>
  </w:abstractNum>
  <w:abstractNum w:abstractNumId="1" w15:restartNumberingAfterBreak="0">
    <w:nsid w:val="1A5322FA"/>
    <w:multiLevelType w:val="hybridMultilevel"/>
    <w:tmpl w:val="037292D8"/>
    <w:lvl w:ilvl="0" w:tplc="DC8A36C8">
      <w:start w:val="1"/>
      <w:numFmt w:val="decimal"/>
      <w:lvlText w:val="%1)"/>
      <w:lvlJc w:val="left"/>
      <w:pPr>
        <w:ind w:left="479" w:hanging="358"/>
      </w:pPr>
      <w:rPr>
        <w:rFonts w:ascii="Verdana" w:eastAsia="Verdana" w:hAnsi="Verdana" w:hint="default"/>
        <w:spacing w:val="-2"/>
        <w:sz w:val="22"/>
        <w:szCs w:val="22"/>
      </w:rPr>
    </w:lvl>
    <w:lvl w:ilvl="1" w:tplc="1D62B296">
      <w:start w:val="1"/>
      <w:numFmt w:val="bullet"/>
      <w:lvlText w:val="o"/>
      <w:lvlJc w:val="left"/>
      <w:pPr>
        <w:ind w:left="1286" w:hanging="361"/>
      </w:pPr>
      <w:rPr>
        <w:rFonts w:ascii="Courier New" w:eastAsia="Courier New" w:hAnsi="Courier New" w:hint="default"/>
        <w:sz w:val="22"/>
        <w:szCs w:val="22"/>
      </w:rPr>
    </w:lvl>
    <w:lvl w:ilvl="2" w:tplc="990CCA0E">
      <w:start w:val="1"/>
      <w:numFmt w:val="bullet"/>
      <w:lvlText w:val="•"/>
      <w:lvlJc w:val="left"/>
      <w:pPr>
        <w:ind w:left="2134" w:hanging="361"/>
      </w:pPr>
      <w:rPr>
        <w:rFonts w:hint="default"/>
      </w:rPr>
    </w:lvl>
    <w:lvl w:ilvl="3" w:tplc="2D520ABC">
      <w:start w:val="1"/>
      <w:numFmt w:val="bullet"/>
      <w:lvlText w:val="•"/>
      <w:lvlJc w:val="left"/>
      <w:pPr>
        <w:ind w:left="2983" w:hanging="361"/>
      </w:pPr>
      <w:rPr>
        <w:rFonts w:hint="default"/>
      </w:rPr>
    </w:lvl>
    <w:lvl w:ilvl="4" w:tplc="366AF11A">
      <w:start w:val="1"/>
      <w:numFmt w:val="bullet"/>
      <w:lvlText w:val="•"/>
      <w:lvlJc w:val="left"/>
      <w:pPr>
        <w:ind w:left="3831" w:hanging="361"/>
      </w:pPr>
      <w:rPr>
        <w:rFonts w:hint="default"/>
      </w:rPr>
    </w:lvl>
    <w:lvl w:ilvl="5" w:tplc="2CE00EF8">
      <w:start w:val="1"/>
      <w:numFmt w:val="bullet"/>
      <w:lvlText w:val="•"/>
      <w:lvlJc w:val="left"/>
      <w:pPr>
        <w:ind w:left="4679" w:hanging="361"/>
      </w:pPr>
      <w:rPr>
        <w:rFonts w:hint="default"/>
      </w:rPr>
    </w:lvl>
    <w:lvl w:ilvl="6" w:tplc="C3620FD6">
      <w:start w:val="1"/>
      <w:numFmt w:val="bullet"/>
      <w:lvlText w:val="•"/>
      <w:lvlJc w:val="left"/>
      <w:pPr>
        <w:ind w:left="5527" w:hanging="361"/>
      </w:pPr>
      <w:rPr>
        <w:rFonts w:hint="default"/>
      </w:rPr>
    </w:lvl>
    <w:lvl w:ilvl="7" w:tplc="0A2A5DD6">
      <w:start w:val="1"/>
      <w:numFmt w:val="bullet"/>
      <w:lvlText w:val="•"/>
      <w:lvlJc w:val="left"/>
      <w:pPr>
        <w:ind w:left="6375" w:hanging="361"/>
      </w:pPr>
      <w:rPr>
        <w:rFonts w:hint="default"/>
      </w:rPr>
    </w:lvl>
    <w:lvl w:ilvl="8" w:tplc="68723F08">
      <w:start w:val="1"/>
      <w:numFmt w:val="bullet"/>
      <w:lvlText w:val="•"/>
      <w:lvlJc w:val="left"/>
      <w:pPr>
        <w:ind w:left="7223" w:hanging="361"/>
      </w:pPr>
      <w:rPr>
        <w:rFonts w:hint="default"/>
      </w:rPr>
    </w:lvl>
  </w:abstractNum>
  <w:abstractNum w:abstractNumId="2" w15:restartNumberingAfterBreak="0">
    <w:nsid w:val="1AC64CC3"/>
    <w:multiLevelType w:val="hybridMultilevel"/>
    <w:tmpl w:val="22C2AF4C"/>
    <w:lvl w:ilvl="0" w:tplc="9F4E1220">
      <w:start w:val="1"/>
      <w:numFmt w:val="lowerRoman"/>
      <w:lvlText w:val="%1."/>
      <w:lvlJc w:val="left"/>
      <w:pPr>
        <w:ind w:left="1380" w:hanging="322"/>
      </w:pPr>
      <w:rPr>
        <w:rFonts w:ascii="Verdana" w:eastAsia="Verdana" w:hAnsi="Verdana" w:hint="default"/>
        <w:spacing w:val="-1"/>
        <w:sz w:val="22"/>
        <w:szCs w:val="22"/>
      </w:rPr>
    </w:lvl>
    <w:lvl w:ilvl="1" w:tplc="9DA4159E">
      <w:start w:val="1"/>
      <w:numFmt w:val="bullet"/>
      <w:lvlText w:val="•"/>
      <w:lvlJc w:val="left"/>
      <w:pPr>
        <w:ind w:left="2134" w:hanging="322"/>
      </w:pPr>
      <w:rPr>
        <w:rFonts w:hint="default"/>
      </w:rPr>
    </w:lvl>
    <w:lvl w:ilvl="2" w:tplc="D31C7070">
      <w:start w:val="1"/>
      <w:numFmt w:val="bullet"/>
      <w:lvlText w:val="•"/>
      <w:lvlJc w:val="left"/>
      <w:pPr>
        <w:ind w:left="2888" w:hanging="322"/>
      </w:pPr>
      <w:rPr>
        <w:rFonts w:hint="default"/>
      </w:rPr>
    </w:lvl>
    <w:lvl w:ilvl="3" w:tplc="EF02C62A">
      <w:start w:val="1"/>
      <w:numFmt w:val="bullet"/>
      <w:lvlText w:val="•"/>
      <w:lvlJc w:val="left"/>
      <w:pPr>
        <w:ind w:left="3642" w:hanging="322"/>
      </w:pPr>
      <w:rPr>
        <w:rFonts w:hint="default"/>
      </w:rPr>
    </w:lvl>
    <w:lvl w:ilvl="4" w:tplc="E4AC27D8">
      <w:start w:val="1"/>
      <w:numFmt w:val="bullet"/>
      <w:lvlText w:val="•"/>
      <w:lvlJc w:val="left"/>
      <w:pPr>
        <w:ind w:left="4396" w:hanging="322"/>
      </w:pPr>
      <w:rPr>
        <w:rFonts w:hint="default"/>
      </w:rPr>
    </w:lvl>
    <w:lvl w:ilvl="5" w:tplc="011ABB70">
      <w:start w:val="1"/>
      <w:numFmt w:val="bullet"/>
      <w:lvlText w:val="•"/>
      <w:lvlJc w:val="left"/>
      <w:pPr>
        <w:ind w:left="5150" w:hanging="322"/>
      </w:pPr>
      <w:rPr>
        <w:rFonts w:hint="default"/>
      </w:rPr>
    </w:lvl>
    <w:lvl w:ilvl="6" w:tplc="376235E2">
      <w:start w:val="1"/>
      <w:numFmt w:val="bullet"/>
      <w:lvlText w:val="•"/>
      <w:lvlJc w:val="left"/>
      <w:pPr>
        <w:ind w:left="5904" w:hanging="322"/>
      </w:pPr>
      <w:rPr>
        <w:rFonts w:hint="default"/>
      </w:rPr>
    </w:lvl>
    <w:lvl w:ilvl="7" w:tplc="AAC836A0">
      <w:start w:val="1"/>
      <w:numFmt w:val="bullet"/>
      <w:lvlText w:val="•"/>
      <w:lvlJc w:val="left"/>
      <w:pPr>
        <w:ind w:left="6658" w:hanging="322"/>
      </w:pPr>
      <w:rPr>
        <w:rFonts w:hint="default"/>
      </w:rPr>
    </w:lvl>
    <w:lvl w:ilvl="8" w:tplc="10760544">
      <w:start w:val="1"/>
      <w:numFmt w:val="bullet"/>
      <w:lvlText w:val="•"/>
      <w:lvlJc w:val="left"/>
      <w:pPr>
        <w:ind w:left="7412" w:hanging="322"/>
      </w:pPr>
      <w:rPr>
        <w:rFonts w:hint="default"/>
      </w:rPr>
    </w:lvl>
  </w:abstractNum>
  <w:abstractNum w:abstractNumId="3" w15:restartNumberingAfterBreak="0">
    <w:nsid w:val="1F23446A"/>
    <w:multiLevelType w:val="hybridMultilevel"/>
    <w:tmpl w:val="CFA0ABAC"/>
    <w:lvl w:ilvl="0" w:tplc="85C45522">
      <w:start w:val="1"/>
      <w:numFmt w:val="lowerLetter"/>
      <w:lvlText w:val="%1)"/>
      <w:lvlJc w:val="left"/>
      <w:pPr>
        <w:ind w:left="119" w:hanging="435"/>
      </w:pPr>
      <w:rPr>
        <w:rFonts w:ascii="Verdana" w:eastAsia="Verdana" w:hAnsi="Verdana" w:hint="default"/>
        <w:spacing w:val="-1"/>
        <w:sz w:val="22"/>
        <w:szCs w:val="22"/>
      </w:rPr>
    </w:lvl>
    <w:lvl w:ilvl="1" w:tplc="5ED0BD94">
      <w:start w:val="1"/>
      <w:numFmt w:val="bullet"/>
      <w:lvlText w:val="o"/>
      <w:lvlJc w:val="left"/>
      <w:pPr>
        <w:ind w:left="1113" w:hanging="274"/>
      </w:pPr>
      <w:rPr>
        <w:rFonts w:ascii="Courier New" w:eastAsia="Courier New" w:hAnsi="Courier New" w:hint="default"/>
        <w:sz w:val="22"/>
        <w:szCs w:val="22"/>
      </w:rPr>
    </w:lvl>
    <w:lvl w:ilvl="2" w:tplc="8CB23344">
      <w:start w:val="1"/>
      <w:numFmt w:val="bullet"/>
      <w:lvlText w:val="•"/>
      <w:lvlJc w:val="left"/>
      <w:pPr>
        <w:ind w:left="1980" w:hanging="274"/>
      </w:pPr>
      <w:rPr>
        <w:rFonts w:hint="default"/>
      </w:rPr>
    </w:lvl>
    <w:lvl w:ilvl="3" w:tplc="0180FB54">
      <w:start w:val="1"/>
      <w:numFmt w:val="bullet"/>
      <w:lvlText w:val="•"/>
      <w:lvlJc w:val="left"/>
      <w:pPr>
        <w:ind w:left="2848" w:hanging="274"/>
      </w:pPr>
      <w:rPr>
        <w:rFonts w:hint="default"/>
      </w:rPr>
    </w:lvl>
    <w:lvl w:ilvl="4" w:tplc="88000D60">
      <w:start w:val="1"/>
      <w:numFmt w:val="bullet"/>
      <w:lvlText w:val="•"/>
      <w:lvlJc w:val="left"/>
      <w:pPr>
        <w:ind w:left="3715" w:hanging="274"/>
      </w:pPr>
      <w:rPr>
        <w:rFonts w:hint="default"/>
      </w:rPr>
    </w:lvl>
    <w:lvl w:ilvl="5" w:tplc="64CAFC9C">
      <w:start w:val="1"/>
      <w:numFmt w:val="bullet"/>
      <w:lvlText w:val="•"/>
      <w:lvlJc w:val="left"/>
      <w:pPr>
        <w:ind w:left="4583" w:hanging="274"/>
      </w:pPr>
      <w:rPr>
        <w:rFonts w:hint="default"/>
      </w:rPr>
    </w:lvl>
    <w:lvl w:ilvl="6" w:tplc="AB04242E">
      <w:start w:val="1"/>
      <w:numFmt w:val="bullet"/>
      <w:lvlText w:val="•"/>
      <w:lvlJc w:val="left"/>
      <w:pPr>
        <w:ind w:left="5450" w:hanging="274"/>
      </w:pPr>
      <w:rPr>
        <w:rFonts w:hint="default"/>
      </w:rPr>
    </w:lvl>
    <w:lvl w:ilvl="7" w:tplc="73D64E62">
      <w:start w:val="1"/>
      <w:numFmt w:val="bullet"/>
      <w:lvlText w:val="•"/>
      <w:lvlJc w:val="left"/>
      <w:pPr>
        <w:ind w:left="6317" w:hanging="274"/>
      </w:pPr>
      <w:rPr>
        <w:rFonts w:hint="default"/>
      </w:rPr>
    </w:lvl>
    <w:lvl w:ilvl="8" w:tplc="6CCAF026">
      <w:start w:val="1"/>
      <w:numFmt w:val="bullet"/>
      <w:lvlText w:val="•"/>
      <w:lvlJc w:val="left"/>
      <w:pPr>
        <w:ind w:left="7185" w:hanging="274"/>
      </w:pPr>
      <w:rPr>
        <w:rFonts w:hint="default"/>
      </w:rPr>
    </w:lvl>
  </w:abstractNum>
  <w:abstractNum w:abstractNumId="4" w15:restartNumberingAfterBreak="0">
    <w:nsid w:val="229E3D78"/>
    <w:multiLevelType w:val="hybridMultilevel"/>
    <w:tmpl w:val="CC66F4CC"/>
    <w:lvl w:ilvl="0" w:tplc="EA986E84">
      <w:start w:val="18"/>
      <w:numFmt w:val="decimal"/>
      <w:lvlText w:val="%1"/>
      <w:lvlJc w:val="left"/>
      <w:pPr>
        <w:ind w:left="120" w:hanging="245"/>
      </w:pPr>
      <w:rPr>
        <w:rFonts w:ascii="Times New Roman" w:eastAsia="Times New Roman" w:hAnsi="Times New Roman" w:hint="default"/>
        <w:spacing w:val="1"/>
        <w:position w:val="10"/>
        <w:sz w:val="18"/>
        <w:szCs w:val="18"/>
      </w:rPr>
    </w:lvl>
    <w:lvl w:ilvl="1" w:tplc="4562522A">
      <w:start w:val="1"/>
      <w:numFmt w:val="bullet"/>
      <w:lvlText w:val="•"/>
      <w:lvlJc w:val="left"/>
      <w:pPr>
        <w:ind w:left="1000" w:hanging="245"/>
      </w:pPr>
      <w:rPr>
        <w:rFonts w:hint="default"/>
      </w:rPr>
    </w:lvl>
    <w:lvl w:ilvl="2" w:tplc="93C8FFBC">
      <w:start w:val="1"/>
      <w:numFmt w:val="bullet"/>
      <w:lvlText w:val="•"/>
      <w:lvlJc w:val="left"/>
      <w:pPr>
        <w:ind w:left="1880" w:hanging="245"/>
      </w:pPr>
      <w:rPr>
        <w:rFonts w:hint="default"/>
      </w:rPr>
    </w:lvl>
    <w:lvl w:ilvl="3" w:tplc="52482116">
      <w:start w:val="1"/>
      <w:numFmt w:val="bullet"/>
      <w:lvlText w:val="•"/>
      <w:lvlJc w:val="left"/>
      <w:pPr>
        <w:ind w:left="2760" w:hanging="245"/>
      </w:pPr>
      <w:rPr>
        <w:rFonts w:hint="default"/>
      </w:rPr>
    </w:lvl>
    <w:lvl w:ilvl="4" w:tplc="B03094A4">
      <w:start w:val="1"/>
      <w:numFmt w:val="bullet"/>
      <w:lvlText w:val="•"/>
      <w:lvlJc w:val="left"/>
      <w:pPr>
        <w:ind w:left="3640" w:hanging="245"/>
      </w:pPr>
      <w:rPr>
        <w:rFonts w:hint="default"/>
      </w:rPr>
    </w:lvl>
    <w:lvl w:ilvl="5" w:tplc="C40C8D2E">
      <w:start w:val="1"/>
      <w:numFmt w:val="bullet"/>
      <w:lvlText w:val="•"/>
      <w:lvlJc w:val="left"/>
      <w:pPr>
        <w:ind w:left="4520" w:hanging="245"/>
      </w:pPr>
      <w:rPr>
        <w:rFonts w:hint="default"/>
      </w:rPr>
    </w:lvl>
    <w:lvl w:ilvl="6" w:tplc="93EA043E">
      <w:start w:val="1"/>
      <w:numFmt w:val="bullet"/>
      <w:lvlText w:val="•"/>
      <w:lvlJc w:val="left"/>
      <w:pPr>
        <w:ind w:left="5400" w:hanging="245"/>
      </w:pPr>
      <w:rPr>
        <w:rFonts w:hint="default"/>
      </w:rPr>
    </w:lvl>
    <w:lvl w:ilvl="7" w:tplc="42007EA4">
      <w:start w:val="1"/>
      <w:numFmt w:val="bullet"/>
      <w:lvlText w:val="•"/>
      <w:lvlJc w:val="left"/>
      <w:pPr>
        <w:ind w:left="6280" w:hanging="245"/>
      </w:pPr>
      <w:rPr>
        <w:rFonts w:hint="default"/>
      </w:rPr>
    </w:lvl>
    <w:lvl w:ilvl="8" w:tplc="FFF05644">
      <w:start w:val="1"/>
      <w:numFmt w:val="bullet"/>
      <w:lvlText w:val="•"/>
      <w:lvlJc w:val="left"/>
      <w:pPr>
        <w:ind w:left="7160" w:hanging="245"/>
      </w:pPr>
      <w:rPr>
        <w:rFonts w:hint="default"/>
      </w:rPr>
    </w:lvl>
  </w:abstractNum>
  <w:abstractNum w:abstractNumId="5" w15:restartNumberingAfterBreak="0">
    <w:nsid w:val="317921EE"/>
    <w:multiLevelType w:val="hybridMultilevel"/>
    <w:tmpl w:val="D7242136"/>
    <w:lvl w:ilvl="0" w:tplc="98D6D3D2">
      <w:start w:val="1"/>
      <w:numFmt w:val="lowerRoman"/>
      <w:lvlText w:val="%1."/>
      <w:lvlJc w:val="left"/>
      <w:pPr>
        <w:ind w:left="1359" w:hanging="411"/>
        <w:jc w:val="right"/>
      </w:pPr>
      <w:rPr>
        <w:rFonts w:ascii="Verdana" w:eastAsia="Verdana" w:hAnsi="Verdana" w:hint="default"/>
        <w:spacing w:val="-1"/>
        <w:sz w:val="22"/>
        <w:szCs w:val="22"/>
      </w:rPr>
    </w:lvl>
    <w:lvl w:ilvl="1" w:tplc="A1D62826">
      <w:start w:val="1"/>
      <w:numFmt w:val="bullet"/>
      <w:lvlText w:val="•"/>
      <w:lvlJc w:val="left"/>
      <w:pPr>
        <w:ind w:left="2113" w:hanging="411"/>
      </w:pPr>
      <w:rPr>
        <w:rFonts w:hint="default"/>
      </w:rPr>
    </w:lvl>
    <w:lvl w:ilvl="2" w:tplc="AA92290E">
      <w:start w:val="1"/>
      <w:numFmt w:val="bullet"/>
      <w:lvlText w:val="•"/>
      <w:lvlJc w:val="left"/>
      <w:pPr>
        <w:ind w:left="2867" w:hanging="411"/>
      </w:pPr>
      <w:rPr>
        <w:rFonts w:hint="default"/>
      </w:rPr>
    </w:lvl>
    <w:lvl w:ilvl="3" w:tplc="4C745984">
      <w:start w:val="1"/>
      <w:numFmt w:val="bullet"/>
      <w:lvlText w:val="•"/>
      <w:lvlJc w:val="left"/>
      <w:pPr>
        <w:ind w:left="3621" w:hanging="411"/>
      </w:pPr>
      <w:rPr>
        <w:rFonts w:hint="default"/>
      </w:rPr>
    </w:lvl>
    <w:lvl w:ilvl="4" w:tplc="7FC418D6">
      <w:start w:val="1"/>
      <w:numFmt w:val="bullet"/>
      <w:lvlText w:val="•"/>
      <w:lvlJc w:val="left"/>
      <w:pPr>
        <w:ind w:left="4375" w:hanging="411"/>
      </w:pPr>
      <w:rPr>
        <w:rFonts w:hint="default"/>
      </w:rPr>
    </w:lvl>
    <w:lvl w:ilvl="5" w:tplc="51F0C01A">
      <w:start w:val="1"/>
      <w:numFmt w:val="bullet"/>
      <w:lvlText w:val="•"/>
      <w:lvlJc w:val="left"/>
      <w:pPr>
        <w:ind w:left="5129" w:hanging="411"/>
      </w:pPr>
      <w:rPr>
        <w:rFonts w:hint="default"/>
      </w:rPr>
    </w:lvl>
    <w:lvl w:ilvl="6" w:tplc="3BB4C56A">
      <w:start w:val="1"/>
      <w:numFmt w:val="bullet"/>
      <w:lvlText w:val="•"/>
      <w:lvlJc w:val="left"/>
      <w:pPr>
        <w:ind w:left="5883" w:hanging="411"/>
      </w:pPr>
      <w:rPr>
        <w:rFonts w:hint="default"/>
      </w:rPr>
    </w:lvl>
    <w:lvl w:ilvl="7" w:tplc="04AA3968">
      <w:start w:val="1"/>
      <w:numFmt w:val="bullet"/>
      <w:lvlText w:val="•"/>
      <w:lvlJc w:val="left"/>
      <w:pPr>
        <w:ind w:left="6637" w:hanging="411"/>
      </w:pPr>
      <w:rPr>
        <w:rFonts w:hint="default"/>
      </w:rPr>
    </w:lvl>
    <w:lvl w:ilvl="8" w:tplc="9FC6F192">
      <w:start w:val="1"/>
      <w:numFmt w:val="bullet"/>
      <w:lvlText w:val="•"/>
      <w:lvlJc w:val="left"/>
      <w:pPr>
        <w:ind w:left="7391" w:hanging="411"/>
      </w:pPr>
      <w:rPr>
        <w:rFonts w:hint="default"/>
      </w:rPr>
    </w:lvl>
  </w:abstractNum>
  <w:abstractNum w:abstractNumId="6" w15:restartNumberingAfterBreak="0">
    <w:nsid w:val="3C217D30"/>
    <w:multiLevelType w:val="hybridMultilevel"/>
    <w:tmpl w:val="DB4C904E"/>
    <w:lvl w:ilvl="0" w:tplc="A1B04CC6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1" w:tplc="AC163F06">
      <w:start w:val="1"/>
      <w:numFmt w:val="bullet"/>
      <w:lvlText w:val="•"/>
      <w:lvlJc w:val="left"/>
      <w:pPr>
        <w:ind w:left="1648" w:hanging="361"/>
      </w:pPr>
      <w:rPr>
        <w:rFonts w:hint="default"/>
      </w:rPr>
    </w:lvl>
    <w:lvl w:ilvl="2" w:tplc="451466A2">
      <w:start w:val="1"/>
      <w:numFmt w:val="bullet"/>
      <w:lvlText w:val="•"/>
      <w:lvlJc w:val="left"/>
      <w:pPr>
        <w:ind w:left="2456" w:hanging="361"/>
      </w:pPr>
      <w:rPr>
        <w:rFonts w:hint="default"/>
      </w:rPr>
    </w:lvl>
    <w:lvl w:ilvl="3" w:tplc="DEF03240">
      <w:start w:val="1"/>
      <w:numFmt w:val="bullet"/>
      <w:lvlText w:val="•"/>
      <w:lvlJc w:val="left"/>
      <w:pPr>
        <w:ind w:left="3264" w:hanging="361"/>
      </w:pPr>
      <w:rPr>
        <w:rFonts w:hint="default"/>
      </w:rPr>
    </w:lvl>
    <w:lvl w:ilvl="4" w:tplc="462208A4">
      <w:start w:val="1"/>
      <w:numFmt w:val="bullet"/>
      <w:lvlText w:val="•"/>
      <w:lvlJc w:val="left"/>
      <w:pPr>
        <w:ind w:left="4072" w:hanging="361"/>
      </w:pPr>
      <w:rPr>
        <w:rFonts w:hint="default"/>
      </w:rPr>
    </w:lvl>
    <w:lvl w:ilvl="5" w:tplc="D522FEC4">
      <w:start w:val="1"/>
      <w:numFmt w:val="bullet"/>
      <w:lvlText w:val="•"/>
      <w:lvlJc w:val="left"/>
      <w:pPr>
        <w:ind w:left="4880" w:hanging="361"/>
      </w:pPr>
      <w:rPr>
        <w:rFonts w:hint="default"/>
      </w:rPr>
    </w:lvl>
    <w:lvl w:ilvl="6" w:tplc="4F4A2C0A">
      <w:start w:val="1"/>
      <w:numFmt w:val="bullet"/>
      <w:lvlText w:val="•"/>
      <w:lvlJc w:val="left"/>
      <w:pPr>
        <w:ind w:left="5688" w:hanging="361"/>
      </w:pPr>
      <w:rPr>
        <w:rFonts w:hint="default"/>
      </w:rPr>
    </w:lvl>
    <w:lvl w:ilvl="7" w:tplc="D7C07FF4">
      <w:start w:val="1"/>
      <w:numFmt w:val="bullet"/>
      <w:lvlText w:val="•"/>
      <w:lvlJc w:val="left"/>
      <w:pPr>
        <w:ind w:left="6496" w:hanging="361"/>
      </w:pPr>
      <w:rPr>
        <w:rFonts w:hint="default"/>
      </w:rPr>
    </w:lvl>
    <w:lvl w:ilvl="8" w:tplc="1DEEAC9E">
      <w:start w:val="1"/>
      <w:numFmt w:val="bullet"/>
      <w:lvlText w:val="•"/>
      <w:lvlJc w:val="left"/>
      <w:pPr>
        <w:ind w:left="7304" w:hanging="361"/>
      </w:pPr>
      <w:rPr>
        <w:rFonts w:hint="default"/>
      </w:rPr>
    </w:lvl>
  </w:abstractNum>
  <w:abstractNum w:abstractNumId="7" w15:restartNumberingAfterBreak="0">
    <w:nsid w:val="3D397EC8"/>
    <w:multiLevelType w:val="hybridMultilevel"/>
    <w:tmpl w:val="2E12C27A"/>
    <w:lvl w:ilvl="0" w:tplc="5C98A078">
      <w:start w:val="5"/>
      <w:numFmt w:val="decimal"/>
      <w:lvlText w:val="%1"/>
      <w:lvlJc w:val="left"/>
      <w:pPr>
        <w:ind w:left="120" w:hanging="152"/>
      </w:pPr>
      <w:rPr>
        <w:rFonts w:ascii="Times New Roman" w:eastAsia="Times New Roman" w:hAnsi="Times New Roman" w:hint="default"/>
        <w:position w:val="10"/>
        <w:sz w:val="18"/>
        <w:szCs w:val="18"/>
      </w:rPr>
    </w:lvl>
    <w:lvl w:ilvl="1" w:tplc="8DF09C80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2" w:tplc="6666D9F6">
      <w:start w:val="1"/>
      <w:numFmt w:val="bullet"/>
      <w:lvlText w:val="o"/>
      <w:lvlJc w:val="left"/>
      <w:pPr>
        <w:ind w:left="1093" w:hanging="274"/>
      </w:pPr>
      <w:rPr>
        <w:rFonts w:ascii="Courier New" w:eastAsia="Courier New" w:hAnsi="Courier New" w:hint="default"/>
        <w:sz w:val="22"/>
        <w:szCs w:val="22"/>
      </w:rPr>
    </w:lvl>
    <w:lvl w:ilvl="3" w:tplc="657845BA">
      <w:start w:val="1"/>
      <w:numFmt w:val="bullet"/>
      <w:lvlText w:val="•"/>
      <w:lvlJc w:val="left"/>
      <w:pPr>
        <w:ind w:left="1093" w:hanging="274"/>
      </w:pPr>
      <w:rPr>
        <w:rFonts w:hint="default"/>
      </w:rPr>
    </w:lvl>
    <w:lvl w:ilvl="4" w:tplc="66BA6CF4">
      <w:start w:val="1"/>
      <w:numFmt w:val="bullet"/>
      <w:lvlText w:val="•"/>
      <w:lvlJc w:val="left"/>
      <w:pPr>
        <w:ind w:left="2208" w:hanging="274"/>
      </w:pPr>
      <w:rPr>
        <w:rFonts w:hint="default"/>
      </w:rPr>
    </w:lvl>
    <w:lvl w:ilvl="5" w:tplc="34E489DE">
      <w:start w:val="1"/>
      <w:numFmt w:val="bullet"/>
      <w:lvlText w:val="•"/>
      <w:lvlJc w:val="left"/>
      <w:pPr>
        <w:ind w:left="3323" w:hanging="274"/>
      </w:pPr>
      <w:rPr>
        <w:rFonts w:hint="default"/>
      </w:rPr>
    </w:lvl>
    <w:lvl w:ilvl="6" w:tplc="7B0E5244">
      <w:start w:val="1"/>
      <w:numFmt w:val="bullet"/>
      <w:lvlText w:val="•"/>
      <w:lvlJc w:val="left"/>
      <w:pPr>
        <w:ind w:left="4439" w:hanging="274"/>
      </w:pPr>
      <w:rPr>
        <w:rFonts w:hint="default"/>
      </w:rPr>
    </w:lvl>
    <w:lvl w:ilvl="7" w:tplc="95C2B0F0">
      <w:start w:val="1"/>
      <w:numFmt w:val="bullet"/>
      <w:lvlText w:val="•"/>
      <w:lvlJc w:val="left"/>
      <w:pPr>
        <w:ind w:left="5554" w:hanging="274"/>
      </w:pPr>
      <w:rPr>
        <w:rFonts w:hint="default"/>
      </w:rPr>
    </w:lvl>
    <w:lvl w:ilvl="8" w:tplc="6F7439BE">
      <w:start w:val="1"/>
      <w:numFmt w:val="bullet"/>
      <w:lvlText w:val="•"/>
      <w:lvlJc w:val="left"/>
      <w:pPr>
        <w:ind w:left="6669" w:hanging="274"/>
      </w:pPr>
      <w:rPr>
        <w:rFonts w:hint="default"/>
      </w:rPr>
    </w:lvl>
  </w:abstractNum>
  <w:abstractNum w:abstractNumId="8" w15:restartNumberingAfterBreak="0">
    <w:nsid w:val="3FD51F65"/>
    <w:multiLevelType w:val="hybridMultilevel"/>
    <w:tmpl w:val="16E012AE"/>
    <w:lvl w:ilvl="0" w:tplc="E4A4F8C2">
      <w:start w:val="3"/>
      <w:numFmt w:val="decimal"/>
      <w:lvlText w:val="%1"/>
      <w:lvlJc w:val="left"/>
      <w:pPr>
        <w:ind w:left="643" w:hanging="500"/>
      </w:pPr>
      <w:rPr>
        <w:rFonts w:hint="default"/>
      </w:rPr>
    </w:lvl>
    <w:lvl w:ilvl="1" w:tplc="BB3436A6">
      <w:start w:val="1"/>
      <w:numFmt w:val="decimal"/>
      <w:lvlText w:val="%1.%2"/>
      <w:lvlJc w:val="left"/>
      <w:pPr>
        <w:ind w:left="643" w:hanging="500"/>
      </w:pPr>
      <w:rPr>
        <w:rFonts w:ascii="Verdana" w:eastAsia="Verdana" w:hAnsi="Verdana" w:hint="default"/>
        <w:sz w:val="24"/>
        <w:szCs w:val="24"/>
      </w:rPr>
    </w:lvl>
    <w:lvl w:ilvl="2" w:tplc="FF6EA394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sz w:val="22"/>
        <w:szCs w:val="22"/>
      </w:rPr>
    </w:lvl>
    <w:lvl w:ilvl="3" w:tplc="D38631E4">
      <w:start w:val="1"/>
      <w:numFmt w:val="bullet"/>
      <w:lvlText w:val="o"/>
      <w:lvlJc w:val="left"/>
      <w:pPr>
        <w:ind w:left="1560" w:hanging="361"/>
      </w:pPr>
      <w:rPr>
        <w:rFonts w:ascii="Courier New" w:eastAsia="Courier New" w:hAnsi="Courier New" w:hint="default"/>
        <w:sz w:val="22"/>
        <w:szCs w:val="22"/>
      </w:rPr>
    </w:lvl>
    <w:lvl w:ilvl="4" w:tplc="547CA3C2">
      <w:start w:val="1"/>
      <w:numFmt w:val="bullet"/>
      <w:lvlText w:val="•"/>
      <w:lvlJc w:val="left"/>
      <w:pPr>
        <w:ind w:left="3400" w:hanging="361"/>
      </w:pPr>
      <w:rPr>
        <w:rFonts w:hint="default"/>
      </w:rPr>
    </w:lvl>
    <w:lvl w:ilvl="5" w:tplc="C65AF670">
      <w:start w:val="1"/>
      <w:numFmt w:val="bullet"/>
      <w:lvlText w:val="•"/>
      <w:lvlJc w:val="left"/>
      <w:pPr>
        <w:ind w:left="4320" w:hanging="361"/>
      </w:pPr>
      <w:rPr>
        <w:rFonts w:hint="default"/>
      </w:rPr>
    </w:lvl>
    <w:lvl w:ilvl="6" w:tplc="DAF481FC">
      <w:start w:val="1"/>
      <w:numFmt w:val="bullet"/>
      <w:lvlText w:val="•"/>
      <w:lvlJc w:val="left"/>
      <w:pPr>
        <w:ind w:left="5240" w:hanging="361"/>
      </w:pPr>
      <w:rPr>
        <w:rFonts w:hint="default"/>
      </w:rPr>
    </w:lvl>
    <w:lvl w:ilvl="7" w:tplc="1DCC73F4">
      <w:start w:val="1"/>
      <w:numFmt w:val="bullet"/>
      <w:lvlText w:val="•"/>
      <w:lvlJc w:val="left"/>
      <w:pPr>
        <w:ind w:left="6160" w:hanging="361"/>
      </w:pPr>
      <w:rPr>
        <w:rFonts w:hint="default"/>
      </w:rPr>
    </w:lvl>
    <w:lvl w:ilvl="8" w:tplc="C2D27860">
      <w:start w:val="1"/>
      <w:numFmt w:val="bullet"/>
      <w:lvlText w:val="•"/>
      <w:lvlJc w:val="left"/>
      <w:pPr>
        <w:ind w:left="7080" w:hanging="361"/>
      </w:pPr>
      <w:rPr>
        <w:rFonts w:hint="default"/>
      </w:rPr>
    </w:lvl>
  </w:abstractNum>
  <w:abstractNum w:abstractNumId="9" w15:restartNumberingAfterBreak="0">
    <w:nsid w:val="40141224"/>
    <w:multiLevelType w:val="hybridMultilevel"/>
    <w:tmpl w:val="3D3209F8"/>
    <w:lvl w:ilvl="0" w:tplc="D66C8218">
      <w:start w:val="1"/>
      <w:numFmt w:val="bullet"/>
      <w:lvlText w:val=""/>
      <w:lvlJc w:val="left"/>
      <w:pPr>
        <w:ind w:left="832" w:hanging="356"/>
      </w:pPr>
      <w:rPr>
        <w:rFonts w:ascii="Symbol" w:eastAsia="Symbol" w:hAnsi="Symbol" w:hint="default"/>
        <w:sz w:val="16"/>
        <w:szCs w:val="16"/>
      </w:rPr>
    </w:lvl>
    <w:lvl w:ilvl="1" w:tplc="545CCBC8">
      <w:start w:val="1"/>
      <w:numFmt w:val="bullet"/>
      <w:lvlText w:val="•"/>
      <w:lvlJc w:val="left"/>
      <w:pPr>
        <w:ind w:left="1641" w:hanging="356"/>
      </w:pPr>
      <w:rPr>
        <w:rFonts w:hint="default"/>
      </w:rPr>
    </w:lvl>
    <w:lvl w:ilvl="2" w:tplc="2E18AFC4">
      <w:start w:val="1"/>
      <w:numFmt w:val="bullet"/>
      <w:lvlText w:val="•"/>
      <w:lvlJc w:val="left"/>
      <w:pPr>
        <w:ind w:left="2450" w:hanging="356"/>
      </w:pPr>
      <w:rPr>
        <w:rFonts w:hint="default"/>
      </w:rPr>
    </w:lvl>
    <w:lvl w:ilvl="3" w:tplc="8DF804F2">
      <w:start w:val="1"/>
      <w:numFmt w:val="bullet"/>
      <w:lvlText w:val="•"/>
      <w:lvlJc w:val="left"/>
      <w:pPr>
        <w:ind w:left="3258" w:hanging="356"/>
      </w:pPr>
      <w:rPr>
        <w:rFonts w:hint="default"/>
      </w:rPr>
    </w:lvl>
    <w:lvl w:ilvl="4" w:tplc="2C4CDB78">
      <w:start w:val="1"/>
      <w:numFmt w:val="bullet"/>
      <w:lvlText w:val="•"/>
      <w:lvlJc w:val="left"/>
      <w:pPr>
        <w:ind w:left="4067" w:hanging="356"/>
      </w:pPr>
      <w:rPr>
        <w:rFonts w:hint="default"/>
      </w:rPr>
    </w:lvl>
    <w:lvl w:ilvl="5" w:tplc="199A921A">
      <w:start w:val="1"/>
      <w:numFmt w:val="bullet"/>
      <w:lvlText w:val="•"/>
      <w:lvlJc w:val="left"/>
      <w:pPr>
        <w:ind w:left="4876" w:hanging="356"/>
      </w:pPr>
      <w:rPr>
        <w:rFonts w:hint="default"/>
      </w:rPr>
    </w:lvl>
    <w:lvl w:ilvl="6" w:tplc="6018F51E">
      <w:start w:val="1"/>
      <w:numFmt w:val="bullet"/>
      <w:lvlText w:val="•"/>
      <w:lvlJc w:val="left"/>
      <w:pPr>
        <w:ind w:left="5685" w:hanging="356"/>
      </w:pPr>
      <w:rPr>
        <w:rFonts w:hint="default"/>
      </w:rPr>
    </w:lvl>
    <w:lvl w:ilvl="7" w:tplc="065E7E04">
      <w:start w:val="1"/>
      <w:numFmt w:val="bullet"/>
      <w:lvlText w:val="•"/>
      <w:lvlJc w:val="left"/>
      <w:pPr>
        <w:ind w:left="6493" w:hanging="356"/>
      </w:pPr>
      <w:rPr>
        <w:rFonts w:hint="default"/>
      </w:rPr>
    </w:lvl>
    <w:lvl w:ilvl="8" w:tplc="C2C21C0C">
      <w:start w:val="1"/>
      <w:numFmt w:val="bullet"/>
      <w:lvlText w:val="•"/>
      <w:lvlJc w:val="left"/>
      <w:pPr>
        <w:ind w:left="7302" w:hanging="356"/>
      </w:pPr>
      <w:rPr>
        <w:rFonts w:hint="default"/>
      </w:rPr>
    </w:lvl>
  </w:abstractNum>
  <w:abstractNum w:abstractNumId="10" w15:restartNumberingAfterBreak="0">
    <w:nsid w:val="48A071BB"/>
    <w:multiLevelType w:val="hybridMultilevel"/>
    <w:tmpl w:val="A76EA9B8"/>
    <w:lvl w:ilvl="0" w:tplc="8DD4933A">
      <w:start w:val="1"/>
      <w:numFmt w:val="decimal"/>
      <w:lvlText w:val="%1"/>
      <w:lvlJc w:val="left"/>
      <w:pPr>
        <w:ind w:left="597" w:hanging="478"/>
      </w:pPr>
      <w:rPr>
        <w:rFonts w:hint="default"/>
      </w:rPr>
    </w:lvl>
    <w:lvl w:ilvl="1" w:tplc="AAD2D12C">
      <w:start w:val="1"/>
      <w:numFmt w:val="decimal"/>
      <w:lvlText w:val="%1.%2"/>
      <w:lvlJc w:val="left"/>
      <w:pPr>
        <w:ind w:left="597" w:hanging="478"/>
      </w:pPr>
      <w:rPr>
        <w:rFonts w:ascii="Verdana" w:eastAsia="Verdana" w:hAnsi="Verdana" w:hint="default"/>
        <w:sz w:val="24"/>
        <w:szCs w:val="24"/>
      </w:rPr>
    </w:lvl>
    <w:lvl w:ilvl="2" w:tplc="2CCAD1A0">
      <w:start w:val="1"/>
      <w:numFmt w:val="bullet"/>
      <w:lvlText w:val=""/>
      <w:lvlJc w:val="left"/>
      <w:pPr>
        <w:ind w:left="833" w:hanging="356"/>
      </w:pPr>
      <w:rPr>
        <w:rFonts w:ascii="Symbol" w:eastAsia="Symbol" w:hAnsi="Symbol" w:hint="default"/>
        <w:sz w:val="22"/>
        <w:szCs w:val="22"/>
      </w:rPr>
    </w:lvl>
    <w:lvl w:ilvl="3" w:tplc="5C745CF6">
      <w:start w:val="1"/>
      <w:numFmt w:val="bullet"/>
      <w:lvlText w:val="•"/>
      <w:lvlJc w:val="left"/>
      <w:pPr>
        <w:ind w:left="2630" w:hanging="356"/>
      </w:pPr>
      <w:rPr>
        <w:rFonts w:hint="default"/>
      </w:rPr>
    </w:lvl>
    <w:lvl w:ilvl="4" w:tplc="E04675E8">
      <w:start w:val="1"/>
      <w:numFmt w:val="bullet"/>
      <w:lvlText w:val="•"/>
      <w:lvlJc w:val="left"/>
      <w:pPr>
        <w:ind w:left="3528" w:hanging="356"/>
      </w:pPr>
      <w:rPr>
        <w:rFonts w:hint="default"/>
      </w:rPr>
    </w:lvl>
    <w:lvl w:ilvl="5" w:tplc="9F32C9B0">
      <w:start w:val="1"/>
      <w:numFmt w:val="bullet"/>
      <w:lvlText w:val="•"/>
      <w:lvlJc w:val="left"/>
      <w:pPr>
        <w:ind w:left="4427" w:hanging="356"/>
      </w:pPr>
      <w:rPr>
        <w:rFonts w:hint="default"/>
      </w:rPr>
    </w:lvl>
    <w:lvl w:ilvl="6" w:tplc="FE78D7A0">
      <w:start w:val="1"/>
      <w:numFmt w:val="bullet"/>
      <w:lvlText w:val="•"/>
      <w:lvlJc w:val="left"/>
      <w:pPr>
        <w:ind w:left="5325" w:hanging="356"/>
      </w:pPr>
      <w:rPr>
        <w:rFonts w:hint="default"/>
      </w:rPr>
    </w:lvl>
    <w:lvl w:ilvl="7" w:tplc="950ED640">
      <w:start w:val="1"/>
      <w:numFmt w:val="bullet"/>
      <w:lvlText w:val="•"/>
      <w:lvlJc w:val="left"/>
      <w:pPr>
        <w:ind w:left="6224" w:hanging="356"/>
      </w:pPr>
      <w:rPr>
        <w:rFonts w:hint="default"/>
      </w:rPr>
    </w:lvl>
    <w:lvl w:ilvl="8" w:tplc="0ACEF798">
      <w:start w:val="1"/>
      <w:numFmt w:val="bullet"/>
      <w:lvlText w:val="•"/>
      <w:lvlJc w:val="left"/>
      <w:pPr>
        <w:ind w:left="7122" w:hanging="356"/>
      </w:pPr>
      <w:rPr>
        <w:rFonts w:hint="default"/>
      </w:rPr>
    </w:lvl>
  </w:abstractNum>
  <w:abstractNum w:abstractNumId="11" w15:restartNumberingAfterBreak="0">
    <w:nsid w:val="4C1D31B7"/>
    <w:multiLevelType w:val="hybridMultilevel"/>
    <w:tmpl w:val="0BFE6178"/>
    <w:lvl w:ilvl="0" w:tplc="D480D380">
      <w:start w:val="2"/>
      <w:numFmt w:val="decimal"/>
      <w:lvlText w:val="%1"/>
      <w:lvlJc w:val="left"/>
      <w:pPr>
        <w:ind w:left="684" w:hanging="564"/>
      </w:pPr>
      <w:rPr>
        <w:rFonts w:hint="default"/>
      </w:rPr>
    </w:lvl>
    <w:lvl w:ilvl="1" w:tplc="62E8FC52">
      <w:start w:val="2"/>
      <w:numFmt w:val="decimal"/>
      <w:lvlText w:val="%1.%2."/>
      <w:lvlJc w:val="left"/>
      <w:pPr>
        <w:ind w:left="684" w:hanging="564"/>
      </w:pPr>
      <w:rPr>
        <w:rFonts w:ascii="Verdana" w:eastAsia="Verdana" w:hAnsi="Verdana" w:hint="default"/>
        <w:sz w:val="24"/>
        <w:szCs w:val="24"/>
      </w:rPr>
    </w:lvl>
    <w:lvl w:ilvl="2" w:tplc="7772C402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sz w:val="22"/>
        <w:szCs w:val="22"/>
      </w:rPr>
    </w:lvl>
    <w:lvl w:ilvl="3" w:tplc="1CA0A9FE">
      <w:start w:val="1"/>
      <w:numFmt w:val="bullet"/>
      <w:lvlText w:val="•"/>
      <w:lvlJc w:val="left"/>
      <w:pPr>
        <w:ind w:left="2635" w:hanging="361"/>
      </w:pPr>
      <w:rPr>
        <w:rFonts w:hint="default"/>
      </w:rPr>
    </w:lvl>
    <w:lvl w:ilvl="4" w:tplc="E6667E84">
      <w:start w:val="1"/>
      <w:numFmt w:val="bullet"/>
      <w:lvlText w:val="•"/>
      <w:lvlJc w:val="left"/>
      <w:pPr>
        <w:ind w:left="3533" w:hanging="361"/>
      </w:pPr>
      <w:rPr>
        <w:rFonts w:hint="default"/>
      </w:rPr>
    </w:lvl>
    <w:lvl w:ilvl="5" w:tplc="EDB82D6C">
      <w:start w:val="1"/>
      <w:numFmt w:val="bullet"/>
      <w:lvlText w:val="•"/>
      <w:lvlJc w:val="left"/>
      <w:pPr>
        <w:ind w:left="4431" w:hanging="361"/>
      </w:pPr>
      <w:rPr>
        <w:rFonts w:hint="default"/>
      </w:rPr>
    </w:lvl>
    <w:lvl w:ilvl="6" w:tplc="CC4ABC1E">
      <w:start w:val="1"/>
      <w:numFmt w:val="bullet"/>
      <w:lvlText w:val="•"/>
      <w:lvlJc w:val="left"/>
      <w:pPr>
        <w:ind w:left="5328" w:hanging="361"/>
      </w:pPr>
      <w:rPr>
        <w:rFonts w:hint="default"/>
      </w:rPr>
    </w:lvl>
    <w:lvl w:ilvl="7" w:tplc="7CE6EA54">
      <w:start w:val="1"/>
      <w:numFmt w:val="bullet"/>
      <w:lvlText w:val="•"/>
      <w:lvlJc w:val="left"/>
      <w:pPr>
        <w:ind w:left="6226" w:hanging="361"/>
      </w:pPr>
      <w:rPr>
        <w:rFonts w:hint="default"/>
      </w:rPr>
    </w:lvl>
    <w:lvl w:ilvl="8" w:tplc="2B4EA81A">
      <w:start w:val="1"/>
      <w:numFmt w:val="bullet"/>
      <w:lvlText w:val="•"/>
      <w:lvlJc w:val="left"/>
      <w:pPr>
        <w:ind w:left="7124" w:hanging="361"/>
      </w:pPr>
      <w:rPr>
        <w:rFonts w:hint="default"/>
      </w:rPr>
    </w:lvl>
  </w:abstractNum>
  <w:abstractNum w:abstractNumId="12" w15:restartNumberingAfterBreak="0">
    <w:nsid w:val="50191315"/>
    <w:multiLevelType w:val="hybridMultilevel"/>
    <w:tmpl w:val="807809DA"/>
    <w:lvl w:ilvl="0" w:tplc="6B32DABE">
      <w:start w:val="1"/>
      <w:numFmt w:val="decimal"/>
      <w:lvlText w:val="%1"/>
      <w:lvlJc w:val="left"/>
      <w:pPr>
        <w:ind w:left="120" w:hanging="171"/>
      </w:pPr>
      <w:rPr>
        <w:rFonts w:ascii="Times New Roman" w:eastAsia="Times New Roman" w:hAnsi="Times New Roman" w:hint="default"/>
        <w:position w:val="10"/>
        <w:sz w:val="18"/>
        <w:szCs w:val="18"/>
      </w:rPr>
    </w:lvl>
    <w:lvl w:ilvl="1" w:tplc="33C438E4">
      <w:start w:val="1"/>
      <w:numFmt w:val="bullet"/>
      <w:lvlText w:val=""/>
      <w:lvlJc w:val="left"/>
      <w:pPr>
        <w:ind w:left="832" w:hanging="356"/>
      </w:pPr>
      <w:rPr>
        <w:rFonts w:ascii="Symbol" w:eastAsia="Symbol" w:hAnsi="Symbol" w:hint="default"/>
        <w:sz w:val="22"/>
        <w:szCs w:val="22"/>
      </w:rPr>
    </w:lvl>
    <w:lvl w:ilvl="2" w:tplc="F3B62C98">
      <w:start w:val="1"/>
      <w:numFmt w:val="bullet"/>
      <w:lvlText w:val="o"/>
      <w:lvlJc w:val="left"/>
      <w:pPr>
        <w:ind w:left="1200" w:hanging="269"/>
      </w:pPr>
      <w:rPr>
        <w:rFonts w:ascii="Courier New" w:eastAsia="Courier New" w:hAnsi="Courier New" w:hint="default"/>
        <w:sz w:val="22"/>
        <w:szCs w:val="22"/>
      </w:rPr>
    </w:lvl>
    <w:lvl w:ilvl="3" w:tplc="44642F46">
      <w:start w:val="1"/>
      <w:numFmt w:val="bullet"/>
      <w:lvlText w:val="•"/>
      <w:lvlJc w:val="left"/>
      <w:pPr>
        <w:ind w:left="1200" w:hanging="269"/>
      </w:pPr>
      <w:rPr>
        <w:rFonts w:hint="default"/>
      </w:rPr>
    </w:lvl>
    <w:lvl w:ilvl="4" w:tplc="F7400BA6">
      <w:start w:val="1"/>
      <w:numFmt w:val="bullet"/>
      <w:lvlText w:val="•"/>
      <w:lvlJc w:val="left"/>
      <w:pPr>
        <w:ind w:left="1617" w:hanging="269"/>
      </w:pPr>
      <w:rPr>
        <w:rFonts w:hint="default"/>
      </w:rPr>
    </w:lvl>
    <w:lvl w:ilvl="5" w:tplc="56CC6182">
      <w:start w:val="1"/>
      <w:numFmt w:val="bullet"/>
      <w:lvlText w:val="•"/>
      <w:lvlJc w:val="left"/>
      <w:pPr>
        <w:ind w:left="2834" w:hanging="269"/>
      </w:pPr>
      <w:rPr>
        <w:rFonts w:hint="default"/>
      </w:rPr>
    </w:lvl>
    <w:lvl w:ilvl="6" w:tplc="39607992">
      <w:start w:val="1"/>
      <w:numFmt w:val="bullet"/>
      <w:lvlText w:val="•"/>
      <w:lvlJc w:val="left"/>
      <w:pPr>
        <w:ind w:left="4051" w:hanging="269"/>
      </w:pPr>
      <w:rPr>
        <w:rFonts w:hint="default"/>
      </w:rPr>
    </w:lvl>
    <w:lvl w:ilvl="7" w:tplc="7CFEBD68">
      <w:start w:val="1"/>
      <w:numFmt w:val="bullet"/>
      <w:lvlText w:val="•"/>
      <w:lvlJc w:val="left"/>
      <w:pPr>
        <w:ind w:left="5268" w:hanging="269"/>
      </w:pPr>
      <w:rPr>
        <w:rFonts w:hint="default"/>
      </w:rPr>
    </w:lvl>
    <w:lvl w:ilvl="8" w:tplc="F7809F3A">
      <w:start w:val="1"/>
      <w:numFmt w:val="bullet"/>
      <w:lvlText w:val="•"/>
      <w:lvlJc w:val="left"/>
      <w:pPr>
        <w:ind w:left="6485" w:hanging="269"/>
      </w:pPr>
      <w:rPr>
        <w:rFonts w:hint="default"/>
      </w:rPr>
    </w:lvl>
  </w:abstractNum>
  <w:abstractNum w:abstractNumId="13" w15:restartNumberingAfterBreak="0">
    <w:nsid w:val="5AFF2744"/>
    <w:multiLevelType w:val="hybridMultilevel"/>
    <w:tmpl w:val="368633F6"/>
    <w:lvl w:ilvl="0" w:tplc="AF222FB4">
      <w:start w:val="3"/>
      <w:numFmt w:val="decimal"/>
      <w:lvlText w:val="%1"/>
      <w:lvlJc w:val="left"/>
      <w:pPr>
        <w:ind w:left="408" w:hanging="689"/>
      </w:pPr>
      <w:rPr>
        <w:rFonts w:hint="default"/>
      </w:rPr>
    </w:lvl>
    <w:lvl w:ilvl="1" w:tplc="834EED7E">
      <w:start w:val="4"/>
      <w:numFmt w:val="decimal"/>
      <w:lvlText w:val="%1.%2"/>
      <w:lvlJc w:val="left"/>
      <w:pPr>
        <w:ind w:left="408" w:hanging="689"/>
      </w:pPr>
      <w:rPr>
        <w:rFonts w:hint="default"/>
      </w:rPr>
    </w:lvl>
    <w:lvl w:ilvl="2" w:tplc="8F9CE272">
      <w:start w:val="1"/>
      <w:numFmt w:val="decimal"/>
      <w:lvlText w:val="%1.%2.%3"/>
      <w:lvlJc w:val="left"/>
      <w:pPr>
        <w:ind w:left="408" w:hanging="689"/>
      </w:pPr>
      <w:rPr>
        <w:rFonts w:ascii="Verdana" w:eastAsia="Verdana" w:hAnsi="Verdana" w:hint="default"/>
        <w:spacing w:val="-1"/>
        <w:sz w:val="23"/>
        <w:szCs w:val="23"/>
      </w:rPr>
    </w:lvl>
    <w:lvl w:ilvl="3" w:tplc="AE545CFC">
      <w:start w:val="1"/>
      <w:numFmt w:val="bullet"/>
      <w:lvlText w:val=""/>
      <w:lvlJc w:val="left"/>
      <w:pPr>
        <w:ind w:left="833" w:hanging="356"/>
      </w:pPr>
      <w:rPr>
        <w:rFonts w:ascii="Symbol" w:eastAsia="Symbol" w:hAnsi="Symbol" w:hint="default"/>
        <w:sz w:val="22"/>
        <w:szCs w:val="22"/>
      </w:rPr>
    </w:lvl>
    <w:lvl w:ilvl="4" w:tplc="C010A7F0">
      <w:start w:val="1"/>
      <w:numFmt w:val="bullet"/>
      <w:lvlText w:val="•"/>
      <w:lvlJc w:val="left"/>
      <w:pPr>
        <w:ind w:left="3528" w:hanging="356"/>
      </w:pPr>
      <w:rPr>
        <w:rFonts w:hint="default"/>
      </w:rPr>
    </w:lvl>
    <w:lvl w:ilvl="5" w:tplc="51CA32D6">
      <w:start w:val="1"/>
      <w:numFmt w:val="bullet"/>
      <w:lvlText w:val="•"/>
      <w:lvlJc w:val="left"/>
      <w:pPr>
        <w:ind w:left="4427" w:hanging="356"/>
      </w:pPr>
      <w:rPr>
        <w:rFonts w:hint="default"/>
      </w:rPr>
    </w:lvl>
    <w:lvl w:ilvl="6" w:tplc="A2A4DABC">
      <w:start w:val="1"/>
      <w:numFmt w:val="bullet"/>
      <w:lvlText w:val="•"/>
      <w:lvlJc w:val="left"/>
      <w:pPr>
        <w:ind w:left="5325" w:hanging="356"/>
      </w:pPr>
      <w:rPr>
        <w:rFonts w:hint="default"/>
      </w:rPr>
    </w:lvl>
    <w:lvl w:ilvl="7" w:tplc="DBF015A0">
      <w:start w:val="1"/>
      <w:numFmt w:val="bullet"/>
      <w:lvlText w:val="•"/>
      <w:lvlJc w:val="left"/>
      <w:pPr>
        <w:ind w:left="6224" w:hanging="356"/>
      </w:pPr>
      <w:rPr>
        <w:rFonts w:hint="default"/>
      </w:rPr>
    </w:lvl>
    <w:lvl w:ilvl="8" w:tplc="FA927CF0">
      <w:start w:val="1"/>
      <w:numFmt w:val="bullet"/>
      <w:lvlText w:val="•"/>
      <w:lvlJc w:val="left"/>
      <w:pPr>
        <w:ind w:left="7122" w:hanging="356"/>
      </w:pPr>
      <w:rPr>
        <w:rFonts w:hint="default"/>
      </w:rPr>
    </w:lvl>
  </w:abstractNum>
  <w:abstractNum w:abstractNumId="14" w15:restartNumberingAfterBreak="0">
    <w:nsid w:val="5DFE3521"/>
    <w:multiLevelType w:val="hybridMultilevel"/>
    <w:tmpl w:val="DE68BD52"/>
    <w:lvl w:ilvl="0" w:tplc="99524E44">
      <w:start w:val="16"/>
      <w:numFmt w:val="decimal"/>
      <w:lvlText w:val="%1"/>
      <w:lvlJc w:val="left"/>
      <w:pPr>
        <w:ind w:left="120" w:hanging="238"/>
      </w:pPr>
      <w:rPr>
        <w:rFonts w:ascii="Times New Roman" w:eastAsia="Times New Roman" w:hAnsi="Times New Roman" w:hint="default"/>
        <w:spacing w:val="1"/>
        <w:position w:val="10"/>
        <w:sz w:val="18"/>
        <w:szCs w:val="18"/>
      </w:rPr>
    </w:lvl>
    <w:lvl w:ilvl="1" w:tplc="E4F6641E">
      <w:start w:val="1"/>
      <w:numFmt w:val="bullet"/>
      <w:lvlText w:val="•"/>
      <w:lvlJc w:val="left"/>
      <w:pPr>
        <w:ind w:left="480" w:hanging="238"/>
      </w:pPr>
      <w:rPr>
        <w:rFonts w:hint="default"/>
      </w:rPr>
    </w:lvl>
    <w:lvl w:ilvl="2" w:tplc="51548E6C">
      <w:start w:val="1"/>
      <w:numFmt w:val="bullet"/>
      <w:lvlText w:val="•"/>
      <w:lvlJc w:val="left"/>
      <w:pPr>
        <w:ind w:left="1417" w:hanging="238"/>
      </w:pPr>
      <w:rPr>
        <w:rFonts w:hint="default"/>
      </w:rPr>
    </w:lvl>
    <w:lvl w:ilvl="3" w:tplc="437C4392">
      <w:start w:val="1"/>
      <w:numFmt w:val="bullet"/>
      <w:lvlText w:val="•"/>
      <w:lvlJc w:val="left"/>
      <w:pPr>
        <w:ind w:left="2355" w:hanging="238"/>
      </w:pPr>
      <w:rPr>
        <w:rFonts w:hint="default"/>
      </w:rPr>
    </w:lvl>
    <w:lvl w:ilvl="4" w:tplc="97E474C0">
      <w:start w:val="1"/>
      <w:numFmt w:val="bullet"/>
      <w:lvlText w:val="•"/>
      <w:lvlJc w:val="left"/>
      <w:pPr>
        <w:ind w:left="3293" w:hanging="238"/>
      </w:pPr>
      <w:rPr>
        <w:rFonts w:hint="default"/>
      </w:rPr>
    </w:lvl>
    <w:lvl w:ilvl="5" w:tplc="4F1435F6">
      <w:start w:val="1"/>
      <w:numFmt w:val="bullet"/>
      <w:lvlText w:val="•"/>
      <w:lvlJc w:val="left"/>
      <w:pPr>
        <w:ind w:left="4231" w:hanging="238"/>
      </w:pPr>
      <w:rPr>
        <w:rFonts w:hint="default"/>
      </w:rPr>
    </w:lvl>
    <w:lvl w:ilvl="6" w:tplc="9F502D4C">
      <w:start w:val="1"/>
      <w:numFmt w:val="bullet"/>
      <w:lvlText w:val="•"/>
      <w:lvlJc w:val="left"/>
      <w:pPr>
        <w:ind w:left="5168" w:hanging="238"/>
      </w:pPr>
      <w:rPr>
        <w:rFonts w:hint="default"/>
      </w:rPr>
    </w:lvl>
    <w:lvl w:ilvl="7" w:tplc="32F43924">
      <w:start w:val="1"/>
      <w:numFmt w:val="bullet"/>
      <w:lvlText w:val="•"/>
      <w:lvlJc w:val="left"/>
      <w:pPr>
        <w:ind w:left="6106" w:hanging="238"/>
      </w:pPr>
      <w:rPr>
        <w:rFonts w:hint="default"/>
      </w:rPr>
    </w:lvl>
    <w:lvl w:ilvl="8" w:tplc="6CEC1FD2">
      <w:start w:val="1"/>
      <w:numFmt w:val="bullet"/>
      <w:lvlText w:val="•"/>
      <w:lvlJc w:val="left"/>
      <w:pPr>
        <w:ind w:left="7044" w:hanging="238"/>
      </w:pPr>
      <w:rPr>
        <w:rFonts w:hint="default"/>
      </w:rPr>
    </w:lvl>
  </w:abstractNum>
  <w:abstractNum w:abstractNumId="15" w15:restartNumberingAfterBreak="0">
    <w:nsid w:val="73182971"/>
    <w:multiLevelType w:val="hybridMultilevel"/>
    <w:tmpl w:val="1E32BF34"/>
    <w:lvl w:ilvl="0" w:tplc="BC8A6902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1" w:tplc="DA0ED1BC">
      <w:start w:val="1"/>
      <w:numFmt w:val="bullet"/>
      <w:lvlText w:val="•"/>
      <w:lvlJc w:val="left"/>
      <w:pPr>
        <w:ind w:left="1648" w:hanging="361"/>
      </w:pPr>
      <w:rPr>
        <w:rFonts w:hint="default"/>
      </w:rPr>
    </w:lvl>
    <w:lvl w:ilvl="2" w:tplc="92AC63AA">
      <w:start w:val="1"/>
      <w:numFmt w:val="bullet"/>
      <w:lvlText w:val="•"/>
      <w:lvlJc w:val="left"/>
      <w:pPr>
        <w:ind w:left="2456" w:hanging="361"/>
      </w:pPr>
      <w:rPr>
        <w:rFonts w:hint="default"/>
      </w:rPr>
    </w:lvl>
    <w:lvl w:ilvl="3" w:tplc="F1862856">
      <w:start w:val="1"/>
      <w:numFmt w:val="bullet"/>
      <w:lvlText w:val="•"/>
      <w:lvlJc w:val="left"/>
      <w:pPr>
        <w:ind w:left="3264" w:hanging="361"/>
      </w:pPr>
      <w:rPr>
        <w:rFonts w:hint="default"/>
      </w:rPr>
    </w:lvl>
    <w:lvl w:ilvl="4" w:tplc="B1B85996">
      <w:start w:val="1"/>
      <w:numFmt w:val="bullet"/>
      <w:lvlText w:val="•"/>
      <w:lvlJc w:val="left"/>
      <w:pPr>
        <w:ind w:left="4072" w:hanging="361"/>
      </w:pPr>
      <w:rPr>
        <w:rFonts w:hint="default"/>
      </w:rPr>
    </w:lvl>
    <w:lvl w:ilvl="5" w:tplc="4B06824A">
      <w:start w:val="1"/>
      <w:numFmt w:val="bullet"/>
      <w:lvlText w:val="•"/>
      <w:lvlJc w:val="left"/>
      <w:pPr>
        <w:ind w:left="4880" w:hanging="361"/>
      </w:pPr>
      <w:rPr>
        <w:rFonts w:hint="default"/>
      </w:rPr>
    </w:lvl>
    <w:lvl w:ilvl="6" w:tplc="D8ACFB42">
      <w:start w:val="1"/>
      <w:numFmt w:val="bullet"/>
      <w:lvlText w:val="•"/>
      <w:lvlJc w:val="left"/>
      <w:pPr>
        <w:ind w:left="5688" w:hanging="361"/>
      </w:pPr>
      <w:rPr>
        <w:rFonts w:hint="default"/>
      </w:rPr>
    </w:lvl>
    <w:lvl w:ilvl="7" w:tplc="C200EE4E">
      <w:start w:val="1"/>
      <w:numFmt w:val="bullet"/>
      <w:lvlText w:val="•"/>
      <w:lvlJc w:val="left"/>
      <w:pPr>
        <w:ind w:left="6496" w:hanging="361"/>
      </w:pPr>
      <w:rPr>
        <w:rFonts w:hint="default"/>
      </w:rPr>
    </w:lvl>
    <w:lvl w:ilvl="8" w:tplc="E352533E">
      <w:start w:val="1"/>
      <w:numFmt w:val="bullet"/>
      <w:lvlText w:val="•"/>
      <w:lvlJc w:val="left"/>
      <w:pPr>
        <w:ind w:left="7304" w:hanging="361"/>
      </w:pPr>
      <w:rPr>
        <w:rFonts w:hint="default"/>
      </w:rPr>
    </w:lvl>
  </w:abstractNum>
  <w:abstractNum w:abstractNumId="16" w15:restartNumberingAfterBreak="0">
    <w:nsid w:val="747B6D20"/>
    <w:multiLevelType w:val="hybridMultilevel"/>
    <w:tmpl w:val="602A900A"/>
    <w:lvl w:ilvl="0" w:tplc="7B087064">
      <w:start w:val="1"/>
      <w:numFmt w:val="decimal"/>
      <w:lvlText w:val="%1."/>
      <w:lvlJc w:val="left"/>
      <w:pPr>
        <w:ind w:left="119" w:hanging="262"/>
      </w:pPr>
      <w:rPr>
        <w:rFonts w:ascii="Verdana" w:eastAsia="Verdana" w:hAnsi="Verdana" w:hint="default"/>
        <w:w w:val="99"/>
        <w:sz w:val="20"/>
        <w:szCs w:val="20"/>
      </w:rPr>
    </w:lvl>
    <w:lvl w:ilvl="1" w:tplc="3B1AE54E">
      <w:start w:val="1"/>
      <w:numFmt w:val="bullet"/>
      <w:lvlText w:val="•"/>
      <w:lvlJc w:val="left"/>
      <w:pPr>
        <w:ind w:left="999" w:hanging="262"/>
      </w:pPr>
      <w:rPr>
        <w:rFonts w:hint="default"/>
      </w:rPr>
    </w:lvl>
    <w:lvl w:ilvl="2" w:tplc="5C6E51B4">
      <w:start w:val="1"/>
      <w:numFmt w:val="bullet"/>
      <w:lvlText w:val="•"/>
      <w:lvlJc w:val="left"/>
      <w:pPr>
        <w:ind w:left="1879" w:hanging="262"/>
      </w:pPr>
      <w:rPr>
        <w:rFonts w:hint="default"/>
      </w:rPr>
    </w:lvl>
    <w:lvl w:ilvl="3" w:tplc="01266CC2">
      <w:start w:val="1"/>
      <w:numFmt w:val="bullet"/>
      <w:lvlText w:val="•"/>
      <w:lvlJc w:val="left"/>
      <w:pPr>
        <w:ind w:left="2759" w:hanging="262"/>
      </w:pPr>
      <w:rPr>
        <w:rFonts w:hint="default"/>
      </w:rPr>
    </w:lvl>
    <w:lvl w:ilvl="4" w:tplc="B3F666C8">
      <w:start w:val="1"/>
      <w:numFmt w:val="bullet"/>
      <w:lvlText w:val="•"/>
      <w:lvlJc w:val="left"/>
      <w:pPr>
        <w:ind w:left="3639" w:hanging="262"/>
      </w:pPr>
      <w:rPr>
        <w:rFonts w:hint="default"/>
      </w:rPr>
    </w:lvl>
    <w:lvl w:ilvl="5" w:tplc="954E787C">
      <w:start w:val="1"/>
      <w:numFmt w:val="bullet"/>
      <w:lvlText w:val="•"/>
      <w:lvlJc w:val="left"/>
      <w:pPr>
        <w:ind w:left="4519" w:hanging="262"/>
      </w:pPr>
      <w:rPr>
        <w:rFonts w:hint="default"/>
      </w:rPr>
    </w:lvl>
    <w:lvl w:ilvl="6" w:tplc="BA82BFA2">
      <w:start w:val="1"/>
      <w:numFmt w:val="bullet"/>
      <w:lvlText w:val="•"/>
      <w:lvlJc w:val="left"/>
      <w:pPr>
        <w:ind w:left="5399" w:hanging="262"/>
      </w:pPr>
      <w:rPr>
        <w:rFonts w:hint="default"/>
      </w:rPr>
    </w:lvl>
    <w:lvl w:ilvl="7" w:tplc="2BAA7328">
      <w:start w:val="1"/>
      <w:numFmt w:val="bullet"/>
      <w:lvlText w:val="•"/>
      <w:lvlJc w:val="left"/>
      <w:pPr>
        <w:ind w:left="6279" w:hanging="262"/>
      </w:pPr>
      <w:rPr>
        <w:rFonts w:hint="default"/>
      </w:rPr>
    </w:lvl>
    <w:lvl w:ilvl="8" w:tplc="55D2EE1C">
      <w:start w:val="1"/>
      <w:numFmt w:val="bullet"/>
      <w:lvlText w:val="•"/>
      <w:lvlJc w:val="left"/>
      <w:pPr>
        <w:ind w:left="7159" w:hanging="262"/>
      </w:pPr>
      <w:rPr>
        <w:rFonts w:hint="default"/>
      </w:rPr>
    </w:lvl>
  </w:abstractNum>
  <w:abstractNum w:abstractNumId="17" w15:restartNumberingAfterBreak="0">
    <w:nsid w:val="799C2F40"/>
    <w:multiLevelType w:val="hybridMultilevel"/>
    <w:tmpl w:val="D6228200"/>
    <w:lvl w:ilvl="0" w:tplc="99F8660C">
      <w:start w:val="3"/>
      <w:numFmt w:val="decimal"/>
      <w:lvlText w:val="%1"/>
      <w:lvlJc w:val="left"/>
      <w:pPr>
        <w:ind w:left="745" w:hanging="646"/>
      </w:pPr>
      <w:rPr>
        <w:rFonts w:hint="default"/>
      </w:rPr>
    </w:lvl>
    <w:lvl w:ilvl="1" w:tplc="342839D0">
      <w:start w:val="5"/>
      <w:numFmt w:val="decimal"/>
      <w:lvlText w:val="%1.%2"/>
      <w:lvlJc w:val="left"/>
      <w:pPr>
        <w:ind w:left="745" w:hanging="646"/>
      </w:pPr>
      <w:rPr>
        <w:rFonts w:ascii="Verdana" w:eastAsia="Verdana" w:hAnsi="Verdana" w:hint="default"/>
        <w:sz w:val="24"/>
        <w:szCs w:val="24"/>
      </w:rPr>
    </w:lvl>
    <w:lvl w:ilvl="2" w:tplc="40625F0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ECA2A20E">
      <w:start w:val="1"/>
      <w:numFmt w:val="bullet"/>
      <w:lvlText w:val="•"/>
      <w:lvlJc w:val="left"/>
      <w:pPr>
        <w:ind w:left="1923" w:hanging="360"/>
      </w:pPr>
      <w:rPr>
        <w:rFonts w:hint="default"/>
      </w:rPr>
    </w:lvl>
    <w:lvl w:ilvl="4" w:tplc="960844EE">
      <w:start w:val="1"/>
      <w:numFmt w:val="bullet"/>
      <w:lvlText w:val="•"/>
      <w:lvlJc w:val="left"/>
      <w:pPr>
        <w:ind w:left="2919" w:hanging="360"/>
      </w:pPr>
      <w:rPr>
        <w:rFonts w:hint="default"/>
      </w:rPr>
    </w:lvl>
    <w:lvl w:ilvl="5" w:tplc="DC265738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6" w:tplc="8AE2AC14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7" w:tplc="FC445198">
      <w:start w:val="1"/>
      <w:numFmt w:val="bullet"/>
      <w:lvlText w:val="•"/>
      <w:lvlJc w:val="left"/>
      <w:pPr>
        <w:ind w:left="5909" w:hanging="360"/>
      </w:pPr>
      <w:rPr>
        <w:rFonts w:hint="default"/>
      </w:rPr>
    </w:lvl>
    <w:lvl w:ilvl="8" w:tplc="9960752C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</w:abstractNum>
  <w:abstractNum w:abstractNumId="18" w15:restartNumberingAfterBreak="0">
    <w:nsid w:val="7E5C6E6A"/>
    <w:multiLevelType w:val="hybridMultilevel"/>
    <w:tmpl w:val="68BA3100"/>
    <w:lvl w:ilvl="0" w:tplc="4E00AF88">
      <w:start w:val="1"/>
      <w:numFmt w:val="bullet"/>
      <w:lvlText w:val=""/>
      <w:lvlJc w:val="left"/>
      <w:pPr>
        <w:ind w:left="832" w:hanging="356"/>
      </w:pPr>
      <w:rPr>
        <w:rFonts w:ascii="Symbol" w:eastAsia="Symbol" w:hAnsi="Symbol" w:hint="default"/>
        <w:sz w:val="22"/>
        <w:szCs w:val="22"/>
      </w:rPr>
    </w:lvl>
    <w:lvl w:ilvl="1" w:tplc="900ED418">
      <w:start w:val="1"/>
      <w:numFmt w:val="bullet"/>
      <w:lvlText w:val="•"/>
      <w:lvlJc w:val="left"/>
      <w:pPr>
        <w:ind w:left="1641" w:hanging="356"/>
      </w:pPr>
      <w:rPr>
        <w:rFonts w:hint="default"/>
      </w:rPr>
    </w:lvl>
    <w:lvl w:ilvl="2" w:tplc="375C1A0C">
      <w:start w:val="1"/>
      <w:numFmt w:val="bullet"/>
      <w:lvlText w:val="•"/>
      <w:lvlJc w:val="left"/>
      <w:pPr>
        <w:ind w:left="2450" w:hanging="356"/>
      </w:pPr>
      <w:rPr>
        <w:rFonts w:hint="default"/>
      </w:rPr>
    </w:lvl>
    <w:lvl w:ilvl="3" w:tplc="836A06B4">
      <w:start w:val="1"/>
      <w:numFmt w:val="bullet"/>
      <w:lvlText w:val="•"/>
      <w:lvlJc w:val="left"/>
      <w:pPr>
        <w:ind w:left="3258" w:hanging="356"/>
      </w:pPr>
      <w:rPr>
        <w:rFonts w:hint="default"/>
      </w:rPr>
    </w:lvl>
    <w:lvl w:ilvl="4" w:tplc="A82C4C00">
      <w:start w:val="1"/>
      <w:numFmt w:val="bullet"/>
      <w:lvlText w:val="•"/>
      <w:lvlJc w:val="left"/>
      <w:pPr>
        <w:ind w:left="4067" w:hanging="356"/>
      </w:pPr>
      <w:rPr>
        <w:rFonts w:hint="default"/>
      </w:rPr>
    </w:lvl>
    <w:lvl w:ilvl="5" w:tplc="0F2C6AA4">
      <w:start w:val="1"/>
      <w:numFmt w:val="bullet"/>
      <w:lvlText w:val="•"/>
      <w:lvlJc w:val="left"/>
      <w:pPr>
        <w:ind w:left="4876" w:hanging="356"/>
      </w:pPr>
      <w:rPr>
        <w:rFonts w:hint="default"/>
      </w:rPr>
    </w:lvl>
    <w:lvl w:ilvl="6" w:tplc="9460A2AA">
      <w:start w:val="1"/>
      <w:numFmt w:val="bullet"/>
      <w:lvlText w:val="•"/>
      <w:lvlJc w:val="left"/>
      <w:pPr>
        <w:ind w:left="5685" w:hanging="356"/>
      </w:pPr>
      <w:rPr>
        <w:rFonts w:hint="default"/>
      </w:rPr>
    </w:lvl>
    <w:lvl w:ilvl="7" w:tplc="C5FABB22">
      <w:start w:val="1"/>
      <w:numFmt w:val="bullet"/>
      <w:lvlText w:val="•"/>
      <w:lvlJc w:val="left"/>
      <w:pPr>
        <w:ind w:left="6493" w:hanging="356"/>
      </w:pPr>
      <w:rPr>
        <w:rFonts w:hint="default"/>
      </w:rPr>
    </w:lvl>
    <w:lvl w:ilvl="8" w:tplc="94B0B03A">
      <w:start w:val="1"/>
      <w:numFmt w:val="bullet"/>
      <w:lvlText w:val="•"/>
      <w:lvlJc w:val="left"/>
      <w:pPr>
        <w:ind w:left="7302" w:hanging="356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17"/>
  </w:num>
  <w:num w:numId="5">
    <w:abstractNumId w:val="13"/>
  </w:num>
  <w:num w:numId="6">
    <w:abstractNumId w:val="6"/>
  </w:num>
  <w:num w:numId="7">
    <w:abstractNumId w:val="14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3"/>
  </w:num>
  <w:num w:numId="14">
    <w:abstractNumId w:val="7"/>
  </w:num>
  <w:num w:numId="15">
    <w:abstractNumId w:val="11"/>
  </w:num>
  <w:num w:numId="16">
    <w:abstractNumId w:val="12"/>
  </w:num>
  <w:num w:numId="17">
    <w:abstractNumId w:val="18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C1B"/>
    <w:rsid w:val="000C79F9"/>
    <w:rsid w:val="00173AD7"/>
    <w:rsid w:val="002167DE"/>
    <w:rsid w:val="0062026E"/>
    <w:rsid w:val="00783C10"/>
    <w:rsid w:val="00962DCA"/>
    <w:rsid w:val="00B87C1B"/>
    <w:rsid w:val="00B919D3"/>
    <w:rsid w:val="00B92996"/>
    <w:rsid w:val="00BB6381"/>
    <w:rsid w:val="00D82B82"/>
    <w:rsid w:val="00DE65EF"/>
    <w:rsid w:val="00E66A09"/>
    <w:rsid w:val="00EC186F"/>
    <w:rsid w:val="00F7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CD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Verdana" w:eastAsia="Verdana" w:hAnsi="Verdan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7"/>
      <w:ind w:left="12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2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2167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7DE"/>
  </w:style>
  <w:style w:type="paragraph" w:styleId="Footer">
    <w:name w:val="footer"/>
    <w:basedOn w:val="Normal"/>
    <w:link w:val="FooterChar"/>
    <w:unhideWhenUsed/>
    <w:rsid w:val="002167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7DE"/>
  </w:style>
  <w:style w:type="paragraph" w:styleId="FootnoteText">
    <w:name w:val="footnote text"/>
    <w:basedOn w:val="Normal"/>
    <w:link w:val="FootnoteTextChar"/>
    <w:uiPriority w:val="99"/>
    <w:semiHidden/>
    <w:unhideWhenUsed/>
    <w:rsid w:val="00B919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9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19D3"/>
    <w:rPr>
      <w:vertAlign w:val="superscript"/>
    </w:rPr>
  </w:style>
  <w:style w:type="character" w:styleId="PageNumber">
    <w:name w:val="page number"/>
    <w:basedOn w:val="DefaultParagraphFont"/>
    <w:semiHidden/>
    <w:rsid w:val="00DE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A544-F183-4C34-9E3C-93720034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16367</Words>
  <Characters>9330</Characters>
  <Application>Microsoft Office Word</Application>
  <DocSecurity>0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2020-10-12T07:09:00Z</dcterms:created>
  <dcterms:modified xsi:type="dcterms:W3CDTF">2020-11-20T14:34:00Z</dcterms:modified>
</cp:coreProperties>
</file>